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6"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_______________________________________________________________________________________________________________________________</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60"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_______________________________________________________________________________________________________________________________</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23" w:lineRule="exact"/>
        <w:rPr>
          <w:sz w:val="24"/>
          <w:szCs w:val="24"/>
          <w:color w:val="auto"/>
        </w:rPr>
      </w:pPr>
    </w:p>
    <w:p>
      <w:pPr>
        <w:ind w:left="400" w:hanging="34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6" w:lineRule="exact"/>
        <w:rPr>
          <w:rFonts w:ascii="MS PGothic" w:cs="MS PGothic" w:eastAsia="MS PGothic" w:hAnsi="MS PGothic"/>
          <w:sz w:val="18"/>
          <w:szCs w:val="18"/>
          <w:color w:val="auto"/>
        </w:rPr>
      </w:pPr>
    </w:p>
    <w:p>
      <w:pPr>
        <w:ind w:left="41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fiscal year ended December 31, 2025</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1" w:lineRule="exact"/>
        <w:rPr>
          <w:sz w:val="24"/>
          <w:szCs w:val="24"/>
          <w:color w:val="auto"/>
        </w:rPr>
      </w:pPr>
    </w:p>
    <w:p>
      <w:pPr>
        <w:ind w:left="400" w:hanging="344"/>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001-35890</w:t>
      </w:r>
    </w:p>
    <w:p>
      <w:pPr>
        <w:spacing w:after="0" w:line="8"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________________________________________________________________________________________________________________</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Tempest Therapeutics, Inc.</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15"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___________________________________________________________________________________________________________________</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jc w:val="center"/>
              <w:ind w:left="102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080" w:type="dxa"/>
            <w:vAlign w:val="bottom"/>
          </w:tcPr>
          <w:p>
            <w:pPr>
              <w:spacing w:after="0"/>
              <w:rPr>
                <w:sz w:val="16"/>
                <w:szCs w:val="16"/>
                <w:color w:val="auto"/>
              </w:rPr>
            </w:pPr>
          </w:p>
        </w:tc>
        <w:tc>
          <w:tcPr>
            <w:tcW w:w="3140" w:type="dxa"/>
            <w:vAlign w:val="bottom"/>
          </w:tcPr>
          <w:p>
            <w:pPr>
              <w:jc w:val="right"/>
              <w:ind w:right="1888"/>
              <w:spacing w:after="0"/>
              <w:rPr>
                <w:sz w:val="20"/>
                <w:szCs w:val="20"/>
                <w:color w:val="auto"/>
              </w:rPr>
            </w:pPr>
            <w:r>
              <w:rPr>
                <w:rFonts w:ascii="Times New Roman" w:cs="Times New Roman" w:eastAsia="Times New Roman" w:hAnsi="Times New Roman"/>
                <w:sz w:val="14"/>
                <w:szCs w:val="14"/>
                <w:b w:val="1"/>
                <w:bCs w:val="1"/>
                <w:color w:val="auto"/>
              </w:rPr>
              <w:t>45-1472564</w:t>
            </w:r>
          </w:p>
        </w:tc>
        <w:tc>
          <w:tcPr>
            <w:tcW w:w="0" w:type="dxa"/>
            <w:vAlign w:val="bottom"/>
          </w:tcPr>
          <w:p>
            <w:pPr>
              <w:spacing w:after="0"/>
              <w:rPr>
                <w:sz w:val="1"/>
                <w:szCs w:val="1"/>
                <w:color w:val="auto"/>
              </w:rPr>
            </w:pPr>
          </w:p>
        </w:tc>
      </w:tr>
      <w:tr>
        <w:trPr>
          <w:trHeight w:val="201"/>
        </w:trPr>
        <w:tc>
          <w:tcPr>
            <w:tcW w:w="4520" w:type="dxa"/>
            <w:vAlign w:val="bottom"/>
          </w:tcPr>
          <w:p>
            <w:pPr>
              <w:jc w:val="center"/>
              <w:ind w:left="104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80" w:type="dxa"/>
            <w:vAlign w:val="bottom"/>
          </w:tcPr>
          <w:p>
            <w:pPr>
              <w:spacing w:after="0"/>
              <w:rPr>
                <w:sz w:val="17"/>
                <w:szCs w:val="17"/>
                <w:color w:val="auto"/>
              </w:rPr>
            </w:pPr>
          </w:p>
        </w:tc>
        <w:tc>
          <w:tcPr>
            <w:tcW w:w="3140" w:type="dxa"/>
            <w:vAlign w:val="bottom"/>
          </w:tcPr>
          <w:p>
            <w:pPr>
              <w:jc w:val="center"/>
              <w:ind w:right="1388"/>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520" w:type="dxa"/>
            <w:vAlign w:val="bottom"/>
          </w:tcPr>
          <w:p>
            <w:pPr>
              <w:jc w:val="center"/>
              <w:ind w:left="104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80" w:type="dxa"/>
            <w:vAlign w:val="bottom"/>
          </w:tcPr>
          <w:p>
            <w:pPr>
              <w:spacing w:after="0"/>
              <w:rPr>
                <w:sz w:val="16"/>
                <w:szCs w:val="16"/>
                <w:color w:val="auto"/>
              </w:rPr>
            </w:pPr>
          </w:p>
        </w:tc>
        <w:tc>
          <w:tcPr>
            <w:tcW w:w="3140" w:type="dxa"/>
            <w:vAlign w:val="bottom"/>
          </w:tcPr>
          <w:p>
            <w:pPr>
              <w:jc w:val="center"/>
              <w:ind w:right="1408"/>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01"/>
        </w:trPr>
        <w:tc>
          <w:tcPr>
            <w:tcW w:w="4520" w:type="dxa"/>
            <w:vAlign w:val="bottom"/>
          </w:tcPr>
          <w:p>
            <w:pPr>
              <w:jc w:val="center"/>
              <w:ind w:left="1029"/>
              <w:spacing w:after="0"/>
              <w:rPr>
                <w:sz w:val="20"/>
                <w:szCs w:val="20"/>
                <w:color w:val="auto"/>
              </w:rPr>
            </w:pPr>
            <w:r>
              <w:rPr>
                <w:rFonts w:ascii="Times New Roman" w:cs="Times New Roman" w:eastAsia="Times New Roman" w:hAnsi="Times New Roman"/>
                <w:sz w:val="14"/>
                <w:szCs w:val="14"/>
                <w:b w:val="1"/>
                <w:bCs w:val="1"/>
                <w:color w:val="auto"/>
              </w:rPr>
              <w:t>2000 Sierra Point Parkway, Suite 400</w:t>
            </w:r>
          </w:p>
        </w:tc>
        <w:tc>
          <w:tcPr>
            <w:tcW w:w="3080" w:type="dxa"/>
            <w:vAlign w:val="bottom"/>
          </w:tcPr>
          <w:p>
            <w:pPr>
              <w:spacing w:after="0"/>
              <w:rPr>
                <w:sz w:val="17"/>
                <w:szCs w:val="17"/>
                <w:color w:val="auto"/>
              </w:rPr>
            </w:pPr>
          </w:p>
        </w:tc>
        <w:tc>
          <w:tcPr>
            <w:tcW w:w="3140" w:type="dxa"/>
            <w:vAlign w:val="bottom"/>
            <w:vMerge w:val="restart"/>
          </w:tcPr>
          <w:p>
            <w:pPr>
              <w:jc w:val="right"/>
              <w:ind w:right="2048"/>
              <w:spacing w:after="0"/>
              <w:rPr>
                <w:sz w:val="20"/>
                <w:szCs w:val="20"/>
                <w:color w:val="auto"/>
              </w:rPr>
            </w:pPr>
            <w:r>
              <w:rPr>
                <w:rFonts w:ascii="Times New Roman" w:cs="Times New Roman" w:eastAsia="Times New Roman" w:hAnsi="Times New Roman"/>
                <w:sz w:val="14"/>
                <w:szCs w:val="14"/>
                <w:b w:val="1"/>
                <w:bCs w:val="1"/>
                <w:color w:val="auto"/>
              </w:rPr>
              <w:t>94005</w:t>
            </w:r>
          </w:p>
        </w:tc>
        <w:tc>
          <w:tcPr>
            <w:tcW w:w="0" w:type="dxa"/>
            <w:vAlign w:val="bottom"/>
          </w:tcPr>
          <w:p>
            <w:pPr>
              <w:spacing w:after="0"/>
              <w:rPr>
                <w:sz w:val="1"/>
                <w:szCs w:val="1"/>
                <w:color w:val="auto"/>
              </w:rPr>
            </w:pPr>
          </w:p>
        </w:tc>
      </w:tr>
      <w:tr>
        <w:trPr>
          <w:trHeight w:val="190"/>
        </w:trPr>
        <w:tc>
          <w:tcPr>
            <w:tcW w:w="4520" w:type="dxa"/>
            <w:vAlign w:val="bottom"/>
          </w:tcPr>
          <w:p>
            <w:pPr>
              <w:jc w:val="center"/>
              <w:ind w:left="1049"/>
              <w:spacing w:after="0"/>
              <w:rPr>
                <w:sz w:val="20"/>
                <w:szCs w:val="20"/>
                <w:color w:val="auto"/>
              </w:rPr>
            </w:pPr>
            <w:r>
              <w:rPr>
                <w:rFonts w:ascii="Times New Roman" w:cs="Times New Roman" w:eastAsia="Times New Roman" w:hAnsi="Times New Roman"/>
                <w:sz w:val="14"/>
                <w:szCs w:val="14"/>
                <w:b w:val="1"/>
                <w:bCs w:val="1"/>
                <w:color w:val="auto"/>
              </w:rPr>
              <w:t>Brisbane, California</w:t>
            </w:r>
          </w:p>
        </w:tc>
        <w:tc>
          <w:tcPr>
            <w:tcW w:w="3080" w:type="dxa"/>
            <w:vAlign w:val="bottom"/>
          </w:tcPr>
          <w:p>
            <w:pPr>
              <w:spacing w:after="0"/>
              <w:rPr>
                <w:sz w:val="16"/>
                <w:szCs w:val="16"/>
                <w:color w:val="auto"/>
              </w:rPr>
            </w:pPr>
          </w:p>
        </w:tc>
        <w:tc>
          <w:tcPr>
            <w:tcW w:w="3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520" w:type="dxa"/>
            <w:vAlign w:val="bottom"/>
          </w:tcPr>
          <w:p>
            <w:pPr>
              <w:jc w:val="center"/>
              <w:ind w:left="102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80" w:type="dxa"/>
            <w:vAlign w:val="bottom"/>
          </w:tcPr>
          <w:p>
            <w:pPr>
              <w:spacing w:after="0"/>
              <w:rPr>
                <w:sz w:val="21"/>
                <w:szCs w:val="21"/>
                <w:color w:val="auto"/>
              </w:rPr>
            </w:pPr>
          </w:p>
        </w:tc>
        <w:tc>
          <w:tcPr>
            <w:tcW w:w="3140" w:type="dxa"/>
            <w:vAlign w:val="bottom"/>
          </w:tcPr>
          <w:p>
            <w:pPr>
              <w:jc w:val="center"/>
              <w:ind w:right="140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30"/>
        </w:trPr>
        <w:tc>
          <w:tcPr>
            <w:tcW w:w="10740" w:type="dxa"/>
            <w:vAlign w:val="bottom"/>
            <w:gridSpan w:val="3"/>
          </w:tcPr>
          <w:p>
            <w:pPr>
              <w:jc w:val="center"/>
              <w:ind w:left="42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(415) 798-8589</w:t>
            </w:r>
          </w:p>
        </w:tc>
        <w:tc>
          <w:tcPr>
            <w:tcW w:w="0" w:type="dxa"/>
            <w:vAlign w:val="bottom"/>
          </w:tcPr>
          <w:p>
            <w:pPr>
              <w:spacing w:after="0"/>
              <w:rPr>
                <w:sz w:val="1"/>
                <w:szCs w:val="1"/>
                <w:color w:val="auto"/>
              </w:rPr>
            </w:pPr>
          </w:p>
        </w:tc>
      </w:tr>
      <w:tr>
        <w:trPr>
          <w:trHeight w:val="365"/>
        </w:trPr>
        <w:tc>
          <w:tcPr>
            <w:tcW w:w="7600" w:type="dxa"/>
            <w:vAlign w:val="bottom"/>
            <w:gridSpan w:val="2"/>
          </w:tcPr>
          <w:p>
            <w:pPr>
              <w:jc w:val="center"/>
              <w:ind w:left="356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20" w:type="dxa"/>
            <w:vAlign w:val="bottom"/>
          </w:tcPr>
          <w:p>
            <w:pPr>
              <w:jc w:val="center"/>
              <w:ind w:right="72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80" w:type="dxa"/>
            <w:vAlign w:val="bottom"/>
          </w:tcPr>
          <w:p>
            <w:pPr>
              <w:jc w:val="center"/>
              <w:ind w:right="84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1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43"/>
        </w:trPr>
        <w:tc>
          <w:tcPr>
            <w:tcW w:w="4520" w:type="dxa"/>
            <w:vAlign w:val="bottom"/>
          </w:tcPr>
          <w:p>
            <w:pPr>
              <w:jc w:val="center"/>
              <w:ind w:right="709"/>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3080" w:type="dxa"/>
            <w:vAlign w:val="bottom"/>
          </w:tcPr>
          <w:p>
            <w:pPr>
              <w:jc w:val="center"/>
              <w:ind w:right="868"/>
              <w:spacing w:after="0"/>
              <w:rPr>
                <w:sz w:val="20"/>
                <w:szCs w:val="20"/>
                <w:color w:val="auto"/>
              </w:rPr>
            </w:pPr>
            <w:r>
              <w:rPr>
                <w:rFonts w:ascii="Times New Roman" w:cs="Times New Roman" w:eastAsia="Times New Roman" w:hAnsi="Times New Roman"/>
                <w:sz w:val="14"/>
                <w:szCs w:val="14"/>
                <w:color w:val="auto"/>
              </w:rPr>
              <w:t>TPST</w:t>
            </w:r>
          </w:p>
        </w:tc>
        <w:tc>
          <w:tcPr>
            <w:tcW w:w="31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4520" w:type="dxa"/>
            <w:vAlign w:val="bottom"/>
          </w:tcPr>
          <w:p>
            <w:pPr>
              <w:spacing w:after="0"/>
              <w:rPr>
                <w:sz w:val="17"/>
                <w:szCs w:val="17"/>
                <w:color w:val="auto"/>
              </w:rPr>
            </w:pPr>
          </w:p>
        </w:tc>
        <w:tc>
          <w:tcPr>
            <w:tcW w:w="3080" w:type="dxa"/>
            <w:vAlign w:val="bottom"/>
          </w:tcPr>
          <w:p>
            <w:pPr>
              <w:jc w:val="center"/>
              <w:ind w:right="848"/>
              <w:spacing w:after="0"/>
              <w:rPr>
                <w:sz w:val="20"/>
                <w:szCs w:val="20"/>
                <w:color w:val="auto"/>
              </w:rPr>
            </w:pPr>
            <w:r>
              <w:rPr>
                <w:rFonts w:ascii="Times New Roman" w:cs="Times New Roman" w:eastAsia="Times New Roman" w:hAnsi="Times New Roman"/>
                <w:sz w:val="14"/>
                <w:szCs w:val="14"/>
                <w:color w:val="auto"/>
                <w:w w:val="99"/>
              </w:rPr>
              <w:t>N/A</w:t>
            </w:r>
          </w:p>
        </w:tc>
        <w:tc>
          <w:tcPr>
            <w:tcW w:w="31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4520" w:type="dxa"/>
            <w:vAlign w:val="bottom"/>
          </w:tcPr>
          <w:p>
            <w:pPr>
              <w:jc w:val="center"/>
              <w:ind w:right="729"/>
              <w:spacing w:after="0"/>
              <w:rPr>
                <w:sz w:val="20"/>
                <w:szCs w:val="20"/>
                <w:color w:val="auto"/>
              </w:rPr>
            </w:pPr>
            <w:r>
              <w:rPr>
                <w:rFonts w:ascii="Times New Roman" w:cs="Times New Roman" w:eastAsia="Times New Roman" w:hAnsi="Times New Roman"/>
                <w:sz w:val="14"/>
                <w:szCs w:val="14"/>
                <w:color w:val="auto"/>
              </w:rPr>
              <w:t>Series A Junior Participating Preferred Purchase Rights</w:t>
            </w:r>
          </w:p>
        </w:tc>
        <w:tc>
          <w:tcPr>
            <w:tcW w:w="30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600" w:type="dxa"/>
            <w:vAlign w:val="bottom"/>
            <w:gridSpan w:val="2"/>
          </w:tcPr>
          <w:p>
            <w:pPr>
              <w:jc w:val="center"/>
              <w:ind w:left="356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3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740" w:type="dxa"/>
            <w:vAlign w:val="bottom"/>
            <w:gridSpan w:val="3"/>
          </w:tcPr>
          <w:p>
            <w:pPr>
              <w:jc w:val="center"/>
              <w:ind w:left="449"/>
              <w:spacing w:after="0"/>
              <w:rPr>
                <w:sz w:val="20"/>
                <w:szCs w:val="20"/>
                <w:color w:val="auto"/>
              </w:rPr>
            </w:pPr>
            <w:r>
              <w:rPr>
                <w:rFonts w:ascii="Times New Roman" w:cs="Times New Roman" w:eastAsia="Times New Roman" w:hAnsi="Times New Roman"/>
                <w:sz w:val="11"/>
                <w:szCs w:val="11"/>
                <w:b w:val="1"/>
                <w:bCs w:val="1"/>
                <w:color w:val="auto"/>
                <w:w w:val="98"/>
              </w:rPr>
              <w:t>_________________________________________________________________________________________________________________</w:t>
            </w:r>
          </w:p>
        </w:tc>
        <w:tc>
          <w:tcPr>
            <w:tcW w:w="0" w:type="dxa"/>
            <w:vAlign w:val="bottom"/>
          </w:tcPr>
          <w:p>
            <w:pPr>
              <w:spacing w:after="0"/>
              <w:rPr>
                <w:sz w:val="1"/>
                <w:szCs w:val="1"/>
                <w:color w:val="auto"/>
              </w:rPr>
            </w:pPr>
          </w:p>
        </w:tc>
      </w:tr>
      <w:tr>
        <w:trPr>
          <w:trHeight w:val="263"/>
        </w:trPr>
        <w:tc>
          <w:tcPr>
            <w:tcW w:w="7600" w:type="dxa"/>
            <w:vAlign w:val="bottom"/>
            <w:gridSpan w:val="2"/>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tc>
        <w:tc>
          <w:tcPr>
            <w:tcW w:w="314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5" w:lineRule="exact"/>
        <w:rPr>
          <w:sz w:val="24"/>
          <w:szCs w:val="24"/>
          <w:color w:val="auto"/>
        </w:rPr>
      </w:pPr>
    </w:p>
    <w:p>
      <w:pPr>
        <w:spacing w:after="0" w:line="161" w:lineRule="exact"/>
        <w:tabs>
          <w:tab w:leader="none" w:pos="706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00" w:lineRule="exact"/>
        <w:rPr>
          <w:sz w:val="24"/>
          <w:szCs w:val="24"/>
          <w:color w:val="auto"/>
        </w:rPr>
      </w:pPr>
    </w:p>
    <w:p>
      <w:pPr>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spacing w:after="0" w:line="17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71" w:lineRule="exact"/>
        <w:rPr>
          <w:sz w:val="24"/>
          <w:szCs w:val="24"/>
          <w:color w:val="auto"/>
        </w:rPr>
      </w:pPr>
    </w:p>
    <w:p>
      <w:pPr>
        <w:ind w:right="50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60" w:type="dxa"/>
        <w:tblCellMar>
          <w:top w:w="0" w:type="dxa"/>
          <w:left w:w="0" w:type="dxa"/>
          <w:bottom w:w="0" w:type="dxa"/>
          <w:right w:w="0" w:type="dxa"/>
        </w:tblCellMar>
      </w:tblPr>
      <w:tr>
        <w:trPr>
          <w:trHeight w:val="242"/>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46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Accelerated filer</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46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20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476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Emerging growth company</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0"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588645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Indicated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3" w:lineRule="exact"/>
        <w:rPr>
          <w:sz w:val="20"/>
          <w:szCs w:val="20"/>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0"/>
          <w:szCs w:val="20"/>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2" w:lineRule="exact"/>
        <w:rPr>
          <w:sz w:val="20"/>
          <w:szCs w:val="20"/>
          <w:color w:val="auto"/>
        </w:rPr>
      </w:pPr>
    </w:p>
    <w:p>
      <w:pPr>
        <w:spacing w:after="0" w:line="161" w:lineRule="exact"/>
        <w:tabs>
          <w:tab w:leader="none" w:pos="6060" w:val="left"/>
          <w:tab w:leader="none" w:pos="66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1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of the registrant held by non-affiliates as of June 30, 2025 (the last business day of the registrant’s most recently completed second fiscal quarter), based on a closing price of $6.80 per share of the registrant’s common stock as reported on The Nasdaq Stock Market LLC on June 30, 2025, was approximately $30.1 million. For purposes of this computation, all officers, directors, and stockholders that the registrant has concluded are affiliates of the registrant are deemed to be affiliates. This calculation does not reflect a determination that certain holders are affiliates of the Registrant for any other purpose.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25, 2026, the registrant had 14,344,034 shares of common stock, $0.001 par value per share, outstanding.</w:t>
      </w:r>
    </w:p>
    <w:p>
      <w:pPr>
        <w:spacing w:after="0" w:line="13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833755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2" w:name="page3"/>
    <w:bookmarkEnd w:id="2"/>
    <w:p>
      <w:pPr>
        <w:ind w:left="49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46"/>
        </w:trPr>
        <w:tc>
          <w:tcPr>
            <w:tcW w:w="120" w:type="dxa"/>
            <w:vAlign w:val="bottom"/>
            <w:vMerge w:val="restart"/>
          </w:tcPr>
          <w:p>
            <w:pPr>
              <w:spacing w:after="0"/>
              <w:rPr>
                <w:sz w:val="4"/>
                <w:szCs w:val="4"/>
                <w:color w:val="auto"/>
              </w:rPr>
            </w:pPr>
          </w:p>
        </w:tc>
        <w:tc>
          <w:tcPr>
            <w:tcW w:w="10320" w:type="dxa"/>
            <w:vAlign w:val="bottom"/>
            <w:gridSpan w:val="30"/>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SPECIAL NOTE REGARDING FORWARD-LOOKING STATEMENTS</w:t>
            </w: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20" w:type="dxa"/>
            <w:vAlign w:val="bottom"/>
            <w:vMerge w:val="continue"/>
          </w:tcPr>
          <w:p>
            <w:pPr>
              <w:spacing w:after="0"/>
              <w:rPr>
                <w:sz w:val="14"/>
                <w:szCs w:val="14"/>
                <w:color w:val="auto"/>
              </w:rPr>
            </w:pPr>
          </w:p>
        </w:tc>
        <w:tc>
          <w:tcPr>
            <w:tcW w:w="10320" w:type="dxa"/>
            <w:vAlign w:val="bottom"/>
            <w:gridSpan w:val="30"/>
            <w:vMerge w:val="continue"/>
          </w:tcPr>
          <w:p>
            <w:pPr>
              <w:spacing w:after="0"/>
              <w:rPr>
                <w:sz w:val="14"/>
                <w:szCs w:val="14"/>
                <w:color w:val="auto"/>
              </w:rPr>
            </w:pPr>
          </w:p>
        </w:tc>
        <w:tc>
          <w:tcPr>
            <w:tcW w:w="800" w:type="dxa"/>
            <w:vAlign w:val="bottom"/>
          </w:tcPr>
          <w:p>
            <w:pPr>
              <w:jc w:val="right"/>
              <w:ind w:right="11"/>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6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680" w:type="dxa"/>
            <w:vAlign w:val="bottom"/>
            <w:tcBorders>
              <w:top w:val="single" w:sz="8" w:color="0000FF"/>
            </w:tcBorders>
            <w:gridSpan w:val="4"/>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3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w:t>
            </w:r>
          </w:p>
        </w:tc>
        <w:tc>
          <w:tcPr>
            <w:tcW w:w="8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Business</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1A.</w:t>
            </w:r>
          </w:p>
        </w:tc>
        <w:tc>
          <w:tcPr>
            <w:tcW w:w="680" w:type="dxa"/>
            <w:vAlign w:val="bottom"/>
            <w:gridSpan w:val="4"/>
          </w:tcPr>
          <w:p>
            <w:pPr>
              <w:spacing w:after="0"/>
              <w:rPr>
                <w:sz w:val="17"/>
                <w:szCs w:val="17"/>
                <w:color w:val="auto"/>
              </w:rPr>
            </w:pPr>
          </w:p>
        </w:tc>
        <w:tc>
          <w:tcPr>
            <w:tcW w:w="89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Item 1B.</w:t>
            </w:r>
          </w:p>
        </w:tc>
        <w:tc>
          <w:tcPr>
            <w:tcW w:w="680" w:type="dxa"/>
            <w:vAlign w:val="bottom"/>
            <w:gridSpan w:val="4"/>
          </w:tcPr>
          <w:p>
            <w:pPr>
              <w:spacing w:after="0"/>
              <w:rPr>
                <w:sz w:val="17"/>
                <w:szCs w:val="17"/>
                <w:color w:val="auto"/>
              </w:rPr>
            </w:pPr>
          </w:p>
        </w:tc>
        <w:tc>
          <w:tcPr>
            <w:tcW w:w="206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Unresolved Staff Comments</w:t>
            </w:r>
          </w:p>
        </w:tc>
        <w:tc>
          <w:tcPr>
            <w:tcW w:w="6920" w:type="dxa"/>
            <w:vAlign w:val="bottom"/>
            <w:gridSpan w:val="13"/>
          </w:tcPr>
          <w:p>
            <w:pPr>
              <w:spacing w:after="0"/>
              <w:rPr>
                <w:sz w:val="17"/>
                <w:szCs w:val="17"/>
                <w:color w:val="auto"/>
              </w:rPr>
            </w:pP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Item 1C.</w:t>
            </w:r>
          </w:p>
        </w:tc>
        <w:tc>
          <w:tcPr>
            <w:tcW w:w="680" w:type="dxa"/>
            <w:vAlign w:val="bottom"/>
            <w:gridSpan w:val="4"/>
          </w:tcPr>
          <w:p>
            <w:pPr>
              <w:spacing w:after="0"/>
              <w:rPr>
                <w:sz w:val="17"/>
                <w:szCs w:val="17"/>
                <w:color w:val="auto"/>
              </w:rPr>
            </w:pPr>
          </w:p>
        </w:tc>
        <w:tc>
          <w:tcPr>
            <w:tcW w:w="10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Cybersecurity</w:t>
            </w:r>
          </w:p>
        </w:tc>
        <w:tc>
          <w:tcPr>
            <w:tcW w:w="7960" w:type="dxa"/>
            <w:vAlign w:val="bottom"/>
            <w:gridSpan w:val="18"/>
          </w:tcPr>
          <w:p>
            <w:pPr>
              <w:spacing w:after="0"/>
              <w:rPr>
                <w:sz w:val="17"/>
                <w:szCs w:val="17"/>
                <w:color w:val="auto"/>
              </w:rPr>
            </w:pP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3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2.</w:t>
            </w:r>
          </w:p>
        </w:tc>
        <w:tc>
          <w:tcPr>
            <w:tcW w:w="89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3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3.</w:t>
            </w:r>
          </w:p>
        </w:tc>
        <w:tc>
          <w:tcPr>
            <w:tcW w:w="89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3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4.</w:t>
            </w:r>
          </w:p>
        </w:tc>
        <w:tc>
          <w:tcPr>
            <w:tcW w:w="89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680" w:type="dxa"/>
            <w:vAlign w:val="bottom"/>
            <w:tcBorders>
              <w:bottom w:val="single" w:sz="8" w:color="0E32E1"/>
            </w:tcBorders>
            <w:gridSpan w:val="4"/>
          </w:tcPr>
          <w:p>
            <w:pPr>
              <w:spacing w:after="0"/>
              <w:rPr>
                <w:sz w:val="20"/>
                <w:szCs w:val="20"/>
                <w:color w:val="auto"/>
              </w:rPr>
            </w:pPr>
            <w:r>
              <w:rPr>
                <w:rFonts w:ascii="Times New Roman" w:cs="Times New Roman" w:eastAsia="Times New Roman" w:hAnsi="Times New Roman"/>
                <w:sz w:val="18"/>
                <w:szCs w:val="18"/>
                <w:b w:val="1"/>
                <w:bCs w:val="1"/>
                <w:color w:val="0E32E1"/>
                <w:w w:val="97"/>
              </w:rPr>
              <w:t>PART II</w:t>
            </w:r>
          </w:p>
        </w:tc>
        <w:tc>
          <w:tcPr>
            <w:tcW w:w="66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3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5.</w:t>
            </w:r>
          </w:p>
        </w:tc>
        <w:tc>
          <w:tcPr>
            <w:tcW w:w="8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3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6.</w:t>
            </w:r>
          </w:p>
        </w:tc>
        <w:tc>
          <w:tcPr>
            <w:tcW w:w="89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3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7.</w:t>
            </w:r>
          </w:p>
        </w:tc>
        <w:tc>
          <w:tcPr>
            <w:tcW w:w="89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6"/>
              </w:rPr>
              <w:t>Item 7A.</w:t>
            </w:r>
          </w:p>
        </w:tc>
        <w:tc>
          <w:tcPr>
            <w:tcW w:w="680" w:type="dxa"/>
            <w:vAlign w:val="bottom"/>
            <w:gridSpan w:val="4"/>
          </w:tcPr>
          <w:p>
            <w:pPr>
              <w:spacing w:after="0"/>
              <w:rPr>
                <w:sz w:val="17"/>
                <w:szCs w:val="17"/>
                <w:color w:val="auto"/>
              </w:rPr>
            </w:pPr>
          </w:p>
        </w:tc>
        <w:tc>
          <w:tcPr>
            <w:tcW w:w="436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620" w:type="dxa"/>
            <w:vAlign w:val="bottom"/>
            <w:gridSpan w:val="8"/>
          </w:tcPr>
          <w:p>
            <w:pPr>
              <w:spacing w:after="0"/>
              <w:rPr>
                <w:sz w:val="17"/>
                <w:szCs w:val="17"/>
                <w:color w:val="auto"/>
              </w:rPr>
            </w:pP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3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8.</w:t>
            </w:r>
          </w:p>
        </w:tc>
        <w:tc>
          <w:tcPr>
            <w:tcW w:w="89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3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9.</w:t>
            </w:r>
          </w:p>
        </w:tc>
        <w:tc>
          <w:tcPr>
            <w:tcW w:w="89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6"/>
              </w:rPr>
              <w:t>Item 9A.</w:t>
            </w:r>
          </w:p>
        </w:tc>
        <w:tc>
          <w:tcPr>
            <w:tcW w:w="680" w:type="dxa"/>
            <w:vAlign w:val="bottom"/>
            <w:gridSpan w:val="4"/>
          </w:tcPr>
          <w:p>
            <w:pPr>
              <w:spacing w:after="0"/>
              <w:rPr>
                <w:sz w:val="17"/>
                <w:szCs w:val="17"/>
                <w:color w:val="auto"/>
              </w:rPr>
            </w:pPr>
          </w:p>
        </w:tc>
        <w:tc>
          <w:tcPr>
            <w:tcW w:w="178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7200" w:type="dxa"/>
            <w:vAlign w:val="bottom"/>
            <w:gridSpan w:val="15"/>
          </w:tcPr>
          <w:p>
            <w:pPr>
              <w:spacing w:after="0"/>
              <w:rPr>
                <w:sz w:val="17"/>
                <w:szCs w:val="17"/>
                <w:color w:val="auto"/>
              </w:rPr>
            </w:pP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Item 9B.</w:t>
            </w:r>
          </w:p>
        </w:tc>
        <w:tc>
          <w:tcPr>
            <w:tcW w:w="680" w:type="dxa"/>
            <w:vAlign w:val="bottom"/>
            <w:gridSpan w:val="4"/>
          </w:tcPr>
          <w:p>
            <w:pPr>
              <w:spacing w:after="0"/>
              <w:rPr>
                <w:sz w:val="17"/>
                <w:szCs w:val="17"/>
                <w:color w:val="auto"/>
              </w:rPr>
            </w:pPr>
          </w:p>
        </w:tc>
        <w:tc>
          <w:tcPr>
            <w:tcW w:w="134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7640" w:type="dxa"/>
            <w:vAlign w:val="bottom"/>
            <w:gridSpan w:val="17"/>
          </w:tcPr>
          <w:p>
            <w:pPr>
              <w:spacing w:after="0"/>
              <w:rPr>
                <w:sz w:val="17"/>
                <w:szCs w:val="17"/>
                <w:color w:val="auto"/>
              </w:rPr>
            </w:pP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Item 9C.</w:t>
            </w:r>
          </w:p>
        </w:tc>
        <w:tc>
          <w:tcPr>
            <w:tcW w:w="680" w:type="dxa"/>
            <w:vAlign w:val="bottom"/>
            <w:gridSpan w:val="4"/>
          </w:tcPr>
          <w:p>
            <w:pPr>
              <w:spacing w:after="0"/>
              <w:rPr>
                <w:sz w:val="17"/>
                <w:szCs w:val="17"/>
                <w:color w:val="auto"/>
              </w:rPr>
            </w:pPr>
          </w:p>
        </w:tc>
        <w:tc>
          <w:tcPr>
            <w:tcW w:w="490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080" w:type="dxa"/>
            <w:vAlign w:val="bottom"/>
            <w:gridSpan w:val="6"/>
          </w:tcPr>
          <w:p>
            <w:pPr>
              <w:spacing w:after="0"/>
              <w:rPr>
                <w:sz w:val="17"/>
                <w:szCs w:val="17"/>
                <w:color w:val="auto"/>
              </w:rPr>
            </w:pP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6"/>
              </w:rPr>
              <w:t>PART III</w:t>
            </w:r>
          </w:p>
        </w:tc>
        <w:tc>
          <w:tcPr>
            <w:tcW w:w="66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6"/>
              </w:rPr>
              <w:t>Item 10.</w:t>
            </w:r>
          </w:p>
        </w:tc>
        <w:tc>
          <w:tcPr>
            <w:tcW w:w="780" w:type="dxa"/>
            <w:vAlign w:val="bottom"/>
            <w:gridSpan w:val="5"/>
          </w:tcPr>
          <w:p>
            <w:pPr>
              <w:spacing w:after="0"/>
              <w:rPr>
                <w:sz w:val="19"/>
                <w:szCs w:val="19"/>
                <w:color w:val="auto"/>
              </w:rPr>
            </w:pPr>
          </w:p>
        </w:tc>
        <w:tc>
          <w:tcPr>
            <w:tcW w:w="41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880" w:type="dxa"/>
            <w:vAlign w:val="bottom"/>
            <w:gridSpan w:val="9"/>
          </w:tcPr>
          <w:p>
            <w:pPr>
              <w:spacing w:after="0"/>
              <w:rPr>
                <w:sz w:val="19"/>
                <w:szCs w:val="19"/>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86"/>
              </w:rPr>
              <w:t>Item 11.</w:t>
            </w:r>
          </w:p>
        </w:tc>
        <w:tc>
          <w:tcPr>
            <w:tcW w:w="780" w:type="dxa"/>
            <w:vAlign w:val="bottom"/>
            <w:gridSpan w:val="5"/>
          </w:tcPr>
          <w:p>
            <w:pPr>
              <w:spacing w:after="0"/>
              <w:rPr>
                <w:sz w:val="17"/>
                <w:szCs w:val="17"/>
                <w:color w:val="auto"/>
              </w:rPr>
            </w:pPr>
          </w:p>
        </w:tc>
        <w:tc>
          <w:tcPr>
            <w:tcW w:w="89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EE"/>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gridSpan w:val="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86"/>
              </w:rPr>
              <w:t>Item 12.</w:t>
            </w:r>
          </w:p>
        </w:tc>
        <w:tc>
          <w:tcPr>
            <w:tcW w:w="780" w:type="dxa"/>
            <w:vAlign w:val="bottom"/>
            <w:gridSpan w:val="5"/>
          </w:tcPr>
          <w:p>
            <w:pPr>
              <w:spacing w:after="0"/>
              <w:rPr>
                <w:sz w:val="17"/>
                <w:szCs w:val="17"/>
                <w:color w:val="auto"/>
              </w:rPr>
            </w:pPr>
          </w:p>
        </w:tc>
        <w:tc>
          <w:tcPr>
            <w:tcW w:w="730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680" w:type="dxa"/>
            <w:vAlign w:val="bottom"/>
            <w:gridSpan w:val="2"/>
          </w:tcPr>
          <w:p>
            <w:pPr>
              <w:spacing w:after="0"/>
              <w:rPr>
                <w:sz w:val="17"/>
                <w:szCs w:val="17"/>
                <w:color w:val="auto"/>
              </w:rPr>
            </w:pP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86"/>
              </w:rPr>
              <w:t>Item 13.</w:t>
            </w:r>
          </w:p>
        </w:tc>
        <w:tc>
          <w:tcPr>
            <w:tcW w:w="780" w:type="dxa"/>
            <w:vAlign w:val="bottom"/>
            <w:gridSpan w:val="5"/>
          </w:tcPr>
          <w:p>
            <w:pPr>
              <w:spacing w:after="0"/>
              <w:rPr>
                <w:sz w:val="17"/>
                <w:szCs w:val="17"/>
                <w:color w:val="auto"/>
              </w:rPr>
            </w:pPr>
          </w:p>
        </w:tc>
        <w:tc>
          <w:tcPr>
            <w:tcW w:w="546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520" w:type="dxa"/>
            <w:vAlign w:val="bottom"/>
            <w:gridSpan w:val="5"/>
          </w:tcPr>
          <w:p>
            <w:pPr>
              <w:spacing w:after="0"/>
              <w:rPr>
                <w:sz w:val="17"/>
                <w:szCs w:val="17"/>
                <w:color w:val="auto"/>
              </w:rPr>
            </w:pP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86"/>
              </w:rPr>
              <w:t>Item 14.</w:t>
            </w:r>
          </w:p>
        </w:tc>
        <w:tc>
          <w:tcPr>
            <w:tcW w:w="780" w:type="dxa"/>
            <w:vAlign w:val="bottom"/>
            <w:gridSpan w:val="5"/>
          </w:tcPr>
          <w:p>
            <w:pPr>
              <w:spacing w:after="0"/>
              <w:rPr>
                <w:sz w:val="17"/>
                <w:szCs w:val="17"/>
                <w:color w:val="auto"/>
              </w:rPr>
            </w:pPr>
          </w:p>
        </w:tc>
        <w:tc>
          <w:tcPr>
            <w:tcW w:w="286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Principal Accountant Fees and Services</w:t>
            </w:r>
          </w:p>
        </w:tc>
        <w:tc>
          <w:tcPr>
            <w:tcW w:w="6120" w:type="dxa"/>
            <w:vAlign w:val="bottom"/>
            <w:gridSpan w:val="12"/>
          </w:tcPr>
          <w:p>
            <w:pPr>
              <w:spacing w:after="0"/>
              <w:rPr>
                <w:sz w:val="17"/>
                <w:szCs w:val="17"/>
                <w:color w:val="auto"/>
              </w:rPr>
            </w:pP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13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E32E1"/>
              </w:rPr>
              <w:t>PART IV</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560" w:type="dxa"/>
            <w:vAlign w:val="bottom"/>
            <w:tcBorders>
              <w:top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000FF"/>
                <w:w w:val="86"/>
              </w:rPr>
              <w:t>Item 15.</w:t>
            </w:r>
          </w:p>
        </w:tc>
        <w:tc>
          <w:tcPr>
            <w:tcW w:w="160" w:type="dxa"/>
            <w:vAlign w:val="bottom"/>
            <w:tcBorders>
              <w:top w:val="single" w:sz="8" w:color="0E32E1"/>
            </w:tcBorders>
            <w:gridSpan w:val="3"/>
          </w:tcPr>
          <w:p>
            <w:pPr>
              <w:spacing w:after="0"/>
              <w:rPr>
                <w:sz w:val="19"/>
                <w:szCs w:val="19"/>
                <w:color w:val="auto"/>
              </w:rPr>
            </w:pPr>
          </w:p>
        </w:tc>
        <w:tc>
          <w:tcPr>
            <w:tcW w:w="620" w:type="dxa"/>
            <w:vAlign w:val="bottom"/>
            <w:gridSpan w:val="2"/>
          </w:tcPr>
          <w:p>
            <w:pPr>
              <w:spacing w:after="0"/>
              <w:rPr>
                <w:sz w:val="19"/>
                <w:szCs w:val="19"/>
                <w:color w:val="auto"/>
              </w:rPr>
            </w:pPr>
          </w:p>
        </w:tc>
        <w:tc>
          <w:tcPr>
            <w:tcW w:w="8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60" w:type="dxa"/>
            <w:vAlign w:val="bottom"/>
            <w:tcBorders>
              <w:top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3"/>
              </w:rPr>
              <w:t>Item 16</w:t>
            </w:r>
          </w:p>
        </w:tc>
        <w:tc>
          <w:tcPr>
            <w:tcW w:w="780" w:type="dxa"/>
            <w:vAlign w:val="bottom"/>
            <w:gridSpan w:val="5"/>
          </w:tcPr>
          <w:p>
            <w:pPr>
              <w:spacing w:after="0"/>
              <w:rPr>
                <w:sz w:val="17"/>
                <w:szCs w:val="17"/>
                <w:color w:val="auto"/>
              </w:rPr>
            </w:pPr>
          </w:p>
        </w:tc>
        <w:tc>
          <w:tcPr>
            <w:tcW w:w="3080" w:type="dxa"/>
            <w:vAlign w:val="bottom"/>
            <w:tcBorders>
              <w:top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5900" w:type="dxa"/>
            <w:vAlign w:val="bottom"/>
            <w:gridSpan w:val="11"/>
          </w:tcPr>
          <w:p>
            <w:pPr>
              <w:spacing w:after="0"/>
              <w:rPr>
                <w:sz w:val="17"/>
                <w:szCs w:val="17"/>
                <w:color w:val="auto"/>
              </w:rPr>
            </w:pPr>
          </w:p>
        </w:tc>
        <w:tc>
          <w:tcPr>
            <w:tcW w:w="8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3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8"/>
        </w:trPr>
        <w:tc>
          <w:tcPr>
            <w:tcW w:w="1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on Form 10-K (this “Annual Report”), contains forward-looking statements within the meaning of Section 27A of the Securities Act of 1933, as amended, and Section 21E of the Securities Exchange Act of 1934, as amended, (the “Exchange Act”), that involve substantial risks and uncertainties. The forward-looking statements are contained principally in Part I, Item 1. “Business,” Part I, Item 1A. “Risk Factors,” and Part II, Item 7. “Management’s Discussion and Analysis of Financial Condition and Results of Operations,” but are also contained elsewhere in this Annual Report. In some cases, you can identify forward-looking statements by the words “may,” “might,” “will,” “could,” “would,” “should,” “expect,” “intend,” “plan,” “objective,” “anticipate,” “believe,” “estimate,” “predict,” “project,” “potential,” “continue” and “ongoing,” or the negative of these terms, or other comparable terminology intended to identify statements about the future. These statements involve known and unknown risks, uncertainties and other factors that may cause our actual results, performance or achievements to be materially different from the information expressed or implied by these forward-looking statements. Although we believe that we have a reasonable basis for each forward-looking statement contained in this Annual Report, we caution you that these statements are based on a combination of facts and factors currently known by us and our expectations of the future, about which we cannot be certain. Forward-looking statements include statements about:</w:t>
      </w:r>
    </w:p>
    <w:p>
      <w:pPr>
        <w:spacing w:after="0" w:line="124" w:lineRule="exact"/>
        <w:rPr>
          <w:sz w:val="20"/>
          <w:szCs w:val="20"/>
          <w:color w:val="auto"/>
        </w:rPr>
      </w:pPr>
    </w:p>
    <w:p>
      <w:pPr>
        <w:ind w:left="1140" w:right="20" w:hanging="383"/>
        <w:spacing w:after="0" w:line="282" w:lineRule="auto"/>
        <w:tabs>
          <w:tab w:leader="none" w:pos="11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Asset Acquisition (as defined below), including, but not limited to, our expectations regarding the benefits and expected synergies of the Asset Acquisition;</w:t>
      </w:r>
    </w:p>
    <w:p>
      <w:pPr>
        <w:spacing w:after="0" w:line="80" w:lineRule="exact"/>
        <w:rPr>
          <w:rFonts w:ascii="Times New Roman" w:cs="Times New Roman" w:eastAsia="Times New Roman" w:hAnsi="Times New Roman"/>
          <w:sz w:val="18"/>
          <w:szCs w:val="18"/>
          <w:b w:val="1"/>
          <w:bCs w:val="1"/>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new strategy and the potential benefits thereof;</w:t>
      </w:r>
    </w:p>
    <w:p>
      <w:pPr>
        <w:spacing w:after="0" w:line="157" w:lineRule="exact"/>
        <w:rPr>
          <w:rFonts w:ascii="Times New Roman" w:cs="Times New Roman" w:eastAsia="Times New Roman" w:hAnsi="Times New Roman"/>
          <w:sz w:val="18"/>
          <w:szCs w:val="18"/>
          <w:b w:val="1"/>
          <w:bCs w:val="1"/>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expected future growth and our ability to manage such growth;</w:t>
      </w:r>
    </w:p>
    <w:p>
      <w:pPr>
        <w:spacing w:after="0" w:line="225" w:lineRule="exact"/>
        <w:rPr>
          <w:rFonts w:ascii="Times New Roman" w:cs="Times New Roman" w:eastAsia="Times New Roman" w:hAnsi="Times New Roman"/>
          <w:sz w:val="18"/>
          <w:szCs w:val="18"/>
          <w:b w:val="1"/>
          <w:bCs w:val="1"/>
          <w:color w:val="auto"/>
        </w:rPr>
      </w:pPr>
    </w:p>
    <w:p>
      <w:pPr>
        <w:ind w:left="1120" w:right="380" w:hanging="363"/>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partner's, ability to develop, obtain regulatory approval for and commercialize our current and any future product candidates;</w:t>
      </w:r>
    </w:p>
    <w:p>
      <w:pPr>
        <w:spacing w:after="0" w:line="161"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regulatory approval, efficacy and commercialization of competing products;</w:t>
      </w:r>
    </w:p>
    <w:p>
      <w:pPr>
        <w:spacing w:after="0" w:line="225" w:lineRule="exact"/>
        <w:rPr>
          <w:rFonts w:ascii="Times New Roman" w:cs="Times New Roman" w:eastAsia="Times New Roman" w:hAnsi="Times New Roman"/>
          <w:sz w:val="18"/>
          <w:szCs w:val="18"/>
          <w:color w:val="auto"/>
        </w:rPr>
      </w:pPr>
    </w:p>
    <w:p>
      <w:pPr>
        <w:ind w:left="1120" w:right="380" w:hanging="363"/>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sales and marketing capabilities or enter into agreements with third parties to market and sell our product candidates;</w:t>
      </w:r>
    </w:p>
    <w:p>
      <w:pPr>
        <w:spacing w:after="0" w:line="161" w:lineRule="exact"/>
        <w:rPr>
          <w:rFonts w:ascii="Times New Roman" w:cs="Times New Roman" w:eastAsia="Times New Roman" w:hAnsi="Times New Roman"/>
          <w:sz w:val="18"/>
          <w:szCs w:val="18"/>
          <w:color w:val="auto"/>
        </w:rPr>
      </w:pPr>
    </w:p>
    <w:p>
      <w:pPr>
        <w:ind w:left="1120" w:right="380" w:hanging="363"/>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regulatory approval for our product candidates or future product candidates in the United States and in any foreign countries in which we make seek to do business;</w:t>
      </w:r>
    </w:p>
    <w:p>
      <w:pPr>
        <w:spacing w:after="0" w:line="161"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hire our board of directors, senior management, or operational personnel;</w:t>
      </w:r>
    </w:p>
    <w:p>
      <w:pPr>
        <w:spacing w:after="0" w:line="225" w:lineRule="exact"/>
        <w:rPr>
          <w:rFonts w:ascii="Times New Roman" w:cs="Times New Roman" w:eastAsia="Times New Roman" w:hAnsi="Times New Roman"/>
          <w:sz w:val="18"/>
          <w:szCs w:val="18"/>
          <w:color w:val="auto"/>
        </w:rPr>
      </w:pPr>
    </w:p>
    <w:p>
      <w:pPr>
        <w:ind w:left="1120" w:right="380" w:hanging="363"/>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our corporate infrastructure, including our ability to design and maintain an effective system of internal controls;</w:t>
      </w:r>
    </w:p>
    <w:p>
      <w:pPr>
        <w:spacing w:after="0" w:line="161" w:lineRule="exact"/>
        <w:rPr>
          <w:rFonts w:ascii="Times New Roman" w:cs="Times New Roman" w:eastAsia="Times New Roman" w:hAnsi="Times New Roman"/>
          <w:sz w:val="18"/>
          <w:szCs w:val="18"/>
          <w:color w:val="auto"/>
        </w:rPr>
      </w:pPr>
    </w:p>
    <w:p>
      <w:pPr>
        <w:ind w:left="1120" w:right="380" w:hanging="363"/>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and abroad, including as a result of bank failures, public health crises or geopolitical tensions;</w:t>
      </w:r>
    </w:p>
    <w:p>
      <w:pPr>
        <w:spacing w:after="0" w:line="161" w:lineRule="exact"/>
        <w:rPr>
          <w:rFonts w:ascii="Times New Roman" w:cs="Times New Roman" w:eastAsia="Times New Roman" w:hAnsi="Times New Roman"/>
          <w:sz w:val="18"/>
          <w:szCs w:val="18"/>
          <w:color w:val="auto"/>
        </w:rPr>
      </w:pPr>
    </w:p>
    <w:p>
      <w:pPr>
        <w:ind w:left="1120" w:right="380" w:hanging="363"/>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period during which we will qualify as a smaller reporting company under the federal securities laws; and</w:t>
      </w:r>
    </w:p>
    <w:p>
      <w:pPr>
        <w:spacing w:after="0" w:line="161" w:lineRule="exact"/>
        <w:rPr>
          <w:rFonts w:ascii="Times New Roman" w:cs="Times New Roman" w:eastAsia="Times New Roman" w:hAnsi="Times New Roman"/>
          <w:sz w:val="18"/>
          <w:szCs w:val="18"/>
          <w:color w:val="auto"/>
        </w:rPr>
      </w:pPr>
    </w:p>
    <w:p>
      <w:pPr>
        <w:jc w:val="both"/>
        <w:ind w:left="1120" w:right="380" w:hanging="363"/>
        <w:spacing w:after="0" w:line="266"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both"/>
        <w:spacing w:after="0" w:line="254" w:lineRule="auto"/>
        <w:rPr>
          <w:sz w:val="20"/>
          <w:szCs w:val="20"/>
          <w:color w:val="auto"/>
        </w:rPr>
      </w:pPr>
      <w:r>
        <w:rPr>
          <w:rFonts w:ascii="Times New Roman" w:cs="Times New Roman" w:eastAsia="Times New Roman" w:hAnsi="Times New Roman"/>
          <w:sz w:val="18"/>
          <w:szCs w:val="18"/>
          <w:color w:val="auto"/>
        </w:rPr>
        <w:t>You should refer to Item 1A. “Risk Factors” in this Annual Report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The forward-looking statements in this Annual Report represent our views as of the date of this Annual Report. We anticipate that subsequent events and developments may cause our views to change. However, while we may elect to update these forward-looking statements at some point in the future, we undertake no obligation to publicly update any forward-looking statements, whether as a result of new information, future events or otherwise, except as required by law. You should, therefore, not rely on these forward-looking statements as representing our views as of any date subsequent to the date of this Annual Report.</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used herein, the words “Tempest,” “we,” “us,” “our,” and "Company" refer to Tempest Therapeutics, Inc. and its direct and indirect subsidiaries, as applicable.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clinical-stage biotechnology company advancing a diversified portfolio of cell therapy and small molecule product candidates. In February 2026, we expanded our pipeline through a strategic transaction under which we acquired rights to a portfolio of dual-targeting chimeric antigen receptor T-cells (“CAR-T”) product candidates with the potential to treat certain blood cancers, solid tumors and immunology indications, including TPST-2003, an autologous CD19/B-cell maturation antigen (“BCMA”) CAR-T therapy currently in clinical development for relapsed or refractory multiple myeloma (“rrMM”).</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portfolio also includes two clinical-stage small molecule product candidates with the potential to treat certain cancer indications. One of our small-molecule product candidates, amezalpat (previously known as TPST-1120), has completed a Phase 2 study in first-line hepatocellular carcinoma (“HCC”). Amezalpat remains Phase 3-ready in HCC and we plan to pursue business development discussions to advance pivotal development. Our second small-molecule product candidate is TPST-1495, which we plan to initiate a Phase 2 study for in familial adenomatous polyposis (“FAP”), with first patient enrollment expected in 2026. The study is expected to be funded by the National Cancer Institute (“NCI”) and conducted through the Cancer Prevention Clinical Trials Network (“CP-CTNet”), enabling advancement with limited internal capital deployment.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mission is to develop therapeutic products with the potential to address high unmet medical needs by identifying promising clinical-stage candidates and advancing their development to create products that will improve patients’ lives.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Acquisition of Dual-Targeting CAR-T Programs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19, 2025, we executed an Asset Purchase Agreement (the “Asset Purchase Agreement”) with Erigen LLC, a Delaware limited liability company (“Erigen”), and Factor Bioscience Inc., a Delaware corporation (together with Erigen, “Sellers”), pursuant to which Sellers agreed to sell and transfer to the Company all right, title and interest of Sellers, worldwide outside of China, Russia, India, and Turkey, in and to all of the assets primarily related to (a) the autologous BCMA/CD19 dual-targeting CAR T-cell therapy known as TPST-2003 currently being evaluated in a Phase 1/2a clinical study in patients with rrMM, a Phase 1/2 investigator-initiated trial (“IIT”) in patients with rrMM, and a Phase 1 clinical study in patients with POEMS Syndrome (“POEMS”), a rare blood disorder caused by abnormal plasma cells, (b) the autologous CD70/CD70 dual-targeting CAR T-cell therapy known as TPST-2206, (c) the allogeneic BCMA/CD19 dual-targeting CAR T-cell therapy with a gene edit in the TRAC locus that inactivates the T cell receptor known as TPST-3003, and (d) the allogeneic CD70/CD70 dual-targeting CAR T-cell therapy with a gene edit in the TRAC locus that inactivates the T cell receptor known as TPST-3206 (collectively referred to herein as the “Assets”), in exchange for an aggregate purchase price of 8,268,495 shares of our common stock issued to Erigen on behalf of both Sellers.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Asset Purchase Agreement, at Closing we assumed Erigen’s rights and obligations under each of the Novatim License Agreement and the Restated Factor License Agreement (each as defined below under “—</w:t>
      </w:r>
      <w:r>
        <w:rPr>
          <w:rFonts w:ascii="Times New Roman" w:cs="Times New Roman" w:eastAsia="Times New Roman" w:hAnsi="Times New Roman"/>
          <w:sz w:val="18"/>
          <w:szCs w:val="18"/>
          <w:i w:val="1"/>
          <w:iCs w:val="1"/>
          <w:color w:val="auto"/>
        </w:rPr>
        <w:t>License and Collaboration Agreements</w:t>
      </w:r>
      <w:r>
        <w:rPr>
          <w:rFonts w:ascii="Times New Roman" w:cs="Times New Roman" w:eastAsia="Times New Roman" w:hAnsi="Times New Roman"/>
          <w:sz w:val="18"/>
          <w:szCs w:val="18"/>
          <w:color w:val="auto"/>
        </w:rPr>
        <w:t xml:space="preserve">”). Under the Novatim License Agreement, we obtained an exclusive license to specified patents and know-how in all fields worldwide, but excluding Greater China, India, Turkey, and Russia, to exploit the TPST-2003 and TPST-2206 programs and allogeneic CAR-T therapies based on the TPST-2003 and TPST-2206 programs. We also received a right of first negotiation to negotiate a license to exploit allogeneic CAR-T therapies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CAR-T therapies in Greater China.</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Restated Factor License Agreement, we obtained an exclusive license to specified patents in all fields worldwide, but excluding Greater China, India, Turkey, and Russia, to exploit the TPST-3003 and TPST-3206 programs. The Restated Factor License Agreement also establishes a Joint Steering Committee for the purposes of discussing and coordinating collaboration opportunities and serving as a forum for information sharing.</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3, 2026, we completed the acquisition of the Assets (the “Closing”) under the Asset Purchase Agreement (the “Asset Acquisition”) and issued to Erigen 8,268,495 shares of our common stock (the “Share Issuance”).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transaction, we are prioritizing a capital-efficient development strategy across our portfolio. This approach includes seeking partner support, external funding sources, and staged investment decisions based on clinical data generation and regulatory feedback. We expect this strategy to allow us to pursue parallel development of multiple programs while managing internal cash resources and extending our operational runway.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development pipeline consists of the following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154305</wp:posOffset>
            </wp:positionV>
            <wp:extent cx="5854700" cy="258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5470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“RCC” renal cancer; “CCA” cholangiocarcinoma; “FPI” First Patient In; “SLE” lupus.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CAR-T Cell Therapy Programs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cell therapy programs expand our oncology pipeline with a portfolio of next-generation CAR-T product candidates designed to potentially address the limitations of currently available cell therapies and broaden the applicability of CAR-T therapy across hematologic malignancies and solid tumors. Our programs include autologous, allogeneic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approaches utilizing dual-targeting strategies.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lead cell therapy product candidate, TPST-2003, is an autologous dual-targeting CAR-T therapy directed against CD19 and BCMA for the treatment of rrMM. In addition, our pipeline includes TPST-2206, a dual-targeting CAR-T therapy directed against CD70 for solid tumors, as well as allogeneic dual-targeting CAR-T programs, including TPST-3003 and TPST-3206, and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dual-targeting CAR-T program, TPST-4003.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our cell therapy portfolio has the potential to address tumor heterogeneity and antigen escape and to improve access through scalable manufacturing approaches. We are evaluating these programs across hematologic malignancies, solid tumors, and immunology indications.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Small-Molecule Programs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small-molecule programs consist of two clinical-stage product candidates with the potential to be first-in-class to treat a wide range of cancers. Our programs include: amezalpat (previously known as TPST-1120), that is poised to begin a pivotal study in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first-line HCC, subject to business development discussions, and TPST-1495, which we expect will enter Phase 2 development in 2026. We believe both amezalpat and TPST-1495 are the first clinical-stage molecules designed to inhibit their respective targets.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Amezalpat (TPST-1120)</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Amezalpat is an oral, small molecule, selective antagonist of peroxisome proliferator-activated receptor alpha (“PPARα”) being developed for the treatment of first-line unresectable or metastatic HCC. Amezalpat remains Phase 3-ready in first-line HCC, supported by global regulatory alignment and positive randomized Phase 2 data. We plan to pursue business development discussions to advance pivotal development.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2024, we unveiled positive survival data from the global randomized Phase 1b/2 clinical study demonstrating that amezalpat delivered a six-month improvement in median overall survival (“OS”) with a hazard ratio (“HR”) of 0.65 when combined with atezolizumab and bevacizumab in comparison to atezolizumab and bevacizumab alone, the standard of care, in the first-line treatment of patients with unresectable or metastatic HCC. Additionally, the survival benefit was preserved across key subpopulations, including patients with PD-L1 negative disease and β-catenin mutated disease, consistent with amezalpat’s proposed mechanism of action targeting both tumor cells directly and the patient’s immune system.</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2024, we announced the successful completion of our end-of-Phase 2 meeting with the U.S. Food and Drug Administration (“FDA”) regarding the development of amezalpat for the treatment of first-line unresectable or metastatic HCC. The FDA provided positive feedback on the pivotal Phase 3 clinical trial design, which closely mirrors the positive randomized Phase 2 study. The planned Phase 3 trial is designed to use the current Phase 2 amezalpat dose and schedule in combination with atezolizumab and bevacizumab and will be compared to atezolizumab and bevacizumab alone, the standard of care. The primary endpoint of the trial will be OS. Additionally, the FDA agreed to a pre-specified early efficacy analysis, which, if met, would potentially reduce the time to primary read-out by up to eight months.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we received a “Study May Proceed” letter from the FDA, authorizing the initiation of our pivotal Phase 3 trial. In January 2025, the FDA granted Orphan Drug Designation (“ODD”) for amezalpat for the treatment of patients with HCC. In February 2025, the FDA granted Fast Track Designation (“FTD”), underscoring the agency’s recognition of the urgent need for new treatment options for HCC. In addition to receiving ODD from the FDA, in June 2025, the European Medical Agency (“EMA”) also granted ODD for the treatment of patients with HCC. These designations provide potential regulatory benefits, including increased engagement with the FDA, eligibility for accelerated approval and priority review, and, for ODD, potential market exclusivity upon approval.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TPST-1495</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second clinical-stage small-molecule program, TPST-1495, is a novel, dual antagonist of the EP2 and EP4 receptors of prostaglandin E2 (“PGE2”), a pathway implicated in multiple cancers. Our development strategy for TPST-1495 includes evaluation in FAP, a rare genetic disorder that significantly increases the risk of gastrointestinal cancers and for which there are no approved systemic therapies. Given that prostaglandin signaling is also implicated in FAP and based on positive preclinical data in a relevant mouse model, we believe there is strong mechanistic support for this approach.</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2025, the CP-CTNet received a “Study May Proceed” letter from the FDA, authorizing the initiation of a NCI-funded Phase 2 clinical trial evaluating TPST-1495 in patients with FAP. This trial, run by CP-CTNet and financially supported by the NCI’s Division of Cancer Prevention, underscores the urgent need for innovative cancer prevention strategies in high-risk patient populations. The Phase 2 study is expected to begin in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 w:name="page9"/>
    <w:bookmarkEnd w:id="8"/>
    <w:p>
      <w:pPr>
        <w:spacing w:after="0" w:line="282" w:lineRule="auto"/>
        <w:rPr>
          <w:sz w:val="20"/>
          <w:szCs w:val="20"/>
          <w:color w:val="auto"/>
        </w:rPr>
      </w:pPr>
      <w:r>
        <w:rPr>
          <w:rFonts w:ascii="Times New Roman" w:cs="Times New Roman" w:eastAsia="Times New Roman" w:hAnsi="Times New Roman"/>
          <w:sz w:val="18"/>
          <w:szCs w:val="18"/>
          <w:color w:val="auto"/>
        </w:rPr>
        <w:t>Our objective is to build a capital-efficient oncology company by advancing a pipeline of advanced CAR-T cell therapy and small-molecule product candidates through clinical development while maintaining disciplined capital allocation. Our strategy includes the following components:</w:t>
      </w:r>
    </w:p>
    <w:p>
      <w:pPr>
        <w:spacing w:after="0" w:line="50"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 TPST-2003 through upcoming clinical milestones</w:t>
      </w:r>
    </w:p>
    <w:p>
      <w:pPr>
        <w:spacing w:after="0" w:line="31" w:lineRule="exact"/>
        <w:rPr>
          <w:rFonts w:ascii="Times New Roman" w:cs="Times New Roman" w:eastAsia="Times New Roman" w:hAnsi="Times New Roman"/>
          <w:sz w:val="18"/>
          <w:szCs w:val="18"/>
          <w:color w:val="auto"/>
        </w:rPr>
      </w:pPr>
    </w:p>
    <w:p>
      <w:pPr>
        <w:ind w:left="102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continue development of TPST-2003 with near-term clinical data expected from an ongoing Phase 1/2a clinical trial in China. We anticipate initiation of a registrational Phase 2b in China by the end of 2026, with interim data expected in 2027. Development activities in China are funded by our strategic partner, Novatim Immune Therapeutics (“Novatim”), providing access to pivotal data while preserving internal capital.</w:t>
      </w:r>
    </w:p>
    <w:p>
      <w:pPr>
        <w:spacing w:after="0" w:line="7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 the portfolio with allogeneic and </w:t>
      </w:r>
      <w:r>
        <w:rPr>
          <w:rFonts w:ascii="Times New Roman" w:cs="Times New Roman" w:eastAsia="Times New Roman" w:hAnsi="Times New Roman"/>
          <w:sz w:val="18"/>
          <w:szCs w:val="18"/>
          <w:b w:val="1"/>
          <w:bCs w:val="1"/>
          <w:i w:val="1"/>
          <w:iCs w:val="1"/>
          <w:color w:val="auto"/>
        </w:rPr>
        <w:t>in vivo</w:t>
      </w:r>
      <w:r>
        <w:rPr>
          <w:rFonts w:ascii="Times New Roman" w:cs="Times New Roman" w:eastAsia="Times New Roman" w:hAnsi="Times New Roman"/>
          <w:sz w:val="18"/>
          <w:szCs w:val="18"/>
          <w:b w:val="1"/>
          <w:bCs w:val="1"/>
          <w:color w:val="auto"/>
        </w:rPr>
        <w:t xml:space="preserve"> CAR-T development</w:t>
      </w:r>
    </w:p>
    <w:p>
      <w:pPr>
        <w:spacing w:after="0" w:line="31" w:lineRule="exact"/>
        <w:rPr>
          <w:rFonts w:ascii="Times New Roman" w:cs="Times New Roman" w:eastAsia="Times New Roman" w:hAnsi="Times New Roman"/>
          <w:sz w:val="18"/>
          <w:szCs w:val="18"/>
          <w:color w:val="auto"/>
        </w:rPr>
      </w:pPr>
    </w:p>
    <w:p>
      <w:pPr>
        <w:ind w:left="1020"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TPST-3003 and TPST-4003 represent our first allogeneic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CAR-T programs, respectively, and are each designed to extend the TPST-2003 biology into potentially more scalable and patient-friendly modalities. We expect to advance these programs through preclinical development and evaluate potential clinical entry through strategic partner-funded IIT clinical studies in the near term.</w:t>
      </w:r>
    </w:p>
    <w:p>
      <w:pPr>
        <w:spacing w:after="0" w:line="7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Position amezalpat for pivotal development through business development</w:t>
      </w:r>
    </w:p>
    <w:p>
      <w:pPr>
        <w:spacing w:after="0" w:line="31" w:lineRule="exact"/>
        <w:rPr>
          <w:rFonts w:ascii="Times New Roman" w:cs="Times New Roman" w:eastAsia="Times New Roman" w:hAnsi="Times New Roman"/>
          <w:sz w:val="18"/>
          <w:szCs w:val="18"/>
          <w:color w:val="auto"/>
        </w:rPr>
      </w:pPr>
    </w:p>
    <w:p>
      <w:pPr>
        <w:ind w:left="1020" w:right="3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Amezalpat remains Phase 3-ready in first-line HCC, supported by global regulatory alignment and positive randomized Phase 2 data. We plan to pursue business development discussions to advance pivotal development.</w:t>
      </w:r>
    </w:p>
    <w:p>
      <w:pPr>
        <w:spacing w:after="0" w:line="6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 TPST-1495 through externally funded clinical development</w:t>
      </w:r>
    </w:p>
    <w:p>
      <w:pPr>
        <w:spacing w:after="0" w:line="31" w:lineRule="exact"/>
        <w:rPr>
          <w:rFonts w:ascii="Times New Roman" w:cs="Times New Roman" w:eastAsia="Times New Roman" w:hAnsi="Times New Roman"/>
          <w:sz w:val="18"/>
          <w:szCs w:val="18"/>
          <w:color w:val="auto"/>
        </w:rPr>
      </w:pPr>
    </w:p>
    <w:p>
      <w:pPr>
        <w:ind w:left="1020"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initiate a Phase 2 study of TPST-1495 in FAP, with first patient enrollment expected in 2026. The study is expected to be funded by the NCI and conducted through the Cancer Prevention Clinical Trials Network, enabling advancement with limited internal capital deployment.</w:t>
      </w:r>
    </w:p>
    <w:p>
      <w:pPr>
        <w:spacing w:after="0" w:line="7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 a diversified next-generation CAR-T pipeline</w:t>
      </w:r>
    </w:p>
    <w:p>
      <w:pPr>
        <w:spacing w:after="0" w:line="31"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progress additional dual-targeting CAR-T programs that broaden the platform across modalities and indications, including:</w:t>
      </w:r>
    </w:p>
    <w:p>
      <w:pPr>
        <w:spacing w:after="0" w:line="98"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TPST-2206: a dual-targeting CD70/CD70 CAR-T</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TPST-3206: an allogeneic dual-targeting CD70/CD70 CAR-T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CAR-T Cell Therapy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on Cancer and CAR-T Cell Therapy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Cancer remains a leading cause of death worldwide and continues to represent a significant unmet medical need despite advances in surgery, radiation, targeted therapies and immunotherapies. Hematologic malignancies, including multiple myeloma and certain lymphomas and leukemias, often have limited treatment options in relapsed or refractory settings, where outcomes remain poor. Similarly, many solid tumors, including renal cell carcinoma, remain difficult to treat in advanced stages, particularly following progression on standard therapies.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Adoptive cell therapy, including CAR-T, has emerged as an important treatment modality in oncology. CAR-T therapy typically involves collecting a patient’s T cells, genetically modifying them to express engineered receptors that recognize tumor-associated antigens, expanding the modified cells ex vivo, and infusing them back into the patient to target cancer cells. CAR-T therapies have demonstrated meaningful clinical responses in certain hematologic malignancies and have led to multiple regulatory approvals. However, currently available CAR-T therapies face limitations, including antigen escape, limited durability of response, manufacturing complexity, safety risks and reduced efficacy in certain patient populations.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Next-generation CAR-T approaches are being developed to address these limitations. These include dual-targeting CAR-T therapies designed to recognize multiple tumor antigens, which may help mitigate antigen escape and improve durability, as well as allogeneic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CAR-T therapies designed to improve manufacturing scalability and patient access.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CD19/BCMA Dual-Targeting CAR-T Therapy in rrMM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lead cell therapy product candidate, TPST-2003, is an autologous dual-targeting CAR-T therapy directed against CD19 and BCMA for the treatment of rrMM. Multiple myeloma is a hematologic malignancy characterized by the clonal proliferation of</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malignant plasma cells in the bone marrow. Despite advances in treatment, including proteasome inhibitors, immunomodulatory agents and monoclonal antibodies, patients with relapsed or refractory disease often experience progressive disease and poor outcomes. While currently approved CAR-T therapies targeting BCMA have demonstrated clinical benefit in rrMM, disease relapse remains common, and treatment options following relapse are limited.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BCMA is a cell surface receptor that is preferentially expressed on mature B cells and plasma cells, including malignant plasma cells in multiple myeloma, and plays an important role in plasma cell survival and proliferation. As a result, BCMA has emerged as a clinically validated target for CAR-T therapy in multiple myeloma. However, resistance to BCMA-targeted therapies has been observed, including through antigen loss or downregulation, which may contribute to disease relapse. CD19 is a B-cell lineage antigen that is expressed earlier in B-cell development and has been implicated in certain subsets of multiple myeloma, including progenitor or disease-propagating cell populations. Targeting both CD19 and BCMA simultaneously may help address tumor heterogeneity and reduce the risk of antigen escape.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Preclinical and clinical studies reported in the scientific literature have suggested that dual-targeting approaches may improve depth and durability of response compared to single-target therapies. This body of literature provides the scientific rationale for the development of dual-targeting CAR-T therapies such as TPST-2003 for the treatment of patients with rrMM.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TPST-2003: Dual-Targeting BCMA/CD19 Autologous CAR-T Therapy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TPST-2003 is an autologous, dual-targeting CAR-T therapy designed to target both BMCA and CD19. TPST-2003 is being developed for the treatment of rrMM.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Mechanism of Action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TPST-2003 incorporates a proprietary parallel dual-targeting CAR architecture designed to recognize both BCMA and CD19.</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2214245</wp:posOffset>
            </wp:positionH>
            <wp:positionV relativeFrom="page">
              <wp:posOffset>774700</wp:posOffset>
            </wp:positionV>
            <wp:extent cx="3120390" cy="40201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3120390" cy="4020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Figure: TPST-2003 parallel dual-targeting CAR construct targeting BCMA and CD19.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Scientific Rationale for Dual-Targeting CAR Architecture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CAR-T therapies function by engineering a patient’s T cells to express receptors that recognize tumor-associated antigens. Most currently available CAR-T therapies in multiple myeloma target a single antigen, typically BCMA. While these therapies can produce deep responses, relapse may occur when tumor cells reduce or lose expression of that antigen or when heterogeneous tumor populations express different surface markers.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enabling recognition of two distinct targets, TPST-2003’s dual-targeting approach is intended to:</w:t>
      </w:r>
    </w:p>
    <w:p>
      <w:pPr>
        <w:spacing w:after="0" w:line="117"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likelihood of tumor escape through antigen loss;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targeting of heterogeneous tumor populations;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enhance persistence of anti-tumor activity.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Clinical responses have been observed across multiple dose levels and study settings to date; however, additional follow-up and larger studies will be required to determine the reproducibility and durability of these findings.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same dual-targeting CAR architecture forms the basis of additional programs in our pipeline, including TPST-3003, an allogeneic CAR-T program, and TPST-4003,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CAR-T approach.</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clinical studies described below were designed to evaluate the safety and clinical activity of this dual-targeting approach, including in heavily pretreated patients.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Clinical Study Design</w:t>
      </w:r>
    </w:p>
    <w:p>
      <w:pPr>
        <w:spacing w:after="0" w:line="22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TPST-2003 is currently being evaluated in a Phase 1/2 IIT clinical study and a REDEEM-1 Phase 1/2a trial, in each case in patients with rrMM, including patients who have received multiple prior lines of therapy. The IIT and REDEEM-1 Phase 1/2a trial are being conducted by investigators affiliated with Novatim and are being funded by Novatim.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eligible for the Phase 1/2 IIT clinical study and the REDEEM-1 Phase 1/2a trial, patients must have rrMM and must have received at least one prior</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line of therapy. The Phase 1/2 IIT clinical study and the REDEEM-1 Phase 1/2a trial are primarily focused on evaluating the safety and tolerability TPST-2003, as well as determining the clinical recommended dose of TPST-2003. Accordingly, the primary endpoints of the Phase 1/2 IIT clinical study and the REDEEM-1 Phase 1/2a trial are the assessment of adverse events (“AEs”) and serious adverse events (“SAEs”). The secondary endpoints cover both PK and PD assessments, examining how the therapy behaves and acts within the body, as well as a set of efficacy measures including: progression-free survival (“PFS”); overall response rate (“ORR”); complete response (“CR”); strict complete response (“sCR”); duration of response; disease control rate (“DCR”), minimal residual disease (“MRD”); and OS.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 Program</w:t>
      </w:r>
    </w:p>
    <w:p>
      <w:pPr>
        <w:spacing w:after="0" w:line="2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Clinical experience with TPST-2003 to date consists of early-phase studies, including the ongoing Phase 1/2 IIT and the ongoing REDEEM-1 Phase 1/2a trial. As of the January 31, 2026 data cutoff, a total of 36 patients with rrMM had received one infusion of TPST-2003 across these two studies:</w:t>
      </w:r>
    </w:p>
    <w:p>
      <w:pPr>
        <w:spacing w:after="0" w:line="54"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patients treated in the Phase 1/2 IIT;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patients treated in the REDEEM-1 Phase 1/2a trial.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Patients enrolled in REDEEM-1 had received a median of four prior lines of therapy.</w:t>
      </w:r>
    </w:p>
    <w:p>
      <w:pPr>
        <w:spacing w:after="0" w:line="232"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Among the six patients evaluable for efficacy as of the January 31, 2026 data cutoff in REDEEM-1, including three treated at dose level 1 (1 x 10</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8"/>
          <w:szCs w:val="18"/>
          <w:color w:val="auto"/>
        </w:rPr>
        <w:t>cells/kg) and three treated at dose level 2 (2 x 10</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8"/>
          <w:szCs w:val="18"/>
          <w:color w:val="auto"/>
        </w:rPr>
        <w:t xml:space="preserve"> cells/kg), the CR rate was 100% (6/6) based on International Myeloma Working Group criteria.</w:t>
      </w:r>
    </w:p>
    <w:p>
      <w:pPr>
        <w:spacing w:after="0" w:line="12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Across both studies, among 25 evaluable patients with measurable disease at baseline, the ORR was 100% (25/25). These findings are based on a limited number of patients to date, and additional follow-up will be required to determine clinical benefit.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Safety Profile Observations to Date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safety profile observed in REDEEM-1 has included:</w:t>
      </w:r>
    </w:p>
    <w:p>
      <w:pPr>
        <w:spacing w:after="0" w:line="117"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Grade 3 or higher cytokine release syndrome (“CRS”);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patient treated at the highest dose level experiencing low-grade immune effector cell-associated neurotoxicity syndrome (“ICANS”);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Grade 3 or higher ICANS.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believe that the observed safety profile together with the consistency of responses observed in the REDEEM-1 trial support our plan to accelerate our development timeline and meet with the FDA to discuss initiating a U.S. registrational study later this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Durability of Response Observed in Earlier Study</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believe clinical findings from the REDEEM-1 study appear generally consistent with the earlier IIT. In the IIT, among 19 evaluable patients with measurable disease at baseline:</w:t>
      </w:r>
    </w:p>
    <w:p>
      <w:pPr>
        <w:spacing w:after="0" w:line="54"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ORR was 100% (19/19);</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99" w:right="319" w:bottom="1440" w:gutter="0" w:footer="0" w:header="0"/>
        </w:sectPr>
      </w:pPr>
    </w:p>
    <w:bookmarkStart w:id="12" w:name="page13"/>
    <w:bookmarkEnd w:id="12"/>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 rate was 89.5% (17/19);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highest evaluated dose level, CR was observed in 100% (5/5).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IIT also reported durable disease control, including:</w:t>
      </w:r>
    </w:p>
    <w:p>
      <w:pPr>
        <w:spacing w:after="0" w:line="117"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Median PFS of 23.1 months across all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Median PFS of 23.1 months in patients with extramedullary disease (“EMD”);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MRD negativity at month 12 in all evaluable patients (5/5).</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Patients with EMD are often associated with poorer outcomes and shorter disease control in rrMM. We are continuing to evaluate the durability of response observed in these studies.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TPST-2003 is also currently being evaluated in an ongoing Phase 1 clinical trial in patients with POEMS, a rare blood disorder caused by abnormal plasma cells. The POEMS trial is being conducted by investigators affiliated with Novatim and is being sponsored by Novatim.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Plans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present additional results from the REDEEM-1 study and updated IIT data at a scientific meeting in 2026. Based on data generated to date, we plan to submit an Investigational New Drug (“IND”) application to the FDA and, subject to regulatory clearance, may initiate a U.S. registrational study in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Programs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TPST-3003: Allogeneic Dual-Targeting CD19/BCMA CAR-T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Allogeneic CAR-T cell therapies are manufactured from donor cells, unlike autologous CAR-T cell therapies, which are manufactured from the patient’s own cells. Allogeneic CAR-T cell therapies thus have the potential to offer an off-the-shelf alternative to autologous products, that may reduce manufacturing complexity, potentially increasing availability to patients.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manufacture an allogeneic CAR-T cell therapy, the T-cell receptor of the donor cells is typically eliminated (“knocked out”), to reduce the chance that the donor cells may nonspecifically attack the patient’s healthy cells (“graft-vs-host activity”).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TPST-3003 is an allogeneic dual-targeting CD19/BCMA CAR-T product that we are developing for the treatment of rrMM. Because TPST-3003 uses the same dual-targeting architecture as TPST-2003, we believe that TPST-3003 has the potential to maintain the same positive safety and efficacy profile that we have observed in early-stage clinical studies of TPST-2003, while reducing manufacturing complexity and potentially increasing availability to patients. We are planning to evaluate TPST-3003 in patients with rrMM in an strategic partner-sponsored IIT, with enrollment potentially beginning in the third quarter of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TPST-4003: In-vivo Dual-Targeting CD19/BCMA CAR-T</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 vivo </w:t>
      </w:r>
      <w:r>
        <w:rPr>
          <w:rFonts w:ascii="Times New Roman" w:cs="Times New Roman" w:eastAsia="Times New Roman" w:hAnsi="Times New Roman"/>
          <w:sz w:val="18"/>
          <w:szCs w:val="18"/>
          <w:color w:val="auto"/>
        </w:rPr>
        <w:t>CAR-T therapies typically comprise nucleic acid molecules that encode a CAR sequence and which are formulated for delivery to a patient’s T cells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the patient’s body. Most typically,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CAR-T therapy consists of one or more mRNA molecules encoding a CAR sequence, formulated as a lipid nanoparticle, which is designed to target delivery to a specific type of cell in a patient’s body (e.g., a T cell that expresses the CD8 protein). Because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CAR-T therapies generally do not require manipulating either the patient’s or a donor’s cells as part of the manufacturing process, they have the potential to reduce manufacturing complexity as compared to both autologous and allogeneic CAR-T approaches. Because of the potential advantages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CAR-T therapies, these approaches are being explored for potential treatment of immunology indications, including lupus, in addition to cancer.</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TPST-4003 is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dual-targeting CD19/BCMA CAR-T product that we are developing for the treatment of lupus. Because TPST-4003 uses the same dual-targeting architecture as TPST-2003, we believe that TPST-4003 has the potential to achieve a</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favorable safety and efficacy profile as compared with single-targeting approaches. We are planning to evaluate TPST-4003 in patients with lupus in a strategic partner-sponsored IIT, with enrollment potentially beginning in the second quarter of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TPST-2206: Autologous Dual-Targeting CD70/CD70 CAR-T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CD70 is a protein that is often expressed on the surface of cells that make up a solid tumor, including in patients with renal cell carcinoma (“RCC”). While therapeutic approaches targeting CD70 have shown promise across various experimental settings, some cancer cells within a solid tumor may only express low levels of CD70, while other cancer cells may downregulate expression of CD70 during treatment with a CD70-targeting therapy.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TPST-2206 is an autologous dual-targeting CD70/CD70 CAR-T product that we are developing for the treatment of RCC. TPST-2206 uses the same dual-targeting architecture as TPST-2003, but replaces the CD19 and BCMA-targeting CARs with two CD70-targeting CARs. We believe that this dual-targeting structure may allow TPST-2206 to more effectively target and treat CD70-expressing solid tumors than single-targeting approaches. TPST-2206 is being evaluated in pre-clinical studies with a Phase 1 clinical trial of TPST-2206 in patients with RCC planned to begin in the second quarter of 2026. These pre-clinical activities and the planned Phase 1 clinical trial are being conducted and sponsored by our strategic partner, Novatim. We are planning to review the results of these studies, and, depending on those data, evaluate the potential to develop TPST-2206 in countries other than China, India, Turkey, and Russia.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TPST-3206: Allogeneic Dual-Targeting CD70/CD70 CAR-T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TPST-3206 is an allogeneic dual-targeting CD70/CD70 CAR-T product that we are developing for the treatment of RCC. TPST-3206 uses the same dual-targeting structure as TPST-2206 and the same manufacturing approach as our other allogeneic CAR-T program, TPST-3003. We are planning to review the results of the ongoing pre-clinical and planned clinical evaluation of TPST-2206, which is being conducted and sponsored by Novatim, and, depending on those data, evaluate the potential to develop TPST-3206 in countries other than China, India, Turkey, and Russia.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 Molecule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Amezalpat: PPARα Transcription Factor Antagonist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Amezalpat, a potentially first-in-class oral small molecule antagonist of PPARα, has completed a Phase 1a/b trial, and a global randomized Phase 1b/2 trial. The Phase 1a/b trial was a multicenter, open-label, dose-escalation, that evaluated amezalpat as both a monotherapy and combination therapy with nivolumab in patients with advanced solid tumors. Results from both the monotherapy and combination arms were presented in an oral presentation at the ASCO conference in 2022. The Phase 1b/2 trial was a randomized, multicenter, global study in collaboration with Roche that was evaluating amezalpat in combination with atezolizumab (TECENTRIQ®) and bevacizumab (Avastin®) in previously untreated patients with advanced HCC, compared to atezolizumab and bevacizumab alone, which is a standard of care for that indication and patient population. As of an updated February 14, 2024 data cutoff date, the global randomized Phase 1b/2 trial continued to show positive outcomes in patients with advanced or metastatic HCC who received the amezalpat combination therapy as compared to the control arm, including a survival benefit in both the overall population and key subpopulations.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Tumors evolve to promote their own survival by alternating energy sources, promoting angiogenesis and evading immune recognition. PPARα is a transcription factor that is activated through binding of long-chain fatty acid ligands, which in turn regulates the expression of genes that control glucose and lipid homeostasis, inflammation, proliferation, differentiation and cell death. Included among these regulated genes are those that enable fatty acid oxidation (“FAO”), and β-oxidation metabolic pathways in cellular peroxisomes and in mitochondria. An FAO metabolic profile is associated with tumor proliferation, induction of angiogenesis and immune suppression. Published studies and internal Tempest analyses of over 9,000 primary or metastatic tumor samples in the Human Cancer Genome public database reveal a metabolic gene expression profile characterized by increased PPARα, FAO genes and lipogenesis associated with increased metastatic potential and reduced survival enrichment among multiple cancers, including HCC, CCA, breast carcinoma, colorectal adenocarcinoma, RCC, lung adenocarcinoma and prostate adenocarcinoma. Amezalpat is designed to block the pathways that support tumor cell proliferation, angiogenesis and immune suppression, resulting in reduced disease and patient benefit.</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1049020</wp:posOffset>
            </wp:positionV>
            <wp:extent cx="5854700" cy="2434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85470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Amezalpat Preclinical Results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conducted pre-clinical pharmacology studies along with pharmacokinetics (“PK”), and toxicology studies with amezalpat to support its ongoing evaluation for the treatment of patients with advanced solid tumors. The combined results of the preclinical studies that we have performed indicate that amezalpat has a dual anti-tumor mechanism of action that involves both directly inhibiting tumor proliferation and targeting suppressive immune response pathways to promote effective tumor-specific immunity. Our preclinical results support the large body of published literature that the PPARα target genes play an integral role in tumor growth, angiogenesis and evasion of immune recognition, and provide the scientific rationale for targeting this pathway with amezalpat.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Immune checkpoint blockade enhances anti-tumor immunity by restoring the activity of cytotoxic T (Teff) cells. Emerging experimental results suggest that inhibiting FAO with a PPARα antagonist may target resistance mechanisms to both anti-PD-L1/PD-1 and anti-VEGF therapies, supporting the combination of amezalpat with either or both therapies. We have conducted preclinical studies showing that while both amezalpat or anti-PD-1 monotherapy inhibited outgrowth of established flank MC38 tumors, the combination of these two agents resulted in synergistic anti-tumor activity. In addition, MC38 tumor-bearing mice cured by the combination therapy, unlike age-matched naïve control mice, were completely resistant to tumor growth when rechallenged with autologous MC38 tumor cells, demonstrating that amezalpat in combination with anti-PD-1 induced lasting tumor-specific immune memory. In addition, activating mutations in the Wnt/B-catenin pathway represent the most frequently dysregulated pathway in HCC. Such mutations render a tumor cell dependent upon FAO for its energy source, and in preclinical studies, Tempest has shown reduction and long-term durable cures in mice bearing Wnt/B-catenin activated HCC tumors treated with amezalpat and an immune checkpoint inhibitor. The promise of these pre-clinical results have been observed in the clinic, where we observed increased clinical benefit in our Phase 1b/2 study in HCC patients who had a mutation in this pathway.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Efficacy in Syngeneic β-Catenin-driven Hepatocellular Carcinoma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19685</wp:posOffset>
            </wp:positionV>
            <wp:extent cx="5854700" cy="3497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54700" cy="349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Tumor resistance to anti-angiogenic drugs is also associated with elevated lipogenesis and FAO, primarily through the vascular regression and hypoxic environment that this class of therapies engenders. In response, tumor cells can switch to FAO as a mechanism of resistance against anti-angiogenic therapy. In a preclinical study, we confirmed that combination of amezalpat with tyrosine kinase inhibitor-(“TKI-”), based anti-angiogenesis therapy confers potent anti-tumor activity.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preclinical data for amezalpat are consistent with the data observed from our Phase 1 trial presented at ASCO in 2022. Taken together, we believe the hypothesis behind the amezalpat program, the preclinical data, and the Phase 1 data support the design of, and data observed from, the ongoing study of amezalpat in first-line HCC in combination with standard of care as well as the potential evaluation of amezalpat in combination with other therapeutic agents, such as a tyrosine kinase inhibitor (“TKI”), in FAO-reliant malignancies such as HCC and RCC.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amezalpat Clinical Trials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completed a Phase 1a/b study and a global randomized Phase 1b/2 clinical study of amezalpat. We have released positive data from both studies, and we believe the continued positive data announced in 2024 supports the advancement of amezalpat to a pivotal Phase 3 trial in first-line HCC. The Phase 1a/b trial evaluated both monotherapy and combination therapy with the anti-PD-1 agent nivolumab in patients with advanced solid tumors that our PPARα-dependent transcriptome analysis of diverse human cancers revealed favor the usage of FAO. Results from both the monotherapy and the combination arms were presented in an oral presentation at the ASCO conference in 2022.</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Amezalpat demonstrated monotherapy clinical benefit in patients with late-line, treatment-refractory cancers where objective responses (RECIST v1.1) would not be expected, including pancreatic, CCA, and colorectal cancers (“CRC”). Results showed that 53% (10/19) of patients experienced clinical benefit in the form of disease control, including tumor shrinkage in 21% of the patients. One subject with late line CCA had a 15% tumor shrinkage and was on study for over nine months of treatment, while also demonstrating on-target inhibition of expression of PPARα target genes on pharmacodynamic (“PD”) assessment.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jc w:val="both"/>
        <w:spacing w:after="0" w:line="255" w:lineRule="auto"/>
        <w:rPr>
          <w:sz w:val="20"/>
          <w:szCs w:val="20"/>
          <w:color w:val="auto"/>
        </w:rPr>
      </w:pPr>
      <w:r>
        <w:rPr>
          <w:rFonts w:ascii="Times New Roman" w:cs="Times New Roman" w:eastAsia="Times New Roman" w:hAnsi="Times New Roman"/>
          <w:sz w:val="18"/>
          <w:szCs w:val="18"/>
          <w:color w:val="auto"/>
        </w:rPr>
        <w:t>In the combination therapy portion of the trial, 15 evaluable patients with heavily pretreated RCC, HCC and CCA were treated with oral twice-daily amezalpat and the anti-PD-1 therapy, nivolumab. All the HCC and RCC patients had received an approved anti-PD-1 therapy in at least one prior line of therapy and discontinued that treatment due to disease progression. We observed objective responses (RECIST v1.1) in two patients with late-line RCC who had previously progressed on anti-PD-1 therapy without having achieved an objective response (ORR 50%, n=2/4, in evaluable RCC patients), and we observed mixed response in a third RCC IO-refractory patient with significant reduction (&gt;30%) in the target lesion, but the appearance of new disease precluded designation as a RECIST PR. A third RECIST response was observed in a patient with late-line, heavily pre-treated CCA, a tumor type generally not responsive to anti-PD-1 therapy alone. All the RECIST responses were observed at the two highest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268605</wp:posOffset>
            </wp:positionV>
            <wp:extent cx="4997450" cy="19970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745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Notably, one RCC patient who achieved a response after treatment with amezalpat and nivolumab had previously been treated with nivolumab in combination with ipilimumab without experiencing an objective response and progressed on treatment, followed by further progression of cancer on both cabozantinib and everolimus. The initial RECIST PR was seen at the first on-study assessment at eight weeks and included a response in all target lesions as well as complete radiographic resolution of multiple sites of metastatic disease (see CT scan below) and has been confirmed at subsequent assessments beyond 12 months.</w:t>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Partial Response in Late-Line RCC Patient Treated with amezalpat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Nivolumab Combination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280035</wp:posOffset>
            </wp:positionV>
            <wp:extent cx="5854700" cy="2322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5470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Randomized Data in HCC</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an updated February 14, 2024 data cutoff date, the global randomized Phase 1b/2 trial of amezalpat, combined with the standard-of-care first-line regimen of atezolizumab and bevacizumab continued to show positive results in patients with advanced or metastatic HCC. The study is comparing the amezalpat arm to standard of care alone, and enrolled 40 patients randomized to the amezalpat arm and 30 patients randomized to the control arm. With 10 additional months of follow-up since the April 2023 primary analysis, the median OS in the amezalpat arm reached 21 months, representing a 6-month improvement over the 15-month OS in the control arm. Importantly, the HR remained stable, demonstrating a sustained reduction in the relative risk of death compared to the control arm.</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data cutoff date, 50% (20/40) of patients in the amezalpat arm remained in survival follow-up versus 30% (9/30) in the control arm. We believe this reinforces the meaningful clinical benefit observed in this population, with OS serving as the primary endpoint for regulatory approval globally for first-line HCC.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confirmed ORR for the amezalpat arm remained consistent at 30%, compared to 13.3% in the control arm. Notably, one patient in the amezalpat arm who had previously achieved a PR as of April 2023 converted to a CR by February 2024, with at least an 80% reduction in tumor burden. This patient, despite having a PD-L1 score &lt;1% and an immune desert phenotype, achieved a CR with the addition of amezalpat, highlighting its potential efficacy in hard-to-treat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262890</wp:posOffset>
            </wp:positionV>
            <wp:extent cx="5854700" cy="19545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5470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Data not provided by Roche</w:t>
      </w: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in biomarker subpopulation analyses, patients with b-catenin activating mutations (21% of the study population) showed an increased confirmed ORR of 43% and a DCR of 100% in the amezalpat arm. The triplet regimen with amezalpat remained active across PD-L1 negative tumors, with a confirmed ORR of 27% in the amezalpat arm, compared to a reduced ORR of 7% for the control arm.</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774700</wp:posOffset>
            </wp:positionV>
            <wp:extent cx="5854700" cy="62064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54700" cy="6206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Early in the development of amezalpat, given the expression profile and attributes of PPARα, we selected HCC, RCC and CCA as cancers of interest and checkpoint inhibitors and anti-angiogenic therapeutics as potential companion therapies with the goal to maximize the opportunity to bring meaningful benefit to patients with these cancers. Based on the pre-clinical and clinical data released to date, we believe that the emerging clinical benefit profile of amezalpat for patients shows alignment with these predictions, and we look forward to the potential benefit amezalpat could bring to patients with these cancers.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own worldwide rights to amezalpat, and have filed and been issued patents, including composition of matter, pharmaceutical compositions, and related methods of use, which are expected to expire between December 2033 and November 2043, without giving effect to any patent term extensions.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TPST-1495: Dual EP2/EP4 Prostaglandin Receptor Antagonist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second small-molecule product candidate is TPST-1495, a potentially first-in-class, oral, small molecule dual antagonist of the prostaglandin E2 (“PGE2”), receptors, EP2 and EP4. TPST-1495 is engineered to inhibit only these receptors while sparing the homologous - but differentially active - EP1 and EP3 receptors.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is extensive literature demonstrating that PGE2 both enhances tumor proliferation and inhibits anti-cancer immune function; it is known from the scientific literature that many tumors express elevated levels of the cyclooxygenase enzymes that produce PGE2. Elevated expression of COX-2 and overproduction of PGE2 is correlated with progression of diverse malignancies by stimulating tumor cell proliferation, survival, evasion and metastasis as well as host angiogenesis. In addition, PGE2 suppresses anti-tumor immunity by inhibiting the function of critical anti-tumor immune effector cell populations such as dendritic cells, natural killer (“NK cells”), T cells, and M1 macrophages, while promoting the activity of suppressive immune cell populations including myeloid-derived suppressor cells (“MDSCs”), M2 macrophages, and regulatory T cells. Recent studies have also shown that increased expression of COX-2 and production of PGE2 can play a role in the effectiveness of immune checkpoint inhibitor therapy and in the development of adaptive resistance to therapy. This body of literature provides the scientific rationale for developing therapeutics that maximally inhibit the prostaglandin pathway, as well as for combining TPST-1495 with immune checkpoint inhibitor monoclonal antibodies.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preclinical studies to evaluate TPST-1495, including its ability to reverse PGE2-mediated suppression of primary human monocyte to dendritic cell differentiation and activation in vitro, as well as comparisons to other agents designed to operate in the same pathway such as a single EP4 antagonist and, as described, COX2.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also conducted preclinical studies to evaluate TPST-1495 in a spontaneous APCMin/+ mouse model of FAP that demonstrated a significant survival advantage in comparison to other inhibitors in the prostaglandin 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5854700" cy="2768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5470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Source: Francica et al., Cancer Res Commun; 3(8) August 2023 https://doi.org/10.1158/2767-9764.CRC-23-0249</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Ongoing TPST-1495 Clinical Trials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TPST-1495 was evaluated in a first-in-human, Phase 1, multicenter, open-label, schedule and dose optimization trial in subjects with late-stage solid tumor cancers that are deemed incurable. Study objectives include evaluation of safety, tolerability, PK, PD, and preliminary anti-tumor activity of TPST-1495 as monotherapy and in combination with the checkpoint inhibitor,</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0" w:name="page21"/>
    <w:bookmarkEnd w:id="20"/>
    <w:p>
      <w:pPr>
        <w:jc w:val="both"/>
        <w:spacing w:after="0" w:line="258" w:lineRule="auto"/>
        <w:rPr>
          <w:sz w:val="20"/>
          <w:szCs w:val="20"/>
          <w:color w:val="auto"/>
        </w:rPr>
      </w:pPr>
      <w:r>
        <w:rPr>
          <w:rFonts w:ascii="Times New Roman" w:cs="Times New Roman" w:eastAsia="Times New Roman" w:hAnsi="Times New Roman"/>
          <w:sz w:val="18"/>
          <w:szCs w:val="18"/>
          <w:color w:val="auto"/>
        </w:rPr>
        <w:t>pembrolizumab. TPST-1495 has been evaluated on a once daily (“QD”) or twice daily (“BID”) schedule and with continuous or intermittent administration as monotherapy and in combination with pembrolizumab. Results from the Phase 1 study were presented at ASCO 2023. The data showed that in a diverse and treatment-refractory patient population, treatment with TPST-1495 as a monotherapy and in combination with pembrolizumab resulted in tumor shrinkage and prolonged stable disease in certain patients with a monotherapy safety profile on the recommended QD schedule that was tolerable, with predominantly Grade 1-2 treatment related adverse events (“TRAEs”). For the combination with pembrolizumab, Grade 1-3 TRAEs were reported.</w:t>
      </w:r>
    </w:p>
    <w:p>
      <w:pPr>
        <w:spacing w:after="0" w:line="1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preclinical results in the APC</w:t>
      </w:r>
      <w:r>
        <w:rPr>
          <w:rFonts w:ascii="Times New Roman" w:cs="Times New Roman" w:eastAsia="Times New Roman" w:hAnsi="Times New Roman"/>
          <w:sz w:val="24"/>
          <w:szCs w:val="24"/>
          <w:color w:val="auto"/>
          <w:vertAlign w:val="superscript"/>
        </w:rPr>
        <w:t>Min/+</w:t>
      </w:r>
      <w:r>
        <w:rPr>
          <w:rFonts w:ascii="Times New Roman" w:cs="Times New Roman" w:eastAsia="Times New Roman" w:hAnsi="Times New Roman"/>
          <w:sz w:val="18"/>
          <w:szCs w:val="18"/>
          <w:color w:val="auto"/>
        </w:rPr>
        <w:t xml:space="preserve"> lead us to consider the application of TPST-1495 in familial adenomatous polyposis syndrome (“FAP”). FAP is a hereditary condition characterized by the development of numerous polyps in the colon and rectum. These polyps have the potential to become cancerous if left untreated. FAP is caused by mutations in the APC gene, which normally helps regulate cell growth and division in the intestinal lining. Individuals with FAP have a significantly increased risk of developing colorectal cancer at a young age, often before the age of 40. Additionally, FAP can lead to the development of polyps in other parts of the gastrointestinal tract, as well as other non-gastrointestinal tumors. Management of FAP typically involves regular surveillance with colonoscopies and surgical intervention to remove the polyps and reduce the risk of cancer. Currently, there are no systemic therapies approved to treat FAP. We are working with CP-CTNet on an NCI-funded Phase 2 study, which we expect will begin this year.</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we own worldwide rights to TPST-1495, and our issued United States patents covering TPST-1495 as compositions of matter, pharmaceutical compositions and related methods of use, are expected to expire between April 2038 and April 2039, without giving effect to any patent term adjustments or patent term extensions for regulatory delay.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and 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Novatim License and Collaboration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18, 2025, Erigen entered into an Exclusive License and Collaboration Agreement (the “Novatim License Agreement”) with Novatim. On February 3, 2026, the Novatim License Agreement was assigned to us in connection with the Closing pursuant to the Asset Purchase Agreement.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Novatim License Agreement, we obtained an exclusive license to specified patents and know-how in all fields worldwide, but excluding Greater China, India, Turkey, and Russia, to exploit the TPST-2003 and TPST-2206 programs and allogeneic CAR-T therapies based on the TPST-2003 and TPST-2206 programs. We also received a right of first negotiation to negotiate a license to exploit allogeneic CAR-T therapies and in vivo CAR-T therapies in Greater China. We are obligated to meet certain diligence milestones by specified dates and to use commercially reasonable efforts to develop and make commercially available at least one licensed product in the licensed territory. No upfront payment was paid pursuant to the Novatim License Agreement. We are obligated to pay Novatim up to $80 million in total upon achievement of certain development milestones for the programs and up to $1.24 billion in total upon achievement of certain commercial milestones for the programs. In addition, we are required to pay Novatim mid-to-high single digit royalties on net sales of licensed products, subject to certain customary reductions, up to a lifetime maximum of $800 million, following which our license shall become fully paid and royalty-free.</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Novatim License Agreement is subject to termination (i) by either party, subject to specified cure periods, for the material breach by the other party or the bankruptcy or insolvency of the other party, or (ii) by mutual agreement of the parties.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 Amended and Restated License and Collaboration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19, 2025, Erigen entered into an Amended and Restated License and Collaboration Agreement (the “Restated Factor License Agreement”) with Factor Bioscience Limited. On February 3, 2026, the Restated Factor License Agreement was assigned to us in connection with the Closing pursuant to the Asset Purchase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Restated Factor License Agreement, we obtained an exclusive license to specified patents in all fields worldwide, but excluding Greater China, India, Turkey, and Russia (the “Licensed Territory”), to exploit the TPST-3003 and TPST-3206</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jc w:val="both"/>
        <w:spacing w:after="0" w:line="254" w:lineRule="auto"/>
        <w:rPr>
          <w:sz w:val="20"/>
          <w:szCs w:val="20"/>
          <w:color w:val="auto"/>
        </w:rPr>
      </w:pPr>
      <w:r>
        <w:rPr>
          <w:rFonts w:ascii="Times New Roman" w:cs="Times New Roman" w:eastAsia="Times New Roman" w:hAnsi="Times New Roman"/>
          <w:sz w:val="18"/>
          <w:szCs w:val="18"/>
          <w:color w:val="auto"/>
        </w:rPr>
        <w:t>programs. The Restated Factor License Agreement also established a Joint Steering Committee for the purposes of discussing and coordinating collaboration opportunities and serving as a forum for information sharing. We are obligated to meet certain diligence milestones by specified dates and to use commercially reasonable efforts to develop and make commercially available at least one licensed product in the licensed territory. No upfront payment was paid pursuant to the Restated Factor License Agreement. We are obligated to pay Factor Bioscience Limited up to $40 million in total upon achievement of certain development milestones for the programs and up to $620 million in total upon achievement of certain commercial milestones for the programs. In addition, we are required to pay Factor Bioscience Limited mid-single digit to high-teens royalties on net sales of licensed products on a country-by-country and licensed product-by-licensed product basis until expiration of the last to expire valid claim of certain licensed patents covering such licensed product in such country, subject to certain customary reductions, and low-to-mid double digit sublicense fees.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Restated Factor License Agreement will continue until expiration of the last-to-expire Royalty Term. “Royalty Term” is defined as, on a product-by-product and country-by-country basis, the period commencing on the first arms-length sale of a product in a country of the Licensed Territory, and ending on the date of expiration of the last to expire valid patent covering the exploitation of the applicable product in the applicable country of the Licensed Territory. The Restated Factor License Agreement is subject to termination (i) by either party, subject to specified cure periods, for the material breach by the other party or the bankruptcy or insolvency of the other party, (iii) by us for any reason upon 60 days notice, or (iii) by mutual agreement of the parties.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 Amended and Restated Master Services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19, 2025, Erigen entered into an Amended and Restated Master Services Agreement (the “Restated Factor Services Agreement”) with Factor. On February 3, 2026, the Restated Factor Services Agreement was assigned to us in connection with the Closing pursuant to the Asset Purchase Agreement.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Restated Factor Services Agreement, Factor will perform services requested by us on a fee-for-services basis and provide us access to Factor’s facilities as mutually agreed upon in one or more written work orders. All deliverables developed as a result of Factor’s performance of the services or as set forth in a work order, other than specified improvements, will be our property and confidential information. Furthermore, Factor granted us a freedom-to-operate license to its background intellectual property, excluding certain technology and improvements licensed under the Restated Factor License Agreement, solely to the extent necessary or reasonably useful to use, practice or otherwise exploit the deliverables.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Either party may terminate the Restated Factor Services Agreement at any time without cause upon 30 days’ notice, provided that termination of the Restated Factor Services Agreement will not terminate any ongoing work orders. Either party may terminate individual work orders in accordance with the terms of the applicable work order.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Roche Collaboration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2021, we entered into a collaboration agreement with F. Hoffmann-La Roche Ltd. (“Roche”) to accelerate the development of amezalpat into a global, first-line, randomized study. The companies are evaluating amezalpat in a Phase 1b/2 clinical study in combination with the standard-of-care first-line regimen of atezolizumab and bevacizumab in patients with advanced or metastatic HCC, not previously treated with systemic therapy. Pursuant to the terms of the agreement, Roche is managing the study operations for the trial, and we retain global development and commercialization rights to amezalpat. Pursuant to the agreement, Roche provides us with notice of the amount of amezalpat required and the delivery timeline, and we supply the amezalpat. All rights to invention and discoveries relating solely to amezalpat or biomarkers solely related to amezalpat made during any study will be our exclusive property. All data generated in the performance of any study under the collaboration agreement will be the property of Roche, but we are entitled to use the data for any lawful purpose.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agreement applies on a study-by-study basis until the last treatment of the last patient in a study receiving amezalpat in accordance with the protocol for such study or until the termination of this collaboration agreement by either party. Each party has the right to terminate the collaboration agreement upon 60 days prior written notice to the other party. Upon any termination</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of the agreement, neither we nor Roche will be entitled to any compensation, damages or other payment. If any individual study supplement is terminated, Roche must return all unused amezalpat to us free of charge or destroy such product at our request.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Roche Master Clinical Supply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2024, we entered into a master clinical supply agreement (“Roche Supply Agreement”) with Roche, pursuant to which Roche will supply Roche’s atezolizumab (TECENTRIQ) for use in one or more clinical studies conducted by us involving amezalpat in combination with atezolizumab, in each case, in accordance with the applicable study protocol prepared by us and reviewed by Roche. Under the Roche Supply Agreement, the parties may execute one or more clinical supply agreement supplements (each, a “CSA Supplement”) that will set forth the study to be conducted by us, the quantities of atezolizumab to be supplied by Roche for such study, and the delivery timeline for such quantities of atezolizumab. In October 2024, we entered into a CSA Supplement for Roche to supply atezolizumab to us, free of charge, for use in a potential Phase 3 trial.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intend to retain significant development and commercial rights to our product candidates and, if marketing approval is obtained, to commercialize our product candidates with a partner, in the United States and other regions. We currently have no sales, marketing or commercial product distribution capabilities. Clinical data, the size of the addressable patient population, the size of the commercial infrastructure and manufacturing needs may all influence or alter our commercialization plans.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rely and expect to continue to rely on third parties for the manufacture of our product candidates for preclinical and clinical testing, as well as for commercial manufacture if any of our product candidates obtain marketing approval. We also rely, and expect to continue to rely, on third parties to package, label, store and distribute our investigational product candidates, as well as for our commercial products if marketing approval is obtained. We have internal personnel and utilize consultants with extensive technical, manufacturing, analytical and quality experience to oversee contract manufacturing and testing activities. We will continue to expand and strengthen our network of third-party providers but may also consider investing in internal manufacturing capabilities in the future if there is a technical need, or a strategic or financial benefit.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Manufacturing is subject to extensive regulations that impose procedural and documentation requirements. At a minimum these regulations govern record keeping, manufacturing processes and controls, personnel, quality control and quality assurance. Our systems, procedures and contractors are required to comply with these regulations and are assessed through regular monitoring and formal audits.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biopharmaceutical and immuno-oncology industries are characterized by intense competition and rapid innovation. Any product candidates that we successfully develop and commercialize will have to compete with existing and future new therapies. While we believe that our technology, development experience and scientific knowledge provide us with competitive advantages, we face potential competition from many different sources, including large and specialty pharmaceutical and biotechnology companies, academic research institutions, government agencies and public and private research institutions that conduct research, seek patent protection, and establish collaborative arrangements for research, development, manufacturing and commercialization.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our current or any future product candidates are approved for the treatment of cancer, they may compete with existing therapies as well as product candidates currently in development. There are a variety of treatments used for cancerous tumors that include chemotherapy drugs, small molecules, monoclonal antibodies, antibody-drug conjugates, bi-specific antibodies, cell therapies, oncolytic viruses and vaccines, as well as other approaches. In addition, there are several competitors in clinical development for</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treatment of HCC, RCC, cholangiocarcinoma, and other indications that we may target with TPST-1495, and amezalpat, including companies such as Ono, Adlai Nortye, Merck, Roche, Exelixis, and AstraZeneca.</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field of cell therapies, there are several competitors developing CAR-T and other cellular therapies for the treatment of system lupus erythematosus (SLE), multiple myeloma, and other hematologic malignancies that we may target with TPST-2003, TPST-3003 and TPST-4003, including companies such as Johnson &amp; Johnson, Bristol Meyers Squibb, Gilead Sciences, Arcellx, Legend Biotech, Allogene, Cellectis, AstraZeneca and other biotechnology and pharmaceutical companies developing BCMA-targeting and dual-targeting cell therapies.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TPST-2003, our dual-targeting CD19/BCMA CAR-T cell therapy is, to our knowledge, the first parallel structure CD19/BCMA dual-targeting CAR-T under development for the treatment of rrMM specifically targeting patients with EMD. We are aware of other clinical-stage CD19/BCMA dual-targeting CAR-T product candidates, including a product under development by AstraZeneca. We are also aware of several approved therapies and products under development that utilize either a CD19 or BCMA single-targeting CAR structure. Amezalpat, our small molecule designed to be a selective antagonist of PPARα, is, to our knowledge, the first PPARα antagonist to enter the clinic. We are not aware of other companies developing such an antagonist. For TPST-1495, our small molecule designed to be a dual antagonist of the EP2 and EP4 receptor, we are aware of other clinical-stage EP-4-only antagonists being developed by Adlai Nortye and Ono.</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our competitors, either alone or with strategic partners, have substantially greater financial, technical and human resources than we do. Accordingly, our competitors may be more successful than us in research and development, manufacturing, preclinical testing, conducting clinical trials, obtaining approval for treatments and achieving widespread market acceptance, rendering our treatments obsolete or non-competitive.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commercial opportunity could be substantially limited if our competitors develop and commercialize products that are more effective, safer, less toxic, more convenient or less expensive than our comparable products. In geographies that are critical to our commercial success, competitors may also obtain regulatory approvals before us, resulting in our competitors building a strong market position in advance of the entry of our products. The key competitive factors affecting the success of all our programs are likely to be their efficacy, safety, convenience and availability of reimbursement. In addition, our ability to compete may be affected in many cases by insurers or other third-party payors seeking to encourage the use of generic drugs.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strive to protect and enhance the proprietary technology, inventions and improvements that are commercially important to our business, including obtaining, maintaining, and defending our patent rights. Our policy is to seek to protect our proprietary position by, among other methods, filing patent applications and obtaining issued patents in the United States and in markets outside of the United States directed to our proprietary technology, inventions, improvements, and product candidates that are important to the development and implementation of our business. We also rely on trade secrets and know-how relating to our proprietary technology and product candidates and continuing innovation to develop, strengthen and maintain our proprietary position in the field of oncology. We also plan to rely on data exclusivity, market exclusivity and patent term extensions when available. Our commercial success will depend in part on our ability to obtain and maintain patent and other proprietary protection for our technology, inventions, improvements, and product candidates; to preserve the confidentiality of our trade secrets; to defend and enforce our proprietary rights, including any patents that we may own or license in the future; and to operate without infringing on the valid and enforceable patents and other proprietary rights of third parties.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respect to TPST-2003, as of February 28, 2026, our in-licensed patent portfolio included one pending U.S. patent application, and nine pending patent applications in various markets outside of the United States, including Europe and Japan.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The pending patent applications cover TPST-2003 as compositions of matter, pharmaceutical compositions, and related methods of use. Any patents that may issue from the pending patent applications are expected to expire in March 2044, absent any patent term adjustments or patent term extensions for regulatory delay.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TPST-2206, as of February 28, 2026, our in-licensed patent portfolio included two pending PCT applications. The pending PCT applications cover TPST-2206 as compositions of matter, pharmaceutical compositions and related methods of use. Any patents that may issue from the pending PCT applications are expected to expire in July 2045, absent any patent term adjustments or patent term extensions for regulatory delay.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our TPST-3003, TPST-3206, and TPST-4003 programs, as of February 28, 2026, our in-licensed patent portfolio included ten issued U.S. patents, four pending U.S. patent applications, one pending PCT application, and five issued patents and eight pending patent applications in various markets outside of the United States, including Europe and Japan. The issued U.S. patents are expected to expire in May 2032, absent any patent term adjustments or patent term extensions for regulatory delay. Any additional patents that may issue from these pending patent applications are expected to expire between May 2032 and April 2045, absent any patent term adjustments or patent term extensions for regulatory delay.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our patent portfolio consisted of issued patents and pending patent applications that we own related to amezalpat and TPST-1495. In total, as of the same date, we owned ten issued United States patents, four pending United States patent applications, one pending Patent Cooperation Treaty (“PCT”) application, and in various markets outside of the United States, including Europe, China and Japan: 68 issued patents and 8 pending patent applications.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amezalpat, as of December 31, 2025, we owned issued patents and pending patent applications in the United States, Europe, China, Japan, and other markets outside of the United States as well as one pending PCT application. The issued United States patents covering amezalpat as compositions of matter, pharmaceutical compositions, and related methods of use are expected to expire in December 2033, absent any patent term adjustments or patent term extensions for regulatory delay. Any additional patents that may issue from these pending patent applications are expected to expire between December 2033 and March 2046, absent any patent term adjustments or patent term extensions for regulatory delay.</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TPST-1495, as of December 31, 2025, we owned issued patents and pending patent applications in the United States, Europe, China, Japan, and other markets outside of the United States. The issued United State patents covering TPST-1495 as compositions of matter, pharmaceutical compositions, and related methods of use are expected to expire between April 2038 and April 2039, absent any patent term adjustments or patent term extensions for regulatory delay. Any additional patents that may issue from these pending patent applications are expected to expire between April 2038 and April 2039, absent any patent term adjustments or patent term extensions for regulatory delay.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possess substantial know-how and trade secrets relating to the development and commercialization of our product candidates, including related manufacturing processes and technology.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our product candidates and processes that we intend to develop and commercialize in the normal course of business, we intend to pursue patent protection covering, when possible, compositions, methods of use, dosing, and formulations. We may also pursue patent protection with respect to manufacturing and drug development processes and technologies.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Issued patents can provide protection for varying periods of time, depending upon the date of filing of the patent application, the date of patent issuance and the legal term of patents in the countries in which they are obtained. In general, patents issued for patent applications filed in the United States can provide exclusionary rights for 20 years from the earliest effective filing date. The term of United States patents may be extended by delays encountered during prosecution that are caused by the USPTO, also known as patent term adjustment. In addition, in certain instances, the term of an issued United States patent that covers or claims an FDA approved product can be extended to recapture a portion of the term effectively lost as a result of the FDA regulatory review period, which is called patent term extension. The restoration period cannot be longer than five years and the total patent term, including the restoration period, must not exceed 14 years following FDA approval. The term of patents outside of the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United States varies in accordance with the laws of the foreign jurisdiction but typically is also 20 years from the earliest effective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patent positions of companies like ours are generally uncertain and involve complex legal and factual questions. No consistent policy regarding the scope of claims allowable in patents in the field of oncology has emerged in the United States. The relevant patent laws and their interpretation outside of the United States are also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We cannot guarantee that patents will be granted with respect to any of its pending patent applications or with respect to any patent applications we may file in the future, nor can we be sure that any patents that may be granted to us in the future will be commercially useful in protecting its products, the methods of use or manufacture of those products.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even its issued patents may not guarantee us the right to practice our technology in relation to the commercialization of its products. Patent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our issued patents may be challenged, invalidated, or circumvented, which could limit our ability to stop competitors from marketing related products or could limit the term of patent protection that otherwise may exist for its product candidates. 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extensively regulate, among other things, the research, development, testing, manufacture, quality control, approval, labeling, packaging, storage, record-keeping, promotion, advertising, distribution, post-approval monitoring and reporting, marketing and export and import of pharmaceutical products, such as our investigational medicines and any future investigational medicines. Generally, before a new pharmaceutical product can be marketed, considerable data demonstrating its quality, safety and efficacy must be obtained, organized into a format specific for each regulatory authority, submitted for review and approved by the regulatory authority.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 Process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biopharmaceutical products are subject to extensive regulation by the FDA under the Federal Food, Drug, and Cosmetic Act (“FFDCA”), the Public Health Service Act, and other federal and state statutes and regulations govern, among other things, the research, development, testing, manufacture, storage, recordkeeping, approval, labeling, promotion and marketing, distribution, post-approval monitoring and reporting, sampling and import and export of biopharmaceutical products. Failure to comply with applicable U.S. requirements may subject a company to a variety of administrative or judicial sanctions, such as clinical hold, FDA refusal to approve pending New Drug Applications (“NDAs”) or Biologic License Applications (“BLAs”), warning or untitled letters, product recalls, product seizures, total or partial suspension of production or distribution, injunctions, fines, civil penalties and criminal prosecution.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6" w:name="page27"/>
    <w:bookmarkEnd w:id="26"/>
    <w:p>
      <w:pPr>
        <w:spacing w:after="0" w:line="282" w:lineRule="auto"/>
        <w:rPr>
          <w:sz w:val="20"/>
          <w:szCs w:val="20"/>
          <w:color w:val="auto"/>
        </w:rPr>
      </w:pPr>
      <w:r>
        <w:rPr>
          <w:rFonts w:ascii="Times New Roman" w:cs="Times New Roman" w:eastAsia="Times New Roman" w:hAnsi="Times New Roman"/>
          <w:sz w:val="18"/>
          <w:szCs w:val="18"/>
          <w:color w:val="auto"/>
        </w:rPr>
        <w:t>Our investigational medicines and any future investigational medicines must be approved by the FDA before they may be legally marketed in the United States. The process generally involves the following:</w:t>
      </w:r>
    </w:p>
    <w:p>
      <w:pPr>
        <w:spacing w:after="0" w:line="162" w:lineRule="exact"/>
        <w:rPr>
          <w:sz w:val="20"/>
          <w:szCs w:val="20"/>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laboratory and animal studies in accordance with applicable regulations, including studies conducted in accordance with Good Laboratory Practice (“GLP”) requirements;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(“IRB”) or independent ethics committee at each clinical trial site before each clinical trial may be commenced;</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applicable Investigational New Drug (“IND”) regulations, Good Clinical Practice (“GCP”) requirements and other clinical trial-related regulations to establish the safety and efficacy of the investigational product for each proposed indication;</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for small molecule candidates and BLA for biologic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any user fees for FDA review of applications;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application to accept the filing for review;</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drug, or components thereof, will be produced to assess compliance with Good Manufacturing Practices (“cGMP”) requirements to assure that the facilities, methods and controls are adequate to preserve the product’s identity, strength, quality and purity, and in the case of cell therapies, compliance with Good Tissue Practices;</w:t>
      </w:r>
    </w:p>
    <w:p>
      <w:pPr>
        <w:spacing w:after="0" w:line="179"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any potential FDA audits of the clinical trial sites that generated the data in support of the application to assure compliance with GCPs and integrity of the clinical data;</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an NDA or BLA, including consideration of the views of any FDA advisory committee; and</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risk evaluation and mitigation strategy (“REMS”), where applicable, and post-approval studies required by the FDA as a condition of approval.</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preclinical and clinical testing and approval process requires substantial time, effort and financial resources, and we cannot be certain that any approvals for our product candidates will be granted on a timely basis, or at all.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Before testing any product candidates in humans, the product candidate must undergo rigorous preclinical testing. Preclinical tests include laboratory evaluation of product chemistry, formulation and toxicity, as well as in vitro and animal studies to assess the potential for adverse events and in some cases to establish a rationale for therapeutic use. The conduct of the preclinical tests must comply with federal regulations and requirements, including GLP. An IND sponsor must submit the results of the preclinical tests, together with manufacturing information, analytical data, any available clinical data or literature and plans for clinical studies, among other things, to the FDA as part of an IND. An IND is a request for authorization from the FDA to administer an investigational product to humans and must become effective before human clinical trials may begin. Some long-term preclinical testing may continue after an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new drug or biologic to healthy volunteers or patients under the supervision of a qualified investigator, generally a physician not employed by or under the trial sponsor’s control. Clinical trials must be conducted: (i) in compliance with federal regulations; (ii) in compliance with GCP, an international standard meant to protect the rights and health of patients and to define the roles of clinical trial sponsors, administrators and monitors; as well as (iii) under protocols detailing, among other things, the objectives of the trial, the parameters to be used in monitoring safety and the effectiveness criteria to be evaluated in the trial. Each protocol involving testing on U.S. patients and subsequent protocol amendments must be submitted to the FDA as part of an IND.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also are requirements governing the reporting of ongoing clinical trials and completed clinical trial results to public registries. Information about certain clinical trials, including clinical trial results, must be submitted within specific timeframes for publication on the www.clinicaltrials.gov website. Information related to the product, patient population, phase of investigation, clinical trial sites and investigators and other aspects of the clinical trial is then made public as part of the registration. Disclosure of the results of these clinical trials can be delayed in certain circumstances for up to two years after the date of completion of the trial.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NDA. The FDA will accept a well-designed and well-conducted foreign clinical trial not conducted under an IND if the clinical trial was conducted in accordance with GCP requirements, and the FDA is able to validate the data through an onsite inspection if deemed necessary.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trials are generally conducted in three sequential phases, known as Phase 1, Phase 2 and Phase 3:</w:t>
      </w:r>
    </w:p>
    <w:p>
      <w:pPr>
        <w:spacing w:after="0" w:line="225" w:lineRule="exact"/>
        <w:rPr>
          <w:sz w:val="20"/>
          <w:szCs w:val="20"/>
          <w:color w:val="auto"/>
        </w:rPr>
      </w:pPr>
    </w:p>
    <w:p>
      <w:pPr>
        <w:jc w:val="both"/>
        <w:ind w:left="760" w:hanging="378"/>
        <w:spacing w:after="0" w:line="266"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pharmacokinetics, pharmacologic action, side effect tolerability, safety of the product candidate, and, if possible, early evidence of effectiveness.</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clinical trials generally involve studies in disease-affected patients to evaluate proof of concept and/or determine the dosing regimen(s) for subsequent investigations. At the same time, safety and further pharmacokinetic and pharmacodynamic information is collected, possible adverse effects and safety risks are identified, and a preliminary evaluation of efficacy is conducted.</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labeling. In most cases, the FDA requires two adequate and well-controlled Phase 3 clinical trials to demonstrate the efficacy of the drug.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Phases may overlap or be combined. For example, a Phase 1/2 clinical trial may contain both a dose-escalation stage and a dose expansion stage, the latter of which may confirm tolerability at the recommended dose for expansion in future clinical trials (as in traditional Phase 1 clinical trials) and provide insight into the anti-tumor effects of the investigational therapy in selected subpopulation(s).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jc w:val="both"/>
        <w:spacing w:after="0" w:line="256" w:lineRule="auto"/>
        <w:rPr>
          <w:sz w:val="20"/>
          <w:szCs w:val="20"/>
          <w:color w:val="auto"/>
        </w:rPr>
      </w:pPr>
      <w:r>
        <w:rPr>
          <w:rFonts w:ascii="Times New Roman" w:cs="Times New Roman" w:eastAsia="Times New Roman" w:hAnsi="Times New Roman"/>
          <w:sz w:val="18"/>
          <w:szCs w:val="18"/>
          <w:color w:val="auto"/>
        </w:rPr>
        <w:t>Typically, during the development of oncology therapies, all subjects enrolled in Phase 1 clinical trials are disease-affected patients and, as a result, considerably more information on clinical activity may be collected during such trials than during Phase 1 clinical trials for non-oncology therapies. A single Phase 3 or Phase 2 trial with other confirmatory evidence may be sufficient in rare instances to provide substantial evidence of effectiveness (generally subject to the requirement of additional post-approval studies). The manufacturer of an investigational drug in a phase 2 or 3 clinical trial for a serious or life-threatening disease is required to make available, such as by posting on its website, its policy on evaluating and responding to requests for expanded access.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Phase 1, Phase 2, Phase 3 and other types of clinical trials may not be completed successfully within any specified period, if at all. The FDA, the IRB, or the sponsor may suspend or terminate a clinical trial at any time on various grounds, including non-compliance with regulatory requirements or a finding that the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develop additional information about the chemistry and physical characteristics of the product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potency and purity of the final product. Additionally, appropriate packaging must be selected and tested, and stability studies must be conducted to demonstrate that the investigational medicines do not undergo unacceptable deterioration over their shelf life.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Review Process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completion of the required clinical testing, an NDA or BLA is prepared and submitted to the FDA. FDA approval of an NDA or BLA is required before marketing of the product may begin in the U.S. An NDA or BLA must include the results of all preclinical, clinical and other testing and a compilation of data relating to the product’s pharmacology, chemistry, manufacture and controls. To support marketing approval, the data submitted must be sufficient in quality and quantity to establish the safety and efficacy of the investigational product to the satisfaction of the FDA. FDA approval of an NDA or BLA must be obtained before a drug or biologic may be marketed in the United States. Under the Prescription Drug User Fee Act (“PDUFA”), each NDA or BLA must be accompanied by a substantial user fee. The FDA adjusts the user fees on an annual basis. Fee waivers or reductions are available in certain circumstances, including a waiver of the application fee for the first application filed by a small business. Additionally, no user fees are assessed on applications for products designated as orphan drugs, unless the product also includes a non-orphan indication. The sponsor under an approved application is also subject to an annual program fee.</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reviews each submitted NDA or BLA before it determines whether to file it and may request additional information. The FDA must make a decision on whether to file an application within 60 days of receipt, and such decision could include a refusal to file by the FDA. Once the submission is filed, the FDA begins an in-depth review of the application. The FDA has agreed to certain performance goals in the review process. Most applications for standard review products are reviewed within ten months of filing; most applications for priority review are reviewed in six months from filing. Priority review can be applied to products that the FDA determines may offer significant improvement in safety or effectiveness compared to marketed products or where no adequate therapy exists. The review process for both standard and priority review may be extended by the FDA for three additional months to consider certain late-submitted information, or information intended to clarify information already provided in the submission. The FDA does not always meet its goal dates for standard and priority timeframes, and the review process can be extended by FDA requests for additional information or clarification.</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jc w:val="both"/>
        <w:spacing w:after="0" w:line="261" w:lineRule="auto"/>
        <w:rPr>
          <w:sz w:val="20"/>
          <w:szCs w:val="20"/>
          <w:color w:val="auto"/>
        </w:rPr>
      </w:pPr>
      <w:r>
        <w:rPr>
          <w:rFonts w:ascii="Times New Roman" w:cs="Times New Roman" w:eastAsia="Times New Roman" w:hAnsi="Times New Roman"/>
          <w:sz w:val="18"/>
          <w:szCs w:val="18"/>
          <w:color w:val="auto"/>
        </w:rPr>
        <w:t>The FDA may also refer applications for novel products, or products that present difficult questions of safety or efficacy, to an outside advisory committee —typically a panel that includes clinicians and other experts—for review, evaluation and a recommendation as to whether the application should be approved and under what conditions, if any. The FDA is not bound by the recommendation of an advisory committee, but it generally follows such recommendations.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Before approving an NDA or BLA,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typically inspects clinical trial sites to ensure compliance with GCP requirements and the integrity of the data supporting safety and efficacy.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the FDA evaluates the application and the manufacturing facilities, it issues either an approval letter or a complete response letter. A complete response letter (“CRL”), generally outlines the deficiencies in the submission and may require substantial additional testing, or information, in order for the FDA to reconsider the application, such as additional clinical data, additional pivotal clinical trial(s), and/or other significant and time-consuming requirements related to clinical trials, preclinical studies or manufacturing. If a CRL is issued, the applicant may resubmit the NDA or BLA addressing all of the deficiencies identified in the letter, withdraw the application, engage in formal dispute resolution or request an opportunity for a hearing. The FDA has committed to reviewing resubmissions in two or six months depending on the type of information included. Even if such data and information are submitted, the FDA may decide that an application does not satisfy the criteria for approval.</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potential condition of approval, the FDA may require a REMS to help ensure that the benefits of the product outweigh the potential risks to patients. A REMS can include medication guides, communication plans for healthcare professionals and elements to assure a product’s safe use (“ETASU”). An ETASU can include, but is not limited to, special training or certification for prescribing or dispensing the product, dispensing the product only under certain circumstances, special monitoring and the use of patient-specific registries. The requirement for a REMS can materially affect the potential market and profitability of the product. Moreover, the FDA may require substantial post-approval testing and surveillance to monitor the product’s safety or efficacy.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to some of the conditions established in an approved application, including changes in indications, labeling, or manufacturing processes or facilities, require submission and FDA approval of an NDA or BLA supplement or, in some case, a new application, before the change can be implemented. A supplement for a new indication typically requires clinical data similar to that in the original application, and the FDA uses the same procedures and actions in reviewing supplements as it does in reviewing NDAs and BLAs.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drugs intended to treat a rare disease or condition, which is generally a disease or condition that affects fewer than 200,000 individuals in the United States, or more than 200,000 individuals in the United States but for which there is no reasonable expectation that the cost of developing and making the product for this type of disease or condition will be recovered from sales of the product in the United States.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Orphan drug designation must be requested before submitting an NDA. After the FDA grants orphan drug designation, the identity of the drug and its potential orphan use are disclosed publicly by the FDA. Orphan drug designation does not convey any advantage in, or shorten the duration of, the regulatory review and approval process.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jc w:val="both"/>
        <w:spacing w:after="0" w:line="255"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a seven-year exclusive marketing period in the U.S.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by means of greater effectiveness, greater safety, or providing a major contribution to patient care, or in instances of drug supply issues. Orphan drug exclusivity does not prevent the FDA from approving a different drug for the same disease or condition, or the same drug for a different disease or condition. Other benefits of orphan drug designation include tax credits for certain research and an exemption from the NDA user fee.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FDA is authorized to designate certain products for expedited review if they are intended to address an unmet medical need in the treatment of a serious or life-threatening disease or condition.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Fast Track Designation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Fast track designation may be granted for products that are intended to treat a serious or life-threatening disease or condition for which there is no effective treatment and preclinical or clinical data demonstrate the potential to address unmet medical needs for the condition. Fast track designation applies to both the product and the specific indication for which it is being studied. The sponsor of an investigational drug product may request that the FDA designate the drug candidate for a specific indication as a fast track drug concurrent with, or after, the submission of the IND for the drug candidate. The FDA must determine if the drug candidate qualifies for fast track designation within 60 days of receipt of the sponsor’s request. For fast track products, sponsors may have greater interactions with the FDA and the FDA may initiate review of sections of a fast track product’s NDA or BLA before the application is complete. This rolling review is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At the time of an NDA or BLA filing, the FDA will determine whether to grant priority review designation. Additionally, fast track designation may be withdrawn if the FDA believes that the designation is no longer supported by data emerging in the clinical trial process.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Breakthrough Therapy Designation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Breakthrough therapy designation may be granted for products that are intended, alone or in combination with one or more other products, to treat a serious or life-threatening condition and preliminary clinical evidence indicates that the product may demonstrate substantial improvement over currently approved therapies on one or more clinically significant endpoints. Under the breakthrough therapy program, the sponsor of a new drug candidate may request that the FDA designate the candidate for a specific indication as a breakthrough therapy concurrent with, or after, the submission of an IND for the drug candidate. The FDA must determine if the drug product qualifies for breakthrough therapy designation within 60 days of receipt of the sponsor’s request.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studies in an efficient manner.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Priority Review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Priority review may be granted for products that are intended to treat a serious or life-threatening condition and, if approved, would provide a significant improvement in safety and effectiveness compared to available therapies. The FDA will attempt to direct additional resources to the evaluation of an application designated for priority review in an effort to facilitate the review.</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Accelerated Approval</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Accelerated approval may be granted for products that are intended to treat a serious or life-threatening condition and that generally provide a meaningful therapeutic advantage to patients over existing treatments.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In clinical trials, a surrogate endpoint is a measurement of laboratory or clinical signs of a disease or condition that substitutes for a direct measurement of how a patient feels, functions or survives.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studies to demonstrate a clinical or survival benefit. The accelerated approval pathway is contingent on a sponsor’s agreement to conduct additional post-approval confirmatory studies to verify and describe the product’s clinical benefit. These confirmatory trials must be completed with due diligence and, in some cases, the FDA may require that the trial be designed, initiated and/or fully enrolled prior to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19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standards for approval but may expedite the development or approval process.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Pediatric Research Equity Act (“PREA”), an NDA or BLA or supplements thereto must contain data to assess the safety and effectiveness of the product for the claimed indications in all relevant pediatric subpopulations and to support dosing and administration for each pediatric subpopulation for which the product is safe and effective. The FDA may grant full or partial waivers, or deferrals, for submission of data. Unless otherwise required by regulation, PREA does not apply to any product for an indication for which orphan designation has been granted, with certain exceptions.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Best Pharmaceuticals for Children Act (“BPCA”) provides NDA or BLA holders a six-month extension of any exclusivity—patent or nonpatent—for a product if certain conditions are met. Conditions for exclusivity include the FDA’s determination that information relating to the use of a new product in the pediatric population may produce health benefits in that population, the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Once an NDA or BLA is approved, a product will be subject to certain post-approval requirements. For instance, the FDA closely regulates the post-approval marketing and promotion of biopharmaceutical products, including standards and regulations for direct-to-consumer advertising, off-label promotion, industry-sponsored scientific and educational activities and promotional activities involving the internet. Products may be marketed only for the approved indications and in a manner consistent with the approved labeling.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Adverse event reporting and submission of periodic reports are required following FDA approval of an NDA or BLA. The FDA also may require post-marketing testing, known as phase 4 testing, REMS, and surveillance to monitor the effects of an approved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2" w:name="page33"/>
    <w:bookmarkEnd w:id="32"/>
    <w:p>
      <w:pPr>
        <w:jc w:val="both"/>
        <w:spacing w:after="0" w:line="255" w:lineRule="auto"/>
        <w:rPr>
          <w:sz w:val="20"/>
          <w:szCs w:val="20"/>
          <w:color w:val="auto"/>
        </w:rPr>
      </w:pPr>
      <w:r>
        <w:rPr>
          <w:rFonts w:ascii="Times New Roman" w:cs="Times New Roman" w:eastAsia="Times New Roman" w:hAnsi="Times New Roman"/>
          <w:sz w:val="18"/>
          <w:szCs w:val="18"/>
          <w:color w:val="auto"/>
        </w:rPr>
        <w:t>product, or the FDA may place conditions on an approval that could restrict the distribution or use of the product. In addition, quality control, drug manufacture, packaging and labeling procedures must continue to conform to cGMP after approval.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 Accordingly, manufacturers must continue to expend time, money and effort in the areas of production and quality-control to maintain compliance with cGMP.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or other restrictions under a REMS program. Other potential consequences include, among other things:</w:t>
      </w:r>
    </w:p>
    <w:p>
      <w:pPr>
        <w:spacing w:after="0" w:line="183" w:lineRule="exact"/>
        <w:rPr>
          <w:sz w:val="20"/>
          <w:szCs w:val="20"/>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suspension of the approval, complete withdrawal of the product from the market or a product recall;</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or other enforcement-related letters or holds on post-approval clinical studies;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 Extension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Hatch Waxman Amendments permit a patent term extension as compensation for patent term lost during the FDA regulatory review process. Patent term extension, however, cannot extend the remaining term of a patent beyond a total of 14 years from the product’s approval date. After approval, owners of relevant patents may apply for the extension. The allowable patent term extension is calculated as half of the product’s testing phase (the time between an IND application and an NDA or BLA submission) and all of the review phase (the time between NDA or BLA submission and approval) up to a maximum of five years. The time can be reduced for any time the FDA determines that the applicant did not pursue approval with due diligence.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United States Patent and Trademark Office (“USPTO”), in consultation with the FDA, reviews and approves the application for any patent term extension or restoration. However, the USPTO may not grant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requested.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patent term after the extension may not exceed 14 years, and only one patent can be extended. The application for the extension must be submitted prior to the expiration of the patent, and 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Pricing, and Reimbursement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and in foreign markets, sales of pharmaceutical products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Adequate coverage and reimbursement from governmental healthcare programs, such as Medicare and Medicaid in the United States, and commercial payors are critical to new product acceptance.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In the United States, no uniform policy of coverage and reimbursement for products exists among third-party payors. Therefore, coverage and reimbursement for products can differ significantly from payor to payor. Decisions regarding the extent of coverage and amount of reimbursement to be provided for each of our product candidates will be made on a plan-by-plan basis. One payor’s determination to provide coverage for a product does not assure that other payors will also provide coverage, and adequate reimbursement, for the product. Additionally,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Further, HHS imposes rebates on many Medicare Part B and Medicare Part D products to penalize price increases that outpace inflation on an annual basis. HHS has also been empowered to negotiate the price of certain single-source drugs that have been on the market for at least seven (7) years and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FDA restrictions on marketing of pharmaceutical products, several other types of state and federal laws have been applied to restrict certain general business and marketing practices in the pharmaceutical industry. These laws include anti-kickback statutes, false claims statutes and other healthcare laws and regulations.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to apply to arrangements between pharmaceutical manufacturers on the one hand and prescribers, purchasers and formulary managers, among others, on the other. Although there are a number of statutory exceptions and regulatory safe harbors protecting certain common activities from prosecution or other regulatory sanctions, the exceptions and safe harbors are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jc w:val="both"/>
        <w:spacing w:after="0" w:line="266" w:lineRule="auto"/>
        <w:rPr>
          <w:sz w:val="20"/>
          <w:szCs w:val="20"/>
          <w:color w:val="auto"/>
        </w:rPr>
      </w:pPr>
      <w:r>
        <w:rPr>
          <w:rFonts w:ascii="Times New Roman" w:cs="Times New Roman" w:eastAsia="Times New Roman" w:hAnsi="Times New Roman"/>
          <w:sz w:val="18"/>
          <w:szCs w:val="18"/>
          <w:color w:val="auto"/>
        </w:rPr>
        <w:t>drawn narrowly, and practices that involve remuneration intended to induce prescribing, purchases or recommendations may be subject to scrutiny if they do not qualify for an exception or safe harbor. In addition, a person or entity does not need to have actual knowledge of the statute or specific intent to violate it in order to commit a violation.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Federal civil and criminal false claims laws, including the federal civil False Claims Act, prohibit any person or entity from knowingly presenting, or causing to be presented, a false claim for payment to the federal government, or knowingly making, or causing to be made, a false statement to have a false claim paid. This includes claims made to programs where the federal government reimburses, such as Medicare and Medicaid, as well as programs where the federal government is a direct purchaser, such as when it purchases off the Federal Supply Schedule. Recently, several pharmaceutical and other healthcare companies have been prosecuted under these laws for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Additionally, the government may assert that a claim including items or services resulting from a violation of the federal Anti-Kickback Statute constitutes a false or fraudulent claim for purposes of the federal civil False Claims Act. Most states also have statutes or regulations similar to the federal Anti-Kickback Statute and civil False Claims Act, which apply to items and services reimbursed under Medicaid and other state programs, or, in several states, apply regardless of the payor.</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federal statutes pertaining to healthcare fraud and abuse include the civil monetary penalties statute, which prohibits, among other things, the offer or payment of remuneration to a Medicaid or Medicare beneficiary that the offeror or payor knows or should know is likely to influence the beneficiary to order a receive a reimbursable item or service from a particular supplier, and the additional federal criminal statutes created by the Health Insurance Portability and Accountability Act of 1996 (“HIPAA”), which prohibits,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 Similar to the federal Anti-Kickback Statute, a person or entity does not need to have actual knowledge of the statute or specific intent to violate it in order to commit a violation.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pursuant to the Patient Protection and Affordable Care Act, as amended by the Health Care and Education Reconciliation (the “Affordable Care Act” or the “ACA”), CMS has issued a final rule that requires manufacturers of prescription drugs to collect and report information on certain payments or transfers of value to physicians (defined to include doctors, dentists, optometrists, podiatrists and chiropractors), other healthcare professionals (such as physicians assistants and nurse practitioners), and teaching hospitals, as well as investment interests held by physicians and their immediate family members. The reports must be submitted on an annual basis. The reported data is made available in searchable form on a public website on an annual basis. Failure to submit required information may result in civil monetary penalties.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imposes obligations, including mandatory contractual terms, on covered entities, business associates and their covered subcontractors with respect to safeguarding the privacy, security and transmission of individually identifiable health information.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several states now require prescription drug companies to report certain expenses relating to the marketing and promotion of drug products and to report gifts and payments to individual healthcare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drug pricing information, including information pertaining to and justifying price increases. In addition, certain states require pharmaceutical companies to implement compliance programs and/or marketing codes. Certain states and local jurisdictions also require certain regulatory licenses to manufacture or distribute products commercially and/or the registration of pharmaceutical sales and medical representatives. Compliance with these laws is difficult and time consuming, and companies that do not comply with these state laws may face significant penalties.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jc w:val="both"/>
        <w:spacing w:after="0" w:line="254" w:lineRule="auto"/>
        <w:rPr>
          <w:sz w:val="20"/>
          <w:szCs w:val="20"/>
          <w:color w:val="auto"/>
        </w:rPr>
      </w:pPr>
      <w:r>
        <w:rPr>
          <w:rFonts w:ascii="Times New Roman" w:cs="Times New Roman" w:eastAsia="Times New Roman" w:hAnsi="Times New Roman"/>
          <w:sz w:val="18"/>
          <w:szCs w:val="18"/>
          <w:color w:val="auto"/>
        </w:rPr>
        <w:t>Efforts to ensure that business arrangements with third parties comply with applicable healthcare laws and regulations involve substantial costs. If a drug company’s operations are found to be in violation of any such requirements, it may be subject to significant penalties, including civil, criminal and administrative penalties, damages, fines, disgorgement, imprisonment, the curtailment or restructuring of its operations, loss of eligibility to obtain approvals from the FDA, exclusion from participation in government contracting, healthcare reimbursement or other federal or state government healthcare programs, including Medicare and Medicaid, integrity oversight and reporting obligations, imprisonment, and reputational harm. Although effective compliance programs can mitigate the risk of investigation and prosecution for violations of these laws, these risks cannot be entirely eliminated. Any action for an alleged or suspected violation can cause a drug company to incur significant legal expenses and divert management’s attention from the operation of the business, even if such action is successfully defended.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Healthcare Reform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there have been, and continue to be, proposals by the federal government, state governments, regulators and third-party payors to control or manage the increased costs of health care and, more generally, to reform the U.S. healthcare system. The pharmaceutical industry has been a particular focus of these efforts and has been significantly affected by major legislative initiatives. For example, in March 2010, the ACA was enacted, substantially changed the way healthcare is financed by both governmental and private insurers.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have been judicial, executive brand, and Congressional challenges and amendments to certain aspects of the ACA.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to reduce healthcare expenditures. These changes include aggregate reductions to Medicare payments to providers of 2% per fiscal year, which began in 2013 and will remain in effect until 2032 unless additional Congressional action is taken.</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(“PBM”)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 At the state level, legislatures are increasingly passing legislation and implementing regulations designed to control pharmaceutical and biological product pricing, including price or patient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jc w:val="both"/>
        <w:spacing w:after="0" w:line="282" w:lineRule="auto"/>
        <w:rPr>
          <w:sz w:val="20"/>
          <w:szCs w:val="20"/>
          <w:color w:val="auto"/>
        </w:rPr>
      </w:pPr>
      <w:r>
        <w:rPr>
          <w:rFonts w:ascii="Times New Roman" w:cs="Times New Roman" w:eastAsia="Times New Roman" w:hAnsi="Times New Roman"/>
          <w:sz w:val="18"/>
          <w:szCs w:val="18"/>
          <w:color w:val="auto"/>
        </w:rPr>
        <w:t>reimbursement constraints, discounts, restrictions on certain product access and marketing cost disclosure and transparency measures, and, in some cases, designed to encourage importation from other countries and bulk purchasing.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1, 2026, we had four employees, including four full-time employees and three holding Ph.D., MBA and/or M.S. degrees. Our employees have established internal expertise in cellular biology, pre-clinical development, and early-to-late-stage clinical development, as well as finance, business development and strategic transactions. None of our employees are represented by a labor union or covered by collective bargaining agreements. We will continue to add experienced and talented scientists in areas, such as medicinal chemistry, that we believe are critical for the discovery of highly differentiated small-molecule compounds.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consider a number of measures and objectives in managing our human capital assets, including, among others, employee engagement, development and training, talent acquisition and retention, employee safety and wellness, diversity and inclusion, and compensation and pay equity. We provide our employees with salaries and bonuses intended to be competitive for our industry, opportunities for equity ownership, development programs that enable continued learning and growth and a benefits package to promote well-being across all aspects of their lives, including health care, retirement planning and paid time off. The principal purposes of our equity incentive plans are to attract, retain and motivate selected employees, consultants and directors through the granting of equity-based compensation awards and cash-based compensation awards, in order to increase stockholder value and the success of our company by motivating such individuals to perform to the best of their abilities and achieve our objectives.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a diverse workforce is important to our success and we are fundamentally committed to creating and maintaining a work environment in which employees are treated fairly, with dignity, decency, respect and in accordance with all applicable laws. We understand that varied perspectives lead to the best ideas and outcomes. We believe that by creating a workplace where every individual can feel welcome and valued, we will be better able to achieve our corporate objectives. All employees must adhere to a code of business conduct and ethics and our employee handbook, which combined, define standards for appropriate behavior. Our recruitment, hiring, development, training, compensation, and advancement is based on qualifications, performance, skills, and experience without regard to gender, gender identity, sexual orientation, race, or ethnicity. People of color and those who are part of underrepresented groups in the biotech industry are encouraged to apply for open positions.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were incorporated in Delaware in April 2011. Our corporate headquarters are located at 2000 Sierra Point Parkway, Suite 400, Brisbane, California 94005, and our telephone number is (415) 798-8589.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internet website address is www.tempesttx.com. In addition to the information about us and our subsidiaries contained in this Annual Report, information about us can be found on our website. Our website and information included in or linked to our website are not part of this Annual Report.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amendments to those reports filed or furnished pursuant to Section 13(a) or 15(d) of the Securities Exchange Act of 1934, as amended, are available free of charge through our website as soon as reasonably practicable after they are electronically filed with or furnished to the Securities and Exchange Commission (“SEC”). Additionally, the SEC maintains an internet site that contains reports, proxy and information statements and other information. The address of the SEC’s website is www.sec.gov.</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Our business involves significant risks, some of which are described below. You should carefully consider the risks described below, together with all of the other information contained in this Annual Report, including the section entitled “Management’s Discussion and Analysis of Financial Condition and Results of Operations” and the financial statements and the related notes. Any of these events could cause the trading price of our common stock to decline, which would cause you to lose all or part of your investment.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or may make from time to time.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Selected Risks Associated with Our Business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any one of which could materially adversely affect our business, financial condition, operating results, and prospects. You should read this summary together with the more detailed description of each risk factor contained below.</w:t>
      </w:r>
    </w:p>
    <w:p>
      <w:pPr>
        <w:spacing w:after="0" w:line="162" w:lineRule="exact"/>
        <w:rPr>
          <w:sz w:val="20"/>
          <w:szCs w:val="20"/>
          <w:color w:val="auto"/>
        </w:rPr>
      </w:pPr>
    </w:p>
    <w:p>
      <w:pPr>
        <w:ind w:left="1020" w:right="16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regarding our ability to continue as a going concern. We will require significant additional funding to finance our operations, which may not be available on acceptable terms or at all. Failure to obtain this necessary capital when needed may force us to delay, limit or terminate our product development efforts or our operations.</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may cause dilution to our stockholders, restrict our operations or require us to relinquish proprietary rights.</w:t>
      </w:r>
    </w:p>
    <w:p>
      <w:pPr>
        <w:spacing w:after="0" w:line="225" w:lineRule="exact"/>
        <w:rPr>
          <w:rFonts w:ascii="Times New Roman" w:cs="Times New Roman" w:eastAsia="Times New Roman" w:hAnsi="Times New Roman"/>
          <w:sz w:val="18"/>
          <w:szCs w:val="18"/>
          <w:color w:val="auto"/>
        </w:rPr>
      </w:pPr>
    </w:p>
    <w:p>
      <w:pPr>
        <w:jc w:val="both"/>
        <w:ind w:left="1020" w:right="8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spacing w:after="0" w:line="175"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the Assets with our business may be more difficult, costly or time consuming than expected and we may fail to realize the anticipated benefits of the Asset Acquisition.</w:t>
      </w:r>
    </w:p>
    <w:p>
      <w:pPr>
        <w:spacing w:after="0" w:line="161"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the early stages of integrating the Assets into our business, and unknown or unanticipated risks associated with the Assets could adversely affect us.</w:t>
      </w:r>
    </w:p>
    <w:p>
      <w:pPr>
        <w:spacing w:after="0" w:line="161"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expand our organization in the future, and we may experience difficulties in managing this growth, which could disrupt our operations.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expand our development and regulatory capabilities, and as a result, we may encounter difficulties in managing our growth, which could disrupt our operations.</w:t>
      </w:r>
    </w:p>
    <w:p>
      <w:pPr>
        <w:spacing w:after="0" w:line="161" w:lineRule="exact"/>
        <w:rPr>
          <w:rFonts w:ascii="Times New Roman" w:cs="Times New Roman" w:eastAsia="Times New Roman" w:hAnsi="Times New Roman"/>
          <w:sz w:val="18"/>
          <w:szCs w:val="18"/>
          <w:color w:val="auto"/>
        </w:rPr>
      </w:pPr>
    </w:p>
    <w:p>
      <w:pPr>
        <w:jc w:val="both"/>
        <w:ind w:left="1020" w:right="20" w:hanging="503"/>
        <w:spacing w:after="0" w:line="312" w:lineRule="auto"/>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develop, obtain regulatory approval for and commercialize our product candidates, including TPST-2003, TPST-1495 and amezalpat, or any of our future product candidates, or if we experience significant delays in doing so, our business will be materially harmed.</w:t>
      </w:r>
    </w:p>
    <w:p>
      <w:pPr>
        <w:spacing w:after="0" w:line="139" w:lineRule="exact"/>
        <w:rPr>
          <w:rFonts w:ascii="Times New Roman" w:cs="Times New Roman" w:eastAsia="Times New Roman" w:hAnsi="Times New Roman"/>
          <w:sz w:val="17"/>
          <w:szCs w:val="17"/>
          <w:color w:val="auto"/>
        </w:rPr>
      </w:pPr>
    </w:p>
    <w:p>
      <w:pPr>
        <w:ind w:left="1020" w:right="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preclinical studies and earlier clinical trials for our product candidates may not be indicative of the results that may be obtained in later clinical trials, which may delay or prevent obtaining regulatory approval.</w:t>
      </w:r>
    </w:p>
    <w:p>
      <w:pPr>
        <w:spacing w:after="0" w:line="161" w:lineRule="exact"/>
        <w:rPr>
          <w:rFonts w:ascii="Times New Roman" w:cs="Times New Roman" w:eastAsia="Times New Roman" w:hAnsi="Times New Roman"/>
          <w:sz w:val="18"/>
          <w:szCs w:val="18"/>
          <w:color w:val="auto"/>
        </w:rPr>
      </w:pPr>
    </w:p>
    <w:p>
      <w:pPr>
        <w:ind w:left="1020" w:right="20" w:hanging="503"/>
        <w:spacing w:after="0" w:line="312" w:lineRule="auto"/>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Interim and preliminary data from our or our licensors’ clinical trials that we may announce or publish from time to time may change as more patient data becomes available and are subject to audit and verification procedures that could result in material changes in the final data.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ind w:left="503" w:right="40" w:hanging="503"/>
        <w:spacing w:after="0" w:line="266" w:lineRule="auto"/>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derive results and data for TPST-2003 and TPST-2206 from clinical trials led by Novatim in China; our role in any such trials and our access to the clinical results and data, will be limited and there is no assurance that the clinical data from any such trials will be accepted or considered by the FDA, or other comparable regulatory authorities.</w:t>
      </w:r>
    </w:p>
    <w:p>
      <w:pPr>
        <w:spacing w:after="0" w:line="175" w:lineRule="exact"/>
        <w:rPr>
          <w:rFonts w:ascii="Times New Roman" w:cs="Times New Roman" w:eastAsia="Times New Roman" w:hAnsi="Times New Roman"/>
          <w:sz w:val="18"/>
          <w:szCs w:val="18"/>
          <w:color w:val="auto"/>
        </w:rPr>
      </w:pPr>
    </w:p>
    <w:p>
      <w:pPr>
        <w:ind w:left="503" w:right="100" w:hanging="503"/>
        <w:spacing w:after="0" w:line="266" w:lineRule="auto"/>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work with our collaborator, Novatim, to conduct clinical trials for TPST-2003 and TPST-2206 outside the United States, including China, and the FDA and similar foreign regulatory authorities may not accept data from such trials conducted in locations outside of their jurisdiction.</w:t>
      </w:r>
    </w:p>
    <w:p>
      <w:pPr>
        <w:spacing w:after="0" w:line="17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expand our pipeline of product candidates and develop marketable products.</w:t>
      </w:r>
    </w:p>
    <w:p>
      <w:pPr>
        <w:spacing w:after="0" w:line="225" w:lineRule="exact"/>
        <w:rPr>
          <w:rFonts w:ascii="Times New Roman" w:cs="Times New Roman" w:eastAsia="Times New Roman" w:hAnsi="Times New Roman"/>
          <w:sz w:val="18"/>
          <w:szCs w:val="18"/>
          <w:color w:val="auto"/>
        </w:rPr>
      </w:pPr>
    </w:p>
    <w:p>
      <w:pPr>
        <w:ind w:left="503" w:right="420" w:hanging="503"/>
        <w:spacing w:after="0" w:line="282" w:lineRule="auto"/>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 candidates, including TPST-2003, TPST-1495 and amezalpat, will depend upon their degree of market acceptance by providers, patients, patient advocacy groups, third-party payors and the general medical community.</w:t>
      </w:r>
    </w:p>
    <w:p>
      <w:pPr>
        <w:spacing w:after="0" w:line="161" w:lineRule="exact"/>
        <w:rPr>
          <w:rFonts w:ascii="Times New Roman" w:cs="Times New Roman" w:eastAsia="Times New Roman" w:hAnsi="Times New Roman"/>
          <w:sz w:val="18"/>
          <w:szCs w:val="18"/>
          <w:color w:val="auto"/>
        </w:rPr>
      </w:pPr>
    </w:p>
    <w:p>
      <w:pPr>
        <w:ind w:left="503" w:right="180" w:hanging="503"/>
        <w:spacing w:after="0" w:line="282" w:lineRule="auto"/>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rely on third parties to manufacture our clinical product supplies, and we may have to rely on third parties to produce and process our product candidates, if approved.</w:t>
      </w:r>
    </w:p>
    <w:p>
      <w:pPr>
        <w:spacing w:after="0" w:line="161" w:lineRule="exact"/>
        <w:rPr>
          <w:rFonts w:ascii="Times New Roman" w:cs="Times New Roman" w:eastAsia="Times New Roman" w:hAnsi="Times New Roman"/>
          <w:sz w:val="18"/>
          <w:szCs w:val="18"/>
          <w:color w:val="auto"/>
        </w:rPr>
      </w:pPr>
    </w:p>
    <w:p>
      <w:pPr>
        <w:ind w:left="503" w:right="280" w:hanging="503"/>
        <w:spacing w:after="0" w:line="266" w:lineRule="auto"/>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in an environment of rapid technological change, and it is possible that our competitors may achieve regulatory approval before us or develop therapies that are more advanced or effective than ours, which may harm our business, financial condition and ability to successfully market or commercialize our current and any future product candidates.</w:t>
      </w:r>
    </w:p>
    <w:p>
      <w:pPr>
        <w:spacing w:after="0" w:line="175" w:lineRule="exact"/>
        <w:rPr>
          <w:rFonts w:ascii="Times New Roman" w:cs="Times New Roman" w:eastAsia="Times New Roman" w:hAnsi="Times New Roman"/>
          <w:sz w:val="18"/>
          <w:szCs w:val="18"/>
          <w:color w:val="auto"/>
        </w:rPr>
      </w:pPr>
    </w:p>
    <w:p>
      <w:pPr>
        <w:ind w:left="503" w:hanging="503"/>
        <w:spacing w:after="0" w:line="256" w:lineRule="auto"/>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Biologics are complex and difficult to manufacture. We intend to rely on third party manufacturers, potentially including Factor, Novatim, and/or contract development manufacturing organizations (“CDMOs”) to manufacture clinical supplies of our cell-therapy and in vivo CAR-T products, including TPST-2003, and to produce preclinical and clinical supply of other product candidates and to produce commercial supplies of any approved product. This reliance on third parties increases the risk that we will not have sufficient quantities of our product candidates or any approved products or such quantities at an acceptable cost or quality, which could delay, prevent or impair our development or commercialization efforts.</w:t>
      </w:r>
    </w:p>
    <w:p>
      <w:pPr>
        <w:spacing w:after="0" w:line="187" w:lineRule="exact"/>
        <w:rPr>
          <w:rFonts w:ascii="Times New Roman" w:cs="Times New Roman" w:eastAsia="Times New Roman" w:hAnsi="Times New Roman"/>
          <w:sz w:val="18"/>
          <w:szCs w:val="18"/>
          <w:color w:val="auto"/>
        </w:rPr>
      </w:pPr>
    </w:p>
    <w:p>
      <w:pPr>
        <w:ind w:left="503" w:right="520" w:hanging="503"/>
        <w:spacing w:after="0" w:line="282" w:lineRule="auto"/>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sales and marketing capabilities or enter into agreements with third parties to market and sell our product candidates, we may be unable to generate any revenues.</w:t>
      </w:r>
    </w:p>
    <w:p>
      <w:pPr>
        <w:spacing w:after="0" w:line="161" w:lineRule="exact"/>
        <w:rPr>
          <w:rFonts w:ascii="Times New Roman" w:cs="Times New Roman" w:eastAsia="Times New Roman" w:hAnsi="Times New Roman"/>
          <w:sz w:val="18"/>
          <w:szCs w:val="18"/>
          <w:color w:val="auto"/>
        </w:rPr>
      </w:pPr>
    </w:p>
    <w:p>
      <w:pPr>
        <w:ind w:left="503" w:right="560" w:hanging="503"/>
        <w:spacing w:after="0" w:line="282" w:lineRule="auto"/>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finding strategic collaborators for continuing development of certain of our future product candidates or successfully commercializing or competing in the market for certain indications.</w:t>
      </w:r>
    </w:p>
    <w:p>
      <w:pPr>
        <w:spacing w:after="0" w:line="161" w:lineRule="exact"/>
        <w:rPr>
          <w:rFonts w:ascii="Times New Roman" w:cs="Times New Roman" w:eastAsia="Times New Roman" w:hAnsi="Times New Roman"/>
          <w:sz w:val="18"/>
          <w:szCs w:val="18"/>
          <w:color w:val="auto"/>
        </w:rPr>
      </w:pPr>
    </w:p>
    <w:p>
      <w:pPr>
        <w:ind w:left="503" w:right="60" w:hanging="503"/>
        <w:spacing w:after="0" w:line="282" w:lineRule="auto"/>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regulatory approval process is lengthy and time-consuming, and we may experience significant delays in the clinical development and regulatory approval of our product candidates.</w:t>
      </w:r>
    </w:p>
    <w:p>
      <w:pPr>
        <w:spacing w:after="0" w:line="161"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obtain, maintain and protect our intellectual property. It is difficult and costly to protect our proprietary rights and technology, and we may not be able to ensure their protection.</w:t>
      </w:r>
    </w:p>
    <w:p>
      <w:pPr>
        <w:spacing w:after="0" w:line="161" w:lineRule="exact"/>
        <w:rPr>
          <w:rFonts w:ascii="Times New Roman" w:cs="Times New Roman" w:eastAsia="Times New Roman" w:hAnsi="Times New Roman"/>
          <w:sz w:val="18"/>
          <w:szCs w:val="18"/>
          <w:color w:val="auto"/>
        </w:rPr>
      </w:pPr>
    </w:p>
    <w:p>
      <w:pPr>
        <w:ind w:left="503" w:right="120" w:hanging="503"/>
        <w:spacing w:after="0" w:line="282" w:lineRule="auto"/>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collaboration and license agreements with third parties, including our existing license and collaboration agreements with Novatim and Factor. If we are unable to maintain these agreements, our business could be adversely affected.</w:t>
      </w:r>
    </w:p>
    <w:p>
      <w:pPr>
        <w:spacing w:after="0" w:line="161" w:lineRule="exact"/>
        <w:rPr>
          <w:rFonts w:ascii="Times New Roman" w:cs="Times New Roman" w:eastAsia="Times New Roman" w:hAnsi="Times New Roman"/>
          <w:sz w:val="18"/>
          <w:szCs w:val="18"/>
          <w:color w:val="auto"/>
        </w:rPr>
      </w:pPr>
    </w:p>
    <w:p>
      <w:pPr>
        <w:ind w:left="503" w:right="220" w:hanging="503"/>
        <w:spacing w:after="0" w:line="282" w:lineRule="auto"/>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and in-licensed patents and patent applications may not provide sufficient protection of our product candidates or result in any competitive advantage.</w:t>
      </w:r>
    </w:p>
    <w:p>
      <w:pPr>
        <w:spacing w:after="0" w:line="54" w:lineRule="exact"/>
        <w:rPr>
          <w:sz w:val="20"/>
          <w:szCs w:val="20"/>
          <w:color w:val="auto"/>
        </w:rPr>
      </w:pPr>
    </w:p>
    <w:p>
      <w:pPr>
        <w:jc w:val="center"/>
        <w:ind w:right="437"/>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3"/>
          </w:cols>
          <w:pgMar w:left="837" w:top="1201" w:right="399" w:bottom="1440" w:gutter="0" w:footer="0" w:header="0"/>
        </w:sectPr>
      </w:pPr>
    </w:p>
    <w:bookmarkStart w:id="39" w:name="page40"/>
    <w:bookmarkEnd w:id="39"/>
    <w:p>
      <w:pPr>
        <w:ind w:left="1020" w:right="2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shares of our common stock has been and is likely to continue to be volatile, and purchasers of our common stock could incur substantial losses.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a reverse stock split of our shares of common stock, which may reduce and may limit the market trading liquidity of the shares due to the reduced number of shares outstanding and may potentially have an anti-takeover effect.</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market and economic conditions may have serious adverse consequences on our business, financial condition and share price.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is thinly traded and our stockholders may be unable to sell their shares quickly or at market price.</w:t>
      </w:r>
    </w:p>
    <w:p>
      <w:pPr>
        <w:spacing w:after="0" w:line="225"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proper and effective internal controls, our ability to produce accurate financial statements on a timely basis could be impaired.</w:t>
      </w:r>
    </w:p>
    <w:p>
      <w:pPr>
        <w:spacing w:after="0" w:line="161" w:lineRule="exact"/>
        <w:rPr>
          <w:rFonts w:ascii="Times New Roman" w:cs="Times New Roman" w:eastAsia="Times New Roman" w:hAnsi="Times New Roman"/>
          <w:sz w:val="18"/>
          <w:szCs w:val="18"/>
          <w:color w:val="auto"/>
        </w:rPr>
      </w:pPr>
    </w:p>
    <w:p>
      <w:pPr>
        <w:jc w:val="both"/>
        <w:ind w:left="1020" w:right="18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listing of our common stock on Nasdaq or any stock exchange, our stock price could be adversely affected and the liquidity of our stock and our ability to obtain financing could be impaired and it may be more difficult for our stockholders to sell their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substantial doubt regarding our ability to continue as a going concern. We will require significant additional funding to finance our operations, which may not be available on acceptable terms or at all. Failure to obtain this necessary capital when needed may force us to delay, limit or terminate our product development efforts or our operations.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existing cash and cash equivalents of $7.7 million as of December 31, 2025 is expected to fund our operations through less than 12 months from the date our consolidated financial statements are available to be issued.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finite cash resources available to fund our operations. On February 3, 2026, we closed the Asset Acquisition. For more information regarding the Asset Acquisition see “</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Strategic Acquisition of Dual-Targeting CAR-T Programs.</w:t>
      </w:r>
      <w:r>
        <w:rPr>
          <w:rFonts w:ascii="Times New Roman" w:cs="Times New Roman" w:eastAsia="Times New Roman" w:hAnsi="Times New Roman"/>
          <w:sz w:val="18"/>
          <w:szCs w:val="18"/>
          <w:color w:val="auto"/>
        </w:rPr>
        <w:t>” Pursuant to the Asset Purchase Agreement, we entered into a funding commitment letter (the “Funding Commitment”) with Factor, which will provide us with financial support for at least 18 months following the closing of the Asset Acquisition, up to a maximum amount of $20.0 million that is inclusive of any amounts raised and received by us after the date of the Asset Purchase Agreement, on the terms and subject to the conditions and other provisions set forth in the funding commitment letter. As of the date of this report, we have $13.75 million available under the Funding Commitment. There is significant uncertainty as to whether we will be able to satisfy the terms and conditions and other provisions set forth in the funding commitment letter, and, if we are unable to do so, we may be limited in the amount of funding that we are able to access under the Funding Commitment or we may not be able to access any funds under the Funding Commitment. The timing of any additional funding from Factor is uncertain.</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date, we have not generated product revenues from our activities and have incurred substantial operating losses. We expect that we will continue to generate substantial operating losses for the foreseeable future until we complete development and approval of one of our product candidates. As such, we will need to continue to rely on additional financing to achieve our business objectives. Adequate additional financing may not be available to us on acceptable terms, or at all. Our ability to raise additional capital has been adversely impacted by potential worsening global economic conditions, inflation expectations, and the recent disruptions to and volatility in the credit and financial markets in the United States and worldwide resulting from geopolitical tensions.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conditions raise substantial doubt about our ability to continue as a going concern. We have evaluated the significance of the uncertainty regarding our financial condition in relation to our ability to meet our obligations, which has raised substantial</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doubt about our ability to continue as a going concern. There can be no assurances that we will be able to secure additional financing. In the event we do not, we may be required to wind down our operations and our stockholders will lose their investment.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proprietary rights.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public or private equity or debt financings, third-party funding, marketing and distribution arrangements, as well as other collaborations, strategic alliances and licensing arrangements, or any combination of these approaches. Other than the Funding Commitment, we do not have any committed external source of funds. To the extent that we raise additional capital through the sale of equity or convertible debt securities, including through the Funding Commitment, your ownership interest may be further diluted, and the terms of these securities may include liquidation or other preferences that adversely affect your rights as a stockholder. In addition, we may issue equity or debt securities as consideration for obtaining rights to additional compounds.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 and other operating restrictions that could negatively impact our ability to conduct our business.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if we raise additional capital through future collaborations, strategic alliances or third-party licensing arrangements, we may have to relinquish future revenue streams, research programs or product candidates, or grant licenses on terms that may not be favorable to us.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unable to raise additional capital when needed, we may be required to delay, limit, reduce or terminate our drug development or future commercialization efforts, or grant rights to develop and market product candidates that we would otherwise develop and market ourselves.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capital may be limited by applicable laws and regulations.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Using a shelf registration statement on Form S-3 to raise additional capital generally takes less time and is less expensive than other means, such as conducting an offering under a Form S-1 registration statement. However, our ability to raise capital using a shelf registration statement may be limited by, among other things, SEC rules and regulations. Under SEC rules and regulations, if our public float (the market value of our common stock held by non-affiliates) is less than $75.0 million, then the aggregate market value of securities sold by us or on our behalf under our Form S-3 in any 12-month period is limited to an aggregate of one-third of our public float. As our public float is currently less than $75.0 million, we are currently subject to this limitation. If our ability to utilize a Form S-3 registration statement for a primary offering of our securities continues to be limited to one-third of our public float, we may need to conduct such an offering pursuant to an exemption from registration under the Securities Act or under a Form S-1 registration statement, which would increase the cost of raising additional capital relative to utilizing a Form S-3 registration statement.</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clinical-stage biotechnology company with a limited operating history. Biotechnology product development is a highly speculative undertaking and involves a substantial degree of risk. Our operations to date have been limited primarily to organizing and staffing, business planning, raising capital, acquiring and developing product and technology rights, manufacturing, and conducting research and development activities for our product candidates. We have never generated any revenue from product sales, and we have not obtained regulatory approvals for any of our product candidates. We incurred net losses of $26.3 million and $41.8 million for the year ended December 31, 2025 and 2024, respectively. As of December 31, 2025, we had an</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jc w:val="both"/>
        <w:spacing w:after="0" w:line="258" w:lineRule="auto"/>
        <w:rPr>
          <w:sz w:val="20"/>
          <w:szCs w:val="20"/>
          <w:color w:val="auto"/>
        </w:rPr>
      </w:pPr>
      <w:r>
        <w:rPr>
          <w:rFonts w:ascii="Times New Roman" w:cs="Times New Roman" w:eastAsia="Times New Roman" w:hAnsi="Times New Roman"/>
          <w:sz w:val="18"/>
          <w:szCs w:val="18"/>
          <w:color w:val="auto"/>
        </w:rPr>
        <w:t>accumulated deficit of $233.4 million.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as we continue to conduct research and development, clinical testing, regulatory compliance activities, manufacturing activities, and, if any of our product candidates is approved, sales and marketing activities. Our prior losses, combined with our expected future losses, have had and will continue to have an adverse effect on our stockholders’ equity and working capital.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to date have been limited to organizing and staffing, business planning, raising capital, acquiring our technology, identifying potential product candidates, undertaking research and preclinical studies of our product candidates, manufacturing, and establishing licensing arrangements. We have not yet demonstrated the ability to complete clinical trials of our product candidates, obtain marketing approvals, manufacture a commercial scale product or conduct sales and marketing activities necessary for successful commercialization. Consequently, any predictions you make about our future success or viability may not be as accurate as they could be if we had a longer operating history.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as a new business, we may encounter unforeseen expenses, difficulties, complications, delays and other known and unknown factors. We will need to transition from a company with a licensing and research focus to a company that is also capable of supporting clinical development and commercial activities. We may not be successful in such a transition.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Integrating the Assets with our business may be more difficult, costly or time consuming than expected and we may fail to realize the anticipated benefits of the Asset Acquisition.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3, 2026, we completed the Asset Acquisition. The success of the Asset Acquisition will depend, in part, on our ability to realize the anticipated benefits from incorporating the Assets into our business and pipeline of product candidates. To realize the anticipated benefits from the Asset Acquisition, we must successfully integrate the Assets into our businesses in a manner that permits those benefits to be realized. If we are not able to successfully achieve these objectives, the anticipated benefits of the Asset Acquisition may not be realized fully or at all or may take longer to realize than expected. In addition, the anticipated benefits of the Asset Acquisition could be less than anticipated and integration may result in additional unforeseen expenses, which could have material adverse effects on our reputation, business, financial condition and results of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 the early stages of integrating the Assets into our business, and unknown or unanticipated risks associated with the Assets could adversely affect us.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conducted due diligence on the Assets prior to consummation of the Asset Acquisition, we are still relatively new to the development and operation of the Assets. As a result, we may not yet be aware of all material risks, liabilities, or challenges associated with the Assets, including risks that were not identified or fully appreciated during our due diligence process. There can be no assurance that our due diligence identified all risks, liabilities, or other material matters, that all material issues that could be uncovered through a customary level of due diligence were identified, or that factors outside of our control will not later arise. Even where due diligence successfully identifies certain risks, unexpected risks may arise, and previously known risks may materialize in a manner that is inconsistent with our preliminary risk assessments or assumptions.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attract and retain highly skilled employees to succeed.</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results of</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jc w:val="both"/>
        <w:spacing w:after="0" w:line="256" w:lineRule="auto"/>
        <w:rPr>
          <w:sz w:val="20"/>
          <w:szCs w:val="20"/>
          <w:color w:val="auto"/>
        </w:rPr>
      </w:pPr>
      <w:r>
        <w:rPr>
          <w:rFonts w:ascii="Times New Roman" w:cs="Times New Roman" w:eastAsia="Times New Roman" w:hAnsi="Times New Roman"/>
          <w:sz w:val="18"/>
          <w:szCs w:val="18"/>
          <w:color w:val="auto"/>
        </w:rPr>
        <w:t>operations and increase our capabilities to successfully commercialize our product candidates. In particular, we believe that our future success is highly dependent upon the contributions of our senior management, particularly our Chief Executive Officer and President, Matthew Angel. The loss of services of Dr. Angel, or any of our other senior management, could delay or prevent the successful development of our product pipeline, completion of our planned clinical trials or the commercialization of our product candidates, if approved. The competition for qualified personnel in the biotechnology field is intense and as a result, we may be unable to continue to attract and retain qualified personnel necessary for the development of our business or to recruit suitable replacement personnel.</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expand our organization in the future, and we may experience difficulties in managing this growth, which could disrupt our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March 1, 2026, we had four full-time employees. As the clinical development of our product candidates progresses, we will need to hire additional employees and expand the scope of our operations, particularly in the areas of research, drug development, manufacturing, clinical operations, regulatory affairs, business and development, finance and accounting and, if any of our product candidates receives marketing approval, sales, marketing and distribution. To manage any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potential growth, we may not be able to effectively manage the expansion of our operations or recruit and train additional qualified personnel. Any expansion of our operations may lead to significant expenses, additional dilution and may divert our management and business development resources. Any inability to manage growth could delay the execution of our business plans or disrupt our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or strategic alliances could disrupt our business and harm our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acquire additional businesses, product candidates or drugs form strategic alliances or create joint ventures with third parties that we believe will complement or augment our existing business. If we acquire businesses or product candidates with promising markets or technologies, we may not be able to realize the benefit of acquiring such businesses if we are unable to successfully integrate them with our existing operations and company culture. For example, in February 2026, we completed the Asset Acquisition.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w:t>
      </w:r>
    </w:p>
    <w:p>
      <w:pPr>
        <w:spacing w:after="0" w:line="189"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research and development efforts;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from the acquired company;</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with strategic partners as a result of product acquisitions or strategic positioning resulting from the acquisition;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ind w:left="1020" w:right="3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sufficiently effective controls, procedures and policies;</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intellectual property infringement claims, violation of laws, commercial disputes, tax liabilities and other known liabilities;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write-offs or charges; and</w:t>
      </w:r>
    </w:p>
    <w:p>
      <w:pPr>
        <w:spacing w:after="0" w:line="225"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customers, former stockholders or other third parties.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past or future acquisitions or strategic alliances could cause us to fail to realize the anticipated benefits of these transactions, cause us to incur unanticipated liabilities and harm the business generally. There is also a risk that future acquisitions will result in the incurrence of debt, contingent liabilities, amortization expenses or incremental operating expenses, any of which could harm our financial condition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tax credit carryforwards may be subject to limitations.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ability to use our federal and state net operating losses (“NOLs”) to offset potential future taxable income and related income taxes that would otherwise be due is dependent upon our generation of future taxable income, and we cannot predict with certainty when, or whether, we will generate sufficient taxable income to use all of our NOLs.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Federal NOLs generated in tax years beginning on or before December 31, 2017, are permitted to be carried forward for only 20 years, and federal NOLs generated in tax years beginning after December 31, 2017, may be carried forward indefinitely, but the utilization of such federal NOLs is limited to 80% of taxable income. In addition, under Section 382 and Section 383 of the Internal Revenue Code of 1986, as amended (the “Code”), and corresponding provisions of state law, if a corporation undergoes an “ownership change,” its ability to use its pre-change NOL carryforwards and other pre-change tax attributes (such as research tax credits) to offset its post-change income or taxes may be limited. An “ownership change” under Section 382 of the Code is generally defined as a greater than 50 percentage point change (by value) in the corporation’s equity ownership by certain stockholders over a three-year period. We may have experienced ownership changes in the past, including as a result of our merger with Millendo Therapeutics, Inc. (“Millendo”), and may experience ownership changes in the future due to subsequent shifts in our stock ownership (some of which are outside of our control). Furthermore, the merger with Millendo constituted an ownership change of Millendo which may have eliminated or otherwise substantially limited our ability to use Millendo’s federal and state NOLs to offset our future taxable income. Consequently, even if we achieve profitability, we may not be able to utilize a material portion of our NOL carryforwards and other tax attributes, which could have a material adverse effect on cash flow and results of operations. Similar provisions of state tax law may also apply to limit our ability to use our accumulated state tax attributes. There is also a risk that due to regulatory changes, such as suspensions on the use of NOLs, or other unforeseen reasons, our existing NOLs could expire or otherwise be unavailable to offset future income tax liabilities.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Product Development and Regulatory Approval</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obtain regulatory approval for and commercialize our product candidates, including TPST-2003, TPST-1495 and amezalpat, or any of our future product candidates, or if we experience significant delays in doing so, our business will be materially harmed.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plan to invest a substantial amount of our efforts and financial resources in our product candidates, including TPST-2003, a dual-targeting CD19/BCMA CAR-T product under development for the treatment of multiple myeloma. Our ability to generate product revenue will depend heavily on the successful development and eventual commercialization of our product candidates and any future product candidates, which may never occur. We currently generate no revenue from sales of any product and we may never be able to develop or commercialize a marketable product.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jc w:val="both"/>
        <w:spacing w:after="0" w:line="256" w:lineRule="auto"/>
        <w:rPr>
          <w:sz w:val="20"/>
          <w:szCs w:val="20"/>
          <w:color w:val="auto"/>
        </w:rPr>
      </w:pPr>
      <w:r>
        <w:rPr>
          <w:rFonts w:ascii="Times New Roman" w:cs="Times New Roman" w:eastAsia="Times New Roman" w:hAnsi="Times New Roman"/>
          <w:sz w:val="18"/>
          <w:szCs w:val="18"/>
          <w:color w:val="auto"/>
        </w:rPr>
        <w:t>Each of our product candidates will require further clinical and/or preclinical development, regulatory approval in multiple jurisdictions, obtaining preclinical, clinical and commercial manufacturing supply, capacity and expertise, building of a commercial organization, substantial investment and significant marketing efforts before we generate any revenue from product sales. TPST-2003, TPST-1495 and amezalpat, and any future product candidates, must be authorized for marketing by the FDA, the Health Products and Food Branch of Health Canada (“HPFB”), the European Medicines Agency (“EMA”), and certain other foreign regulatory agencies before we may commercialize any of our product candidates in the United States, Canada, European Union, or other jurisdictions.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TPST-2003, TPST-1495 and amezalpat and any future product candidates depends on multiple factors, including:</w:t>
      </w:r>
    </w:p>
    <w:p>
      <w:pPr>
        <w:spacing w:after="0" w:line="225" w:lineRule="exact"/>
        <w:rPr>
          <w:sz w:val="20"/>
          <w:szCs w:val="20"/>
          <w:color w:val="auto"/>
        </w:rPr>
      </w:pPr>
    </w:p>
    <w:p>
      <w:pPr>
        <w:jc w:val="both"/>
        <w:ind w:left="1020" w:right="1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including those compliant with Good Laboratory Practice (“GLP”), or GLP toxicology studies, biodistribution studies and minimum effective dose studies in animals, and successful enrollment and completion of clinical trials compliant with current Good Clinical Practices (“GCPs”);</w:t>
      </w:r>
    </w:p>
    <w:p>
      <w:pPr>
        <w:spacing w:after="0" w:line="175"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Investigational New Drug applications or other regulatory applications, that allow commencement of our planned clinical trials or future clinical trials for our product candidates in relevant territories;</w:t>
      </w:r>
    </w:p>
    <w:p>
      <w:pPr>
        <w:spacing w:after="0" w:line="161"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relationships with contract research organizations (“CROs”) and clinical sites for the clinical development of our product candidates, both in the United States and internationally;</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technology transfer and scale-up of cell therapy manufacturing processes;</w:t>
      </w:r>
    </w:p>
    <w:p>
      <w:pPr>
        <w:spacing w:after="0" w:line="225"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arrangements with third-party contract manufacturing organizations (“CMOs”) for key materials used in our manufacturing processes and to establish backup sources for clinical and large-scale commercial supply;</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collaboration with development partners, including those conducting clinical trials outside the United States;</w:t>
      </w:r>
    </w:p>
    <w:p>
      <w:pPr>
        <w:spacing w:after="0" w:line="225"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from our clinical programs that are supportive of safety and efficacy and provide an acceptable risk-benefit profile for our product candidates in the intended patient populations;</w:t>
      </w:r>
    </w:p>
    <w:p>
      <w:pPr>
        <w:spacing w:after="0" w:line="161"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from applicable regulatory authorities, including those necessary for pricing and reimbursement of our product candidates;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acceptance of clinical data generated outside the United States;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and maintenance of patent and trade secret protection and regulatory exclusivity for our product candidates;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launch of our product candidates, if and when approved, whether alone or in collaboration with others;</w:t>
      </w:r>
    </w:p>
    <w:p>
      <w:pPr>
        <w:spacing w:after="0" w:line="225"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approved, by patients, patient advocacy groups, third-party payors and the general medical community;</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compete with developers of other therapies available in the market;</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and maintenance of adequate reimbursement from third-party payors for our product candidates;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or in-license additional product candidates;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prosecution, maintenance, enforcement and defense of intellectual property rights and claims;</w:t>
      </w:r>
    </w:p>
    <w:p>
      <w:pPr>
        <w:spacing w:after="0" w:line="225"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profile of our product candidates following approval, including meeting any post-marketing commitments or requirements imposed by or agreed to with applicable regulatory authorities;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factors surrounding the approval process, such as government shutdowns; or</w:t>
      </w:r>
    </w:p>
    <w:p>
      <w:pPr>
        <w:spacing w:after="0" w:line="225"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natural disasters including earthquakes, typhoons, floods and fires, and public health crises.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do not succeed in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Success in preclinical studies and earlier clinical trials for our product candidates may not be indicative of the results that may be obtained in later clinical trials, which may delay or prevent obtaining regulatory approval.</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Clinical development is expensive and can take many years to complete, and our outcome is inherently uncertain. Failure can occur at any time during the clinical trial process. Success in preclinical studies and early clinical trials may not be predictive of results in later-stage clinical trials, and successful results from early or small clinical trials may not be replicated or show as favorable an outcome in later-stage or larger clinical trials, even if successful. We will be required to demonstrate through adequate and well-controlled clinical trials that our product candidates are safe and effective for their intended uses before we can seek regulatory approvals for their commercial sale. The conduct of Phase 3 trials and the submission of a New Drug Application (“NDA”) or Biologic License Application (“BLA”) is a complicated process. We have not previously completed any pivotal clinical trials, have limited experience in preparing, submitting and supporting regulatory filings, and have not previously submitted an NDA or BLA. Consequently, we may be unable to successfully and efficiently execute and complete necessary clinical trials and other requirements in a way that leads to NDA or BLA submission and approval of any product candidate we are developing.</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our clinical trials demonstrate acceptable safety and efficacy of current or any future product candidates and such product candidates receive regulatory approval, the labeling we obtain through negotiations with the FDA or foreign regulatory authorities may not include data on secondary endpoints and may not provide us with a competitive advantage over other products approved for the same or similar indications.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companies in the biotechnology industry have suffered significant setbacks in late-stage clinical trials after achieving positive results in early-stage development, and there is a high failure rate for product candidates proceeding through clinical trials. In addition, different methodologies, assumptions and applications we utilize to assess particular safety or efficacy parameters may yield different statistical results. Even if we believe the data collected from clinical trials of our product candidates are promising, these data may not be sufficient to support approval by the FDA or foreign regulatory authorities. Preclinical and clinical data can be interpreted in different ways. Accordingly, the FDA or foreign regulatory authorities could interpret these data in different ways from us or our partners, which could delay, limit or prevent regulatory approval. If our study data does not consistently or sufficiently demonstrate the safety or efficacy of any of our product candidates to the satisfaction of the FDA or foreign regulatory authorities, then the regulatory approvals for such product candidates could be significantly delayed as we work to meet approval requirements, or, if we are not able to meet these requirements, such approvals could be withheld or withdrawn.</w:t>
      </w:r>
    </w:p>
    <w:p>
      <w:pPr>
        <w:spacing w:after="0" w:line="184" w:lineRule="exact"/>
        <w:rPr>
          <w:sz w:val="20"/>
          <w:szCs w:val="20"/>
          <w:color w:val="auto"/>
        </w:rPr>
      </w:pPr>
    </w:p>
    <w:p>
      <w:pPr>
        <w:jc w:val="center"/>
        <w:ind w:right="100"/>
        <w:spacing w:after="0" w:line="41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we encounter difficulties enrolling patients in our clinical trials, our clinical development activities could be delayed or otherwise adversely affected. </w:t>
      </w: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jc w:val="both"/>
        <w:spacing w:after="0" w:line="266" w:lineRule="auto"/>
        <w:rPr>
          <w:sz w:val="20"/>
          <w:szCs w:val="20"/>
          <w:color w:val="auto"/>
        </w:rPr>
      </w:pPr>
      <w:r>
        <w:rPr>
          <w:rFonts w:ascii="Times New Roman" w:cs="Times New Roman" w:eastAsia="Times New Roman" w:hAnsi="Times New Roman"/>
          <w:sz w:val="18"/>
          <w:szCs w:val="18"/>
          <w:color w:val="auto"/>
        </w:rPr>
        <w:t>We may experience difficulties in patient enrollment in our clinical trials for a variety of reasons. The timely completion of clinical trials in accordance with our protocols depends, among other things, on our ability to enroll a sufficient number of patients who remain in the study until our conclusion. The enrollment of patients depends on many factors, including:</w:t>
      </w:r>
    </w:p>
    <w:p>
      <w:pPr>
        <w:spacing w:after="0" w:line="176"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trial’s primary endpoints;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study sites;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our clinical trials will drop out of the trials before the infusion of our product candidates or trial completion.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Delays or failures in planned patient enrollment or retention may result in increased costs, program delays or both, which could have a harmful effect on our ability to develop our product candidates or could render further development impossible. For example, the impact of public health crises or geopolitical tensions, such as war or terrorism, may delay or prevent patients from enrolling or from receiving treatment in accordance with the protocol and the required timelines, which could delay our clinical trials, or prevent us from completing our clinical trials at all.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some of our clinical trial sites are also being used by some of our competitors, which may reduce the number of patients who are available for our clinical trials in that clinical trial site.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Moreover, because our product candidates represent unproven methods for cancer treatment, potential patients and their doctors may be inclined to use existing therapies rather than enroll patients in our clinical trials.</w:t>
      </w:r>
    </w:p>
    <w:p>
      <w:pPr>
        <w:spacing w:after="0" w:line="158"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derive results and data for TPST-2003 and TPST-2206 from clinical trials led by Novatim in China; our role in any such trials and our access to the clinical results and data, will be limited and there is no assurance that the clinical data from any such trials will be accepted or considered by the FDA, or other comparable regulatory authorities.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Novatim License Agreement, we expect Novatim to fund and lead clinical trial(s) of TPST-2003 and TPST-2206 in China. While these trials may provide us with clinical data that can inform our future development strategy, we do not have control over the protocols, administration, or conduct of the trials or their compliance with regulatory requirements. There is also no assurance that the clinical data from any such clinical trials will be accepted or considered by the FDA or other comparable regulatory authorities. Additional risks include procedural delays, timing issues and difficulties or differences in interpreting data. As a result, our minimal control over the conduct and timing of, and communications with the FDA, the National Medical Products Administration (“NMPA”) with respect to the trials that Novatim is conducting expose us to additional risks and uncertainties, many of which are outside our control, and the occurrence of which could adversely affect the prospects for our product candidates. Furthermore, any data integrity issues or patient safety issues arising out of any of these trials would be beyond our control, yet could adversely affect our reputation and damage the clinical and commercial prospects for our product candidates. 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jc w:val="both"/>
        <w:spacing w:after="0" w:line="282" w:lineRule="auto"/>
        <w:rPr>
          <w:sz w:val="20"/>
          <w:szCs w:val="20"/>
          <w:color w:val="auto"/>
        </w:rPr>
      </w:pPr>
      <w:r>
        <w:rPr>
          <w:rFonts w:ascii="Times New Roman" w:cs="Times New Roman" w:eastAsia="Times New Roman" w:hAnsi="Times New Roman"/>
          <w:sz w:val="18"/>
          <w:szCs w:val="18"/>
          <w:color w:val="auto"/>
        </w:rPr>
        <w:t>candidates than what we have to offer. If we are unable to continue to attract and retain high-quality personnel, the rate and success at which we can discover and develop product candidates and our business will be limited.</w:t>
      </w:r>
    </w:p>
    <w:p>
      <w:pPr>
        <w:spacing w:after="0" w:line="15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plan to work with our collaborator, Novatim, to conduct clinical trials for TPST-2003 and TPST-2206 outside the United States, including China, and the FDA and similar foreign regulatory authorities may not accept data from such trials conducted in locations outside of their jurisdiction.</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Pursuant to the Asset Purchase Agreement, at Closing we assumed Erigen’s rights and obligations under each of the Novatim License Agreement pursuant to which Novatim is pursuing clinical trials of TPST-2003 and TPST-2206 in China to generate clinical data from patients with rrMM and RCC, respectively. In addition, we may choose to conduct other clinical trials outside the United States, including in the Australia, Canada, Europe, the United Kingdom or other foreign jurisdictions. The acceptance by the FDA of data from clinical trials conducted in China or any other clinical trial outside the United States may be subject to certain conditions or may not be accepted at all.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For example, in February 2022, the FDA publicly rebuked an oncology product sponsor for submitting a marketing application with Phase 3 clinical data solely from China and since that time, it has declined to approve other applications that contained primarily China-generated clinical data.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United States, including China,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and preliminary data from our or our licensors' clinical trials that we may announce or publish from time to time may change as more patient data becomes available and are subject to audit and verification procedures that could result in material changes in the final data.</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publish interim or preliminary data from our or our licensors' clinical studies. Interim data from clinical trials that we or our licensors' may complete are subject to the risk that one or more of the clinical outcomes may materially change as patient enrollment continues and more patient data become available.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Preliminary or interim data also remain subject to audit and verification procedures that may result in the final data being materially different from the preliminary data we previously published. As a result, interim and preliminary data should be viewed with caution until the final data is available. Adverse differences between preliminary or interim data and final data could significantly harm our business prospects.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are investigating amezalpat and TPST-1495 in combination with other approved therapies, and we may in the future investigate product candidates in combination with other approved and unapproved therapies, which exposes us to additional risks.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currently investigating and may continue to investigate one or more of our product candidates in combination with one or more other approved or unapproved therapies to treat cancers.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including shortages of those products for use in our intended clinical trials. If the therapies we use in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jc w:val="both"/>
        <w:spacing w:after="0" w:line="253" w:lineRule="auto"/>
        <w:rPr>
          <w:sz w:val="20"/>
          <w:szCs w:val="20"/>
          <w:color w:val="auto"/>
        </w:rPr>
      </w:pPr>
      <w:r>
        <w:rPr>
          <w:rFonts w:ascii="Times New Roman" w:cs="Times New Roman" w:eastAsia="Times New Roman" w:hAnsi="Times New Roman"/>
          <w:sz w:val="18"/>
          <w:szCs w:val="18"/>
          <w:color w:val="auto"/>
        </w:rPr>
        <w:t>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 We also may choose to evaluate our current product candidates or any other future product candidates in combination with one or more cancer therapies that have not yet been approved for marketing by the FDA or comparable foreign regulatory authorities. We will not be able to market and sell our current product candidates or any product candidate we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our product candidates currently in development and clinical trials, including the potential for serious adverse effects, delay in their clinical trials and lack of FDA approval. If the FDA or comparable foreign regulatory authorities do not approve these other products or revoke their approval of, or if safety, efficacy, quality, manufacturing or supply issues arise with, the products we choose to evaluate in combination with our product candidate we develop, we may be unable to obtain approval of or market such combination therapy.</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we cannot predict when, or if, we will obtain regulatory approval to commercialize a product candidate and the approval may be for a narrower indication than we seek.</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Prior to commercialization, TPST-2003, TPST-1495, amezalpat and any future product candidates must be approved by the FDA pursuant to an NDA or BLA in the United States and pursuant to similar marketing applications by the HPFB, EMA and similar regulatory authorities outside the United States. The process of obtaining marketing approvals, both in the United States and abroad, is expensive and takes many years, if approval is obtained at all, and can vary substantially based upon a variety of factors, including the type, complexity and novelty of the product candidates involved. Failure to obtain marketing approval for a product candidate will prevent us from commercializing the product candidate. We have not received approval to market any of our product candidates from regulatory authorities in any jurisdiction. We have no experience in submitting and supporting the applications necessary to gain marketing approvals, and, in the event regulatory authorities indicate that we may submit such applications, we may be unable to do so as quickly and efficiently as desired.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us from obtaining marketing approval or prevent or limit commercial use. Regulatory authorities have substantial discretion in the approval process and may refuse to accept or file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of our current and future product candidates may be delayed or refused for many reasons, including:</w:t>
      </w:r>
    </w:p>
    <w:p>
      <w:pPr>
        <w:spacing w:after="0" w:line="225"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our product candidates are safe and effective for any of their proposed indications;</w:t>
      </w:r>
    </w:p>
    <w:p>
      <w:pPr>
        <w:spacing w:after="0" w:line="16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populations studied in clinical trials may not be sufficiently broad or representative to assure efficacy and safety in the populations for which we seek approval;</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our product candidates’ clinical and other benefits outweigh their safety risks;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BLA or other comparable submission in foreign jurisdictions or to obtain regulatory approval in the United States or elsewhere;</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facilities of third-party manufacturers with which we contract or procure certain service or raw materials, may not be adequate to support approval of our product candidates;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our product candidates meet their pre-specified safety and efficacy endpoints in clinical trials, the regulatory authorities may not complete their review processes in a timely manner and may not consider such clinical trial results sufficient to grant,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Regulatory authorities also may approve a product candidate for more limited indications than requested or they may impose significant limitations in the form of narrow indications, warnings, contraindications or Risk Evaluation and Mitigation Strategies (“REMS”). These regulatory authorities may also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adversely affect our business, financial condition, results of operations and prospects.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and any future product candidates may cause undesirable and/or unforeseen side effects or be perceived by the public as unsafe, which could delay or prevent their advancement into clinical trials or regulatory approval, limit the commercial potential or result in significant negative consequences.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As we continue developing our product candidates and initiate clinical trials of our additional product candidates, serious adverse events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any such adverse events occur, our clinical trials could be suspended or terminated and the FDA, the HPFB, the European Commission, the EMA or other regulatory authorities could order us to cease further development of, or deny approval of, our product candidates for any or all targeted indications. Even if we can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adversely affect our business, financial condition, results of operations and prospects significantly, including our ability to successfully sign collaboration or license agreements with external partners. Other treatments for cancers that utilize prostaglandin E2 antagonist or a PPARα antagonist or similar mechanism of action could also generate data that could adversely affect the clinical, regulatory or commercial perception of our current and any future product candidates.</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if any of our product candidates receives marketing approval, the FDA could require us to adopt a REMS to ensure that the benefits of the product outweigh our risks, which may include, for example, a Medication Guide outlining the risks of</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the product for distribution to patients and a communication plan to health care practitioners, or other elements to assure safe use of the product.</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Furthermore, if we or others later identify undesirable side effects caused by our product candidates, several potentially significant negative consequences could result, including:</w:t>
      </w:r>
    </w:p>
    <w:p>
      <w:pPr>
        <w:spacing w:after="0" w:line="162"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or withdraw approvals of such product candidate;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in the product labeling;</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candidate is administered or conduct additional clinical trials;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occurrences may harm our business, financial condition, results of operations and prospects significantly.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expand our pipeline of product candidates and develop marketable products.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are researching or have in preclinical development. Even if we are successful in continuing to build our pipeline, including through the Asset Acquisition,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develop further product candidates, we may not be able to obtain product revenue in future periods, which would adversely affect our business, prospects, financial condition and results of operations.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our pipeline includes multiple programs, we are primarily focused on TPST-2003, TPST-1495 and amezalpat, and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 candidates, when and if any of them are approved.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potential commercialization, including their testing, manufacturing, recordkeeping, labeling, storage, approval, advertising, promotion, sale and distribution, are subject to comprehensive regulation by the FDA and other U.S. and international regulatory authorities. These requirements include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jc w:val="both"/>
        <w:spacing w:after="0" w:line="258" w:lineRule="auto"/>
        <w:rPr>
          <w:sz w:val="20"/>
          <w:szCs w:val="20"/>
          <w:color w:val="auto"/>
        </w:rPr>
      </w:pPr>
      <w:r>
        <w:rPr>
          <w:rFonts w:ascii="Times New Roman" w:cs="Times New Roman" w:eastAsia="Times New Roman" w:hAnsi="Times New Roman"/>
          <w:sz w:val="18"/>
          <w:szCs w:val="18"/>
          <w:color w:val="auto"/>
        </w:rPr>
        <w:t>submissions of safety and other post-marketing information and reports, registration and listing requirements, requirements relating to manufacturing, including current Good Manufacturing Practices (“cGMP”), quality control, quality assurance and corresponding maintenance of records and documents, including periodic inspections by the FDA and other regulatory authorities and requirements regarding the distribution of samples to providers and recordkeeping. In addition, manufacturers of drug products and their facilities are subject to continual review and periodic, unannounced inspections by the FDA and other regulatory authorities for compliance with cGMP.</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any approved product. The FDA closely regulates the post-approval marketing and promotion of drugs to ensure that they are marketed in a manner consistent with the provisions of the approved labeling. The FDA imposes stringent restrictions on manufacturers’ communications regarding use of their products. If we promote our product candidates in a manner inconsistent with FDA-approved labeling or otherwise not in compliance with FDA regulations, we may be subject to enforcement action. Violations of the FFDCA relating to the promotion of prescription drugs may lead to investigations alleging violations of federal and state healthcare fraud and abuse laws, as well as state consumer protection laws and similar laws in international jurisdictions.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 candidates, manufacturers or manufacturing processes, or failure to comply with regulatory requirements, may yield various results, including:</w:t>
      </w:r>
    </w:p>
    <w:p>
      <w:pPr>
        <w:spacing w:after="0" w:line="162"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 candidates, manufacturers or manufacturing processes;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any approved product from the market;</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 candidates;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 candidates;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 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it may lose any marketing approval that we have obtained, and we may not achieve or sustain profitability.</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jc w:val="both"/>
        <w:spacing w:after="0" w:line="282" w:lineRule="auto"/>
        <w:rPr>
          <w:sz w:val="20"/>
          <w:szCs w:val="20"/>
          <w:color w:val="auto"/>
        </w:rPr>
      </w:pPr>
      <w:r>
        <w:rPr>
          <w:rFonts w:ascii="Times New Roman" w:cs="Times New Roman" w:eastAsia="Times New Roman" w:hAnsi="Times New Roman"/>
          <w:sz w:val="18"/>
          <w:szCs w:val="18"/>
          <w:color w:val="auto"/>
        </w:rPr>
        <w:t>Non-compliance with Canadian and European requirements regarding safety monitoring or pharmacovigilance, and with requirements related to the development of products for the pediatric population, can also result in significant financial penalties.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market and sell any of our current or future product candidates in other jurisdictions, we must obtain separate marketing approvals and comply with numerous and varying regulatory requirements. The approval procedure varies among countries and can involve additional testing. The time and data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or non-compliance with foreign regulatory requirements could result in significant delays, difficulties and costs for us and could delay or prevent the introduction of our product candidates in certain countries.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and Manufacturing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our product candidates will depend upon their degree of market acceptance by providers, patients, patient advocacy groups, third-party payors and the general medical community.</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the requisite approvals from the FDA, the HPFB, the EMA and other regulatory authorities internationally are obtained, the commercial success of our product candidates will depend, in part, on the acceptance of providers, patients and third-party payors, as medically necessary, cost-effective and safe. In addition, we may face challenges in seeking to establish and grow sales of any current or future product candidates. Any product that we commercialize may not gain acceptance by providers, patients, patient advocacy groups, third-party payors and the general medical community. If these products do not achieve an adequate level of acceptance, we may not generate significant product revenue and may not become profitable.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Even if a potential product displays a favorable efficacy and safety profile in preclinical studies and clinical trials, market acceptance of the product will not be fully known until after it is launched.</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pricing, insurance coverage and reimbursement status of newly approved products is uncertain. Failure to obtain or maintain adequate coverage and reimbursement for our product candidates, if approved, could limit our ability to market those products and decrease our ability to generate product revenue.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Successful sales of our product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product candidates for which we obtain regulatory approval. In addition, because our product candidates represent new approaches to the treatment of cancer, we cannot accurately estimate the potential revenue from our product candidates.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that coverage and reimbursement by third-party payors will be essential for most patients to be able to afford these treatments. Accordingly, sales of our product candidates will depend substantially, both domestically and internationally, on the extent to which the costs of our product candidates will be paid by health maintenance, managed care, pharmacy benefit and similar healthcare management organizations, or will be reimbursed by government payors, private health coverage insurers and</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jc w:val="both"/>
        <w:spacing w:after="0" w:line="282" w:lineRule="auto"/>
        <w:rPr>
          <w:sz w:val="20"/>
          <w:szCs w:val="20"/>
          <w:color w:val="auto"/>
        </w:rPr>
      </w:pPr>
      <w:r>
        <w:rPr>
          <w:rFonts w:ascii="Times New Roman" w:cs="Times New Roman" w:eastAsia="Times New Roman" w:hAnsi="Times New Roman"/>
          <w:sz w:val="18"/>
          <w:szCs w:val="18"/>
          <w:color w:val="auto"/>
        </w:rPr>
        <w:t>other third-party payors. Even if coverage is provided, the established reimbursement amount may not be high enough to allow us to establish or maintain pricing sufficient to realize a sufficient return on our investment.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will be covered and reimbursed. The Medicare program covers certain individuals aged 65 or older, disabled or suffering from end-stage renal disease. The Medicaid program, which varies from state-to-state, covers certain individuals and families who have limited financial means. The Medicare and Medicaid programs increasingly are used as models for how private payors and other government payors develop their coverage and reimbursement policies for drugs. One payor’s determination to provide coverage for a drug product, however, does not assure that other payors will also provide coverage for the drug product. Further, a payor’s decision to provide coverage for a drug product does not imply that an adequate reimbursement rate will be approved.</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government and private payors, professional organizations such as the American Medical Association, can influence decisions about coverage and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compared to existing alternatives. Such organizations may set guidelines that limit reimbursement or utilization of our product candidates, if approved. Even if favorable coverage and reimbursement status is attained for one or more product candidates for which our collaborators receive regulatory approval, less favorable coverage policies and reimbursement rates may be implemented in the future.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therapeutics such as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revenues and profits.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increasing efforts by government and other third-party payors, in the United States and internationally, to cap or reduce healthcare costs may cause such payors to limit both coverage and the level of reimbursement for new products approved and, as a result, they may not cover or provide adequate payment for our product candidates. For example, the U.S. Department of Health and Human Services (“HHS”), imposes rebates on many Medicare Part B and Medicare Part D products to penalize price increases that outpace inflation on an annual basis. HHS has also been empowered to negotiate the price of certain single-source drugs that have been on the market for at least seven years and biologics that have been on the market for at least eleven years covered under Medicare as part of the Medicare Drug Price Negotiation Program. Each year up to 20 products will be selected by HHS for the Medicare Drug Price Negotiation Program. Products subject to the Medicare Drug Price Negotiation Program are expected to experience a significant reduction in reimbursement from the Medicare program on a per unit basis.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experience pricing pressures in connection with the sale of any of our product candidates due to the trend toward managed healthcare, the increasing influence of certain third-party payors, such as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 Recently there have been instances in which third-party payors have refused to reimburse treatments for patients for whom the treatment is indicated in the FDA-approved product labeling. Even if we are successful in</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jc w:val="both"/>
        <w:spacing w:after="0" w:line="261" w:lineRule="auto"/>
        <w:rPr>
          <w:sz w:val="20"/>
          <w:szCs w:val="20"/>
          <w:color w:val="auto"/>
        </w:rPr>
      </w:pPr>
      <w:r>
        <w:rPr>
          <w:rFonts w:ascii="Times New Roman" w:cs="Times New Roman" w:eastAsia="Times New Roman" w:hAnsi="Times New Roman"/>
          <w:sz w:val="18"/>
          <w:szCs w:val="18"/>
          <w:color w:val="auto"/>
        </w:rPr>
        <w:t>obtaining FDA approval to commercialize our product candidates, we cannot guarantee that we will be able to secure reimbursement for all patients for whom treatment with our product candidates is indicated. If coverage and adequate reimbursement are not available, or are available only to limited levels, we may not be able to successfully commercialize our product candidates that we develop, which could have an adverse effect on our operating results and our overall financial condition.</w:t>
      </w:r>
    </w:p>
    <w:p>
      <w:pPr>
        <w:spacing w:after="0" w:line="17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third parties on which we depend to conduct our planned preclinical studies or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third-party CROs, CMOs, consultants and others to design, conduct, supervise and monitor key activities relating to, testing, discovery, manufacturing, preclinical studies and clinical trials of our product candidates, and we intend to do the same for future activities relating to existing and future programs. Because we rely on third parties and does not have the ability to conduct all required testing,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testing, discovery, manufacturing, preclinical studies or clinical trials being delayed or unsuccessful, in whole or in part.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as well as in accordance with GLP, GCP and other applicable laws, regulations and standards. Our reliance on third parties that we do not control does not relieve us of these responsibilities and requirements. The FDA and other regulatory authorities enforce GCP through periodic inspections of trial sponsors, principal investigators and trial sites. If we or any of these third parties fails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have complied with GCP. In addition, our clinical trials must be conducted with product produced in accordance with cGMP. Our failure to comply with these regulations may require us to repeat clinical trials, which could delay or prevent the receipt of regulatory approvals. Any such event could have an adverse effect on our business, financial condition, results of operations and prospects.</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an environment of rapid technological change, and it is possible that our competitors may achieve regulatory approval before us or develop therapies that are more advanced or effective than our therapies, which may harm our business, financial condition and our ability to successfully market or commercialize our current or future product candidates.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biopharmaceutical industry, and the immuno-oncology industry specifically, is characterized by intense competition and rapid innovation. We are aware of other companies focused on developing cancer therapies in various indications. We may also face competition from large and specialty pharmaceutical and biotechnology companies, academic research institutions, government agencies and public and private research institutions that conduct research, seek patent protection, and establish collaborative arrangements for research, development, manufacturing and commercialization.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of our potential competitors, alone or with their strategic partners, may have substantially greater financial, technical and other resources than we do, such as larger research and development, clinical, marketing and manufacturing organizations. Mergers and acquisitions in the biotechnology and pharmaceutical industries may result in even more resources being</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jc w:val="both"/>
        <w:spacing w:after="0" w:line="256" w:lineRule="auto"/>
        <w:rPr>
          <w:sz w:val="20"/>
          <w:szCs w:val="20"/>
          <w:color w:val="auto"/>
        </w:rPr>
      </w:pPr>
      <w:r>
        <w:rPr>
          <w:rFonts w:ascii="Times New Roman" w:cs="Times New Roman" w:eastAsia="Times New Roman" w:hAnsi="Times New Roman"/>
          <w:sz w:val="18"/>
          <w:szCs w:val="18"/>
          <w:color w:val="auto"/>
        </w:rPr>
        <w:t>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 candidates that we may develop. Competitors also may obtain FDA or other regulatory approval for their products more rapidly than we may obtain approval for our products, which could result in our competitors establishing a strong market position before we are able to enter the market, if ever. Additionally, new or advanced technologies developed by our competitors may render our current or future product candidates uneconomical or obsolete, and we may not be successful in marketing our product candidates against competitors.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must develop and eventually commercialize product candidates with significant market potential, which will require us to be successful in a range of challenging activities. These activities include, among other things, completing preclinical studies and initiating and completing clinical trials of our product candidates, obtaining marketing approval for these product candidates, manufacturing, marketing and selling those products that are approved and satisfying any post 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common stock and could impair our ability to raise capital, maintain our research and development efforts, expand our business or continue operations. A decline in the value of our common stock also could cause you to lose all or part of your investment.</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rely on third parties to manufacture our clinical product supplies, and we may have to rely on third parties to produce and process our product candidates, if approved.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must currently rely on outside vendors to manufacture supplies and process our product candidates. We have not yet manufactured or processed our product candidates on a commercial scale and may not be able to achieve manufacturing and processing and may be unable to create an inventory of mass-produced, off-the-shelf product to satisfy demands for any of our product candidates.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never be able to develop a commercially viable product. In addition, we anticipate reliance on a limited number of third-party manufacturers exposes us to the following risks:</w:t>
      </w:r>
    </w:p>
    <w:p>
      <w:pPr>
        <w:spacing w:after="0" w:line="72" w:lineRule="exact"/>
        <w:rPr>
          <w:sz w:val="20"/>
          <w:szCs w:val="20"/>
          <w:color w:val="auto"/>
        </w:rPr>
      </w:pPr>
    </w:p>
    <w:p>
      <w:pPr>
        <w:jc w:val="both"/>
        <w:ind w:left="1020" w:hanging="503"/>
        <w:spacing w:after="0" w:line="26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manufacturers on acceptable terms or at all because the number of potential manufacturers is limited, and the FDA may have questions regarding any replacement contractor. This may require new testing and regulatory interactions. In addition, a new manufacturer would have to be educated in, or develop substantially equivalent processes for, production of our products after receipt of FDA questions, if any.</w:t>
      </w:r>
    </w:p>
    <w:p>
      <w:pPr>
        <w:spacing w:after="0" w:line="71"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might be unable to timely formulate and manufacture our product or produce the quantity and quality required to meet our clinical and commercial needs, if any.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manufacturers may not be able to execute our manufacturing procedures appropriately.</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contract manufacturers may not perform as agreed or may not remain in the contract manufacturing business for the time required to supply our clinical trials or to successfully produce, store and distribute our products.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are subject to ongoing periodic unannounced inspection by the FDA, the Drug Enforcement Administration and corresponding state agencies to ensure strict compliance with cGMP and other government regulations and corresponding foreign standards. We do not have control over third-party manufacturers’ compliance with these regulations and standards.</w:t>
      </w:r>
    </w:p>
    <w:p>
      <w:pPr>
        <w:spacing w:after="0" w:line="6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own, or may have to share, the intellectual property rights to any improvements made by our third-party manufacturers in the manufacturing process for our products.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could breach or terminate their agreement(s) with us.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contract manufacturers would also be subject to the same risks we face in developing our own manufacturing capabilities, as described above. Each of these risks could delay our clinical trials, the approval, if any, of our product candidates by the FDA or the commercialization of our product candidates or result in higher costs or deprive us of potential product revenue. In addition, we will rely on third parties to perform release tests on our product candidates prior to delivery to patients. If these tests are not appropriately done and test data are not reliable, patients could be put at risk of serious harm.</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our ability to obtain marketing approval, or our ability to provide supply of our product candidates for patients, if approved, could be delayed or stopped.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establish manufacturing relationships with a limited number of suppliers to manufacture raw materials, the drug substance and finished product of any product candidate for which we are responsible for preclinical or clinical development. Each supplier may require licenses to manufacture such components if such processes are not owned by the supplier or in the public domain. As part of any marketing approval, a manufacturer and its processes are required to be qualified by the FDA prior to regulatory approval. If supply from the approved vendor is interrupted, there could be a significant disruption in commercial supply. An alternative vendor would need to be qualified through an application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process of manufacturing drugs is complex, highly regulated and subject to multiple risks.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manufacturers, such facilities may need to be closed for an extended period of time to investigate and remedy the contamination, which could delay clinical trials and adversely harm our business. Moreover, if the FDA determines that our CMOs are not in compliance with FDA laws and regulations, including those governing cGMP, the FDA may deny an NDA or BLA approval until the deficiencies are corrected or we replace the manufacturer in our application with a manufacturer that is in compliance.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 Furthermore, although we do not have day-to-day control over the operations of our CMOs, we are responsible for ensuring compliance with applicable laws and regulations, including cGMP.</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prospects.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we will rely upon a limited number of manufacturers for our product candidates, which may include single-source suppliers for the various steps of manufacture. This reliance on a limited number of manufacturers and the complexity of drug manufacturing and the difficulty of scaling up a manufacturing process could cause the delay of clinical trials, regulatory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jc w:val="both"/>
        <w:spacing w:after="0" w:line="261" w:lineRule="auto"/>
        <w:rPr>
          <w:sz w:val="20"/>
          <w:szCs w:val="20"/>
          <w:color w:val="auto"/>
        </w:rPr>
      </w:pPr>
      <w:r>
        <w:rPr>
          <w:rFonts w:ascii="Times New Roman" w:cs="Times New Roman" w:eastAsia="Times New Roman" w:hAnsi="Times New Roman"/>
          <w:sz w:val="18"/>
          <w:szCs w:val="18"/>
          <w:color w:val="auto"/>
        </w:rPr>
        <w:t>submissions, required approvals or commercialization of our product candidates, cause us to incur higher costs and prevent us from commercializing our product candidates successfully. Furthermore, if our suppliers fail to deliver the required commercial quantities of materials on a timely basis and at commercially reasonable prices, and we are unable to secure one or more replacement suppliers capable of production in a timely manner at a substantially equivalent cost, our clinical trials may be delayed or we could lose potential revenue.</w:t>
      </w:r>
    </w:p>
    <w:p>
      <w:pPr>
        <w:spacing w:after="0" w:line="176"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Biologics are complex and difficult to manufacture. We intend to rely on third party manufacturers, potentially including Factor, Novatim and/or contract development manufacturing organizations (“CDMOs”) to manufacture clinical supplies of our cell-therapy and in vivo CAR-T products, including TPST-2003, and to produce preclinical and clinical supply of other product candidates and to produce commercial supplies of any approved product. This reliance on third parties increases the risk that we will not have sufficient quantities of our product candidates or any approved products or such quantities at an acceptable cost or quality, which could delay, prevent or impair our development or commercialization efforts.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rely, and expect to continue to rely, on third party manufacturers, which may include Factor, Novatim and CDMOs, to manufacture and to perform quality testing for our cell-therapy and in vivo CAR-T products, including TPST-2003. Reliance on third parties exposes us to risks associated with having reduced control over manufacturing activities, and any disruptions to the operations of our third-party manufacturers, including those caused by conditions unrelated to our business or operations such as bankruptcy of the manufacturer, could materially and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operate manufacturing facilities for the production of clinical or commercial supplies of our product candidates and currently have no supply agreements for the production of any of our product candidates. We have no personnel with experience in manufacturing bispecific antibodies and lack the resources and the capabilities to manufacture any of our product candidates on any scale, including clinical or commercial scale. We currently plan to rely on third parties for supply of our product candidates and for commercial supply if any of our product candidates are approved for sale.r</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intend to enter into supply agreements with Factor, Novatim and/or one or more CDMOs for supply of our cell-therapy and in vivo CAR-T products, including TPST-2003, for use in clinical trials. Other than the Restated Factor Services Agreement, we currently have no agreements with third-party manufacturers for development, validation and manufacturing of our cell therapy or in vivo CAR-T products to secure the long-term clinical or commercial supply of our cell therapy or in vivo CAR-T products or for any of our other products candidates. We may be unable to secure agreements for commercial supply with third-party manufacturers, or may be unable to do so on acceptable terms. Any third-party manufacturers may not successfully carry out their contractual duties or obligations, the occurrence of which could substantially increase our costs and limit our supply of such product candidates. The demand for third-party manufacturer’s services is very high, and such manufacturers could be subject to market transactions including mergers, acquisitions and other market consolidation transactions that limit their ability to provide products and services to us thereby increasing the time and cost it could take us to manufacture our product candidates or any approved products.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if we are able to establish and maintain arrangements with third-party manufacturers, reliance on third-party manufacturers, which may include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 Novatim and CDMOs, entails additional risks, including:</w:t>
      </w:r>
    </w:p>
    <w:p>
      <w:pPr>
        <w:spacing w:after="0" w:line="207"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diversion of manufacturing capacity to other customers by the third party;</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jc w:val="both"/>
        <w:spacing w:after="0" w:line="258" w:lineRule="auto"/>
        <w:rPr>
          <w:sz w:val="20"/>
          <w:szCs w:val="20"/>
          <w:color w:val="auto"/>
        </w:rPr>
      </w:pPr>
      <w:r>
        <w:rPr>
          <w:rFonts w:ascii="Times New Roman" w:cs="Times New Roman" w:eastAsia="Times New Roman" w:hAnsi="Times New Roman"/>
          <w:sz w:val="18"/>
          <w:szCs w:val="18"/>
          <w:color w:val="auto"/>
        </w:rPr>
        <w:t>Third-party manufacturers, which may include Factor, Novatim and CDMOs, may not be able to comply with current cGMP regulations or similar regulatory requirements outside the United States. Our failure, or the failure of our third-party manufacturers, which may include Factor, Novatim and CDMOs, to comply with applicable regulations could result in sanctions being imposed on us, including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 In addition, in order to conduct late-stage clinical trials of our product candidates, we will need to have them manufactured in large quantities. Our third-party manufacturers, which may include Factor, Novatim and CDMOs, may be unable to successfully increase the manufacturing capacity for any of our product candidates in a timely or cost-effective manner, or at all.</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if our third-party manufacturers, which may include Factor, Novatim and CDMOs, are unable to successfully scale up the manufacture of our product candidates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third parties, which may include Factor, Novatim and CDMOs, that we engage to manufacture product for our preclinical tests and clinical trials should cease to continue to do so for any reason, we likely would experience delays in advancing these clinical trials while we identify and qualify replacement suppliers, and we may be unable to obtain replacement supplies on terms that are favorable to us. In addition, if we are not able to obtain adequate supplies of our product candidates or the drug substances used to manufacture them, it will be more difficult for us to develop our product candidates and compete effectively.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or enter into agreements with third parties to market and sell our product candidates, we may be unable to generate any revenues.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do not have an organization for the sales, marketing and distribution of any current or future product candidates, and the cost of establishing and maintaining such an organization may exceed the cost-effectiveness of doing so. To market any products that may be approved, we must build our sales, marketing, managerial and other non-technical capabilities or make arrangements with third parties to perform these services. With respect to certain of our current programs as well as future programs, we may rely completely on an alliance partner for sales and marketing. In addition, although we intend to establish a sales organization if we are able to obtain approval to market any product candidates, we may enter into strategic alliances with third parties to develop and commercialize our current and any future product candidates, including in markets outside of the United States or for other large markets that are beyond our resources. This will reduce the revenue generated from the sales of these products.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future strategic alliance partners may not dedicate sufficient resources to the commercialization of our product candidates or may otherwise fail in their commercialization due to factors beyond our control. If we are unable to establish effective alliances to enable the sale of our product candidates to healthcare professionals and in geographical regions, including the United States, that will not be covered by our marketing and sales force, or if our potential future strategic alliance partners do not successfully commercialize the product candidates, our ability to generate revenues from product sales will be adversely affected.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finding strategic collaborators for continuing development of certain of our future product candidates or successfully commercializing or competing in the market for certain indications.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future, we may decide to collaborate with non-profit organizations, universities and pharmaceutical and biotechnology companies for the development and potential commercialization of existing and new product candidates.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for our product candidate. The terms of any additional collaborations or other arrangements that we may establish may not be favorable to us.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expense. If we elect to increase our expenditures to fund development or commercialization activities on our product candidates,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success of any potential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such collaboration arrangements.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or any failure by our partners to perform their obligations under collaboration agreements, would adversely affect us financially and could harm our business reputation or negatively impact our ability to successfully develop, obtain regulatory approvals for and commercialize our product candidates.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regulatory approval process is lengthy and time consuming, and we may experience significant delays in the clinical development and regulatory approval of our product candidates.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Obtaining FDA approval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may approve our product candidates for a more limited indication or a narrower patient population than originally requested or may impose other</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0" w:name="page61"/>
    <w:bookmarkEnd w:id="60"/>
    <w:p>
      <w:pPr>
        <w:jc w:val="both"/>
        <w:spacing w:after="0" w:line="266" w:lineRule="auto"/>
        <w:rPr>
          <w:sz w:val="20"/>
          <w:szCs w:val="20"/>
          <w:color w:val="auto"/>
        </w:rPr>
      </w:pPr>
      <w:r>
        <w:rPr>
          <w:rFonts w:ascii="Times New Roman" w:cs="Times New Roman" w:eastAsia="Times New Roman" w:hAnsi="Times New Roman"/>
          <w:sz w:val="18"/>
          <w:szCs w:val="18"/>
          <w:color w:val="auto"/>
        </w:rPr>
        <w:t>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also experience delays in obtaining regulatory approvals, including but not limited to:</w:t>
      </w:r>
    </w:p>
    <w:p>
      <w:pPr>
        <w:spacing w:after="0" w:line="225"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authorization to begin a trial, if applicable;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study protocols and need to conduct additional studies as may be required by a regulator;</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delays and changes in regulation or policy relating to the development and commercialization of our product candidate by the FDA or other comparable foreign regulatory authorities;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and other comparable foreign regulatory authorities;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financial resources to commence and complete the planned trials;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the terms of any collaboration agreements we may choose to initiate or conclude;</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CROs and clinical trial sites, the terms of which can be subject to extensive negotiation and may vary significantly among different CROs and trial sites;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contractors, such as CROs, or investigators to comply with regulatory requirements, including GCPs;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obtaining the necessary approvals from regulators or institutional review boards (“IRBs”), in order to commence a clinical trial at a prospective trial site, or their suspension or termination of a clinical trial once commenced;</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recruit and enroll suitable patients to participate in a trial;</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trial, including having patients enrolled in clinical trials dropping out of the trial before the product candidate is manufactured and returned to the site, or return for post-treatment follow-up;</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having patients complete a trial or return for post-treatment follow-up;</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trial protocol or dropping out of a trial;</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patient safety concerns that arise during the course of a trial;</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add new clinical trial sites; or</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the data generated from our preclinical or clinical trials;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intellectual property disputes, including patent infringement actions brought by third parties;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expanding and scaling manufacturing capabilities;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manufacture, or obtain from third parties, sufficient quantities of qualified materials under cGMP, for the completion in pre-clinical and clinical studies;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biopharmaceutical product candidate storage, stability and distribution resulting in global supply chain disruptions;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 for which we may receive regulatory approval in regions where we choose to commercialize our products on our own; or</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or market fluctuations that delay our product development or clinical trials and increase our costs or expenses, such as business or operational disruptions, delays, or system failures due to malware, unauthorized access, terrorism, war, natural disasters, strikes, geopolitical conflicts, restrictions on trade, import or export restrictions, or public health crises.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safety issues or adverse side effects, failure to demonstrate a benefit from using a product candidate, changes in governmental regulations or administrative actions, lack of adequate funding to continue the clinical trial, or based on a recommendation by the Data Safety Monitoring Committee.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of the factors that cause, or lead to, a delay in the commencement or completion of clinical trials may ultimately lead to the denial of regulatory approval of our product candidates.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or Fast Track designation by the FDA for one or more of our product candidates but may not receive such designation. Even if we secure such designation, it may not lead to a faster development or regulatory review or approval process and it does not increase the likelihood that our product candidates will receive marketing approval.</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seek Breakthrough Therapy or Fast Track designation for some of our product candidates. For example, in February 2025, we announced that the FDA had granted Fast Track Designation to amezalpat for the treatment of HCC. If a product candidate is intended for the treatment of a serious or life-threatening condition and clinical or preclinical data demonstrate the potential to address unmet medical needs for this condition, the product candidate may be eligible for Fast Track designation. The benefits of Fast Track designation include more frequent meetings with FDA to discuss the drug’s development plan and ensure collection of appropriate data needed to support drug approval, more frequent written communication from FDA about such things as the design of the proposed clinical trials and use of biomarkers, eligibility for Accelerated Approval and Priority Review, if relevant criteria are met, and rolling review, which means that completed sections of our application can be submitted for review by FDA, rather than waiting until every section of our NDA or BLA is completed before the entire application can be reviewed. NDA or BLA review usually does not begin until the entire application has been submitted to the FDA.</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breakthrough therapy is defined as a drug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jc w:val="both"/>
        <w:spacing w:after="0" w:line="266" w:lineRule="auto"/>
        <w:rPr>
          <w:sz w:val="20"/>
          <w:szCs w:val="20"/>
          <w:color w:val="auto"/>
        </w:rPr>
      </w:pPr>
      <w:r>
        <w:rPr>
          <w:rFonts w:ascii="Times New Roman" w:cs="Times New Roman" w:eastAsia="Times New Roman" w:hAnsi="Times New Roman"/>
          <w:sz w:val="18"/>
          <w:szCs w:val="18"/>
          <w:color w:val="auto"/>
        </w:rPr>
        <w:t>effects observed early in clinical development. Drugs designated as breakthrough therapies by the FDA may be eligible for all features of Fast Track designation, intensive guidance on an efficient drug development program, beginning as early as Phase 1, and organizational commitment involving senior managers at FDA.</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has broad discretion whether or not to grant these designations, so even if we believe a particular product candidate is eligible, we cannot assure that the FDA would decide to grant the designation. Even if we obtain Fast Track designation and/or Breakthrough Therapy designation for one or more of our product candidates, it may not experience a faster development process, review or approval compared to non-expedited FDA review procedures. In addition, the FDA may withdraw Fast Track designation or Breakthrough Therapy designation if it believes that the designation is no longer supported. These designations do not guarantee qualification for the FDA’s priority review procedures or a faster review or approval process, including for amezalpat for the treatment of HCC.</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attempt to secure FDA approval of our product candidates through the accelerated approval pathway. If we are unable to obtain accelerated approval, we may be required to conduct additional preclinical studies or clinical trials beyond those that we currently contemplate, which could increase the expense of obtaining, and delay the receipt of, necessary marketing approvals.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developing certain product candidates for the treatment of serious conditions, and therefore may decide to seek approval of such product candidates under the FDA’s accelerated approval pathway. A product may be eligible for accelerated approval if it is designed to treat a serious or life-threatening disease or condition and provides a meaningful therapeutic benefit over existing treatments based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of or lack of alternative treatments. For the purposes of accelerated approval, a surrogate endpoint is a marker, such as a laboratory measurement, radiographic image, physical sign, or other measure that is thought to predict clinical benefit, but is not itself a measure of clinical benefit.</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verity and describe the drug’s anticipated effect on irreversible morbidity or mortality or other clinical benefit. In some cases, the FDA may require that the trial be designed, initiated, and/or fully enrolled prior to approval. If the sponsor fails to conduct such studies in a timely manner, or if such post-approval studies fail to verify the drug’s predicted clinical benefit, or if other evidence demonstrates that our product candidate is not shown to be safe and effective under the conditions of use, the FDA may withdraw its approval of the drug on an expedited basis.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decide to submit an application seeking accelerated approval or receive an expedited regulatory designation for any of our product candidates, there can be no assurance that such submission or application will be accepted or that any expedited development, review or approval will be granted on a timely basis, or at all. If any of our competitors were to receive full approval on the basis of a confirmatory trial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Failure to obtain accelerated approval or any other form of expedited development, review or approval for our product candidates would result in a longer time period to commercialization of such product candidate, if any, and could increase the cost of development of such product candidate harm our competitive position in the marketplace.</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have received orphan drug designation for amezalpat and may continue to seek orphan drug designation for some or all of our current or future product candidates, we may be unsuccessful in obtaining Orphan Drug Designation for our product candidates or transfer of designations obtained by others for future product candidates, and, even if we obtain</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such designation, we may be unable to maintain the benefits associated with Orphan Drug Designation, including the potential for market exclusivity.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2025, we received Orphan Drug Designation for amezalpat for the treatment of patients with HCC. We may seek orphan drug designation for one or more of our current or future product candidates. The FDA may designate drugs intended to treat relatively small patient populations as orphan drugs. Under the Orphan Drug Act, the FDA may designate a drug as an orphan drug if it is intended to treat a rare disease or condition, which is defined as a patient population of fewer than 200,000 individuals in the United States, or a patient population greater than 200,000 in the United States when there is no reasonable expectation that the cost of developing and making available the drug in the United States will be recovered from sales in the United States for that drug. Orphan drug designation must be requested before submitting an NDA or BLA. In the United States, Orphan Drug Designation entitles a party to financial incentives such as opportunities for tax credits for qualified clinical research costs and exemption from prescription drug user fees. Generally, if a drug with an Orphan Drug Designation subsequently receives the first marketing approval for the indication for which it has such designation, the drug is entitled to a period of marketing exclusivity, which precludes FDA from approving another marketing application for the same drug and indication for that time period, except in limited circumstances. If a competitor is able to obtain orphan drug exclusivity prior to us for a product that constitutes the same active moiety and treats the same indications as our product candidates, we may not be able to obtain approval of our drug by the applicable regulatory authority for a significant period of time unless we are able to show that our drug is clinically superior to the approved drug. The applicable period is seven years in the United States.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seek Orphan Drug Designation for one or more of our product candidates in the United States as part of our business strategy. However, Orphan Drug Designation does not guarantee future orphan drug marketing exclusivity. Even after an orphan drug is approved, the FDA can also subsequently approve a later application for the same drug for the same condition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orphan drug 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Enacted and future legislation may increase the difficulty and cost for us to commercialize and obtain marketing approval of our product candidates and may affect the prices we may set.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Reconciliation Act of 2010, or collectively the Affordable Care Act (“ACA”), was enacted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Since its enactment, there have been amendments and judicial, Congressional and executive branch challenges to certain aspects of the ACA. For example, on July 4, 2025, the One Big Beautiful Bill Act (“OBBBA”) was signed into law, which narrowed access to ACA marketplace exchange enrollment and declined to extend the ACA enhanced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4" w:name="page65"/>
    <w:bookmarkEnd w:id="64"/>
    <w:p>
      <w:pPr>
        <w:jc w:val="both"/>
        <w:spacing w:after="0" w:line="266" w:lineRule="auto"/>
        <w:rPr>
          <w:sz w:val="20"/>
          <w:szCs w:val="20"/>
          <w:color w:val="auto"/>
        </w:rPr>
      </w:pPr>
      <w:r>
        <w:rPr>
          <w:rFonts w:ascii="Times New Roman" w:cs="Times New Roman" w:eastAsia="Times New Roman" w:hAnsi="Times New Roman"/>
          <w:sz w:val="18"/>
          <w:szCs w:val="18"/>
          <w:color w:val="auto"/>
        </w:rPr>
        <w:t>expired ACA subsidies.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Additionally, the current administration is pursuing policies to reduce regulations and expenditures across government agencies including at HHS, the FDA, the Centers for Medicare &amp; Medicaid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direct-to-consumer platform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in Loper Bright Enterprises v. Raimondo, the U.S. Supreme Court greatly reduced judicial deference to regulatory agencies, which could increase successful legal challenges to federal regulations affecting our operations. Congress may introduce and ultimately pass health care related legislation that could impact, among other things, the drug approval process and make changes to the Medicare Drug Price Negotiation Program. At the state level, legislatures and agencies are increasingly passing legislation and implementing regulations designed to control spending, on and patient out-of-pocket costs for, drug products. These measures include constraints on pricing, discounting and reimbursement, restrictions on certain product access and marketing, cost disclosure and transparency measures that require detailed reporting of drug pricing and marketing information both at product launch and in the event of a price increase, and, in some cases, measures designed to encourage importation from other countries and bulk purchasing.</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that these,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also been made to expand post-approval requirements and restrict sales and promotional activities for pharmaceutical products. We cannot be sure whether additional legislative changes will be enacted, or whether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FDA’s ability to review and approve new products may be hindered by a variety of factors, including budget and funding levels, ability to hire and retain key personnel, statutory, regulatory and policy changes and global health concerns.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jc w:val="both"/>
        <w:spacing w:after="0" w:line="256" w:lineRule="auto"/>
        <w:rPr>
          <w:sz w:val="20"/>
          <w:szCs w:val="20"/>
          <w:color w:val="auto"/>
        </w:rPr>
      </w:pPr>
      <w:r>
        <w:rPr>
          <w:rFonts w:ascii="Times New Roman" w:cs="Times New Roman" w:eastAsia="Times New Roman" w:hAnsi="Times New Roman"/>
          <w:sz w:val="18"/>
          <w:szCs w:val="18"/>
          <w:color w:val="auto"/>
        </w:rPr>
        <w:t>government funding of other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our business. For example, over the last several years, including in October 2025, the U.S. government has shut down several times and certain regulatory agencies, such as the FDA, have had to furlough critical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ability of the FDA and other government agencies to properly administer their functions is highly dependent on the levels of government funding and the ability to fill key leadership appointments, among various factors. Delays in filling or replacing key positions could significantly impact the ability of the FDA and other agencies to fulfill their functions, and could greatly impact healthcare and the pharmaceutical industry. In addition, the current administration has implemented substantial reductions in force at various government agencies including the FDA, which could significantly reduce the FDA’s capacity to perform its functions in a manner consistent with its past practices and could delay reviews and negatively impact our business.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evolving U.S. and foreign laws, regulations, and rules, contractual obligations, industry standards, policies and other obligations related to data privacy and security, and our (or the third parties with whom we work) actual or perceived failure to comply with them could harm our business.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collect, receive, store, process, generate, use, transfer, disclose, make accessible, protect, secure, dispose of, transmit, and share (collectively, “process”) a large quantity of personal data and other sensitive information, including proprietary and confidential business data, trade secrets, intellectual property, and patient health information in connection with our preclinical and clinical studies.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there are numerous federal, state, and local privacy and data security laws and regulations governing the processing of personal data, including health information privacy laws, security breach notification laws, personal data privacy laws, consumer protection laws (e.g., Section 5 of the Federal Trade Commission Act), and other similar laws (e.g., wiretapping laws). Each of these laws is subject to varying interpretations and constantly evolving. In addition, we obtain health information from third parties (including research institutions from which it obtains clinical trial data) that are subject to privacy and security requirements under the Health Insurance Portability and Accountability Act of 1996, as amended (“HIPAA”), which imposes specific requirements relating to the privacy, security, and transmission of protected health information.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states have also adopted comprehensive privacy laws and regulations that impose certain obligations on covered businesses, including providing specific disclosures in privacy notices and affording residents with certain rights concerning their personal data. For example, the California Consumer Privacy Act, as amended by the California Privacy Rights Act (collectively, the “CCPA”) gives California residents expanded rights to access and delete their personal data, opt out of certain personal data sharing, and receive detailed information about how their personal information is used. The CCPA provides for civil penalties for violations, as well as a private right of action for data breaches that is expected to increase data breach litigation. Although the CCPA and other comprehensive U.S. state privacy laws exempt some data processed in the context of clinical trials, these developments further complicate compliance efforts if we become subject to those laws, potentially increasing our legal risk and compliance costs for us, and the third parties with whom we work. Similar laws are being considered in several other states, as well as at the federal and local levels, and we expect more states to pass similar laws in the future.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govern data privacy and security. For example, in Canada, the Personal Information Protection and Electronic Documents Act (“PIPEDA”) and similar provincial laws may impose obligations with respect to processing personal data, including health-related information. PIPEDA requires companies to obtain an individual’s consent when collecting, using or disclosing that individual’s personal data. Individuals have the right to access and challenge the accuracy of their personal data held by an organization, and personal data may only be used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6" w:name="page67"/>
    <w:bookmarkEnd w:id="6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purposes for which it was collected. If an organization intends to use personal data for another purpose, it must again obtain that individual’s consent. Failure to comply with PIPEDA could result in significant fines and penalties.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another example, the European Union’s General Data Protection Regulation (the “EU GDPR”) and the United Kingdom’s GDPR (the “UK GDPR,” and together with the EU GDPR, the “GDPR”) also impose strict requirements for processing personal data and substantial fines for breaches and violations (for example, under the EU GDPR, up to the greater of €20 million or 4% of our annual worldwide gross revenue). Additionally, under the GDPR, companies may face temporary or definitive bans on data processing and other corrective action or private litigation related to processing of personal data brought by classes of data subjects or consumer protection organizations authorized at law to represent their interests.</w:t>
      </w:r>
    </w:p>
    <w:p>
      <w:pPr>
        <w:spacing w:after="0" w:line="183"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Additionally, we may receive personal data collected and processed by our business partners in China. China enacted the Personal Information Protection Law (the “PIPL”) in 2021. The PIPL establishes a comprehensive data privacy and protection framework that applies to the processing of personal information both within China and outside of China where such processing is conducted for the purpose of providing products or services to, or analyzing or evaluating the behavior of, individuals in China. The PIPL imposes significant fines for serious violations of up to RMB 50 million or 5% of annual revenue from the prior year. Certain industry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Chinese laws and regulations also impose requirements for processing of certain specific types of data. China’s Regulations on the Administration of Human Genetic Resources (the “HGR Regulation”), promulgated by the State Council in 2019 and revised in 2024, prohibit foreign organizations, individuals, and entities established or controlled by them from collecting, preserving, or exporting China’s human genetic resources. Foreign parties may access or use China’s human genetic resources upon satisfying applicable regulatory requirements, including through approved international collaboration with qualified Chinese institutions and completing required governmental approval, filing, and information backup procedures. We may need to provide necessary assistance for our Chinese business partners to comply with their obligations under Chinese privacy and data security laws and regulations, and our data processing activities may be subject to obligations applicable to the recipient of personal data collected or generated in China.</w:t>
      </w:r>
    </w:p>
    <w:p>
      <w:pPr>
        <w:spacing w:after="0" w:line="200"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Further,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For example, under the PIPL, entities conducting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border transfers of personal information are required to meet certain conditions, including satisfaction of the security assessments conducted by competent government authority, signing and filing of standard contracts or obtaining certifications from qualified institutions, and fulfillment of notice and consent requirements. In the EEA and UK,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Department of Justice issued a rule entitled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certain transactions or agreements with certain third parties in the future.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jc w:val="both"/>
        <w:spacing w:after="0" w:line="258" w:lineRule="auto"/>
        <w:rPr>
          <w:sz w:val="20"/>
          <w:szCs w:val="20"/>
          <w:color w:val="auto"/>
        </w:rPr>
      </w:pPr>
      <w:r>
        <w:rPr>
          <w:rFonts w:ascii="Times New Roman" w:cs="Times New Roman" w:eastAsia="Times New Roman" w:hAnsi="Times New Roman"/>
          <w:sz w:val="18"/>
          <w:szCs w:val="18"/>
          <w:color w:val="auto"/>
        </w:rPr>
        <w:t>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data privacy and security laws, we are contractually subject to industry standards adopted by industry groups and, we may become subject to such obligations in the future. We are also bound by contractual obligations related to data privacy and security, and our efforts to comply with such obligations may not be successful. We publish privacy policies, marketing materials and other statements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Compliance with these obligations is a rigorous and time-intensive process, and we may be required to put in place additional mechanisms designed to ensure compliance with these obligations. If we fail (or are perceived to have failed) to comply with any such obligations, we may face significant consequences, including without limitation government enforcement actions (e.g., investigations, fines and penalties, audits, inspections); litigation (including class-action claims) and mass arbitration demands); additional reporting requirements and/or oversight; bans or restrictions on processing personal data; orders to destroy or not use personal data; imprisonment of company officials; or other consequences that could adversely affect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third parties with whom we work, or our data, are or were compromised, we could experience adverse consequences, including disclosure of sensitive information, damage to our reputation, and significant financial and legal exposure.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with whom we work, process proprietary, confidential, and sensitive data, including personal data (such as health-related data), intellectual property, trade secrets (collectively, sensitive information). Cyberattacks, malicious internet-based activity, online and offline fraud, and other similar activities threaten the confidentiality, integrity, and availability of our sensitive information and information technology systems, and those of the third parties with whom we work. These threats are increasing in their frequency, sophistication and intensity, have become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are vulnerable to a heightened risk of these attacks, including retaliatory cyberattacks, that could materially disrupt our systems and operations, supply chain, and ability to produce, sell and distribute our goods and services.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Cyberattacks could include wrongful conduct by hostile foreign governments, industrial espionage, wire fraud and other forms of cyber fraud, the deployment of harmful malware (including as a result of advanced persistent threat intrusions), denial-of-service attacks, social engineering attacks (including through deep-fakes, which are increasingly more difficult to identify as fake,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jc w:val="both"/>
        <w:spacing w:after="0" w:line="258" w:lineRule="auto"/>
        <w:rPr>
          <w:sz w:val="20"/>
          <w:szCs w:val="20"/>
          <w:color w:val="auto"/>
        </w:rPr>
      </w:pPr>
      <w:r>
        <w:rPr>
          <w:rFonts w:ascii="Times New Roman" w:cs="Times New Roman" w:eastAsia="Times New Roman" w:hAnsi="Times New Roman"/>
          <w:sz w:val="18"/>
          <w:szCs w:val="18"/>
          <w:color w:val="auto"/>
        </w:rPr>
        <w:t>and phishing attacks), malicious code (such as viruses and worms), denial-of-service attacks, credential stuffing attacks, credential harvesting, personnel misconduct or error, ransomware attacks, supply-chain attacks, software bugs, server malfunctions, software or hardware failures, loss of data, attacks enhanced or facilitated by AI or other information technology assets, fraud or other means to threaten confidentiality, integrity and availability of our sensitive information. We and the third parties with whom we work may also experience telecommunications failures, natural disasters, terrorism, war and other similar threats.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particular, severe ransomware attacks are becoming increasingly prevalent and can lead to significant interruptions in our operations, ability to provide our products or services, loss of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more of our employees work remotely, the risk of a cybersecurity incident potentially occurring, and our investment in risk mitigations against such an incident, is increasing. For example, there has been an increase in phishing and spam emails as well as social engineering attempts from “hackers.”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rely on third parties and their technology to operate critical business systems to process sensitive information, including our CROs, CMOs and other contractors, consultants and law and accounting firms. Our ability to monitor these third parties’ information security practices is limited, and these third parties may not have adequate information security measures in place. If these third parties experience a security incident or other interruption, we could experience adverse consequences. While we may be entitled to damages if our third-party partners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devote resources to protect our information systems, we realize that cyberattacks are a threat, and there can be no assurance that our efforts will prevent information security breaches. We take steps designed to detect, mitigate, and remediate vulnerabilities in our information systems (such as our and the third parties’ with whom we work hardware and software). We have not, and may not in the future, however, detect and remediate all such vulnerabilities including on a timely basis. Further, we have, and may in the future, experience delays in developing and deploying remedial measures and patches designed to address identified vulnerabilities. Vulnerabilities could be exploited and result in a security incident.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the previously identified or similar threats have in the past and may in the future cause a security incident or other interruption that have in the past and may in the future result in unauthorized, unlawful, or accidental acquisition, modification, destruction, loss, alteration, encryption, disclosure of, or access to our sensitive information or our information technology systems, or those of the third parties with whom we work. For example, we have been the target of unsuccessful phishing attempts in the past, and expect such attempts will continue in the future. A security incident or other interruption could disrupt our ability (and that of third parties with whom we work) to provide our services.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expend significant resources or may have to modify our business activities (including our clinical trial activities) to try to protect against security incidents. Certain data privacy and security obligations require us to implement and maintain specific security measures or industry-standard or reasonable security measures to protect our information technology systems and sensitive information. Applicable data privacy and security obligations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requirements could lead to adverse consequences.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jc w:val="both"/>
        <w:spacing w:after="0" w:line="256"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successful or perceived security incident experienced by us or the third parties with whom we work could cause serious negative consequences for us, including, without limitation, the disruption of operations, the misappropriation of sensitive information, disclosure of corporate strategic plans, material disruption of our development programs and our business operations, government enforcement actions (e.g., investigations, fines, penalties, audits, inspections), additional reporting requirements and/or oversight, restrictions on processing sensitive information, litigation, indemnification obligations, reputational harm, negative publicity, and other harms. For example, the loss of data from preclinical studies or clinical trials could result in significant delays in our regulatory approval efforts and significantly increase our costs to recover or reproduce the data. To the extent that any disruption or security incident were to result in a loss of, or damage to, our sensitive information or applications, or inappropriate disclosure of such information, we could incur liability, our competitive position could be harmed, and the further development and commercialization of our product candidates could be significantly delayed.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CMOs and consultants may engage in misconduct or other improper activities, including non-compliance with regulatory standards and requirements and insider trading.</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consultants and commercial partners. Misconduct by these parties could include intentional failures to comply with the regulations of FDA and non-U.S. regulators, to provide accurate information to the FDA and non-U.S. regulators, to comply with healthcare fraud and abuse laws and regulations in the United States and abroad,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could cause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or asserting our rights, those actions could have a significant impact on our business, including the imposition of significant fines or other sanctions.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jc w:val="both"/>
        <w:spacing w:after="0" w:line="282" w:lineRule="auto"/>
        <w:rPr>
          <w:sz w:val="20"/>
          <w:szCs w:val="20"/>
          <w:color w:val="auto"/>
        </w:rPr>
      </w:pPr>
      <w:r>
        <w:rPr>
          <w:rFonts w:ascii="Times New Roman" w:cs="Times New Roman" w:eastAsia="Times New Roman" w:hAnsi="Times New Roman"/>
          <w:sz w:val="18"/>
          <w:szCs w:val="18"/>
          <w:color w:val="auto"/>
        </w:rPr>
        <w:t>be approved for reimbursement before it can be approved for sale in that jurisdiction. In some cases, the price that we intend to charge for our products is also subject to approval.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relationships with future customers, providers and third-party payors will be subject to applicable anti-kickback, fraud and abuse and other healthcare laws and regulations, which could expose us to penalties including criminal sanctions, civil penalties, contractual damages, reputational harm and diminished profits and future earnings.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Healthcare providers and third-party payors will play a primary role in the recommendation and prescription of any product candidates for which we obtain marketing approval. Our future arrangements with providers, third-party payors and customers will subject us to broadly applicable fraud and abuse and other healthcare laws and regulations that may constrain the business or financial arrangements and relationships through which we market, sell and distribute any product candidates for which we obtain marketing approval.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Restrictions under applicable U.S. federal and state healthcare laws and regulations include the following:</w:t>
      </w:r>
    </w:p>
    <w:p>
      <w:pPr>
        <w:spacing w:after="0" w:line="225" w:lineRule="exact"/>
        <w:rPr>
          <w:sz w:val="20"/>
          <w:szCs w:val="20"/>
          <w:color w:val="auto"/>
        </w:rPr>
      </w:pPr>
    </w:p>
    <w:p>
      <w:pPr>
        <w:jc w:val="both"/>
        <w:ind w:left="1020" w:hanging="503"/>
        <w:spacing w:after="0" w:line="258"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 criminal law that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 A person or entity does not need to have actual knowledge of the federal Anti-Kickback Statute or specific intent to violate it in order to have committed a violation.</w:t>
      </w:r>
    </w:p>
    <w:p>
      <w:pPr>
        <w:spacing w:after="0" w:line="183"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Act, imposes significant civil penalties and treble damages,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or services resulting from a violation of the U.S. federal Anti-Kickback Statute constitutes a false or fraudulent claim for purposes of the civil False Claims Act;</w:t>
      </w:r>
    </w:p>
    <w:p>
      <w:pPr>
        <w:spacing w:after="0" w:line="18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Criminal Statute on False Statements Relating to Health Care Matters makes it a crime to 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179"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18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imposes criminal and civil liability for, among other things, knowingly and willfully executing or attempting to execute a scheme to defraud any healthcare benefit program or making false statements relating to healthcare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p>
      <w:pPr>
        <w:ind w:left="1020"/>
        <w:spacing w:after="0" w:line="282" w:lineRule="auto"/>
        <w:rPr>
          <w:sz w:val="20"/>
          <w:szCs w:val="20"/>
          <w:color w:val="auto"/>
        </w:rPr>
      </w:pPr>
      <w:r>
        <w:rPr>
          <w:rFonts w:ascii="Times New Roman" w:cs="Times New Roman" w:eastAsia="Times New Roman" w:hAnsi="Times New Roman"/>
          <w:sz w:val="18"/>
          <w:szCs w:val="18"/>
          <w:color w:val="auto"/>
        </w:rPr>
        <w:t>matters. Similar to the federal Anti-Kickback Statute, a person or entity does not need to have actual knowledge of the statute or specific intent to violate it in order to have committed a violation;</w:t>
      </w:r>
    </w:p>
    <w:p>
      <w:pPr>
        <w:spacing w:after="0" w:line="162" w:lineRule="exact"/>
        <w:rPr>
          <w:sz w:val="20"/>
          <w:szCs w:val="20"/>
          <w:color w:val="auto"/>
        </w:rPr>
      </w:pPr>
    </w:p>
    <w:p>
      <w:pPr>
        <w:jc w:val="both"/>
        <w:ind w:left="1020" w:hanging="503"/>
        <w:spacing w:after="0" w:line="254"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(“HITECH”), and their implementing regulations, which imposes certain requirements relating to the privacy, security and transmission of individually identifiable health information on health plans, healthcare clearinghouses and certain healthcare providers, known as “covered entities”, and their respective HIPAA “business associates”, which are independent contractors that perform certain services for or on behalf of covered entities involving the use or disclosure of individually identifiable health information, as well as their covered subcontractors. HITECH also created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w:t>
      </w:r>
    </w:p>
    <w:p>
      <w:pPr>
        <w:spacing w:after="0" w:line="191"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requires applicable manufacturers of covered drugs, devices, biologics, and medical supplies for which payment is available under Medicare, Medicaid, or the Children’s Health Insurance Program, among others, to track and report payments and other transfers of value provided during the previous year to U.S. licensed physicians (defined to include doctors, dentists, optometrists, podiatrists, and chiropractors), other healthcare professionals (such as physician assistants and nurse practitioners), and, teaching hospitals, as well as certain ownership and investment interests held by physicians and their immediate family;</w:t>
      </w:r>
    </w:p>
    <w:p>
      <w:pPr>
        <w:spacing w:after="0" w:line="183" w:lineRule="exact"/>
        <w:rPr>
          <w:rFonts w:ascii="Times New Roman" w:cs="Times New Roman" w:eastAsia="Times New Roman" w:hAnsi="Times New Roman"/>
          <w:sz w:val="18"/>
          <w:szCs w:val="18"/>
          <w:color w:val="auto"/>
        </w:rPr>
      </w:pPr>
    </w:p>
    <w:p>
      <w:pPr>
        <w:ind w:left="1020" w:right="56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75"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state and local laws require certain regulatory licenses to manufacture or distribute products commercially and/or the registration of pharmaceutical sales representatives in the jurisdiction; and</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government-funded healthcare programs, such as Medicare and Medicaid, disgorgement, contractual damages, reputational harm, diminished profits and future earnings, and the curtailment or restructuring of our operations. If any of the physicians or other healthcare providers or entities with whom we expect to do business is found to be not in compliance with applicable laws, it may be costly to us in terms of money, time and resources, and we may be subject to criminal, civil or administrative sanctions, including exclusion from government-funded healthcare programs.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may produce hazardous waste products. We generally contract with third parties for the disposal of these materials and wastes. We will not be able to eliminate the risk of contamination or injury from these materials. In the event of contamination or injury resulting from</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p>
      <w:pPr>
        <w:jc w:val="both"/>
        <w:spacing w:after="0" w:line="282" w:lineRule="auto"/>
        <w:rPr>
          <w:sz w:val="20"/>
          <w:szCs w:val="20"/>
          <w:color w:val="auto"/>
        </w:rPr>
      </w:pPr>
      <w:r>
        <w:rPr>
          <w:rFonts w:ascii="Times New Roman" w:cs="Times New Roman" w:eastAsia="Times New Roman" w:hAnsi="Times New Roman"/>
          <w:sz w:val="18"/>
          <w:szCs w:val="18"/>
          <w:color w:val="auto"/>
        </w:rPr>
        <w:t>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for costs and expenses, we may incur due to injuries to our employees resulting from the use of hazardous materials, this insurance may not provide adequate coverage against potential liabilities.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could materially adversely affect 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New tax laws or regulations could be enacted at any time, and existing tax laws or regulations could be interpreted, modified or applied in a manner that is adverse to us, which could adversely affect our business and financial condition. For example, the U.S. government recently enacted the OBBBA that (along with other recent U.S. federal tax reform legislation) has resulted in significant changes to the taxation of business entities, including, among other changes, the imposition of minimum taxes and excise taxes, changes to the taxation of income derived from international operations, changes in the deduction and amortization of research and development expenditures, and limitations on the deductibility of business interest. The IRA enacted in 2022 includes, among other changes, a minimum tax equal to 15% of the adjusted financial statement income of certain large corporations, as well as a 1% excise tax on certain share buybacks by public corporations that is imposed on such corporations. Future guidance from the Internal Revenue Service and other tax authorities with respect to any legislation may affect us, and certain aspects of such legislation could be repealed or modified in future legislation or sunset in future years.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collaboration with Novatim subjects us to risks and uncertainties relating to challenged and changing relations between the United States and China.</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Political relations between the United States and China are strained. Each country has been enacting sanctions and threatening additional sanctions against the other. The United States Congress has been pursuing potential legislation targeting certain China-based biopharmaceutical companies, and other China-based companies. Additionally, the biopharmaceutical industry in China is strictly regulated by the Chinese government. Changes to Chinese regulations affecting biopharmaceutical companies, and U.S. laws and regulations affecting biopharmaceutical companies based in or operating in China are also unpredictable. Any regulatory changes and changes in United States and China relations may have a material adverse effect on our collaboration with Novatim, which could harm our business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U.S.-China trade relations may adversely impact our supply chain operations and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U.S. and Chinese governments have taken certain actions that change trade policies, including tariffs that affect certain products which are manufactured in China and mutual exchange of certain types of data. Due to our collaboration with Novatim, we are reliant on collaborating with a company with significant operations in China. It is unknown whether and to what extent new tariffs, laws or regulations will be adopted that increase the cost or feasibility of importing and/or exporting products, components and information from China to the United States and vice versa. Further, the effect of any such new tariffs or actions on our industry and customers is unknown and difficult to predict. As additional new tariffs, legislation and/or regulations are implemented, or if existing trade agreements are renegotiated or if China or other affected countries take retaliatory trade actions, such changes could have a material adverse effect on our clinical development plans, business, financial condition, results of operations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3" w:name="page74"/>
    <w:bookmarkEnd w:id="7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obtain, maintain and protect our intellectual property. It is difficult and costly to protect our proprietary rights and technology, and we may not be able to ensure their protection.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commercial success will depend in large part on obtaining and maintaining patent, trademark, trade secret and other intellectual property protection of our proprietary technologies and product candidates and any future product candidates we have in development, their respective components, formulations, combination therapies, methods used to manufacture them and methods of treatment, as well as successfully defending our patents and other intellectual property rights against third-party challenges. Our ability to stop unauthorized third parties from making, using, selling, offering to sell, importing or otherwise commercializing our product candidates is dependent upon the extent to which we have rights under valid and enforceable patents or trade secrets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 and our ability to commercialize any product candidates we may develop may be adversely affected.</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patenting process is expensive and time-consuming, and we may not be able to file and prosecute all necessary or desirable patent applications at a reasonable cost or in a timely manner. If we are unable to adequately fund our patent prosecution and maintenance, or if the costs of defending our patents against third-party challenges become prohibitive, our competitive position could be weakened. Additionally, recent reforms and changes at government agencies of the United States and those of non-U.S. jurisdictions could increase the uncertainties and costs surrounding the prosecution or maintenance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 In addition, we may not pursue or obtain patent protection in all relevant markets. It is also possible that we will fail to identify patentable aspects of our research and development activities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may be reliant on our licensors or licensees to do so. Our pending and future patent applications may not result in issued patents.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circumvented or invalidated by third parties. Consequently, we do not know whether any of our platform advances and product candidates will be protectable or remain protected by valid and enforceable patents. In addition, our existing patents and any future patents we obtain may not be sufficiently broad to prevent others from using our technology or from developing competing products and technologies.</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license intellectual property rights from third parties, such as our license agreement with Novatim, or otherwise experience disruptions to our business relationships with our licensors, we could lose license rights that are important to our business. In addition, our current or future licensors may not always act in our best interest. If we fail to comply with our obligations under our intellectual property licenses, if the licenses are terminated, or if disputes regarding these licenses arise, we could lose significant rights that may be important to our business.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party to license agreements under which we are granted intellectual property rights that are important to our business and our product candidates. If we fail to comply with our obligations under the license agreement or we are subject to a bankruptcy, the license agreements may be terminated, in which event we would not be able to develop, commercialize or market our product candidates.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4" w:name="page75"/>
    <w:bookmarkEnd w:id="74"/>
    <w:p>
      <w:pPr>
        <w:jc w:val="both"/>
        <w:spacing w:after="0" w:line="254" w:lineRule="auto"/>
        <w:rPr>
          <w:sz w:val="20"/>
          <w:szCs w:val="20"/>
          <w:color w:val="auto"/>
        </w:rPr>
      </w:pPr>
      <w:r>
        <w:rPr>
          <w:rFonts w:ascii="Times New Roman" w:cs="Times New Roman" w:eastAsia="Times New Roman" w:hAnsi="Times New Roman"/>
          <w:sz w:val="18"/>
          <w:szCs w:val="18"/>
          <w:color w:val="auto"/>
        </w:rPr>
        <w:t>For example, pursuant to the Novatim License Agreement, we obtained an exclusive license to specified patents and know-how in all fields worldwide, but excluding Greater China, India, Turkey, and Russia, to exploit the TPST-2003 and TPST-2206 programs and allogeneic CAR-T therapies based on the TPST-2003 and TPST-2206 programs. We also have a right of first negotiation to negotiate a license to exploit allogeneic CAR-T therapies and in vivo CAR-T therapies in Greater China. We are obligated to meet certain diligence milestones by specified dates and to use commercially reasonable efforts to develop and make commercially available at least one licensed product in the licensed territory. In addition, pursuant to the Restated Factor License Agreement, we have an exclusive license to specified patents in all fields worldwide, but excluding Greater China, India, Turkey, and Russia, to exploit the TPST-3003 and TPST-3206 programs. Under the Restated Factor License Agreement, we are obligated to meet certain diligence milestones by specified dates and to use commercially reasonable efforts to develop and make commercially available at least one licensed product in the licensed territory.</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licenses to patents, know-how and proprietary technology licensed from third parties may not provide exclusive rights in all relevant fields of use and in all territories in which we may wish to develop or commercialize our products in the future. The agreements under which we license patents, know-how and proprietary technology from others may be complex, and certain provisions in such agreements may be susceptible to multiple interpretations.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future we may also need to obtain additional licenses from third parties to advance our research or allow commercialization of product candidates Tempest may develop. It is possible that we may be unable to obtain any licenses at a reasonable cost or on reasonable terms, if at all. In either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or product candidates.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current or future licensors fail to adequately protect our licensed intellectual property, our ability to commercialize product candidates could suffer. We may not have complete control over the maintenance, prosecution and litigation of our current or future in-licensed patents and patent applications. For example, we cannot be certain that activities such as the maintenance and prosecution by our current or future licensors have been or will be conducted in compliance with applicable laws and regulations or will result in valid and enforceable patents and other intellectual property rights. It is possible that our current or future licensors’ infringement proceedings or defense activities may be less vigorous than had we conducted them ourselves or may not be conducted in accordance with our best interests.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resolution of any contract interpretation disagreement that may arise could narrow what we might believe to be the scope of our rights to the relevant patents, know-how and proprietary technology, or increase what we believe to be our financial or other obligations under the relevant agreement. Disputes that may arise between us and our current or future licensors regarding intellectual property subject to a license agreement could include disputes regarding:</w:t>
      </w:r>
    </w:p>
    <w:p>
      <w:pPr>
        <w:spacing w:after="0" w:line="180"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16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milestone or other payment obligations that may result from the advancement or commercial sale of any of our product candidates; and</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p>
      <w:pPr>
        <w:jc w:val="both"/>
        <w:spacing w:after="0" w:line="282" w:lineRule="auto"/>
        <w:rPr>
          <w:sz w:val="20"/>
          <w:szCs w:val="20"/>
          <w:color w:val="auto"/>
        </w:rPr>
      </w:pPr>
      <w:r>
        <w:rPr>
          <w:rFonts w:ascii="Times New Roman" w:cs="Times New Roman" w:eastAsia="Times New Roman" w:hAnsi="Times New Roman"/>
          <w:sz w:val="18"/>
          <w:szCs w:val="18"/>
          <w:color w:val="auto"/>
        </w:rPr>
        <w:t>If disputes over intellectual property that we currently license or may license in the future prevent or impair our ability to maintain our licensing arrangements on acceptable terms, we may be unable to successfully develop and commercialize the affected technology or product candidates.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owned and in-licensed patents and patent applications may not provide sufficient protection of our product candidates or result in any competitive advantage.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patent position of biopharmaceutical companies generally is highly uncertain, involves complex legal and factual questions, and has been the subject of much litigation.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For example, while our patent applications are pending, we may be subject to a third-party preissuance submission of prior art to the U.S. Patent and Trademark Office (the “USPTO”), or become involved in interference or derivation proceedings, or equivalent proceedings in foreign jurisdictions. Even if patents do successfully issue, third parties may challenge their inventorship, validity, enforceability or scope, including through opposition, revocation, reexamination, post-grant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An adverse determination in any such submission, proceeding or litigation may result in loss of patent rights, loss of exclusivity, patent term adjustment being jeopardized, patent term being reduced, or in patent claims being narrowed, invalidated or held unenforceable, which could limit our ability to stop others from using or commercializing similar or identical technology and products, or limit the duration of the patent protection of our technology and product candidates. Furthermore, even if they are unchallenged, our patents and patent applications may not adequately protect our intellectual property or prevent others from designing around our claims. Moreover, some of our owned and in-licensed patents and patent applications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development, testing, and regulatory review of new product candidates, the period of time during which we could market our product candidates under patent protection would be reduced or eliminated.</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patent applications in the United States and other countries are confidential for a period of time after filing or until issuance, at any moment in time, we cannot be certain that it was in the past or will be in the future the first to file any patent application related to our product candidates. In addition, some patent applications in the United States may be maintained in secrecy until the patents are issued. As a result, there may be prior art of which we are not aware that may affect the validity or enforceability of a patent claim, and we may be subject to priority disputes. We may be required to disclaim part or all of the term of certain patents or all of the term of certain patent applications.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patent office or other governmental authority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that block our efforts or potentially result in our product candidates or our activities infringing such claims. It is possible that our competitors may have filed, and may in the future file, patent applications covering our products or technology similar to our products and technology. Those patent applications may have priority over our owned and in-licensed patent applications or patents, which could require us to</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6" w:name="page77"/>
    <w:bookmarkEnd w:id="76"/>
    <w:p>
      <w:pPr>
        <w:jc w:val="both"/>
        <w:spacing w:after="0" w:line="254" w:lineRule="auto"/>
        <w:rPr>
          <w:sz w:val="20"/>
          <w:szCs w:val="20"/>
          <w:color w:val="auto"/>
        </w:rPr>
      </w:pPr>
      <w:r>
        <w:rPr>
          <w:rFonts w:ascii="Times New Roman" w:cs="Times New Roman" w:eastAsia="Times New Roman" w:hAnsi="Times New Roman"/>
          <w:sz w:val="18"/>
          <w:szCs w:val="18"/>
          <w:color w:val="auto"/>
        </w:rPr>
        <w:t>obtain rights to issued patents covering such technologies. The possibility also exists that others will develop products that have the same effect as our product candidates on an independent basis that do not infringe our patents or other intellectual property rights, or will design around the claims of patents that we have had issued that cover our product candidates or their use. Likewise, our currently owned patents and patent applications, if issued as patents, directed to our proprietary technologies and our product candidates are expected to expire from 2033 through 2046, without taking into account any possible patent term adjustments or extensions. Our earliest patents may expire before, or soon after, our first product achieves marketing approval in the United States or foreign jurisdictions. Additionally, we cannot be assured that the USPTO or relevant foreign patent offices will grant any of the pending patent applications we own or in-license currently or in the future. Upon the expiration of our current patents, we may lose the right to exclude others from practicing these inventions. The expiration of these patents could also have a similar material adverse effect on our business, financial condition, results of operations and prospects.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62" w:lineRule="exact"/>
        <w:rPr>
          <w:sz w:val="20"/>
          <w:szCs w:val="20"/>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or use compounds that are similar to the active compositions of our product candidates but that are not covered by the claims of our patents;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APIs in our current product candidates will eventually become commercially available in generic drug products, and no patent protection may be available with regard to formulation or method of use;</w:t>
      </w:r>
    </w:p>
    <w:p>
      <w:pPr>
        <w:spacing w:after="0" w:line="16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as the case may be, may fail to meet our or our obligations to the U.S. government regarding any patents and patent applications funded by U.S. government grants, leading to the loss or unenforceability of patent rights;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as the case may be, might not have been the first to file patent applications for certain inventions;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result in issued patents;</w:t>
      </w:r>
    </w:p>
    <w:p>
      <w:pPr>
        <w:spacing w:after="0" w:line="22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our owned or in-licensed patents, as the case may be, or parts of our owned or in-licensed patents;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others may circumvent our owned or in-licensed patents;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 candidates or technology similar to ours;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 or our current or future licensors’, as the case may be, proprietary rights to the same extent as the laws of the United States;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owned or in-licensed issued patents or patent applications, if and when issued, may not adequately cover our product candidates;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16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owned or in-licensed patents or patent applications may become involved with competitors, develop products or processes that design around our patents, or become hostile to us or the patents or patent applications on which they are named as inventors;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7" w:name="page78"/>
    <w:bookmarkEnd w:id="77"/>
    <w:p>
      <w:pPr>
        <w:jc w:val="both"/>
        <w:ind w:left="102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or in-licensed patents or patent applications may omit individual(s) that should be listed as inventor(s) or include individual(s) that should not be listed as inventor(s), which may cause these patents or patents issuing from these patent applications to be held invalid or unenforceable or such omitted individuals may grant licenses to third parties;</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collaborations in the past and will continue to do so in the future and our collaborators may develop adjacent or competing products that are outside the scope of our patents;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for which we can obtain patent protection;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product candidates or diagnostic tests we develop may be covered by third parties’ patents or other exclusive rights; or</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business, financial conditions, results of operations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strategy of obtaining rights to key technologies through in-licenses may not be successful.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future growth of our business may depend in part on our ability to in-license or otherwise acquire the rights to additional product candidates and technologies. We cannot assure you that we will be able to in-license or acquire the rights to any product candidates or technologies from third parties on acceptable terms or at all.</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example, our agreements with certain of our third-party research partners provide that improvements developed in the course of our relationship may be owned solely by either we or our third-party research partner, or jointly between us and the third party. If we determine that exclusive rights to such improvements owned solely by a research partner or other third party with whom we collaborate are necessary to commercialize our drug candidates or maintain our competitive advantage, we may need to obtain an exclusive license from such third party in order to use the improvements and continue developing, manufacturing or marketing our drug candidates. We may not be able to obtain such a license on an exclusive basis, on commercially reasonable terms, or at all, which could prevent us from commercializing our drug candidates or allow our competitors or others the opportunity to access technology that is important to our business. We also may need the cooperation of any co-owners of our intellectual property in order to enforce such intellectual property against third parties, and such cooperation may not be provided to us.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in-licensing and acquisition of these technologies is a highly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and prospects could be materially and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patent protection, we rely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8" w:name="page79"/>
    <w:bookmarkEnd w:id="78"/>
    <w:p>
      <w:pPr>
        <w:jc w:val="both"/>
        <w:spacing w:after="0" w:line="254" w:lineRule="auto"/>
        <w:rPr>
          <w:sz w:val="20"/>
          <w:szCs w:val="20"/>
          <w:color w:val="auto"/>
        </w:rPr>
      </w:pPr>
      <w:r>
        <w:rPr>
          <w:rFonts w:ascii="Times New Roman" w:cs="Times New Roman" w:eastAsia="Times New Roman" w:hAnsi="Times New Roman"/>
          <w:sz w:val="18"/>
          <w:szCs w:val="18"/>
          <w:color w:val="auto"/>
        </w:rPr>
        <w:t>individual or entity during the course of the party’s relationship with us are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(or as otherwise permitted by applicable law), are our exclusive property. In the case of consultants and other third parties, the agreements provide that all inventions conceived in connection with the services provided are our exclusive property. However, we cannot guarantee that we have entered into such agreements with each party that may have or have had access to our trade secrets or proprietary technology and processes. We have also adopted policies and conducts training that provides guidance on our expectations, and our advice for best practices, in protecting our trade secrets. Despite these efforts, any of these parties may breach the agreements and disclose our proprietary information, including our trade secrets, and we may not be able to obtain adequate remedies for such breaches.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contractual measures, we try to protect the confidential nature of our proprietary information through other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us from receiving legal recourse. If any of our confidential or proprietary information, such as our trade secrets, were to be disclosed or misappropriated, such as through a security incident, or if any of that information was independently developed by a competitor, our competitive position could be harmed. Additionally, certain trade secret and proprietary information may be required to be disclosed in submissions to regulatory authorities. If such authorities do not maintain the confidential basis of such information or disclose it as part of the basis of regulatory approval, our competitive position could be adversely affected.</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courts outside the United States are sometimes less willing to protect trade secrets. If we choose to go to court to stop a third party from using any of our trade secrets, we may incur substantial costs. Even if we are successful, these types of lawsuits may result in substantial cost and require significant time from our scientists and management. Although we take steps to protect our proprietary information and trade secrets, third parties may independently develop substantially equivalent proprietary information and techniques or otherwise gain access to our trade secrets or disclose our technology, through legal or illegal means. As a result, we may not be able to meaningfully protect our trade secrets. Any of the foregoing could have a material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prevent, delay or otherwise interfere with our product discovery and development efforts.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ability to develop, manufacture, market and sell our product candidates and use our proprietary technologies without infringing, misappropriating or otherwise violating the intellectual property or other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misappropriate or otherwise violate their intellectual property rights. Numerous U.S. and foreign issued patents and pending patent applications that are owned by third parties exist in the fields in which we are developing our product candidates. We are aware of certain issued patents and pending patent applications in the United States and elsewhere that contain claims that may cover certain cell therapy programs of ours. While we believe we would have valid defenses to claims of patent infringement or noninfringement positions, we cannot be certain that we would prevail in any dispute, and we cannot be certain how an adverse determination would affect our business. As the biotechnology and pharmaceutical industries expand and more patents are issued, the risk increases that our product candidates may give rise to claims of infringement of the patent rights of</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9" w:name="page80"/>
    <w:bookmarkEnd w:id="79"/>
    <w:p>
      <w:pPr>
        <w:jc w:val="both"/>
        <w:spacing w:after="0" w:line="266" w:lineRule="auto"/>
        <w:rPr>
          <w:sz w:val="20"/>
          <w:szCs w:val="20"/>
          <w:color w:val="auto"/>
        </w:rPr>
      </w:pPr>
      <w:r>
        <w:rPr>
          <w:rFonts w:ascii="Times New Roman" w:cs="Times New Roman" w:eastAsia="Times New Roman" w:hAnsi="Times New Roman"/>
          <w:sz w:val="18"/>
          <w:szCs w:val="18"/>
          <w:color w:val="auto"/>
        </w:rPr>
        <w:t>others. Moreover, it is not always clear to industry participants, including us, which patents cover various types of drugs, products or their methods of use or manufacture. Thus, because of the large number of patents issued and patent applications filed in our field, third parties may allege they have patent rights encompassing our product candidates, technologies or methods.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their intellectual property rights, we may face a number of issues, including, but not limited to:</w:t>
      </w:r>
    </w:p>
    <w:p>
      <w:pPr>
        <w:spacing w:after="0" w:line="162" w:lineRule="exact"/>
        <w:rPr>
          <w:sz w:val="20"/>
          <w:szCs w:val="20"/>
          <w:color w:val="auto"/>
        </w:rPr>
      </w:pPr>
    </w:p>
    <w:p>
      <w:pPr>
        <w:ind w:left="1020" w:right="4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that, regardless of merit, may be expensive and time-consuming to litigate and may divert our management’s attention from our core business;</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plus the patent owner’s attorneys’ fees;</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product candidates, or from using our proprietary technologies, unless the third-party licenses our product rights or proprietary technology to us, which it is not required to do, on commercially reasonable terms or at all;</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 candidates;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redesign our product candidates or processes so they do not infringe, which may not be possible or may require substantial monetary expenditures and time;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including by enforcing our patents against us by filing a patent infringement lawsuit against us. In this regard, patents issued in the United States by law enjoy a presumption of validity that can be rebutted only with evidence that is “clear and convincing,” a heightened standard of proof.</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may be third-party patents of which we are currently unaware of with claims to materials, formulations,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 upon these patents.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any third-party patents were held by a court of competent jurisdiction to cover the manufacturing process of our product candidates, or materials used in or formed during the manufacturing process, or any final product itself, the holders of those patents may be able to block our ability to commercialize our product candidate unless we obtain a license under the applicable patents, or until those patents were to expire or those patents are finally determined to be invalid or unenforceable. Similarly, if any third-party patent were held by a court of competent jurisdiction to cover aspects of our formulations, processes for manufacture or methods of use, including combination therapy or patient selection methods, the holders of that patent may be able to block our ability to develop and commercialize the product candidate unless we obtain a license or until such patent</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0" w:name="page81"/>
    <w:bookmarkEnd w:id="80"/>
    <w:p>
      <w:pPr>
        <w:jc w:val="both"/>
        <w:spacing w:after="0" w:line="256" w:lineRule="auto"/>
        <w:rPr>
          <w:sz w:val="20"/>
          <w:szCs w:val="20"/>
          <w:color w:val="auto"/>
        </w:rPr>
      </w:pPr>
      <w:r>
        <w:rPr>
          <w:rFonts w:ascii="Times New Roman" w:cs="Times New Roman" w:eastAsia="Times New Roman" w:hAnsi="Times New Roman"/>
          <w:sz w:val="18"/>
          <w:szCs w:val="18"/>
          <w:color w:val="auto"/>
        </w:rPr>
        <w:t>expires or is finally determined to be invalid or unenforceable. In either case, a license may not be available on commercially reasonable terms, or at all, particularly if such patent is owned or controlled by one of our primary competitors. If we are unable to obtain a necessary license to a third-party patent on commercially reasonable terms, or at all, our ability to commercialize our product candidates may be impaired or delayed, which could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time and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license of this nature would be available at all or whether it would be available on commercially reasonable terms. Furthermore, even in the absence of litigation, we may need to obtain licenses from third parties to advance our research or allow commercialization of our product candidates and we may fail to obtain any of these licenses at a reasonable cost or on reasonable terms, if at all.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that event, we would be unable to further develop and commercialize our product candidates, which could significantly harm our business.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time-consuming and unsuccessful and could result in a finding that such patents are unenforceable or invalid.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patent litigation in the United States, defendant counterclaims alleging invalidity and/or unenforceability are commonplace, and there are numerous grounds upon which a third party can assert invalidity or unenforceability of a patent.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These types of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(e.g., opposition proceedings). These types of proceedings could result in revocation or amendment to our patents such that they no longer cover our product candidates. The outcome for any particular patent following legal assertions of invalidity and</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1" w:name="page82"/>
    <w:bookmarkEnd w:id="81"/>
    <w:p>
      <w:pPr>
        <w:jc w:val="both"/>
        <w:spacing w:after="0" w:line="258" w:lineRule="auto"/>
        <w:rPr>
          <w:sz w:val="20"/>
          <w:szCs w:val="20"/>
          <w:color w:val="auto"/>
        </w:rPr>
      </w:pPr>
      <w:r>
        <w:rPr>
          <w:rFonts w:ascii="Times New Roman" w:cs="Times New Roman" w:eastAsia="Times New Roman" w:hAnsi="Times New Roman"/>
          <w:sz w:val="18"/>
          <w:szCs w:val="18"/>
          <w:color w:val="auto"/>
        </w:rPr>
        <w:t>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Defense of these types of claims, regardless of their merit, would involve substantial litigation expense and would be a substantial diversion of employee resources from our business.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Conversely, we may choose to challenge the patentability of claims in a third party’s U.S. patent by requesting that the USPTO review the patent claims in re-examination, post-grant review, inter partes review, interference proceedings, derivation proceedings, and equivalent proceedings in foreign jurisdictions (e.g., opposition proceedings), or we may choose to challenge a third party’s patent in patent opposition proceedings in the Canadian Intellectual Property Office (“CIPO”), the European Patent Office (“EPO”), or another foreign patent office. The outcome following legal assertions of invalidity is unpredictable. Additionally, we may be subject to claims of patent infringement during those proceedings, and delays caused by the federal agencies may increase the time period that we are subject to such claims. For example, administrative changes, including reduced staff and budgets experienced by the Patent and Trial Appeal Board, could further delay our ability to timely challenge any such patents. Even if successful, the costs of these opposition proceedings could be substantial, and may consume our time or other resources. If we fail to obtain a favorable result at the USPTO, CIPO, EPO or other patent office then we may be exposed to litigation by a third party alleging that the patent may be infringed by our product candidates or proprietary technologies.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that perception could have a substantial adverse effect on the price of our common stock. Any of the foregoing could have a material adverse effect on our business financial condition, results of operations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For example, patents covering methods-of-use are not available in certain foreign countries.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do not have or have not obtained patent protection to develop their own products and, further, may export otherwise infringing products to territories where we have patent protection but where enforcement is not as strong as that in the United States. These products may compete with our product candidates in jurisdictions where we do not have any issued patents and our patent claims or other intellectual property rights may not be effective or sufficient to prevent them from competing.</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2" w:name="page83"/>
    <w:bookmarkEnd w:id="82"/>
    <w:p>
      <w:pPr>
        <w:jc w:val="both"/>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management’s efforts and attention from other aspects of our business. Proceedings to enforce our patent rights in foreign jurisdictions could result in substantial costs and divert management’s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Geopolitical actions in the United States and in foreign countries (such as, ongoing wars or similar conflicts; retaliatory measures by foreign countries in response to actions by the United States, in particular; and tariffs)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the Russia-Ukraine war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Also, many foreign countries could threaten to impose retaliatory measures that may adversely impact our intellectual property rights in those countries. For example, on March 14, 2025, Brazil enacted Law No. 15.122/2025 (known as the “Economic Reciprocity Law”), which provides a framework that allows for the suspension of obligations related to foreign entities’ intellectual property rights. Consequently, we would not be able to prevent third parties from practicing our inventions in such jurisdictions or from selling or importing products made using our inventions in and into such jurisdictions. Accordingly, our competitive position may be impaired, and our business, financial condition, results of operations and prospects may be adversely affected.</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that our employees or consultants have wrongfully used or disclosed confidential information or misappropriated trade secrets.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who were previously employed at universities or other biopharmaceutical or pharmaceutical companies, including our competitors or potential competitors. Although we try to ensure that our employees and consultants do not use the proprietary information or know-how of others in their work for us, we may be subject to claims that our employees, consultants or independent contractors have inadvertently or otherwise used or disclosed intellectual property, including trade secrets or other proprietary information, of a former employer or other third parties. We may then have to pursue litigation to defend against these claims. If we fail in defending any claims of this nature, in addition to paying monetary damages, we may lose valuable intellectual property rights or personnel. Even if we are successful in defending against these types of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3" w:name="page84"/>
    <w:bookmarkEnd w:id="83"/>
    <w:p>
      <w:pPr>
        <w:jc w:val="both"/>
        <w:spacing w:after="0" w:line="256" w:lineRule="auto"/>
        <w:rPr>
          <w:sz w:val="20"/>
          <w:szCs w:val="20"/>
          <w:color w:val="auto"/>
        </w:rPr>
      </w:pPr>
      <w:r>
        <w:rPr>
          <w:rFonts w:ascii="Times New Roman" w:cs="Times New Roman" w:eastAsia="Times New Roman" w:hAnsi="Times New Roman"/>
          <w:sz w:val="18"/>
          <w:szCs w:val="18"/>
          <w:color w:val="auto"/>
        </w:rPr>
        <w:t>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we may not have sufficient financial or other resources to adequately conduct this type of litigation or proceedings. For example, some of our competitors may be able to sustain the costs of this type of litigation or proceedings more effectively than we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patent agencies also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laws and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Were a noncompliance event to occur, our competitors might be able to enter the market, which would have a material adverse effect on our business financial condition, results of operations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in non-U.S. jurisdictions could diminish the value of patents in general, thereby impairing our ability to protect our product candidates.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Past or future patent reform legislation could increase the uncertainties and costs surrounding the prosecution of our patent applications and the enforcement or defense of our issued patents. For example, in March 2013, under the Leahy-Smith America Invents Act (“America Invents Act”), the United States moved from a “first-to-invent” to a “first-to-file” patent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continue to evolve as the USPTO continues to promulgate new regulations and procedures in connection with the America Invents Act. In addition, the courts have yet to address many of these provisions and the applicability of the act and new regulations on the specific patents discussed in this filing have not been determined and would need to be reviewed. Moreover, the America Invents Act and our implementation could increase the uncertainties and costs surrounding the prosecution of our patent applications and the enforcement or defense of our issued patents.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We cannot predict how decisions by the federal courts, the U.S. Congress or the USPTO may impact the value of our patent rights. For example, the Federal Circuit recently issued a decision involving the interaction of patent term adjustment (“PTA”), terminal disclaimers, and obviousness-type double patenting. This decision creates uncertainty to the patent terms of certain U.S. patents that share the same priority claim where on expires later than another due to accrued PTA. Depending on decisions by the U.S. Congress, the federal courts and the USPTO, the laws and regulations governing patents could change in unpredictable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4" w:name="page85"/>
    <w:bookmarkEnd w:id="84"/>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ways that would weaken our ability to obtain new patents or to enforce our existing patents and patents that we might obtain or license in the future. For example, in the case, </w:t>
      </w:r>
      <w:r>
        <w:rPr>
          <w:rFonts w:ascii="Times New Roman" w:cs="Times New Roman" w:eastAsia="Times New Roman" w:hAnsi="Times New Roman"/>
          <w:sz w:val="18"/>
          <w:szCs w:val="18"/>
          <w:i w:val="1"/>
          <w:iCs w:val="1"/>
          <w:color w:val="auto"/>
        </w:rPr>
        <w:t>Assoc. for Molecular Pathology v. Myriad Genetics,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(2013)</w:t>
      </w:r>
      <w:r>
        <w:rPr>
          <w:rFonts w:ascii="Times New Roman" w:cs="Times New Roman" w:eastAsia="Times New Roman" w:hAnsi="Times New Roman"/>
          <w:sz w:val="18"/>
          <w:szCs w:val="18"/>
          <w:color w:val="auto"/>
        </w:rPr>
        <w:t xml:space="preserve">, the U.S. Supreme Court held that certain claims to DNA molecules are not patent-eligible. In another example, the U.S. Supreme Court held in </w:t>
      </w:r>
      <w:r>
        <w:rPr>
          <w:rFonts w:ascii="Times New Roman" w:cs="Times New Roman" w:eastAsia="Times New Roman" w:hAnsi="Times New Roman"/>
          <w:sz w:val="18"/>
          <w:szCs w:val="18"/>
          <w:i w:val="1"/>
          <w:iCs w:val="1"/>
          <w:color w:val="auto"/>
        </w:rPr>
        <w:t>Amgen v. Sanofi (2023)</w:t>
      </w:r>
      <w:r>
        <w:rPr>
          <w:rFonts w:ascii="Times New Roman" w:cs="Times New Roman" w:eastAsia="Times New Roman" w:hAnsi="Times New Roman"/>
          <w:sz w:val="18"/>
          <w:szCs w:val="18"/>
          <w:color w:val="auto"/>
        </w:rPr>
        <w:t xml:space="preserve"> that a functionally claimed genus was invalid for failing to comply with the enablement requirement of the Patent Act.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Similarly, other cases by the U.S. Supreme Court have held that certain methods of treatment or diagnosis are not patent-eligible. U.S. law regarding patent-eligibility continues to evolve. While we do not believe that any of our patents will be found invalid based on these changes to U.S. patent law, we cannot predict how future decisions by the courts, the U.S. Congress or the USPTO may impact the value of our patents and patent applications. Any similar adverse changes in the patent laws of other jurisdictions could also have a material adverse effect on our business, financial condition, results of operations and prospects.</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a further example, as of June 1, 2023, European patent applications and patents may be subjected to the jurisdiction of the Unified Patent Court (“UPC”). In 2012, the European Union Patent Package (The “EU Patent Package”) regulations were passed with the goal of providing a single pan-European Unitary Patent and a new European UPC for litigation involving European patents. The EU Patent Package was implemented on June 1, 2023. As a result, all European patents, including those issued prior to ratification of the EU Patent Package, now by default automatically fall under the jurisdiction of the UPC. European patent applications will have the option, upon grant of a patent, of becoming a Unitary Patent, which will be subject to the jurisdiction of the UPC. The UPC and Unitary Patent are significant changes in European patent practice.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As the UPC is a new court system, there is no precedent for the court, increasing the uncertainty of any litigation in the UPC. As a single court system can invalidate a European patent, we, where applicable, may opt out of the UPC and as such, each European patent would need to be challenged in each individual country. We may decide to opt out future European patents from the UPC, but doing so may preclude us from realizing the benefits of the UPC. Moreover, if we do not meet all of the opt-out formalities and requirements under the UPC, our future European patents could remain under the jurisdiction of the UPC. The UPC will provide our competitors with a new forum to centrally revoke our European patents, and allow for the possibility of a competitor to obtain pan-European injunctions. Such a loss of patent protection could have a material adverse impact on our business and our ability to commercialize our technology and product candidates due to increased competition and, resultantly, on our financial condition, prospects and results of operations.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Given the amount of time required for the development, testing and regulatory review of new product candidates, patents protecting our product candidates might expire before or shortly after we or our partners commercialize those candidates. As a result, our owned and licensed patent portfolio may not provide us with sufficient rights to exclude others from commercializing products similar or identical to ours.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any product candidates we may develop, our business may be materially harmed.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 of 1984 (the “Hatch-Waxman Amendments”). The Hatch-Waxman Amendments permit a patent extension term of up to five years as compensation for patent term lost during clinical trials and the FDA regulatory review process. A patent term extension cannot extend the remaining term of a patent beyond a total of 14 years from the date of product approval, only one patent per product may be extended and only those claims covering the approved drug, a method for using it, or a method for manufacturing it may be extended. U.S. and ex-U.S. law concerning patent term extensions and foreign equivalents continue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5" w:name="page86"/>
    <w:bookmarkEnd w:id="85"/>
    <w:p>
      <w:pPr>
        <w:jc w:val="both"/>
        <w:spacing w:after="0" w:line="254" w:lineRule="auto"/>
        <w:rPr>
          <w:sz w:val="20"/>
          <w:szCs w:val="20"/>
          <w:color w:val="auto"/>
        </w:rPr>
      </w:pPr>
      <w:r>
        <w:rPr>
          <w:rFonts w:ascii="Times New Roman" w:cs="Times New Roman" w:eastAsia="Times New Roman" w:hAnsi="Times New Roman"/>
          <w:sz w:val="18"/>
          <w:szCs w:val="18"/>
          <w:color w:val="auto"/>
        </w:rPr>
        <w:t>to evolve. Even if we were to seek a patent term extension, it may not be granted because of, for example, the failure to exercise due diligence during the testing phase or regulatory review process, the failure to apply within applicable deadlines, the failure to apply prior to expiration of relevant patents, or any other failure to satisfy applicable requirements. Additionally, administrative changes at the USPTO or other applicable patent authorities, such as reduced hiring and/or funding, may result in delays in issuance of a patent or in accrual of patent term extension, thereby reducing the amount of patent term extension that could otherwise be received. Administrative changes (e.g., at the FDA or USPTO) may also lead to delays in review and analysis of requests for patent term extension, which could result in a patent term extension not being timely granted (e.g., before the expiration of the patent). Moreover, the applicable time period of extension or the scope of patent protection afforded could be less than we project or request. If we are unable to obtain patent term extension or term of any such extension is less than we project or request, our competitors may obtain approval of competing products following our patent expiration sooner than expected, and our business, financial condition, results of operations and prospects could be materially harmed.</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Intellectual property discovered through government funded programs may be subject to federal regulations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march-in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rights, certain reporting requirements and a preference for U.S.-based companies. Compliance with such regulations may limit our exclusive rights and limit our ability to contract with non-U.S. manufacturers.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Although we do not currently license or own issued patents or pending patent applications that have been generated through the use of U.S. government funding, we may in-license or acquire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Recently, the government released a draft framework that may be used by an agency when deciding to exercise its march-in rights for public comments, and as such, the framework for deciding when march-in rights are exercised may change. If the U.S. government exercised its march-in rights in our current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and Other General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benefits of the Asset Acquisition do not meet the expectations of investors or securities analysts, the market price of our common stock may decline.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may decline as a result of the Asset Acquisition if we do not achieve the perceived benefits of the Asset Acquisition as rapidly or to the extent anticipated by financial analysts or the effect of the Asset Acquisition on our financial results is not consistent with the expectations of financial analysts. Accordingly, holders of our common stock following the consummation of the Asset Acquisition may experience a loss as a result of a decline in the market price of such common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6" w:name="page87"/>
    <w:bookmarkEnd w:id="8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 In addition, a decline in the market price of our common stock following the consummation of the Asset Acquisition could adversely affect our ability to issue additional securities if needed and to obtain additional financing in the future.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has been and is likely to continue to be volatile, and purchasers of our common stock could incur substantial losses.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has been and is likely to continue to be volatile. For example, during 2025, the closing price of our common stock on The Nasdaq Capital Market ranged from $2.84 per share to $12.81 per share. Some of the factors that may cause the market price of our common stock to fluctuate include:</w:t>
      </w:r>
    </w:p>
    <w:p>
      <w:pPr>
        <w:spacing w:after="0" w:line="176"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our existing or future collaborators;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16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issue adverse or misleading opinions regarding our business and stock;</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us or our securityholders in the future;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raise an adequate amount of capital to fund our operations and continued development of our product candidates;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commercial products, clinical progress or lack thereof, significant contracts, commercial relationships or capital commitments;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precision medicine product candidates, including with respect to other products in such markets;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products and services;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7" w:name="page88"/>
    <w:bookmarkEnd w:id="87"/>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and abroad, including as a result of bank failures, public health crises or geopolitical tensions, such as wars or terrorism; and</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share price.</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the macroeconomic uncertainty and volatile business environment have resulted in ongoing inflation, volatility in the capital markets, significantly reduced liquidity and credit availability, decreases in consumer demand and confidence, declines in economic growth, increases in unemployment rates and uncertainty about economic stability. Our general business strategy may be materially or adversely impacted by if these unpredictable and unstable market conditions continue. Additionally, geopolitical tensions, wars and terrorism, and the imposition of tariffs in the U.S. and abroad, has created extreme volatility in the global capital markets and is expected to have further global economic consequences, including disruptions of the global supply chain and energy markets. Any such volatility and disruptions may have adverse consequences for us or the third parties on whom we rely. If the equity and credit markets deteriorate, including as a result of future bank closures or political unrest, war or a global or domestic recession or the fear thereof,, it may make any necessary debt or equity financing more difficult to obtain in a timely manner or on favorable terms, more costly or more dilutive.</w:t>
      </w:r>
    </w:p>
    <w:p>
      <w:pPr>
        <w:spacing w:after="0" w:line="8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Trade disputes, trade restrictions, tariffs and other political tensions between the U.S. and other countries may also exacerbate unfavorable macroeconomic conditions, including inflationary pressures, foreign exchange volatility, financial market instability, and economic recessions or downturns, which may also negatively impact customer demand for our services, delay renewals or limit expansion opportunities with existing customers, limit our access to capital, or otherwise negatively impact our business and operations. In addition, retaliatory trade policies or anti-U.S. sentiment in certain regions whether driven by trade tensions, political disagreements, or regulatory concerns may make customers and governments more hesitant to purchase U.S. products. This may lead to increased preference for local competitors, changes to government procurement policies, heightened regulatory scrutiny, decreased intellectual property protections, delays in regulatory approvals or other retaliatory regulatory non-tariff policies, the introduction of trade barriers applicable to pharmaceutical products, which may result in heightened international legal and operational risks and difficulties in attracting and retaining non-U.S. customers, suppliers, employees, partners and investors. Ongoing tariff and macroeconomic uncertainty may also contribute to volatility in the price of our common stock.</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inflation can adversely affect us by increasing our costs, including salary costs. Any significant increases in inflation and related increase in interest rates could have a material adverse effect on our business, results of operations and financial condition. A weak or declining economy could also strain our suppliers and manufacturers, possibly resulting in supply and clinical trial disruption. Any of the foregoing could harm our business and we cannot anticipate all of the ways in which the current economic climate and financial market conditions could adversely impact our business.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is thinly traded and our stockholders may be unable to sell their shares quickly or at market price.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have had periods of high-volume daily trading in our common stock, generally our stock is thinly traded. As a consequence of this lack of liquidity, the trading of relatively small quantities of shares by our stockholders may disproportionately influence the price of those shares in either direction. Our common stock price could, for example, decline significantly as a result of sales of a large number of shares of our common stock on the market without commensurate demand, as compared to a seasoned issuer that could better absorb those sales without adverse impact on its share price, or from the perception that these sales could occur.</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reporting requirements applicable to smaller reporting companies may make our common stock less attractive to investors.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“smaller reporting company” as defined in Section 12 of the Exchange Act. For as long as we continue to be a smaller reporting company, we may take advantage of exemptions from various reporting requirements that are applicable to other public companies that are not smaller reporting companies, including not being required to comply with the auditor attestation requirements of Section 404 of Sarbanes-Oxley Act of 2002, reduced disclosure obligations regarding executive compensation in our periodic reports and proxy statements,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Chief Executive Officer and principal stockholder collectively own a substantial portion of our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Collectively, our Chief Executive Officer and Lotus Capital BVI Limited (“Lotus”) beneficially own approximately 59.3% of our outstanding common stock as of March 25, 2026. Specifically, Dr. Angel, our President and Chief Executive Officer, beneficially owns approximately 35.3% of our common stock and Lotus beneficially owns approximately 23.9% of our outstanding common stock as of March 25, 2026, respectively. As a result, stockholders may face challenges in affecting matters involving our Company, including:</w:t>
      </w:r>
    </w:p>
    <w:p>
      <w:pPr>
        <w:spacing w:after="0" w:line="180" w:lineRule="exact"/>
        <w:rPr>
          <w:sz w:val="20"/>
          <w:szCs w:val="20"/>
          <w:color w:val="auto"/>
        </w:rPr>
      </w:pPr>
    </w:p>
    <w:p>
      <w:pPr>
        <w:ind w:left="1020" w:right="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of our Board and, through it, any determination with respect to our business direction and policies, including the appointment and removal of officers;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 with respect to mergers or other business combinations;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or disposition of assets; and</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financing activities.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there are no voting or similar agreements in place, our Chief Executive Officer and Lotus may act in concert to significantly influence these and other matters requiring shareholder approval. Furthermore, this concentration of voting power could have the effect of delaying, deterring, or preventing a change of control or other business combination that might otherwise be beneficial to our shareholders. This significant concentration of share ownership may also adversely affect the trading price for our common stock because investors may perceive disadvantages in owning stock in a company that is controlled by a small number of shareholders.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Status as a Public Company and Other General Matters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9" w:name="page90"/>
    <w:bookmarkEnd w:id="8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to incur increased costs as a result of operating as a public company, and our management is required to devote substantial time to compliance with our public company responsibilities and corporate governance practices.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continue to incur significant legal, accounting and other expenses. The Sarbanes-Oxley Act, the Dodd-Frank Wall Street Reform and Consumer Protection Act, the listing requirements of the Nasdaq Stock Market (Nasdaq) and other applicable securities rules and regulations impose various requirements on public companies. Our management and other personnel need to devote a substantial amount of time to compliance with these requirements. Moreover, these rules and regulations increase our legal and financial compliance costs and will make some activities more time-consuming and costly. We cannot predict or estimate the amount of additional costs we will continue to incur as a public company or the timing of such costs. Once we are no longer a smaller reporting company or otherwise no longer qualifies for applicable exemptions, we will be subject to additional laws and regulations affecting public companies that will increase our costs and the demands on management and could harm our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as amended (the “Exchange Act”), The Sarbanes-Oxley Act, the Dodd-Frank Wall Street Reform and Consumer Protection Act, and the rules and regulations of the stock market on which our common stock is listed. The Sarbanes-Oxley Act requires, among other things, that we maintain effective disclosure controls and procedures and internal control over financial reporting and a report by management on, among other things, the effectiveness of our internal control over financial reporting. We will not be required to have our auditors formally attest to the effectiveness of our internal control over financial reporting until we cease to be a smaller reporting company.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We cannot assure you that there will not be material weaknesses or significant deficiencies in the internal control over financial reporting in the future.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accurately report our financial condition, results of operations or cash flows.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reporting on internal control over financial reporting, investors may lose confidence in the accuracy and completeness of our financial reports, the market price of our common stock could decline, and we could be subject to sanctions or investigations by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listing of our common stock on Nasdaq or any stock exchange, our stock price could be adversely affected and the liquidity of our stock and our ability to obtain financing could be impaired and it may be more difficult for our stockholders to sell their securities.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our common stock is currently listed on Nasdaq, we may not be able to continue to meet the exchange’s minimum listing requirements or those of any other national exchange. The Listing Rules of Nasdaq require listing issuers to comply with certain standards in order to remain listed on its exchange. If, for any reason, we should fail to maintain compliance with these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0" w:name="page91"/>
    <w:bookmarkEnd w:id="90"/>
    <w:p>
      <w:pPr>
        <w:jc w:val="both"/>
        <w:spacing w:after="0" w:line="258" w:lineRule="auto"/>
        <w:rPr>
          <w:sz w:val="20"/>
          <w:szCs w:val="20"/>
          <w:color w:val="auto"/>
        </w:rPr>
      </w:pPr>
      <w:r>
        <w:rPr>
          <w:rFonts w:ascii="Times New Roman" w:cs="Times New Roman" w:eastAsia="Times New Roman" w:hAnsi="Times New Roman"/>
          <w:sz w:val="18"/>
          <w:szCs w:val="18"/>
          <w:color w:val="auto"/>
        </w:rPr>
        <w:t>listing standards and Nasdaq should delist our securities from trading on its exchange and we are unable to obtain listing on another national securities exchange, we anticipate that our securities would begin trading on the over-the-counter market. Delisting from Nasdaq and trading on the over-the-counter market could adversely affect the liquidity of our securities. Securities traded on the over-the-counter market generally have limited trading volume and exhibit a wider spread between the bid/ask quotation, as compared to securities listed on a national securities exchange. Consequently, you may not be able to liquidate your investment in the event of an emergency or for any other reason.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Nasdaq delists our securities from trading on its exchange for failure to meet the listing standards, we and our stockholders could face significant negative consequences including limited availability of market quotations for our securities, a determination that the common stock is a “penny stock” which will require brokers trading in the common stock to adhere to more stringent rules, possibly resulting in a reduced level of trading activity in the secondary trading market for shares of the common stock, a limited amount of analyst coverage, and a decreased ability to issue additional securities or obtain additional financing in the future.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other calamities, including public health crises, and our business continuity and disaster recovery plans may not adequately protect us from a serious disaster.</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Natural disasters could severely disrupt our operations and have a material adverse effect on our business, results of operations, financial condition and prospects. If a natural disaster, fire, hurricane, power outage or other event occurred that prevented us from using all or a significant portion of our headquarters, that damaged critical infrastructure, such as our suppliers’ manufacturing facilities, or that otherwise disrupted operations, such as data storage, it may be difficult or, in certain cases, impossible for us to continue our business for a substantial period of time.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Occurrences of epidemics or pandemics, depending on their scale, may cause different degrees of damage to the national and local economies within our geographic focus. Global economic conditions may be disrupted by widespread outbreaks of infectious or contagious diseases, and such disruption may adversely affect clinical development plans.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face an inherent risk of product liability exposure related to the testing of our product candidates in clinical trials and will face an even greater risk if we commercialize any of our product candidates. Any such product liability claims may include allegations of defects in manufacturing, defects in design, a failure to warn of dangers inherent in a product, negligence, strict liability or breach of warranty. Claims could also be asserted under U.S. state consumer protection acts. If we cannot successfully defend against claims that our product candidates caused injuries, we could incur substantial liabilities. Regardless of merit or eventual outcome, liability claims may result in:</w:t>
      </w:r>
    </w:p>
    <w:p>
      <w:pPr>
        <w:spacing w:after="0" w:line="183"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that we may develop;</w:t>
      </w:r>
    </w:p>
    <w:p>
      <w:pPr>
        <w:spacing w:after="0" w:line="225" w:lineRule="exact"/>
        <w:rPr>
          <w:rFonts w:ascii="Times New Roman" w:cs="Times New Roman" w:eastAsia="Times New Roman" w:hAnsi="Times New Roman"/>
          <w:sz w:val="18"/>
          <w:szCs w:val="18"/>
          <w:color w:val="auto"/>
        </w:rPr>
      </w:pPr>
    </w:p>
    <w:p>
      <w:pPr>
        <w:jc w:val="right"/>
        <w:ind w:left="5540" w:right="5520" w:hanging="5023"/>
        <w:spacing w:after="0" w:line="407" w:lineRule="auto"/>
        <w:tabs>
          <w:tab w:leader="none" w:pos="103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1" w:name="page92"/>
    <w:bookmarkEnd w:id="91"/>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our collaboration relationships or disputes with our collaborators;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product recalls, withdrawals or labeling restrictions; and</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candidates that we may develop.</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currently have insurance that we believe is appropriate for our stage of development, we may need to obtain higher levels prior to clinical development or marketing any of our future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by-laws and under Delaware law could make an acquisition of us, which may be beneficial to our stockholders, more difficult and may prevent attempts by our stockholders to replace or remove our current management.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by-laws may discourage, delay or prevent a merger, acquisition or other change in control of the company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87"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not all members of the board are elected at one time;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22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for nominations to our board of directors;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actions by our stockholders by written consent;</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be effected at a duly called stockholders meeting;</w:t>
      </w:r>
    </w:p>
    <w:p>
      <w:pPr>
        <w:spacing w:after="0" w:line="22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2" w:name="page93"/>
    <w:bookmarkEnd w:id="92"/>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in October 2023, we implemented a stockholder rights plan (the “Rights Plan”), also called a “poison pill,” that may have the effect of discouraging or preventing a change of control by, among other things, making it uneconomical for a third party to acquire us without the consent of our board of directors. We amended the Rights Plan on October 9, 2024 and on December 5, 2024, and on January 27, 2026, our stockholders approved the Rights Plan at our 2026 annual meeting of stockholders. As a result of the amendments and the stockholder approval of the Right Plan, the rights will expire on October 10, 2026, unless the rights are earlier redeemed or exchanged by us.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manner prescribed by the statute.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that we will pay any cash dividends in the foreseeable future.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current expectation is that we will retain our future earnings, if any, to fund our growth as opposed to paying dividends. As a result, capital appreciation, if any, of our common stock will be your sole source of gain, if any, for the foreseeable future.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We have no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or fails to publish reports on us regularly, demand for our common stock could decrease, which in turn could cause our stock price or trading volume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3" w:name="page94"/>
    <w:bookmarkEnd w:id="93"/>
    <w:p>
      <w:pPr>
        <w:jc w:val="both"/>
        <w:spacing w:after="0" w:line="261" w:lineRule="auto"/>
        <w:rPr>
          <w:sz w:val="20"/>
          <w:szCs w:val="20"/>
          <w:color w:val="auto"/>
        </w:rPr>
      </w:pPr>
      <w:r>
        <w:rPr>
          <w:rFonts w:ascii="Times New Roman" w:cs="Times New Roman" w:eastAsia="Times New Roman" w:hAnsi="Times New Roman"/>
          <w:sz w:val="18"/>
          <w:szCs w:val="18"/>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data related to our clinical trials and employees (“Information Systems and Data”).</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information security function is led by our Chief Financial Officer &amp; Head of Corporate Strategy (“IT Lead”), who reports to our CEO and is supported by our third-party security provider, and it helps identify, assess and manage the Company’s cybersecurity threats and risks. The information security function identifies and assesses risks from cybersecurity threats by monitoring and evaluating our threat environment using various methods including, for example analyzing report of threats and threat actors and conducting periodic vulnerability assessments for certain systems. Our assessment and management of material risks from cybersecurity threats are considered as part of our risk management processes. For example, our IT Lead and certain management, including our CEO, evaluate identified material risks from cybersecurity threats against our overall business objectives and our IT Lead periodically reports to the audit committee of the board of directors, which evaluates our overall enterprise risk.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Depending on the environment, systems, and data, we implement and maintain various technical, physical, and organizational measures, processes, standards and policies designed to manage and mitigate material risks from cybersecurity threats to our Information Systems and Data, including, for example: risk assessments for certain systems, systems monitoring for certain systems, access controls, asset management, and employee training. We use third-party service providers to assist us from time to time to identify, assess, and manage material risks from cybersecurity threats, including for example our managed security provider and professional services firms, including legal counsel.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 description of the risks from cybersecurity threats that may materially affect the Company and how they may do so, see our risk factors under Part 1. Item 1A. Risk Factors in this Annual Report on Form 10-K, including that if our information technology systems or those of third parties upon which we rely, or our data, are or were compromised, we could experience adverse consequences, including disclosure of sensitive information, damage to our reputation, and significant financial and legal exposure.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addresses the Company’s cybersecurity risk management as part of its general oversight function. The board of directors’ audit committee is responsible for overseeing Company’s cybersecurity risk management processes, including oversight and mitigation of risks from cybersecurity threats.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Company management, including the IT Lead.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IT Lead has 5 years of experience in roles that include oversight of cybersecurity risk management programs.</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IT Lead is responsible for hiring appropriate personnel, helping to integrate cybersecurity risk considerations into the Company’s overall risk management strategy, communicating key priorities to relevant personnel, helping prepare for cybersecurity incidents, approving cybersecurity processes, and reviewing security assessments and other security-related reports.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cybersecurity incident response processes are designed to escalate certain cybersecurity incidents to members of management depending on the circumstances, including the CEO, who help the Company mitigate and remediate cybersecurity incidents of which they are notified. In addition, the Company’s incident response processes include reporting to the audit committee for certain cybersecurity incidents.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receives periodic reports from our IT Lead concerning cybersecurity issues, including certain threats and risks and the processes the Company has implemented to address them, as applicable. The audit committee also has access to various reports, summaries or presentations related to cybersecurity threats, risk and mitigation.</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January 2022, we entered into an agreement to lease approximately 20,116 square feet of laboratory and office space at 2000 Sierra Point Parkway, Brisbane, California 94005, which we occupied and began operating as our new headquarters beginning in December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our existing facilities are sufficient for our needs for the foreseeable future. To meet the future needs of our business, we may lease additional or alternative space, and we believe suitable additional or alternative space will be available in the future on commercially reasonable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Stock Market under the ticker symbol “TPST.”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25, 2026, we had 14,344,034 shares of common stock outstanding held by 60 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3, 2026, we issued a dividend to each holder of record of our common stock as of January 30, 2026 in the form of a warrant to purchase a share of common stock for each share of common stock outstanding on January 30, 2026. We have never declared or paid cash dividends on our capital stock. We intend to retain all available funds and future earnings, if any, to fund the development and expansion of our business, and we do not anticipate paying any cash dividends in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financial statements and the related notes to those statements included later in this Annual Report.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these forward-looking statements. Factors that could cause or contribute to these differences include those discussed below and elsewhere in this Annual Report, particularly in Item 1A. “Risk Factors” and “Special Note Regarding Forward-Looking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clinical-stage biotechnology company advancing a diversified portfolio of cell therapy and small molecule product candidates. In February 2026, we expanded our pipeline through a strategic transaction under which we acquired rights to a portfolio of dual-targeting chimeric antigen receptor T-cells (“CAR-T”) product candidates with the potential to treat certain blood cancers, solid tumors and immunology indications, including TPST-2003, an autologous CD19/B-cell maturation antigen (“BCMA”) CAR-T therapy currently in clinical development for relapsed or refractory multiple myeloma.</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portfolio also includes two clinical-stage small molecule product candidates with the potential to treat certain cancer indications. One of our small-molecule product candidates, amezalpat (previously known as TPST-1120), has completed a Phase 2 study in first-line hepatocellular carcinoma (“HCC”). Amezalpat remains Phase 3-ready in HCC and we plan to pursue business development discussions to advance pivotal development. Our second small-molecule product candidate is TPST-1495, which we plan to initiate a Phase 2 study for in familial adenomatous polyposis, with first patient enrollment expected in 2026. The study is expected to be funded by the National Cancer Institute and conducted through the Cancer Prevention Clinical Trials Network, enabling advancement with limited internal capital deployment.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mission is to develop therapeutic products with the potential to address high unmet medical needs by identifying promising clinical-stage candidates and advancing their development to create products that will improve patients’ lives.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19, 2025, we executed an Asset Purchase Agreement (the “Asset Purchase Agreement”) with Erigen LLC, a Delaware limited liability company (“Erigen”), and Factor Bioscience Inc., a Delaware corporation (together with Erigen, “Sellers”), pursuant to which Sellers agreed to sell and transfer to the Company all right, title and interest of Sellers in and to all of the assets primarily related to (a) the autologous BCMA/CD19 dual-targeting CAR T-cell therapy known as ERI-2003, (b) the autologous CD70/CD70 dual-targeting CAR T-cell therapy known as ERI-2206, (c) the allogeneic BCMA/CD19 dual-targeting CAR T-cell therapy with a gene edit in the TRAC locus that inactivates the T cell receptor known as ERI-3003, and (d) the allogeneic CD70/CD70 dual-targeting CAR T-cell therapy with a gene edit in the TRAC locus that inactivates the T cell receptor known as ERI-3206 (collectively referred to herein as the “Assets”), in exchange for an aggregate purchase price of 8,268,495 shares of our common stock issued to Erigen on behalf of both Sellers.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3, 2026, we completed the acquisition of the Assets (the “Closing”) under the Asset Purchase Agreement (the “Asset Acquisition”) and issued to Erigen 8,268,495 shares of our common stock (the “Share Issuance”).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Dividend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20, 2026, our Board declared a record date of January 30, 2026 (the “Record Date”), for the distribution of a dividend (the “Warrant Dividend”) in the form of a warrant to purchase a share of our common stock (collectively, the “Warrants”) for each share of common stock outstanding on the Record Date. The Warrants were issued on the terms and conditions described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7" w:name="page98"/>
    <w:bookmarkEnd w:id="97"/>
    <w:p>
      <w:pPr>
        <w:jc w:val="both"/>
        <w:spacing w:after="0" w:line="261" w:lineRule="auto"/>
        <w:rPr>
          <w:sz w:val="20"/>
          <w:szCs w:val="20"/>
          <w:color w:val="auto"/>
        </w:rPr>
      </w:pPr>
      <w:r>
        <w:rPr>
          <w:rFonts w:ascii="Times New Roman" w:cs="Times New Roman" w:eastAsia="Times New Roman" w:hAnsi="Times New Roman"/>
          <w:sz w:val="18"/>
          <w:szCs w:val="18"/>
          <w:color w:val="auto"/>
        </w:rPr>
        <w:t>in the Warrant Agreement, dated February 3, 2026, between the Company, Computershare Inc., and its affiliate, Computershare Trust Company, N.A., as Warrant Agent (the “Warrant Agreement”), on February 3, 2026. In addition, on February 3, 2026, certain warrants that were outstanding on the Record Date also received Warrants on a one-for-one basis, pursuant to the terms of such warrants (together with the Warrant Dividend, the “Warrant Distribution”). In the aggregate, 6,784,989 Warrants were issued pursuant to the Warrant Distribution.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20, 2026, we entered into a securities purchase agreement (the “Purchase Agreement”) with (a) two institutional investors (the “Institutional Investors”) and (b) Factor (together with the Institutional Investors, each, an “Investor” and, together, the “Investors”), pursuant to which we agreed to issue and sell in a private placement (the “Private Placement”) an aggregate of 462,964 shares (the “Shares”) of our common stock, and, in lieu of common stock, pre-funded warrants to purchase up to 462,963 shares of our common stock (the “2026 Pre-Funded Warrants”), in each case accompanied by (i) Series A warrants to purchase up to 925,927 shares of our common stock (the “Series A Warrants”) and (ii) Series B warrants to purchase up to 925,927 shares of our common stock (the “Series B Warrants” and, together with the Series A Warrants, the “Common Warrants”). The Shares and the Common Warrants were immediately separable and were issued separately. The combined purchase price per Share and accompanying Common Warrants was $2.16 and the combined purchase price per Pre-Funded Warrant and accompanying Common Warrants was $2.159. The gross proceeds to us from the Private Placement were approximately $2.0 million (excluding up to approximately $4.0 million of aggregate gross proceeds that may be received in the future upon the cash exercise of the Common Warrants), before deducting placement agent fees and other offering expenses payable by the Company.</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Purchase Agreement, we agreed to seek approval from our stockholders for the issuance of the shares issuable upon exercise of the Common Warrants within 90 days following the date of the Purchase Agreement (the “Stockholder Approval”). The Series A Warrants will become exercisable on the effective date of the Stockholder Approval (the “Stockholder Approval Date”) and have a term of five years from the later of the Stockholder Approval Date and the Effectiveness Date (as defined below). The Series B Warrants will become exercisable on the Stockholder Approval Date and have a term of twenty-four months from the later of the Stockholder Approval Date and the Effectiveness Date. The Common Warrants have an exercise price of $2.16 per share. The Pre-Funded Warrants are exercisable immediately following the closing date of the Private Placement have an exercise price of $0.001 per share and may be exercised at any time until exercised in full. In addition, pursuant to the Purchase Agreement, we agreed not to sell any shares of our common stock or any securities convertible into or exercisable or exchangeable into shares of our common stock, subject to certain customary exceptions, for a period of thirty (30) days after the Effectiveness Date.</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Private Placement, we entered into a registration rights agreement with the Investors (the “Registration Rights Agreement”), pursuant to which we agreed to file registration statements under the Securities Act with the SEC covering the resale of the Shares to be issued in the Private Placement and the shares of our common stock underlying the Common Warrants and Pre-Funded Warrants no later than 15 calendar days following the date of the Purchase Agreement, and to use reasonable best efforts to have the registration statement declared effective by 45 calendar days following the date of the Purchase Agreement, and in any event no later than 75 calendar days following the date of the Purchase Agreement in the event of a “full review” by the SEC (the “Effectiveness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 products approved for commercial sale and have not generated any revenue from product sales. From inception to December 31, 2025, we have raised $242.5 million, through sales of our capital securities.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we had cash and cash equivalents totaling $7.7 million compared to $30.3 million as of December 31, 2024. We have incurred operating losses since inception and our accumulated deficit as of December 31, 2025 is $233.4 million. We expect that our existing cash and cash equivalents will fund our projected operating expense requirements through less than 12 months from the date our consolidated financial statements were available to be issued. Accordingly, there is substantial doubt regarding our ability to continue as a going concern for a period of 12 months from the date of the issuance of the Consolidated Financial Statements included elsewhere in this Annual Report on Form 10-K.</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8" w:name="page99"/>
    <w:bookmarkEnd w:id="98"/>
    <w:p>
      <w:pPr>
        <w:jc w:val="both"/>
        <w:spacing w:after="0" w:line="266" w:lineRule="auto"/>
        <w:rPr>
          <w:sz w:val="20"/>
          <w:szCs w:val="20"/>
          <w:color w:val="auto"/>
        </w:rPr>
      </w:pPr>
      <w:r>
        <w:rPr>
          <w:rFonts w:ascii="Times New Roman" w:cs="Times New Roman" w:eastAsia="Times New Roman" w:hAnsi="Times New Roman"/>
          <w:sz w:val="18"/>
          <w:szCs w:val="18"/>
          <w:color w:val="auto"/>
        </w:rPr>
        <w:t>While we implemented cost reductions in 2025, we have finite cash resources available to fund our operations. To date, we have not generated product revenues from our activities and have incurred substantial operating losses. We expect that we will continue to generate substantial operating losses for the foreseeable future until we complete development and approval of one of our product candidates.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need to continue to rely on additional financing to achieve our business objectives, including pursuant to the Funding Commitment (as defined below under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Funding Commitment</w:t>
      </w:r>
      <w:r>
        <w:rPr>
          <w:rFonts w:ascii="Times New Roman" w:cs="Times New Roman" w:eastAsia="Times New Roman" w:hAnsi="Times New Roman"/>
          <w:sz w:val="18"/>
          <w:szCs w:val="18"/>
          <w:color w:val="auto"/>
        </w:rPr>
        <w:t>”) with Factor. As of the date of this report, we have $13.75 million available under the Funding Commitment, however, there is significant uncertainty as to whether we will be able to satisfy the terms and conditions and other provisions set forth in the Funding Commitment, and, if we are unable to do so, we may be limited in the amount of funding that we are able to access under the Funding Commitment or we may not be able to access any funds under the Funding Commitment. Adequate additional financing may not be available to us on acceptable terms, or at all. Our ability to raise additional capital has been adversely impacted by potential worsening global economic conditions, inflation expectations, and the recent disruptions to and volatility in the credit and financial markets in the United States and worldwide resulting from geopolitical tensions.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8, 2025, we effected a one-for-thirteen (1:13) reverse stock split (the “Reverse Stock Split”). Pursuant to their terms, a proportionate adjustment was made to the per share exercise price and number of shares issuable under all of the Company’s outstanding options and warrants, and the number of shares authorized for issuance pursuant to the Company’s equity incentive plans have been reduced proportionately. The Reverse Stock Split did not reduce the number of authorized shares of common stock and did not alter the par value.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share and per share amounts of common stock presented in this Annual Report on Form 10-K have been retroactively adjusted to reflect the Reverse Stock Split. Refer to Note 1 of our Consolidated Financial Statements and the notes thereto included elsewhere in this Annual Report on Form 10-K for further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represent costs incurred to conduct research and development, such as the development of our product candidates.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 all research and development costs as they are incurred. Research and development expenses consist primarily of the following:</w:t>
      </w:r>
    </w:p>
    <w:p>
      <w:pPr>
        <w:spacing w:after="0" w:line="225" w:lineRule="exact"/>
        <w:rPr>
          <w:sz w:val="20"/>
          <w:szCs w:val="20"/>
          <w:color w:val="auto"/>
        </w:rPr>
      </w:pPr>
    </w:p>
    <w:p>
      <w:pPr>
        <w:ind w:left="1000" w:hanging="483"/>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stock-based compensation;</w:t>
      </w:r>
    </w:p>
    <w:p>
      <w:pPr>
        <w:spacing w:after="0" w:line="225" w:lineRule="exact"/>
        <w:rPr>
          <w:rFonts w:ascii="Times New Roman" w:cs="Times New Roman" w:eastAsia="Times New Roman" w:hAnsi="Times New Roman"/>
          <w:sz w:val="18"/>
          <w:szCs w:val="18"/>
          <w:color w:val="auto"/>
        </w:rPr>
      </w:pPr>
    </w:p>
    <w:p>
      <w:pPr>
        <w:ind w:left="1000" w:hanging="483"/>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costs;</w:t>
      </w:r>
    </w:p>
    <w:p>
      <w:pPr>
        <w:spacing w:after="0" w:line="225" w:lineRule="exact"/>
        <w:rPr>
          <w:rFonts w:ascii="Times New Roman" w:cs="Times New Roman" w:eastAsia="Times New Roman" w:hAnsi="Times New Roman"/>
          <w:sz w:val="18"/>
          <w:szCs w:val="18"/>
          <w:color w:val="auto"/>
        </w:rPr>
      </w:pPr>
    </w:p>
    <w:p>
      <w:pPr>
        <w:ind w:left="1000" w:hanging="483"/>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occupancy;</w:t>
      </w:r>
    </w:p>
    <w:p>
      <w:pPr>
        <w:spacing w:after="0" w:line="225" w:lineRule="exact"/>
        <w:rPr>
          <w:rFonts w:ascii="Times New Roman" w:cs="Times New Roman" w:eastAsia="Times New Roman" w:hAnsi="Times New Roman"/>
          <w:sz w:val="18"/>
          <w:szCs w:val="18"/>
          <w:color w:val="auto"/>
        </w:rPr>
      </w:pPr>
    </w:p>
    <w:p>
      <w:pPr>
        <w:ind w:left="1000" w:hanging="483"/>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materials and supplies;</w:t>
      </w:r>
    </w:p>
    <w:p>
      <w:pPr>
        <w:spacing w:after="0" w:line="225" w:lineRule="exact"/>
        <w:rPr>
          <w:rFonts w:ascii="Times New Roman" w:cs="Times New Roman" w:eastAsia="Times New Roman" w:hAnsi="Times New Roman"/>
          <w:sz w:val="18"/>
          <w:szCs w:val="18"/>
          <w:color w:val="auto"/>
        </w:rPr>
      </w:pPr>
    </w:p>
    <w:p>
      <w:pPr>
        <w:ind w:left="1000" w:hanging="483"/>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contracted research and manufacturing;</w:t>
      </w:r>
    </w:p>
    <w:p>
      <w:pPr>
        <w:spacing w:after="0" w:line="225" w:lineRule="exact"/>
        <w:rPr>
          <w:rFonts w:ascii="Times New Roman" w:cs="Times New Roman" w:eastAsia="Times New Roman" w:hAnsi="Times New Roman"/>
          <w:sz w:val="18"/>
          <w:szCs w:val="18"/>
          <w:color w:val="auto"/>
        </w:rPr>
      </w:pPr>
    </w:p>
    <w:p>
      <w:pPr>
        <w:ind w:left="1000" w:hanging="483"/>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arrangements; and</w:t>
      </w:r>
    </w:p>
    <w:p>
      <w:pPr>
        <w:spacing w:after="0" w:line="225" w:lineRule="exact"/>
        <w:rPr>
          <w:rFonts w:ascii="Times New Roman" w:cs="Times New Roman" w:eastAsia="Times New Roman" w:hAnsi="Times New Roman"/>
          <w:sz w:val="18"/>
          <w:szCs w:val="18"/>
          <w:color w:val="auto"/>
        </w:rPr>
      </w:pPr>
    </w:p>
    <w:p>
      <w:pPr>
        <w:ind w:left="5540" w:right="4760" w:hanging="5023"/>
        <w:spacing w:after="0" w:line="407" w:lineRule="auto"/>
        <w:tabs>
          <w:tab w:leader="none" w:pos="101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incurred to advance our research and development activities.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9" w:name="page100"/>
    <w:bookmarkEnd w:id="99"/>
    <w:p>
      <w:pPr>
        <w:jc w:val="both"/>
        <w:spacing w:after="0" w:line="256" w:lineRule="auto"/>
        <w:rPr>
          <w:sz w:val="20"/>
          <w:szCs w:val="20"/>
          <w:color w:val="auto"/>
        </w:rPr>
      </w:pPr>
      <w:r>
        <w:rPr>
          <w:rFonts w:ascii="Times New Roman" w:cs="Times New Roman" w:eastAsia="Times New Roman" w:hAnsi="Times New Roman"/>
          <w:sz w:val="18"/>
          <w:szCs w:val="18"/>
          <w:color w:val="auto"/>
        </w:rPr>
        <w:t>The largest component of our operating expenses has historically been the investment in research and development activities. Despite reductions in 2025 as we pursued our evaluation of strategic alternatives, we expect research and development expenses will increase in the future as we advance our product candidates into and through clinical trials and pursues regulatory approvals, which will require a significant investment in costs of clinical trials, regulatory support and contract manufacturing and inventory build-up. In addition, we continue to evaluate opportunities to acquire or in-license other product candidates and technologies, which may result in higher research and development expenses due to license fee and/or milestone payments, as well as added clinical development costs.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process of conducting clinical trials necessary to obtain regulatory approval is costly and time consuming. We may never succeed in timely developing and achieving regulatory approval for our product candidates. The probability of success of our product candidates may be affected by numerous factors, including clinical data, competition, manufacturing capability and commercial viability. As a result, we are unable to determine the duration and completion costs of our development projects or when and to what extent we will generate revenue from the commercialization and sale of any of our product candidates.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of employee-related expenses, including salaries, benefits, travel and non-cash stock-based compensation, for our personnel in executive, finance and accounting, and other administrative functions, as well as fees paid for legal, accounting and tax services, consulting fees and facilities costs not otherwise included in research and development expenses. Legal costs include general corporate legal fees and patent costs. In addition, we expect to continue to incur expenses as a result of being a public company, including expenses related to compliance with the rules and regulations of the SEC and Nasdaq, additional insurance, investor relations and other administrative expenses and professional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income, net consists primarily of interest expense, interest income, and various income or expense items of a non-recurring nature.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operating results for the years ended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55"/>
        </w:trPr>
        <w:tc>
          <w:tcPr>
            <w:tcW w:w="5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177"/>
        </w:trPr>
        <w:tc>
          <w:tcPr>
            <w:tcW w:w="5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3"/>
          </w:tcPr>
          <w:p>
            <w:pPr>
              <w:jc w:val="center"/>
              <w:ind w:left="4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00" w:type="dxa"/>
            <w:vAlign w:val="bottom"/>
          </w:tcPr>
          <w:p>
            <w:pPr>
              <w:spacing w:after="0"/>
              <w:rPr>
                <w:sz w:val="20"/>
                <w:szCs w:val="20"/>
                <w:color w:val="auto"/>
              </w:rPr>
            </w:pPr>
          </w:p>
        </w:tc>
        <w:tc>
          <w:tcPr>
            <w:tcW w:w="1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12,606</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28,476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(15,870)</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13,969</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13,550</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419</w:t>
            </w: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(26,575)</w:t>
            </w:r>
          </w:p>
        </w:tc>
        <w:tc>
          <w:tcPr>
            <w:tcW w:w="3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(42,026)</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(15,451)</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(207)</w:t>
            </w: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(1,109)</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520</w:t>
            </w:r>
          </w:p>
        </w:tc>
        <w:tc>
          <w:tcPr>
            <w:tcW w:w="3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(979)</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(26,262)</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(41,843)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(15,581)</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-1148080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-1148080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-1148080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-1293495</wp:posOffset>
            </wp:positionV>
            <wp:extent cx="145415"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5415" cy="15430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-727710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-727710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-727710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-727710</wp:posOffset>
            </wp:positionV>
            <wp:extent cx="1454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-170815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-170815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14541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typically have various early-stage research and drug discovery projects, as well as various potential product candidates undergoing clinical trials. Our research and development expenses for the years ended December 31, 2025 and 2024 were primarily incurred in connection with amezalpat and TPST-1495. Our internal resources, employees and infrastructure are not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0" w:name="page101"/>
    <w:bookmarkEnd w:id="100"/>
    <w:p>
      <w:pPr>
        <w:spacing w:after="0" w:line="282" w:lineRule="auto"/>
        <w:rPr>
          <w:sz w:val="20"/>
          <w:szCs w:val="20"/>
          <w:color w:val="auto"/>
        </w:rPr>
      </w:pPr>
      <w:r>
        <w:rPr>
          <w:rFonts w:ascii="Times New Roman" w:cs="Times New Roman" w:eastAsia="Times New Roman" w:hAnsi="Times New Roman"/>
          <w:sz w:val="18"/>
          <w:szCs w:val="18"/>
          <w:color w:val="auto"/>
        </w:rPr>
        <w:t>directly tied to any one research and drug discovery project and our resources are typically deployed across multiple projects. The following table shows our research and development expenses by program for the years ended December 31,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48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55"/>
        </w:trPr>
        <w:tc>
          <w:tcPr>
            <w:tcW w:w="5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4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177"/>
        </w:trPr>
        <w:tc>
          <w:tcPr>
            <w:tcW w:w="5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00" w:type="dxa"/>
            <w:vAlign w:val="bottom"/>
            <w:gridSpan w:val="2"/>
          </w:tcPr>
          <w:p>
            <w:pPr>
              <w:spacing w:after="0"/>
              <w:rPr>
                <w:sz w:val="20"/>
                <w:szCs w:val="20"/>
                <w:color w:val="auto"/>
              </w:rPr>
            </w:pPr>
          </w:p>
        </w:tc>
        <w:tc>
          <w:tcPr>
            <w:tcW w:w="1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(in</w:t>
            </w:r>
          </w:p>
        </w:tc>
        <w:tc>
          <w:tcPr>
            <w:tcW w:w="142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Amezalpat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580" w:type="dxa"/>
            <w:vAlign w:val="bottom"/>
            <w:gridSpan w:val="3"/>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14,206</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(8,778)</w:t>
            </w: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TPST-1495</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Preclinical and other</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53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candidate-specific research costs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(12,256)</w:t>
            </w: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and other costs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10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and depreciation</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50"/>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-591185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-591185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-591185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-591185</wp:posOffset>
            </wp:positionV>
            <wp:extent cx="15430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-24765</wp:posOffset>
            </wp:positionV>
            <wp:extent cx="1543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1543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years ended December 31, 2025 and 2024:</w:t>
      </w: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outside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49758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9758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Stock-based compensation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Consulting and professional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497580" cy="146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9758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expenses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Increase/</w:t>
            </w: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520" w:type="dxa"/>
            <w:vAlign w:val="bottom"/>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177"/>
        </w:trPr>
        <w:tc>
          <w:tcPr>
            <w:tcW w:w="240" w:type="dxa"/>
            <w:vAlign w:val="bottom"/>
          </w:tcPr>
          <w:p>
            <w:pPr>
              <w:spacing w:after="0"/>
              <w:rPr>
                <w:sz w:val="15"/>
                <w:szCs w:val="15"/>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40" w:type="dxa"/>
            <w:vAlign w:val="bottom"/>
          </w:tcPr>
          <w:p>
            <w:pPr>
              <w:spacing w:after="0"/>
              <w:rPr>
                <w:sz w:val="16"/>
                <w:szCs w:val="16"/>
                <w:color w:val="auto"/>
              </w:rPr>
            </w:pPr>
          </w:p>
        </w:tc>
        <w:tc>
          <w:tcPr>
            <w:tcW w:w="940" w:type="dxa"/>
            <w:vAlign w:val="bottom"/>
          </w:tcPr>
          <w:p>
            <w:pPr>
              <w:jc w:val="right"/>
              <w:ind w:right="134"/>
              <w:spacing w:after="0" w:line="191" w:lineRule="exact"/>
              <w:rPr>
                <w:sz w:val="20"/>
                <w:szCs w:val="20"/>
                <w:color w:val="auto"/>
              </w:rPr>
            </w:pPr>
            <w:r>
              <w:rPr>
                <w:rFonts w:ascii="Times New Roman" w:cs="Times New Roman" w:eastAsia="Times New Roman" w:hAnsi="Times New Roman"/>
                <w:sz w:val="18"/>
                <w:szCs w:val="18"/>
                <w:b w:val="1"/>
                <w:bCs w:val="1"/>
                <w:color w:val="auto"/>
              </w:rPr>
              <w:t>(in</w:t>
            </w:r>
          </w:p>
        </w:tc>
        <w:tc>
          <w:tcPr>
            <w:tcW w:w="1420" w:type="dxa"/>
            <w:vAlign w:val="bottom"/>
            <w:gridSpan w:val="4"/>
          </w:tcPr>
          <w:p>
            <w:pPr>
              <w:jc w:val="right"/>
              <w:ind w:right="670"/>
              <w:spacing w:after="0" w:line="191" w:lineRule="exact"/>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5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16,501</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(10,564)</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(1,397)</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shd w:val="clear" w:color="auto" w:fill="CCEEFF"/>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0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(1,043)</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(1,625)</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shd w:val="clear" w:color="auto" w:fill="CCEEFF"/>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10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(1,241)</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28,476</w:t>
            </w: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(15,870)</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-856615</wp:posOffset>
            </wp:positionV>
            <wp:extent cx="713232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-170815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-170815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-170815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-170815</wp:posOffset>
            </wp:positionV>
            <wp:extent cx="15430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800" w:space="720"/>
            <w:col w:w="5720"/>
          </w:cols>
          <w:pgMar w:left="320" w:top="1201" w:right="339" w:bottom="1440" w:gutter="0" w:footer="0" w:header="0"/>
          <w:type w:val="continuous"/>
        </w:sect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decreased by $15.9 million to $12.6 million for the year ended December 31, 2025, which was primarily attributable to a decrease in costs incurred as a result of re-prioritizing efforts towards exploring strategic alternatives.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$0.4 million to $14.0 million for the year ended December 31, 2025. The increase was primarily related to employee compensation costs, inclusive of one-time separation costs for employees terminated during the year ended December 31, 2025 as a result of our reduction-in-force in April 2025, as well as consulting and professional services.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interest income and other income (expense), net consisted of total interest expense of $0.2 million and $1.3 million, respectively, related to the Oxford Loan (as defined below), and interest income of $0.5 million and $1.5 million, respectively. The Oxford Loan was repaid in full and terminated in accordance with its terms in April 2025.</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inception through December 31, 2025, our operations have been financed primarily by net cash proceeds from the sale of our common stock, convertible preferred stock and issuance of debt. As of December 31, 2025, we had $7.7 million in cash and cash equivalents and an accumulated deficit of $233.4 million. Following the Closing of the Asset Acquisition, we expect that our research and development and general and administrative expenses will increase, and, as a result, we anticipate that we will continue to incur losses for the foreseeable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lack of operating revenue or cash inflows and our cash resources at December 31, 2025 raise substantial doubt as to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ability to continue as a going concern. See “—</w:t>
      </w:r>
      <w:r>
        <w:rPr>
          <w:rFonts w:ascii="Times New Roman" w:cs="Times New Roman" w:eastAsia="Times New Roman" w:hAnsi="Times New Roman"/>
          <w:sz w:val="18"/>
          <w:szCs w:val="18"/>
          <w:i w:val="1"/>
          <w:iCs w:val="1"/>
          <w:color w:val="auto"/>
        </w:rPr>
        <w:t>Funding Requirements</w:t>
      </w:r>
      <w:r>
        <w:rPr>
          <w:rFonts w:ascii="Times New Roman" w:cs="Times New Roman" w:eastAsia="Times New Roman" w:hAnsi="Times New Roman"/>
          <w:sz w:val="18"/>
          <w:szCs w:val="18"/>
          <w:color w:val="auto"/>
        </w:rPr>
        <w:t>” below for additional information on our future capital needs.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Commitment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Closing, we entered into a funding commitment letter (the “Funding Commitment”) with Factor, which will provide us with financial support for at least 18 months following the Closing, up to a maximum amount of $20.0 million that is inclusive of any amounts raised and received by us after the date of the Asset Purchase Agreement, on the terms and subject to the conditions and other provisions set forth in the funding commitment letter. As of the date of this report, we have $13.75 million available under the Funding Commitment, however, there is significant uncertainty as to whether we will be able to satisfy the terms and conditions and other provisions set forth in the funding commitment letter, and, if we are unable to do so, we may be limited in the amount of funding that we are able to access under the Funding Commitment or we may not be able to access any funds. The timing of any funding pursuant to the Funding Commitment is uncertain.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Agreement with Oxford Finance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15, 2021, we entered into a loan and security agreement (the “Oxford Loan”), as amended from time to time, with Oxford to borrow a term loan amount of $35.0 million to be funded in three tranches. On April 8, 2025, we repaid $3.5 million in full satisfaction of the aggregate outstanding amount, including accrued interest and exit fees as of such date. As a result of the repayment, all liens and security interests were terminated.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entered into a sales agreement (the “Sales Agreement”) with Jefferies LLC (“Jefferies”), pursuant to which we may sell, from time to time at our sole discretion through Jefferies, as our sales agent, shares of our common stock (the “ATM Program”). Any shares of our common stock sold will be issued pursuant to our shelf registration statement on Form S-3 (File No. 333-280918). On June 11, 2025, in connection with the June RDO (as defined below) we delivered written notice to Jefferies that we were suspending and terminating the prospectus supplement, dated February 6, 2025, related to the ATM Program (the “ATM Prospectus”). We will not make any sales of our securities pursuant to the Sales Agreement, unless and until a new prospectus, prospectus supplement or a new registration statement is filed. Other than the termination of the ATM Prospectus, the Sales Agreement remains in full force and effect. As of the year ended December 31, 2025, we have sold an aggregate of 312,830 shares of our common stock for proceeds of $2.8 million pursuant to the ATM Program.</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Form 10-K, our public float was less than $75.0 million. As a result, we are subject to the limitations of General Instruction I.B.6 to Form S-3 until such time as our public float exceeds $75 million, which means we only have the capacity to sell shares up to one-third of our public float under the S-3 Registration Statement, including the ATM program, in any 12-month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June 11, 2025, we sold an aggregate of 405,000 shares of our common stock pre-funded warrants to purchase 334,000 shares of our common stock in a registered direct offering (the “June RDO”). The offering price was $6.25 per share of common stock</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2" w:name="page103"/>
    <w:bookmarkEnd w:id="102"/>
    <w:p>
      <w:pPr>
        <w:jc w:val="both"/>
        <w:spacing w:after="0" w:line="266" w:lineRule="auto"/>
        <w:rPr>
          <w:sz w:val="20"/>
          <w:szCs w:val="20"/>
          <w:color w:val="auto"/>
        </w:rPr>
      </w:pPr>
      <w:r>
        <w:rPr>
          <w:rFonts w:ascii="Times New Roman" w:cs="Times New Roman" w:eastAsia="Times New Roman" w:hAnsi="Times New Roman"/>
          <w:sz w:val="18"/>
          <w:szCs w:val="18"/>
          <w:color w:val="auto"/>
        </w:rPr>
        <w:t>and $6.249 per pre-funded warrant, which is the price of each share of common stock sold in the offering, minus the $0.001 exercise price per pre-funded warrant. The net proceeds from the RDO were approximately $4.1 million, after deducting placement agent fees and estimated offering expenses payable by us. As of December 31, 2025, all pre-funded warrants related to the June RDO had been exercised.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24, 2025, we sold an aggregate of 487,000 shares of our common stock, pre-funded warrants to purchase 685,414 shares of our common stock and warrants to purchase an aggregate of 1,172,414 shares of common stock (the “Common Warrants”) in a registered direct offering (the “November RDO”). The combined purchase price of each share of common stock and accompanying Common Warrant was $3.625. The combined purchase price of each pre-funded warrant and accompanying Common Warrant was $3.624 (equal to the combined purchase price per share of common stock and accompanying Common Warrant, minus $0.001). The exercise price of each Common Warrant is $3.50 per share. The net proceeds from the November RDO were approximately $3.8 million, after deducting placement agent fees and estimated offering expenses payable by us. As of December 31, 2025, all pre-funded warrants and Common Warrants related to the November RDO remained outstanding.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20, 2026, we completed the Private Placement pursuant to which we sold an aggregate of 462,964 Shares, and, in lieu of common stock, Pre-Funded Warrants to purchase up to 462,963 shares of our common stock, in each case accompanied by (i) Series A Warrants to purchase up to 925,927 shares of our common stock and (ii) Series B Warrants to purchase up to 925,927 shares of our common stock. The gross proceeds to us from the Private Placement were approximately $2.0 million (excluding up to approximately $4.0 million of aggregate gross proceeds that may be received in the future upon the cash exercise of the Common Warrants), before deducting placement agent fees and other offering expenses payable by the Company. See “— Re</w:t>
      </w:r>
      <w:r>
        <w:rPr>
          <w:rFonts w:ascii="Times New Roman" w:cs="Times New Roman" w:eastAsia="Times New Roman" w:hAnsi="Times New Roman"/>
          <w:sz w:val="18"/>
          <w:szCs w:val="18"/>
          <w:i w:val="1"/>
          <w:iCs w:val="1"/>
          <w:color w:val="auto"/>
        </w:rPr>
        <w:t>cent Events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Private Placement</w:t>
      </w:r>
      <w:r>
        <w:rPr>
          <w:rFonts w:ascii="Times New Roman" w:cs="Times New Roman" w:eastAsia="Times New Roman" w:hAnsi="Times New Roman"/>
          <w:sz w:val="18"/>
          <w:szCs w:val="18"/>
          <w:color w:val="auto"/>
        </w:rPr>
        <w:t>” for more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2025 and 2024:</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r>
      <w:tr>
        <w:trPr>
          <w:trHeight w:val="209"/>
        </w:trPr>
        <w:tc>
          <w:tcPr>
            <w:tcW w:w="7560" w:type="dxa"/>
            <w:vAlign w:val="bottom"/>
            <w:tcBorders>
              <w:bottom w:val="single" w:sz="8" w:color="CCEEFF"/>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w:t>
            </w: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80"/>
              </w:rPr>
              <w:t>thousands)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16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(26,820)</w:t>
            </w:r>
          </w:p>
        </w:tc>
        <w:tc>
          <w:tcPr>
            <w:tcW w:w="68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(33,027)</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w:t>
            </w:r>
          </w:p>
        </w:tc>
      </w:tr>
      <w:tr>
        <w:trPr>
          <w:trHeight w:val="216"/>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16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(22,561)</w:t>
            </w: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(8,962)</w:t>
            </w: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for the year ended December 31, 2025 was $26.8 million, consisting of a net loss of $26.3 million, add back of non-cash adjustments for depreciation, stock-based compensation, non-cash operating lease expense and other non-cash items totaling $4.6 million, plus changes in operating assets and liabilities of $5.1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for the year ended December 31, 2024 was $33.0 million, consisting of a net loss of $41.8 million, add back of non-cash adjustments for depreciation, stock-based compensation, non-cash operating lease expense and other non-cash items totaling $7.2 million, plus changes in operating assets and liabilities of $1.6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years ended December 31, 2025 and 2024 was related to purchases of property and equipment, primarily related to office, laboratory and computer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3" w:name="page104"/>
    <w:bookmarkEnd w:id="103"/>
    <w:p>
      <w:pPr>
        <w:jc w:val="both"/>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2025 was related to proceeds from the issuance of common stock, pre-funded warrants and common stock warrants of $10.6 million, offset by Oxford Loan principal payments of $6.4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2024 was related to proceeds from the issuance of common stock of $28.9 million, offset by Oxford Loan principal payments of $4.4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use of cash is to fund operating expenses, which has historically consisted primarily of research and development expenditures related to our therapeutic discovery and preclinical development efforts and clinical activities, and to a lesser extent, general and administrative expenditures. We have based our estimates on assumptions that may prove to be incorrect, and we could use our capital resources sooner than we currently expect.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the following:</w:t>
      </w:r>
    </w:p>
    <w:p>
      <w:pPr>
        <w:spacing w:after="0" w:line="225" w:lineRule="exact"/>
        <w:rPr>
          <w:sz w:val="20"/>
          <w:szCs w:val="20"/>
          <w:color w:val="auto"/>
        </w:rPr>
      </w:pPr>
    </w:p>
    <w:p>
      <w:pPr>
        <w:ind w:left="1000" w:right="380" w:hanging="483"/>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scope, progress and results of discovery, preclinical development, laboratory testing and clinical trials for our product candidates;</w:t>
      </w:r>
    </w:p>
    <w:p>
      <w:pPr>
        <w:spacing w:after="0" w:line="161" w:lineRule="exact"/>
        <w:rPr>
          <w:rFonts w:ascii="Times New Roman" w:cs="Times New Roman" w:eastAsia="Times New Roman" w:hAnsi="Times New Roman"/>
          <w:sz w:val="18"/>
          <w:szCs w:val="18"/>
          <w:color w:val="auto"/>
        </w:rPr>
      </w:pPr>
    </w:p>
    <w:p>
      <w:pPr>
        <w:ind w:left="1000" w:hanging="483"/>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manufacturing of our product candidates;</w:t>
      </w:r>
    </w:p>
    <w:p>
      <w:pPr>
        <w:spacing w:after="0" w:line="225" w:lineRule="exact"/>
        <w:rPr>
          <w:rFonts w:ascii="Times New Roman" w:cs="Times New Roman" w:eastAsia="Times New Roman" w:hAnsi="Times New Roman"/>
          <w:sz w:val="18"/>
          <w:szCs w:val="18"/>
          <w:color w:val="auto"/>
        </w:rPr>
      </w:pPr>
    </w:p>
    <w:p>
      <w:pPr>
        <w:ind w:left="1000" w:right="380" w:hanging="483"/>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related to the extent to which we enter into partnerships or other arrangements with third parties to further develop our product candidates;</w:t>
      </w:r>
    </w:p>
    <w:p>
      <w:pPr>
        <w:spacing w:after="0" w:line="161" w:lineRule="exact"/>
        <w:rPr>
          <w:rFonts w:ascii="Times New Roman" w:cs="Times New Roman" w:eastAsia="Times New Roman" w:hAnsi="Times New Roman"/>
          <w:sz w:val="18"/>
          <w:szCs w:val="18"/>
          <w:color w:val="auto"/>
        </w:rPr>
      </w:pPr>
    </w:p>
    <w:p>
      <w:pPr>
        <w:ind w:left="1000" w:hanging="483"/>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fees associated with the discovery, acquisition or in-license of product candidates or technologies;</w:t>
      </w:r>
    </w:p>
    <w:p>
      <w:pPr>
        <w:spacing w:after="0" w:line="225" w:lineRule="exact"/>
        <w:rPr>
          <w:rFonts w:ascii="Times New Roman" w:cs="Times New Roman" w:eastAsia="Times New Roman" w:hAnsi="Times New Roman"/>
          <w:sz w:val="18"/>
          <w:szCs w:val="18"/>
          <w:color w:val="auto"/>
        </w:rPr>
      </w:pPr>
    </w:p>
    <w:p>
      <w:pPr>
        <w:ind w:left="1000" w:hanging="483"/>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collaborations on favorable terms, if at all;</w:t>
      </w:r>
    </w:p>
    <w:p>
      <w:pPr>
        <w:spacing w:after="0" w:line="225" w:lineRule="exact"/>
        <w:rPr>
          <w:rFonts w:ascii="Times New Roman" w:cs="Times New Roman" w:eastAsia="Times New Roman" w:hAnsi="Times New Roman"/>
          <w:sz w:val="18"/>
          <w:szCs w:val="18"/>
          <w:color w:val="auto"/>
        </w:rPr>
      </w:pPr>
    </w:p>
    <w:p>
      <w:pPr>
        <w:ind w:left="1000" w:right="380" w:hanging="483"/>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commercialization activities, if any, including product sales, marketing, manufacturing and distribution, for any of our product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1000" w:right="380" w:hanging="483"/>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if any, received from commercial sales of our product candidates, should any of our product candidates receive marketing approval; and</w:t>
      </w:r>
    </w:p>
    <w:p>
      <w:pPr>
        <w:spacing w:after="0" w:line="161" w:lineRule="exact"/>
        <w:rPr>
          <w:rFonts w:ascii="Times New Roman" w:cs="Times New Roman" w:eastAsia="Times New Roman" w:hAnsi="Times New Roman"/>
          <w:sz w:val="18"/>
          <w:szCs w:val="18"/>
          <w:color w:val="auto"/>
        </w:rPr>
      </w:pPr>
    </w:p>
    <w:p>
      <w:pPr>
        <w:ind w:left="1000" w:right="380" w:hanging="483"/>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 product candidate could mean a significant change in the costs and timing associated with the development of that product candidate.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Until we can generate a sufficient amount of product revenue to finance our cash requirements, if ever, we expect to finance our future cash needs, including those set forth above, primarily through the issuance of additional equity, borrowings and strategic alliances with partner companies. To the extent that we raise additional capital through the issuance of additional equity or convertible debt securities, the ownership interest of our stockholders will be diluted, and the terms of these securities may include liquidation or other preferences that adversely affect the rights of existing stockholders. Debt financing, if available, may involve agreements that include covenants limiting or restricting our ability to take specific actions, such as incurring additional debt, making capital expenditures or declaring dividends. If we raise additional funds through marketing and distribution arrangements or other collaborations, strategic alliances or licensing arrangements with third parties, we may have to relinquish valuable rights to our technologies, future revenue streams, research programs or product candidates or grant licenses on terms that may not be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4" w:name="page105"/>
    <w:bookmarkEnd w:id="104"/>
    <w:p>
      <w:pPr>
        <w:jc w:val="both"/>
        <w:spacing w:after="0" w:line="266" w:lineRule="auto"/>
        <w:rPr>
          <w:sz w:val="20"/>
          <w:szCs w:val="20"/>
          <w:color w:val="auto"/>
        </w:rPr>
      </w:pPr>
      <w:r>
        <w:rPr>
          <w:rFonts w:ascii="Times New Roman" w:cs="Times New Roman" w:eastAsia="Times New Roman" w:hAnsi="Times New Roman"/>
          <w:sz w:val="18"/>
          <w:szCs w:val="18"/>
          <w:color w:val="auto"/>
        </w:rPr>
        <w:t>favorable to us. If additional capital is not available to us on a timely basis, or at all, we will be required to take additional actions, including exploring potential merger opportunities and other strategic options, such as partnerships or collaborations for our programs, or we may need to reduce operating expenses or delay, reduce the scope of, discontinue or alter our research and development activities, or we may be forced to wind down our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material cash requirements primarily relate to our operating leases for office space, trade payables, and accrued expenses. As of December 31, 2025, we have $3.3 million payable within 12 months, including $1.2 million related to the Brisbane Lease. Refer to Notes 5 and 6 to our Consolidated Financial Statements for additional information. We cannot estimate whether we will receive or the timing of any potential contingent payments upon the achievement by us of clinical, regulatory and commercial events, as applicable, or royalty payments that we may be required to make under license agreements we have entered into with various entities pursuant to which we have in-licensed certain intellectual property as contractual obligations or commitments, including agreements with Factor and Novatim. Pursuant to these license agreements, we have agreed to make milestone payments up to an aggregate of approximately $1.98 billion upon the achievement of certain development, regulatory and sales milestones. We excluded these contingent payments from the consolidated financial statements given that the timing, probability, and amount, if any, of such payments cannot be reasonably estimated at this time.</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2025, Erigen entered into an Amended and Restated Master Services Agreement with Factor (the “Factor MSA”), which was assigned to us in connection with the Closing pursuant to the Asset Purchase Agreement. Under the Factor MSA, we are obligated to pay Factor a service fee and all non-cancellable obligations in the amount specified in each work order associated with the agreement for the provision of services. The term of each work order terminates upon completion of the services under such work order, unless terminated earlier. We can terminate the Factor MSA or any work order at any time upon 30 days’ prior written notice and immediately upon written notice if Factor breaches the Factor MSA or any work order, as the case may be, and does not fully cure the breach to our satisfaction within 30 days. Upon termination any work order, unless the applicable work order expressly provides otherwise, we will pay Factor fees for all services performed and reimburse Factor for all authorized, non-cancellable expenses reasonably incurred in connection with such services prior to termination.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disclosed above, we have no long-term debt and no material non-cancelable purchase commitments with service providers, as we have generally contracted on a cancelable, purchase-order basis. We enter into contracts in the normal course of business with equipment and reagent vendors, CROs, CMOs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financial statements, which have been prepared in accordance with U.S. generally accepted accounting principles (“US GAAP”). The preparation of these financial statements requires us to make estimates and judgments that affect the reported amounts of assets, liabilities and expenses. On an ongoing basis, we evaluate these estimates and judgments. We base our estimates on historical experience and on various assumptions that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We believe that the accounting policies discussed below are critical to understanding our historical and future performance, as these policies relate to the more significant areas involving management’s judgments and estimates.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our critical accounting policies as those accounting principles that require us to make subjective estimates and judgments about matters that are uncertain and are likely to have a material impact on our financial condition and results of operations, as well as the specific manner in which we apply those principles. Our significant accounting policies are more fully described in Note 2 to our Consolidated Financial Statements located elsewhere in this Annual Report. We have listed below our</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5" w:name="page106"/>
    <w:bookmarkEnd w:id="105"/>
    <w:p>
      <w:pPr>
        <w:jc w:val="both"/>
        <w:spacing w:after="0" w:line="266" w:lineRule="auto"/>
        <w:rPr>
          <w:sz w:val="20"/>
          <w:szCs w:val="20"/>
          <w:color w:val="auto"/>
        </w:rPr>
      </w:pPr>
      <w:r>
        <w:rPr>
          <w:rFonts w:ascii="Times New Roman" w:cs="Times New Roman" w:eastAsia="Times New Roman" w:hAnsi="Times New Roman"/>
          <w:sz w:val="18"/>
          <w:szCs w:val="18"/>
          <w:color w:val="auto"/>
        </w:rPr>
        <w:t>critical accounting policies and estimates that we believe to have the greatest potential impact on our Consolidated Financial Statements. Historically, our assumptions, judgments and estimates relative to our critical accounting estimates have not differed materially from actual results and no significant assumptions used have a high degree of subjectivity.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 accrued expenses for estimated costs of our research and development activities conducted by third-party service providers, which include the conduct of preclinical studies and clinical trials and contract manufacturing activities. We record the estimated costs of research and development activities based upon the estimated amount of services provided but not yet invoiced, and we include these costs in accrued liabilities in the consolidated balance sheets and within research and development expense in the consolidated statements of operations. These costs are a significant component of our research and development expenses. We record accrued expenses for these costs based on the estimated amount of work completed and in accordance with agreements established with these third parties.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estimate the amount of work completed through discussions with internal personnel and external service providers as to the progress or stage of completion of the services and the agreed-upon fee to be paid for such services. We make significant judgments and estimates in determining the accrued balance in each reporting period, which includes gathering information from multiple sources. In certain circumstances, the determination of the nature and level of services that have been received during the reporting period requires judgment because the timing and pattern of vendor invoicing did not correspond to the level of services provided and invoicing from clinical study sites and other vendors may not yet be available to us. As actual costs become known, we adjust our accrued estimates. Although we do not expect our estimates to be materially different from amounts actually incurred, our understanding of the status and timing of services performed, the number of patients enrolled and the rate of patient enrollment may vary from our estimates and could result in us reporting amounts that are too high or too low in any particular period. Our accrued expenses are dependent, in part, upon the receipt of timely and accurate reporting from clinical research organizations and other third-party service providers.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noncash stock-based compensation expense related to stock-based awards to employees, non-employees and directors, including stock options, based on the fair value on the grant date using the Black-Scholes option pricing model. The related stock-based compensation is recognized as expense on a straight line-basis over the employee’s, non-employee’s or director’s requisite service period (generally the vesting period). Noncash stock compensation expense is based on awards ultimately expected to vest and is reduced by any forfeitures as they occur.</w:t>
      </w:r>
    </w:p>
    <w:p>
      <w:pPr>
        <w:spacing w:after="0" w:line="1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determining the fair value of stock options, we use the Black-Scholes option-pricing model. The Black-Scholes model requires the input of subjective assumptions, including expected volatility, expected dividend yield, expected term, risk-free rate of return, and the fair value of the underlying common stock on the date of grant, and generally requires significant judgment to determine.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to our Consolidated Financial Statements for a description of recent accounting pronouncements applicable to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 and a Non-Accelerated Filer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of the Securities Exchange Act of 1934, or the Exchange Act,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for which audited financial statements are available as of the determination date and the market value of our shares held by non-affiliates is less than $700 million. As a smaller reporting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6" w:name="page107"/>
    <w:bookmarkEnd w:id="106"/>
    <w:p>
      <w:pPr>
        <w:jc w:val="both"/>
        <w:spacing w:after="0" w:line="266" w:lineRule="auto"/>
        <w:rPr>
          <w:sz w:val="20"/>
          <w:szCs w:val="20"/>
          <w:color w:val="auto"/>
        </w:rPr>
      </w:pPr>
      <w:r>
        <w:rPr>
          <w:rFonts w:ascii="Times New Roman" w:cs="Times New Roman" w:eastAsia="Times New Roman" w:hAnsi="Times New Roman"/>
          <w:sz w:val="18"/>
          <w:szCs w:val="18"/>
          <w:color w:val="auto"/>
        </w:rPr>
        <w:t>reduced disclosure obligations regarding executive compensation. If investors consider our common stock less attractive as a result of our election to use the scaled-back disclosure permitted for smaller reporting companies, there may be a less active trading market for our common stock and our share price may be more volatile.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as a non-accelerated filer, we may continue to take advantage of the exception from compliance with the auditor attestation requirements of Section 404 of the Sarbanes-Oxley Act of 2002, as amended.</w:t>
      </w:r>
    </w:p>
    <w:p>
      <w:pPr>
        <w:spacing w:after="0" w:line="158" w:lineRule="exact"/>
        <w:rPr>
          <w:sz w:val="20"/>
          <w:szCs w:val="20"/>
          <w:color w:val="auto"/>
        </w:rPr>
      </w:pPr>
    </w:p>
    <w:p>
      <w:pPr>
        <w:ind w:right="3880"/>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ITEM 7A. QUANTITATIVE AND QUALITATIVE DISCLOSURES ABOUT MARKET RISK </w:t>
      </w:r>
      <w:r>
        <w:rPr>
          <w:rFonts w:ascii="Times New Roman" w:cs="Times New Roman" w:eastAsia="Times New Roman" w:hAnsi="Times New Roman"/>
          <w:sz w:val="18"/>
          <w:szCs w:val="18"/>
          <w:color w:val="auto"/>
        </w:rPr>
        <w:t>Not required for smaller reporting companies.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8"/>
        </w:trPr>
        <w:tc>
          <w:tcPr>
            <w:tcW w:w="94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780" w:type="dxa"/>
            <w:vAlign w:val="bottom"/>
          </w:tcPr>
          <w:p>
            <w:pPr>
              <w:spacing w:after="0"/>
              <w:rPr>
                <w:sz w:val="20"/>
                <w:szCs w:val="20"/>
                <w:color w:val="auto"/>
              </w:rPr>
            </w:pPr>
          </w:p>
        </w:tc>
      </w:tr>
      <w:tr>
        <w:trPr>
          <w:trHeight w:val="410"/>
        </w:trPr>
        <w:tc>
          <w:tcPr>
            <w:tcW w:w="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20" w:type="dxa"/>
            <w:vAlign w:val="bottom"/>
            <w:gridSpan w:val="2"/>
          </w:tcPr>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TEMPEST THERAPEUTICS, INC.</w:t>
            </w:r>
          </w:p>
        </w:tc>
        <w:tc>
          <w:tcPr>
            <w:tcW w:w="1780" w:type="dxa"/>
            <w:vAlign w:val="bottom"/>
          </w:tcPr>
          <w:p>
            <w:pPr>
              <w:spacing w:after="0"/>
              <w:rPr>
                <w:sz w:val="24"/>
                <w:szCs w:val="24"/>
                <w:color w:val="auto"/>
              </w:rPr>
            </w:pPr>
          </w:p>
        </w:tc>
      </w:tr>
      <w:tr>
        <w:trPr>
          <w:trHeight w:val="238"/>
        </w:trPr>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60" w:type="dxa"/>
            <w:vAlign w:val="bottom"/>
            <w:gridSpan w:val="3"/>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1780" w:type="dxa"/>
            <w:vAlign w:val="bottom"/>
          </w:tcPr>
          <w:p>
            <w:pPr>
              <w:spacing w:after="0"/>
              <w:rPr>
                <w:sz w:val="20"/>
                <w:szCs w:val="20"/>
                <w:color w:val="auto"/>
              </w:rPr>
            </w:pPr>
          </w:p>
        </w:tc>
      </w:tr>
      <w:tr>
        <w:trPr>
          <w:trHeight w:val="459"/>
        </w:trPr>
        <w:tc>
          <w:tcPr>
            <w:tcW w:w="80" w:type="dxa"/>
            <w:vAlign w:val="bottom"/>
          </w:tcPr>
          <w:p>
            <w:pPr>
              <w:spacing w:after="0"/>
              <w:rPr>
                <w:sz w:val="24"/>
                <w:szCs w:val="24"/>
                <w:color w:val="auto"/>
              </w:rPr>
            </w:pPr>
          </w:p>
        </w:tc>
        <w:tc>
          <w:tcPr>
            <w:tcW w:w="93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42)</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90"/>
        </w:trPr>
        <w:tc>
          <w:tcPr>
            <w:tcW w:w="80" w:type="dxa"/>
            <w:vAlign w:val="bottom"/>
          </w:tcPr>
          <w:p>
            <w:pPr>
              <w:spacing w:after="0"/>
              <w:rPr>
                <w:sz w:val="24"/>
                <w:szCs w:val="24"/>
                <w:color w:val="auto"/>
              </w:rPr>
            </w:pPr>
          </w:p>
        </w:tc>
        <w:tc>
          <w:tcPr>
            <w:tcW w:w="93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91"/>
        </w:trPr>
        <w:tc>
          <w:tcPr>
            <w:tcW w:w="80" w:type="dxa"/>
            <w:vAlign w:val="bottom"/>
          </w:tcPr>
          <w:p>
            <w:pPr>
              <w:spacing w:after="0"/>
              <w:rPr>
                <w:sz w:val="24"/>
                <w:szCs w:val="24"/>
                <w:color w:val="auto"/>
              </w:rPr>
            </w:pPr>
          </w:p>
        </w:tc>
        <w:tc>
          <w:tcPr>
            <w:tcW w:w="93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80" w:type="dxa"/>
            <w:vAlign w:val="bottom"/>
            <w:tcBorders>
              <w:right w:val="single" w:sz="8" w:color="0000FF"/>
            </w:tcBorders>
          </w:tcPr>
          <w:p>
            <w:pPr>
              <w:spacing w:after="0" w:line="20" w:lineRule="exact"/>
              <w:rPr>
                <w:sz w:val="1"/>
                <w:szCs w:val="1"/>
                <w:color w:val="auto"/>
              </w:rPr>
            </w:pPr>
          </w:p>
        </w:tc>
        <w:tc>
          <w:tcPr>
            <w:tcW w:w="208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90"/>
        </w:trPr>
        <w:tc>
          <w:tcPr>
            <w:tcW w:w="80" w:type="dxa"/>
            <w:vAlign w:val="bottom"/>
          </w:tcPr>
          <w:p>
            <w:pPr>
              <w:spacing w:after="0"/>
              <w:rPr>
                <w:sz w:val="24"/>
                <w:szCs w:val="24"/>
                <w:color w:val="auto"/>
              </w:rPr>
            </w:pPr>
          </w:p>
        </w:tc>
        <w:tc>
          <w:tcPr>
            <w:tcW w:w="93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0"/>
        </w:trPr>
        <w:tc>
          <w:tcPr>
            <w:tcW w:w="80" w:type="dxa"/>
            <w:vAlign w:val="bottom"/>
            <w:tcBorders>
              <w:right w:val="single" w:sz="8" w:color="0000FF"/>
            </w:tcBorders>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91"/>
        </w:trPr>
        <w:tc>
          <w:tcPr>
            <w:tcW w:w="80" w:type="dxa"/>
            <w:vAlign w:val="bottom"/>
          </w:tcPr>
          <w:p>
            <w:pPr>
              <w:spacing w:after="0"/>
              <w:rPr>
                <w:sz w:val="24"/>
                <w:szCs w:val="24"/>
                <w:color w:val="auto"/>
              </w:rPr>
            </w:pPr>
          </w:p>
        </w:tc>
        <w:tc>
          <w:tcPr>
            <w:tcW w:w="93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6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91"/>
        </w:trPr>
        <w:tc>
          <w:tcPr>
            <w:tcW w:w="80" w:type="dxa"/>
            <w:vAlign w:val="bottom"/>
          </w:tcPr>
          <w:p>
            <w:pPr>
              <w:spacing w:after="0"/>
              <w:rPr>
                <w:sz w:val="24"/>
                <w:szCs w:val="24"/>
                <w:color w:val="auto"/>
              </w:rPr>
            </w:pPr>
          </w:p>
        </w:tc>
        <w:tc>
          <w:tcPr>
            <w:tcW w:w="93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803"/>
        </w:trPr>
        <w:tc>
          <w:tcPr>
            <w:tcW w:w="80" w:type="dxa"/>
            <w:vAlign w:val="bottom"/>
          </w:tcPr>
          <w:p>
            <w:pPr>
              <w:spacing w:after="0"/>
              <w:rPr>
                <w:sz w:val="24"/>
                <w:szCs w:val="24"/>
                <w:color w:val="auto"/>
              </w:rPr>
            </w:pPr>
          </w:p>
        </w:tc>
        <w:tc>
          <w:tcPr>
            <w:tcW w:w="3120" w:type="dxa"/>
            <w:vAlign w:val="bottom"/>
            <w:tcBorders>
              <w:top w:val="single" w:sz="8" w:color="0000FF"/>
            </w:tcBorders>
            <w:gridSpan w:val="3"/>
          </w:tcPr>
          <w:p>
            <w:pPr>
              <w:spacing w:after="0"/>
              <w:rPr>
                <w:sz w:val="24"/>
                <w:szCs w:val="24"/>
                <w:color w:val="auto"/>
              </w:rPr>
            </w:pPr>
          </w:p>
        </w:tc>
        <w:tc>
          <w:tcPr>
            <w:tcW w:w="6260" w:type="dxa"/>
            <w:vAlign w:val="bottom"/>
            <w:gridSpan w:val="3"/>
          </w:tcPr>
          <w:p>
            <w:pPr>
              <w:jc w:val="center"/>
              <w:ind w:right="1420"/>
              <w:spacing w:after="0"/>
              <w:rPr>
                <w:sz w:val="20"/>
                <w:szCs w:val="20"/>
                <w:color w:val="auto"/>
              </w:rPr>
            </w:pPr>
            <w:r>
              <w:rPr>
                <w:rFonts w:ascii="Times New Roman" w:cs="Times New Roman" w:eastAsia="Times New Roman" w:hAnsi="Times New Roman"/>
                <w:sz w:val="18"/>
                <w:szCs w:val="18"/>
                <w:color w:val="auto"/>
              </w:rPr>
              <w:t>105</w:t>
            </w:r>
          </w:p>
        </w:tc>
        <w:tc>
          <w:tcPr>
            <w:tcW w:w="1780" w:type="dxa"/>
            <w:vAlign w:val="bottom"/>
          </w:tcPr>
          <w:p>
            <w:pPr>
              <w:spacing w:after="0"/>
              <w:rPr>
                <w:sz w:val="24"/>
                <w:szCs w:val="24"/>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8" w:name="page109"/>
    <w:bookmarkEnd w:id="108"/>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Tempest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Tempest Therapeutics, Inc. (the Company) as of December 31, 2025 and 2024, the related consolidated statements of operations,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Ability to Continue as a Going Concern</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financial statements, the Company has incurred operating losses since inception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09" w:name="page110"/>
    <w:bookmarkEnd w:id="109"/>
    <w:p>
      <w:pPr>
        <w:spacing w:after="0" w:line="200" w:lineRule="exact"/>
        <w:rPr>
          <w:sz w:val="20"/>
          <w:szCs w:val="20"/>
          <w:color w:val="auto"/>
        </w:rPr>
      </w:pPr>
    </w:p>
    <w:p>
      <w:pPr>
        <w:spacing w:after="0" w:line="288"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modified stock-based compensation awards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Note 8 to the financial statements under the caption “Stock-based compensation,” in the fourth quarter of 2025, the Company modified 416,005 stock options to extend the post-termination exercise period. The modifications of current and former employees' stock option grants resulted in modification accounting under ASC 718, Compensation – Stock Compensation. During the year ended December 31, 2025, the Company recognized $0.8 million in stock-based compensation expense due to modifications, a portion of which related to the modification of stock options in the fourth quarter.</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Auditing the Company’s valuation of certain stock options modified in the fourth quarter, including the derived service period, was complex and required significant auditor judgment due to the subjectivity in estimating the fair value of the modified awards and the fair value of the original awards immediately before they were modified, including the adjustment to the stock price on the modification date for the fair value of the warrant dividend and the expected stock price volatility.</w:t>
      </w:r>
    </w:p>
    <w:p>
      <w:pPr>
        <w:spacing w:after="0" w:line="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test the valuation of certain stock options modified in the fourth quarter, our audit procedures included, among others, assessing the completeness of the awards modified, evaluating the key terms and conditions of the awards modified to assess the accounting treatment, and testing the clerical accuracy of the calculation related to the expense recorded. Also, our procedures included evaluating the methodologies used to estimate the fair value of the modified awards and the original awards immediately before they were modified. Additionally, we involved our internal valuation specialists to (i) calculate the adjustments to the stock price by assessing the fair value of the warrant dividend on the modification date, (ii) develop an independent estimate of the volatility by utilizing third party historical data of closing stock prices, and (iii) perform a Monte Carlo simulation to assess the fair value of the awards after modification and the derived service period over which the compensation expense will be attributed.</w:t>
      </w:r>
    </w:p>
    <w:p>
      <w:pPr>
        <w:spacing w:after="0" w:line="200" w:lineRule="exact"/>
        <w:rPr>
          <w:sz w:val="20"/>
          <w:szCs w:val="20"/>
          <w:color w:val="auto"/>
        </w:rPr>
      </w:pPr>
    </w:p>
    <w:p>
      <w:pPr>
        <w:sectPr>
          <w:pgSz w:w="11900" w:h="16838" w:orient="portrait"/>
          <w:cols w:equalWidth="0" w:num="2">
            <w:col w:w="1420" w:space="260"/>
            <w:col w:w="9460"/>
          </w:cols>
          <w:pgMar w:left="320" w:top="1197" w:right="439" w:bottom="1440" w:gutter="0" w:footer="0" w:header="0"/>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2026</w:t>
      </w: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97" w:right="439" w:bottom="1440" w:gutter="0" w:footer="0" w:header="0"/>
          <w:type w:val="continuous"/>
        </w:sectPr>
      </w:pPr>
    </w:p>
    <w:bookmarkStart w:id="110" w:name="page111"/>
    <w:bookmarkEnd w:id="110"/>
    <w:p>
      <w:pPr>
        <w:ind w:left="4580"/>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1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60" w:type="dxa"/>
            <w:vAlign w:val="bottom"/>
            <w:gridSpan w:val="6"/>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09"/>
        </w:trPr>
        <w:tc>
          <w:tcPr>
            <w:tcW w:w="77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7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7,707</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30,268</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Pr>
          <w:p>
            <w:pPr>
              <w:spacing w:after="0"/>
              <w:rPr>
                <w:sz w:val="18"/>
                <w:szCs w:val="18"/>
                <w:color w:val="auto"/>
              </w:rPr>
            </w:pPr>
          </w:p>
        </w:tc>
      </w:tr>
      <w:tr>
        <w:trPr>
          <w:trHeight w:val="210"/>
        </w:trPr>
        <w:tc>
          <w:tcPr>
            <w:tcW w:w="774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31,474</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18"/>
                <w:szCs w:val="18"/>
                <w:color w:val="auto"/>
              </w:rPr>
            </w:pPr>
          </w:p>
        </w:tc>
      </w:tr>
      <w:tr>
        <w:trPr>
          <w:trHeight w:val="216"/>
        </w:trPr>
        <w:tc>
          <w:tcPr>
            <w:tcW w:w="7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8"/>
                <w:szCs w:val="18"/>
                <w:color w:val="auto"/>
              </w:rPr>
            </w:pPr>
          </w:p>
        </w:tc>
      </w:tr>
      <w:tr>
        <w:trPr>
          <w:trHeight w:val="250"/>
        </w:trPr>
        <w:tc>
          <w:tcPr>
            <w:tcW w:w="774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16,931</w:t>
            </w:r>
          </w:p>
        </w:tc>
        <w:tc>
          <w:tcPr>
            <w:tcW w:w="16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41,488</w:t>
            </w:r>
          </w:p>
        </w:tc>
        <w:tc>
          <w:tcPr>
            <w:tcW w:w="100" w:type="dxa"/>
            <w:vAlign w:val="bottom"/>
            <w:shd w:val="clear" w:color="auto" w:fill="CFF0FC"/>
          </w:tcPr>
          <w:p>
            <w:pPr>
              <w:spacing w:after="0"/>
              <w:rPr>
                <w:sz w:val="21"/>
                <w:szCs w:val="21"/>
                <w:color w:val="auto"/>
              </w:rPr>
            </w:pPr>
          </w:p>
        </w:tc>
      </w:tr>
      <w:tr>
        <w:trPr>
          <w:trHeight w:val="196"/>
        </w:trPr>
        <w:tc>
          <w:tcPr>
            <w:tcW w:w="7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6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00" w:type="dxa"/>
            <w:vAlign w:val="bottom"/>
          </w:tcPr>
          <w:p>
            <w:pPr>
              <w:spacing w:after="0"/>
              <w:rPr>
                <w:sz w:val="18"/>
                <w:szCs w:val="18"/>
                <w:color w:val="auto"/>
              </w:rPr>
            </w:pPr>
          </w:p>
        </w:tc>
      </w:tr>
      <w:tr>
        <w:trPr>
          <w:trHeight w:val="216"/>
        </w:trPr>
        <w:tc>
          <w:tcPr>
            <w:tcW w:w="774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loan payable (net of discount and issuance costs of nil and $74, respectively)</w:t>
            </w: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100" w:type="dxa"/>
            <w:vAlign w:val="bottom"/>
          </w:tcPr>
          <w:p>
            <w:pPr>
              <w:spacing w:after="0"/>
              <w:rPr>
                <w:sz w:val="18"/>
                <w:szCs w:val="18"/>
                <w:color w:val="auto"/>
              </w:rPr>
            </w:pPr>
          </w:p>
        </w:tc>
      </w:tr>
      <w:tr>
        <w:trPr>
          <w:trHeight w:val="216"/>
        </w:trPr>
        <w:tc>
          <w:tcPr>
            <w:tcW w:w="774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Pr>
          <w:p>
            <w:pPr>
              <w:spacing w:after="0"/>
              <w:rPr>
                <w:sz w:val="18"/>
                <w:szCs w:val="18"/>
                <w:color w:val="auto"/>
              </w:rPr>
            </w:pPr>
          </w:p>
        </w:tc>
      </w:tr>
      <w:tr>
        <w:trPr>
          <w:trHeight w:val="216"/>
        </w:trPr>
        <w:tc>
          <w:tcPr>
            <w:tcW w:w="774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payable</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FF0FC"/>
          </w:tcPr>
          <w:p>
            <w:pPr>
              <w:spacing w:after="0"/>
              <w:rPr>
                <w:sz w:val="18"/>
                <w:szCs w:val="18"/>
                <w:color w:val="auto"/>
              </w:rPr>
            </w:pPr>
          </w:p>
        </w:tc>
      </w:tr>
      <w:tr>
        <w:trPr>
          <w:trHeight w:val="209"/>
        </w:trPr>
        <w:tc>
          <w:tcPr>
            <w:tcW w:w="774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14,220</w:t>
            </w:r>
          </w:p>
        </w:tc>
        <w:tc>
          <w:tcPr>
            <w:tcW w:w="100" w:type="dxa"/>
            <w:vAlign w:val="bottom"/>
            <w:tcBorders>
              <w:top w:val="single" w:sz="8" w:color="CFF0FC"/>
            </w:tcBorders>
          </w:tcPr>
          <w:p>
            <w:pPr>
              <w:spacing w:after="0"/>
              <w:rPr>
                <w:sz w:val="18"/>
                <w:szCs w:val="18"/>
                <w:color w:val="auto"/>
              </w:rPr>
            </w:pPr>
          </w:p>
        </w:tc>
      </w:tr>
      <w:tr>
        <w:trPr>
          <w:trHeight w:val="216"/>
        </w:trPr>
        <w:tc>
          <w:tcPr>
            <w:tcW w:w="774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22,362</w:t>
            </w:r>
          </w:p>
        </w:tc>
        <w:tc>
          <w:tcPr>
            <w:tcW w:w="100" w:type="dxa"/>
            <w:vAlign w:val="bottom"/>
          </w:tcPr>
          <w:p>
            <w:pPr>
              <w:spacing w:after="0"/>
              <w:rPr>
                <w:sz w:val="18"/>
                <w:szCs w:val="18"/>
                <w:color w:val="auto"/>
              </w:rPr>
            </w:pPr>
          </w:p>
        </w:tc>
      </w:tr>
      <w:tr>
        <w:trPr>
          <w:trHeight w:val="210"/>
        </w:trPr>
        <w:tc>
          <w:tcPr>
            <w:tcW w:w="7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8"/>
        </w:trPr>
        <w:tc>
          <w:tcPr>
            <w:tcW w:w="7740" w:type="dxa"/>
            <w:vAlign w:val="bottom"/>
            <w:tcBorders>
              <w:right w:val="single" w:sz="8" w:color="CFF0FC"/>
            </w:tcBorders>
            <w:shd w:val="clear" w:color="auto" w:fill="CFF0FC"/>
          </w:tcPr>
          <w:p>
            <w:pPr>
              <w:ind w:left="140"/>
              <w:spacing w:after="0" w:line="177" w:lineRule="exact"/>
              <w:rPr>
                <w:sz w:val="20"/>
                <w:szCs w:val="20"/>
                <w:color w:val="auto"/>
              </w:rPr>
            </w:pPr>
            <w:r>
              <w:rPr>
                <w:rFonts w:ascii="Times New Roman" w:cs="Times New Roman" w:eastAsia="Times New Roman" w:hAnsi="Times New Roman"/>
                <w:sz w:val="18"/>
                <w:szCs w:val="18"/>
                <w:color w:val="auto"/>
              </w:rPr>
              <w:t>Common stock, $0.001 par value; 100,000,000 shares authorized; 4,927,161 and 3,382,432 shares</w:t>
            </w: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54"/>
        </w:trPr>
        <w:tc>
          <w:tcPr>
            <w:tcW w:w="7740" w:type="dxa"/>
            <w:vAlign w:val="bottom"/>
            <w:tcBorders>
              <w:right w:val="single" w:sz="8" w:color="CFF0FC"/>
            </w:tcBorders>
            <w:shd w:val="clear" w:color="auto" w:fill="CFF0FC"/>
          </w:tcPr>
          <w:p>
            <w:pPr>
              <w:ind w:left="140"/>
              <w:spacing w:after="0" w:line="255" w:lineRule="exact"/>
              <w:rPr>
                <w:sz w:val="20"/>
                <w:szCs w:val="20"/>
                <w:color w:val="auto"/>
              </w:rPr>
            </w:pPr>
            <w:r>
              <w:rPr>
                <w:rFonts w:ascii="Times New Roman" w:cs="Times New Roman" w:eastAsia="Times New Roman" w:hAnsi="Times New Roman"/>
                <w:sz w:val="18"/>
                <w:szCs w:val="18"/>
                <w:color w:val="auto"/>
              </w:rPr>
              <w:t>issued and outstanding at December 31, 2025 and December 31, 2024, respectively</w:t>
            </w:r>
            <w:r>
              <w:rPr>
                <w:rFonts w:ascii="Times New Roman" w:cs="Times New Roman" w:eastAsia="Times New Roman" w:hAnsi="Times New Roman"/>
                <w:sz w:val="24"/>
                <w:szCs w:val="24"/>
                <w:color w:val="auto"/>
                <w:vertAlign w:val="superscript"/>
              </w:rPr>
              <w:t>(1)</w:t>
            </w:r>
          </w:p>
        </w:tc>
        <w:tc>
          <w:tcPr>
            <w:tcW w:w="34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2"/>
                <w:szCs w:val="22"/>
                <w:color w:val="auto"/>
              </w:rPr>
            </w:pPr>
          </w:p>
        </w:tc>
      </w:tr>
      <w:tr>
        <w:trPr>
          <w:trHeight w:val="216"/>
        </w:trPr>
        <w:tc>
          <w:tcPr>
            <w:tcW w:w="774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Additional paid-in capital</w:t>
            </w:r>
            <w:r>
              <w:rPr>
                <w:rFonts w:ascii="Times New Roman" w:cs="Times New Roman" w:eastAsia="Times New Roman" w:hAnsi="Times New Roman"/>
                <w:sz w:val="24"/>
                <w:szCs w:val="24"/>
                <w:color w:val="auto"/>
                <w:vertAlign w:val="superscript"/>
              </w:rPr>
              <w:t>(1)</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226,229</w:t>
            </w:r>
          </w:p>
        </w:tc>
        <w:tc>
          <w:tcPr>
            <w:tcW w:w="100" w:type="dxa"/>
            <w:vAlign w:val="bottom"/>
          </w:tcPr>
          <w:p>
            <w:pPr>
              <w:spacing w:after="0"/>
              <w:rPr>
                <w:sz w:val="18"/>
                <w:szCs w:val="18"/>
                <w:color w:val="auto"/>
              </w:rPr>
            </w:pPr>
          </w:p>
        </w:tc>
      </w:tr>
      <w:tr>
        <w:trPr>
          <w:trHeight w:val="216"/>
        </w:trPr>
        <w:tc>
          <w:tcPr>
            <w:tcW w:w="774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(233,368)</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(207,106)</w:t>
            </w:r>
          </w:p>
        </w:tc>
      </w:tr>
      <w:tr>
        <w:trPr>
          <w:trHeight w:val="209"/>
        </w:trPr>
        <w:tc>
          <w:tcPr>
            <w:tcW w:w="774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19,126</w:t>
            </w:r>
          </w:p>
        </w:tc>
        <w:tc>
          <w:tcPr>
            <w:tcW w:w="100" w:type="dxa"/>
            <w:vAlign w:val="bottom"/>
            <w:tcBorders>
              <w:top w:val="single" w:sz="8" w:color="CFF0FC"/>
            </w:tcBorders>
          </w:tcPr>
          <w:p>
            <w:pPr>
              <w:spacing w:after="0"/>
              <w:rPr>
                <w:sz w:val="18"/>
                <w:szCs w:val="18"/>
                <w:color w:val="auto"/>
              </w:rPr>
            </w:pPr>
          </w:p>
        </w:tc>
      </w:tr>
      <w:tr>
        <w:trPr>
          <w:trHeight w:val="230"/>
        </w:trPr>
        <w:tc>
          <w:tcPr>
            <w:tcW w:w="7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16,931</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41,488</w:t>
            </w:r>
          </w:p>
        </w:tc>
        <w:tc>
          <w:tcPr>
            <w:tcW w:w="100" w:type="dxa"/>
            <w:vAlign w:val="bottom"/>
            <w:shd w:val="clear" w:color="auto" w:fill="CFF0FC"/>
          </w:tcPr>
          <w:p>
            <w:pPr>
              <w:spacing w:after="0"/>
              <w:rPr>
                <w:sz w:val="19"/>
                <w:szCs w:val="19"/>
                <w:color w:val="auto"/>
              </w:rPr>
            </w:pPr>
          </w:p>
        </w:tc>
      </w:tr>
      <w:tr>
        <w:trPr>
          <w:trHeight w:val="20"/>
        </w:trPr>
        <w:tc>
          <w:tcPr>
            <w:tcW w:w="77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-2699385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-2682240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-2699385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-1576705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-1293495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-316230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760" w:right="440" w:hanging="3"/>
        <w:spacing w:after="0" w:line="260" w:lineRule="auto"/>
        <w:tabs>
          <w:tab w:leader="none" w:pos="10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including shares issued and outstanding have been adjusted to reflect the one-for-thirteen stock split effected in April 2025. See Note 1, Organization and Description of the Business, for details.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77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shd w:val="clear" w:color="auto" w:fill="CFF0FC"/>
          </w:tcPr>
          <w:p>
            <w:pPr>
              <w:spacing w:after="0"/>
              <w:rPr>
                <w:sz w:val="18"/>
                <w:szCs w:val="18"/>
                <w:color w:val="auto"/>
              </w:rPr>
            </w:pPr>
          </w:p>
        </w:tc>
        <w:tc>
          <w:tcPr>
            <w:tcW w:w="1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12,606</w:t>
            </w:r>
          </w:p>
        </w:tc>
        <w:tc>
          <w:tcPr>
            <w:tcW w:w="52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28,476</w:t>
            </w: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13,969</w:t>
            </w:r>
          </w:p>
        </w:tc>
        <w:tc>
          <w:tcPr>
            <w:tcW w:w="180" w:type="dxa"/>
            <w:vAlign w:val="bottom"/>
            <w:shd w:val="clear" w:color="auto" w:fill="CFF0FC"/>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13,550</w:t>
            </w:r>
          </w:p>
        </w:tc>
      </w:tr>
      <w:tr>
        <w:trPr>
          <w:trHeight w:val="20"/>
        </w:trPr>
        <w:tc>
          <w:tcPr>
            <w:tcW w:w="77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(26,575)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(42,026)</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340" w:type="dxa"/>
            <w:vAlign w:val="bottom"/>
            <w:shd w:val="clear" w:color="auto" w:fill="CFF0FC"/>
          </w:tcPr>
          <w:p>
            <w:pPr>
              <w:spacing w:after="0"/>
              <w:rPr>
                <w:sz w:val="18"/>
                <w:szCs w:val="18"/>
                <w:color w:val="auto"/>
              </w:rPr>
            </w:pPr>
          </w:p>
        </w:tc>
        <w:tc>
          <w:tcPr>
            <w:tcW w:w="1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(1,316)</w:t>
            </w: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520</w:t>
            </w:r>
          </w:p>
        </w:tc>
        <w:tc>
          <w:tcPr>
            <w:tcW w:w="180" w:type="dxa"/>
            <w:vAlign w:val="bottom"/>
            <w:shd w:val="clear" w:color="auto" w:fill="CFF0FC"/>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1,499</w:t>
            </w:r>
          </w:p>
        </w:tc>
      </w:tr>
      <w:tr>
        <w:trPr>
          <w:trHeight w:val="20"/>
        </w:trPr>
        <w:tc>
          <w:tcPr>
            <w:tcW w:w="77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r>
      <w:tr>
        <w:trPr>
          <w:trHeight w:val="21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(26,262)</w:t>
            </w:r>
          </w:p>
        </w:tc>
        <w:tc>
          <w:tcPr>
            <w:tcW w:w="18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(41,843)</w:t>
            </w:r>
          </w:p>
        </w:tc>
      </w:tr>
      <w:tr>
        <w:trPr>
          <w:trHeight w:val="20"/>
        </w:trPr>
        <w:tc>
          <w:tcPr>
            <w:tcW w:w="77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700" w:type="dxa"/>
            <w:vAlign w:val="bottom"/>
            <w:shd w:val="clear" w:color="auto" w:fill="CFF0FC"/>
          </w:tcPr>
          <w:p>
            <w:pPr>
              <w:spacing w:after="0" w:line="197" w:lineRule="exact"/>
              <w:rPr>
                <w:sz w:val="20"/>
                <w:szCs w:val="20"/>
                <w:color w:val="auto"/>
              </w:rPr>
            </w:pPr>
            <w:r>
              <w:rPr>
                <w:rFonts w:ascii="Times New Roman" w:cs="Times New Roman" w:eastAsia="Times New Roman" w:hAnsi="Times New Roman"/>
                <w:sz w:val="17"/>
                <w:szCs w:val="17"/>
                <w:color w:val="auto"/>
              </w:rPr>
              <w:t>Net loss per share of common stock and pre-funded warrants, basic and diluted</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(6.33)</w:t>
            </w:r>
          </w:p>
        </w:tc>
        <w:tc>
          <w:tcPr>
            <w:tcW w:w="180" w:type="dxa"/>
            <w:vAlign w:val="bottom"/>
            <w:shd w:val="clear" w:color="auto" w:fill="CFF0FC"/>
          </w:tcPr>
          <w:p>
            <w:pPr>
              <w:spacing w:after="0"/>
              <w:rPr>
                <w:sz w:val="20"/>
                <w:szCs w:val="20"/>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(19.50)</w:t>
            </w:r>
          </w:p>
        </w:tc>
      </w:tr>
      <w:tr>
        <w:trPr>
          <w:trHeight w:val="198"/>
        </w:trPr>
        <w:tc>
          <w:tcPr>
            <w:tcW w:w="7700" w:type="dxa"/>
            <w:vAlign w:val="bottom"/>
            <w:tcBorders>
              <w:top w:val="single" w:sz="8" w:color="CFF0FC"/>
            </w:tcBorders>
          </w:tcPr>
          <w:p>
            <w:pPr>
              <w:spacing w:after="0" w:line="198" w:lineRule="exact"/>
              <w:rPr>
                <w:sz w:val="20"/>
                <w:szCs w:val="20"/>
                <w:color w:val="auto"/>
              </w:rPr>
            </w:pPr>
            <w:r>
              <w:rPr>
                <w:rFonts w:ascii="Times New Roman" w:cs="Times New Roman" w:eastAsia="Times New Roman" w:hAnsi="Times New Roman"/>
                <w:sz w:val="17"/>
                <w:szCs w:val="17"/>
                <w:color w:val="auto"/>
              </w:rPr>
              <w:t>Weighted-average shares of common stock and pre-funded warrants outstanding, basic and diluted</w:t>
            </w:r>
            <w:r>
              <w:rPr>
                <w:rFonts w:ascii="Times New Roman" w:cs="Times New Roman" w:eastAsia="Times New Roman" w:hAnsi="Times New Roman"/>
                <w:sz w:val="22"/>
                <w:szCs w:val="22"/>
                <w:color w:val="auto"/>
                <w:vertAlign w:val="superscript"/>
              </w:rPr>
              <w:t>(1)</w:t>
            </w:r>
          </w:p>
        </w:tc>
        <w:tc>
          <w:tcPr>
            <w:tcW w:w="3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4,149,733</w:t>
            </w: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2,146,276</w:t>
            </w:r>
          </w:p>
        </w:tc>
        <w:tc>
          <w:tcPr>
            <w:tcW w:w="100" w:type="dxa"/>
            <w:vAlign w:val="bottom"/>
            <w:tcBorders>
              <w:top w:val="single" w:sz="8" w:color="CCEEFF"/>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-1320800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-1320800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-763270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-763270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-471805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-471805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-163195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-146050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-163195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-146050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right="940" w:firstLine="8"/>
        <w:spacing w:after="0" w:line="258" w:lineRule="auto"/>
        <w:tabs>
          <w:tab w:leader="none" w:pos="2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including shares of common stock, have been adjusted to reflect the one-for-thirteen stock split effected in April 2025. See Note 1, Organization and Description of the Business, for details.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2520" w:type="dxa"/>
            <w:vAlign w:val="bottom"/>
            <w:gridSpan w:val="3"/>
            <w:vMerge w:val="restart"/>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25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108"/>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1280" w:type="dxa"/>
            <w:vAlign w:val="bottom"/>
            <w:tcBorders>
              <w:bottom w:val="single" w:sz="8" w:color="auto"/>
            </w:tcBorders>
          </w:tcPr>
          <w:p>
            <w:pPr>
              <w:jc w:val="right"/>
              <w:ind w:right="308"/>
              <w:spacing w:after="0" w:line="175" w:lineRule="exact"/>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9"/>
                <w:szCs w:val="19"/>
                <w:b w:val="1"/>
                <w:bCs w:val="1"/>
                <w:color w:val="auto"/>
                <w:vertAlign w:val="superscript"/>
              </w:rPr>
              <w:t>(1)</w:t>
            </w:r>
          </w:p>
        </w:tc>
        <w:tc>
          <w:tcPr>
            <w:tcW w:w="260" w:type="dxa"/>
            <w:vAlign w:val="bottom"/>
          </w:tcPr>
          <w:p>
            <w:pPr>
              <w:spacing w:after="0"/>
              <w:rPr>
                <w:sz w:val="15"/>
                <w:szCs w:val="15"/>
                <w:color w:val="auto"/>
              </w:rPr>
            </w:pPr>
          </w:p>
        </w:tc>
        <w:tc>
          <w:tcPr>
            <w:tcW w:w="9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4"/>
                <w:szCs w:val="14"/>
                <w:b w:val="1"/>
                <w:bCs w:val="1"/>
                <w:color w:val="auto"/>
              </w:rPr>
              <w:t>Amount</w:t>
            </w:r>
            <w:r>
              <w:rPr>
                <w:rFonts w:ascii="Times New Roman" w:cs="Times New Roman" w:eastAsia="Times New Roman" w:hAnsi="Times New Roman"/>
                <w:sz w:val="19"/>
                <w:szCs w:val="19"/>
                <w:b w:val="1"/>
                <w:bCs w:val="1"/>
                <w:color w:val="auto"/>
                <w:vertAlign w:val="superscript"/>
              </w:rPr>
              <w:t>(1)</w:t>
            </w: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08"/>
              <w:spacing w:after="0" w:line="175" w:lineRule="exact"/>
              <w:rPr>
                <w:sz w:val="20"/>
                <w:szCs w:val="20"/>
                <w:color w:val="auto"/>
              </w:rPr>
            </w:pPr>
            <w:r>
              <w:rPr>
                <w:rFonts w:ascii="Times New Roman" w:cs="Times New Roman" w:eastAsia="Times New Roman" w:hAnsi="Times New Roman"/>
                <w:sz w:val="14"/>
                <w:szCs w:val="14"/>
                <w:b w:val="1"/>
                <w:bCs w:val="1"/>
                <w:color w:val="auto"/>
                <w:w w:val="98"/>
              </w:rPr>
              <w:t>Capital</w:t>
            </w:r>
            <w:r>
              <w:rPr>
                <w:rFonts w:ascii="Times New Roman" w:cs="Times New Roman" w:eastAsia="Times New Roman" w:hAnsi="Times New Roman"/>
                <w:sz w:val="19"/>
                <w:szCs w:val="19"/>
                <w:b w:val="1"/>
                <w:bCs w:val="1"/>
                <w:color w:val="auto"/>
                <w:w w:val="98"/>
                <w:vertAlign w:val="superscript"/>
              </w:rPr>
              <w:t>(1)</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 December 31, 2023</w:t>
            </w:r>
          </w:p>
        </w:tc>
        <w:tc>
          <w:tcPr>
            <w:tcW w:w="12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1,695,788</w:t>
            </w:r>
          </w:p>
        </w:tc>
        <w:tc>
          <w:tcPr>
            <w:tcW w:w="1240" w:type="dxa"/>
            <w:vAlign w:val="bottom"/>
            <w:gridSpan w:val="2"/>
            <w:shd w:val="clear" w:color="auto" w:fill="CFF0FC"/>
          </w:tcPr>
          <w:p>
            <w:pPr>
              <w:jc w:val="right"/>
              <w:ind w:right="8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400" w:type="dxa"/>
            <w:vAlign w:val="bottom"/>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192,029</w:t>
            </w:r>
          </w:p>
        </w:tc>
        <w:tc>
          <w:tcPr>
            <w:tcW w:w="360" w:type="dxa"/>
            <w:vAlign w:val="bottom"/>
            <w:gridSpan w:val="2"/>
            <w:shd w:val="clear" w:color="auto" w:fill="CFF0FC"/>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(165,263)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26,768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for cash (net of issuance cost of $1,105)</w:t>
            </w: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1,663,554</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28,590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28,591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5,303</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5,303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equity plan awards</w:t>
            </w: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23,090</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(41,843)</w:t>
            </w:r>
          </w:p>
        </w:tc>
        <w:tc>
          <w:tcPr>
            <w:tcW w:w="1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(41,843)</w:t>
            </w:r>
          </w:p>
        </w:tc>
        <w:tc>
          <w:tcPr>
            <w:tcW w:w="0" w:type="dxa"/>
            <w:vAlign w:val="bottom"/>
          </w:tcPr>
          <w:p>
            <w:pPr>
              <w:spacing w:after="0"/>
              <w:rPr>
                <w:sz w:val="1"/>
                <w:szCs w:val="1"/>
                <w:color w:val="auto"/>
              </w:rPr>
            </w:pPr>
          </w:p>
        </w:tc>
      </w:tr>
      <w:tr>
        <w:trPr>
          <w:trHeight w:val="142"/>
        </w:trPr>
        <w:tc>
          <w:tcPr>
            <w:tcW w:w="404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 December 31, 2024</w:t>
            </w:r>
          </w:p>
        </w:tc>
        <w:tc>
          <w:tcPr>
            <w:tcW w:w="12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3,382,432</w:t>
            </w:r>
          </w:p>
        </w:tc>
        <w:tc>
          <w:tcPr>
            <w:tcW w:w="260" w:type="dxa"/>
            <w:vAlign w:val="bottom"/>
            <w:tcBorders>
              <w:top w:val="single" w:sz="8" w:color="CFF0FC"/>
              <w:bottom w:val="single" w:sz="8" w:color="CFF0FC"/>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8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w:t>
            </w:r>
          </w:p>
        </w:tc>
        <w:tc>
          <w:tcPr>
            <w:tcW w:w="22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226,229</w:t>
            </w:r>
          </w:p>
        </w:tc>
        <w:tc>
          <w:tcPr>
            <w:tcW w:w="240" w:type="dxa"/>
            <w:vAlign w:val="bottom"/>
            <w:tcBorders>
              <w:top w:val="single" w:sz="8" w:color="CFF0FC"/>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(207,106)</w:t>
            </w:r>
          </w:p>
        </w:tc>
        <w:tc>
          <w:tcPr>
            <w:tcW w:w="24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19,126</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Issuance of common stock for cash (net of issuance cost of $535)</w:t>
            </w:r>
          </w:p>
        </w:tc>
        <w:tc>
          <w:tcPr>
            <w:tcW w:w="12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1,204,774</w:t>
            </w: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6,045</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320" w:type="dxa"/>
            <w:vAlign w:val="bottom"/>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1"/>
                <w:szCs w:val="11"/>
                <w:color w:val="auto"/>
              </w:rPr>
            </w:pPr>
          </w:p>
        </w:tc>
        <w:tc>
          <w:tcPr>
            <w:tcW w:w="11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6,047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pre-funded warrants (net of issuance cost of $416)</w:t>
            </w:r>
          </w:p>
        </w:tc>
        <w:tc>
          <w:tcPr>
            <w:tcW w:w="1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334,000</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3,309</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3,309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warrants (net of issuance cost of $165)</w:t>
            </w: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equity plan awards</w:t>
            </w:r>
          </w:p>
        </w:tc>
        <w:tc>
          <w:tcPr>
            <w:tcW w:w="1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5,955</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(26,262)</w:t>
            </w:r>
          </w:p>
        </w:tc>
        <w:tc>
          <w:tcPr>
            <w:tcW w:w="100" w:type="dxa"/>
            <w:vAlign w:val="bottom"/>
          </w:tcPr>
          <w:p>
            <w:pPr>
              <w:spacing w:after="0"/>
              <w:rPr>
                <w:sz w:val="12"/>
                <w:szCs w:val="12"/>
                <w:color w:val="auto"/>
              </w:rPr>
            </w:pPr>
          </w:p>
        </w:tc>
        <w:tc>
          <w:tcPr>
            <w:tcW w:w="12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(26,262)</w:t>
            </w:r>
          </w:p>
        </w:tc>
        <w:tc>
          <w:tcPr>
            <w:tcW w:w="0" w:type="dxa"/>
            <w:vAlign w:val="bottom"/>
          </w:tcPr>
          <w:p>
            <w:pPr>
              <w:spacing w:after="0"/>
              <w:rPr>
                <w:sz w:val="1"/>
                <w:szCs w:val="1"/>
                <w:color w:val="auto"/>
              </w:rPr>
            </w:pPr>
          </w:p>
        </w:tc>
      </w:tr>
      <w:tr>
        <w:trPr>
          <w:trHeight w:val="182"/>
        </w:trPr>
        <w:tc>
          <w:tcPr>
            <w:tcW w:w="40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 December 31, 2025</w:t>
            </w:r>
          </w:p>
        </w:tc>
        <w:tc>
          <w:tcPr>
            <w:tcW w:w="12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4,927,161</w:t>
            </w:r>
          </w:p>
        </w:tc>
        <w:tc>
          <w:tcPr>
            <w:tcW w:w="26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top w:val="single" w:sz="8" w:color="auto"/>
              <w:bottom w:val="single" w:sz="8" w:color="auto"/>
            </w:tcBorders>
            <w:shd w:val="clear" w:color="auto" w:fill="CFF0FC"/>
          </w:tcPr>
          <w:p>
            <w:pPr>
              <w:jc w:val="right"/>
              <w:ind w:right="8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240,031</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(233,368)</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6,668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-1405255</wp:posOffset>
            </wp:positionV>
            <wp:extent cx="17487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4879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-822325</wp:posOffset>
            </wp:positionV>
            <wp:extent cx="768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-822325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-822325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-822325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-24765</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-7620</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right="940" w:firstLine="8"/>
        <w:spacing w:after="0" w:line="260" w:lineRule="auto"/>
        <w:tabs>
          <w:tab w:leader="none" w:pos="2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including shares of common stock, have been adjusted to reflect the one-for-thirteen stock split effected in April 2025. See Note 1, Organization and Description of the Business, for details.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4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4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2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(26,262)</w:t>
            </w:r>
          </w:p>
        </w:tc>
        <w:tc>
          <w:tcPr>
            <w:tcW w:w="116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(41,843)</w:t>
            </w:r>
          </w:p>
        </w:tc>
      </w:tr>
      <w:tr>
        <w:trPr>
          <w:trHeight w:val="216"/>
        </w:trPr>
        <w:tc>
          <w:tcPr>
            <w:tcW w:w="20" w:type="dxa"/>
            <w:vAlign w:val="bottom"/>
          </w:tcPr>
          <w:p>
            <w:pPr>
              <w:spacing w:after="0"/>
              <w:rPr>
                <w:sz w:val="18"/>
                <w:szCs w:val="18"/>
                <w:color w:val="auto"/>
              </w:rPr>
            </w:pPr>
          </w:p>
        </w:tc>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expense</w:t>
            </w: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lease expense</w:t>
            </w: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Noncash interest and other expense, net</w:t>
            </w:r>
          </w:p>
        </w:tc>
        <w:tc>
          <w:tcPr>
            <w:tcW w:w="10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20" w:type="dxa"/>
            <w:vAlign w:val="bottom"/>
          </w:tcPr>
          <w:p>
            <w:pPr>
              <w:spacing w:after="0"/>
              <w:rPr>
                <w:sz w:val="18"/>
                <w:szCs w:val="18"/>
                <w:color w:val="auto"/>
              </w:rPr>
            </w:pPr>
          </w:p>
        </w:tc>
        <w:tc>
          <w:tcPr>
            <w:tcW w:w="6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(1,412)</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(3,404)</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payable</w:t>
            </w: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20" w:type="dxa"/>
            <w:vAlign w:val="bottom"/>
          </w:tcPr>
          <w:p>
            <w:pPr>
              <w:spacing w:after="0"/>
              <w:rPr>
                <w:sz w:val="18"/>
                <w:szCs w:val="18"/>
                <w:color w:val="auto"/>
              </w:rPr>
            </w:pPr>
          </w:p>
        </w:tc>
        <w:tc>
          <w:tcPr>
            <w:tcW w:w="6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(870)</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(1,101)</w:t>
            </w:r>
          </w:p>
        </w:tc>
      </w:tr>
      <w:tr>
        <w:trPr>
          <w:trHeight w:val="20"/>
        </w:trPr>
        <w:tc>
          <w:tcPr>
            <w:tcW w:w="20" w:type="dxa"/>
            <w:vAlign w:val="bottom"/>
          </w:tcPr>
          <w:p>
            <w:pPr>
              <w:spacing w:after="0" w:line="20" w:lineRule="exact"/>
              <w:rPr>
                <w:sz w:val="1"/>
                <w:szCs w:val="1"/>
                <w:color w:val="auto"/>
              </w:rPr>
            </w:pPr>
          </w:p>
        </w:tc>
        <w:tc>
          <w:tcPr>
            <w:tcW w:w="65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(26,820)</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(33,027)</w:t>
            </w:r>
          </w:p>
        </w:tc>
      </w:tr>
      <w:tr>
        <w:trPr>
          <w:trHeight w:val="209"/>
        </w:trPr>
        <w:tc>
          <w:tcPr>
            <w:tcW w:w="20" w:type="dxa"/>
            <w:vAlign w:val="bottom"/>
          </w:tcPr>
          <w:p>
            <w:pPr>
              <w:spacing w:after="0"/>
              <w:rPr>
                <w:sz w:val="18"/>
                <w:szCs w:val="18"/>
                <w:color w:val="auto"/>
              </w:rPr>
            </w:pPr>
          </w:p>
        </w:tc>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4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(435)</w:t>
            </w: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0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(435)</w:t>
            </w:r>
          </w:p>
        </w:tc>
      </w:tr>
      <w:tr>
        <w:trPr>
          <w:trHeight w:val="209"/>
        </w:trPr>
        <w:tc>
          <w:tcPr>
            <w:tcW w:w="20" w:type="dxa"/>
            <w:vAlign w:val="bottom"/>
          </w:tcPr>
          <w:p>
            <w:pPr>
              <w:spacing w:after="0"/>
              <w:rPr>
                <w:sz w:val="18"/>
                <w:szCs w:val="18"/>
                <w:color w:val="auto"/>
              </w:rPr>
            </w:pPr>
          </w:p>
        </w:tc>
        <w:tc>
          <w:tcPr>
            <w:tcW w:w="6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40" w:type="dxa"/>
            <w:vAlign w:val="bottom"/>
            <w:tcBorders>
              <w:top w:val="single" w:sz="8" w:color="CFF0F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the issuance of common stock, net of issuance costs</w:t>
            </w:r>
          </w:p>
        </w:tc>
        <w:tc>
          <w:tcPr>
            <w:tcW w:w="10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28,591</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of pre-funded warrants, net of issuance costs</w:t>
            </w: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the issuance of common stock warrants, net of issuance costs</w:t>
            </w:r>
          </w:p>
        </w:tc>
        <w:tc>
          <w:tcPr>
            <w:tcW w:w="10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loan</w:t>
            </w: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(6,426)</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(4,398)</w:t>
            </w:r>
          </w:p>
        </w:tc>
      </w:tr>
      <w:tr>
        <w:trPr>
          <w:trHeight w:val="216"/>
        </w:trPr>
        <w:tc>
          <w:tcPr>
            <w:tcW w:w="20" w:type="dxa"/>
            <w:vAlign w:val="bottom"/>
          </w:tcPr>
          <w:p>
            <w:pPr>
              <w:spacing w:after="0"/>
              <w:rPr>
                <w:sz w:val="18"/>
                <w:szCs w:val="18"/>
                <w:color w:val="auto"/>
              </w:rPr>
            </w:pPr>
          </w:p>
        </w:tc>
        <w:tc>
          <w:tcPr>
            <w:tcW w:w="6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the issuance of common stock under equity plan awards</w:t>
            </w:r>
          </w:p>
        </w:tc>
        <w:tc>
          <w:tcPr>
            <w:tcW w:w="10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0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24,500</w:t>
            </w: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040" w:type="dxa"/>
            <w:vAlign w:val="bottom"/>
            <w:shd w:val="clear" w:color="auto" w:fill="CFF0FC"/>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(22,561)</w:t>
            </w:r>
          </w:p>
        </w:tc>
        <w:tc>
          <w:tcPr>
            <w:tcW w:w="100" w:type="dxa"/>
            <w:vAlign w:val="bottom"/>
            <w:shd w:val="clear" w:color="auto" w:fill="CCEEFF"/>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39,673</w:t>
            </w:r>
          </w:p>
        </w:tc>
        <w:tc>
          <w:tcPr>
            <w:tcW w:w="12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30,711</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65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4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paid for interest</w:t>
            </w:r>
          </w:p>
        </w:tc>
        <w:tc>
          <w:tcPr>
            <w:tcW w:w="202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20" w:type="dxa"/>
            <w:vAlign w:val="bottom"/>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Cash paid for business taxes</w:t>
            </w:r>
          </w:p>
        </w:tc>
        <w:tc>
          <w:tcPr>
            <w:tcW w:w="2020" w:type="dxa"/>
            <w:vAlign w:val="bottom"/>
            <w:gridSpan w:val="2"/>
          </w:tcPr>
          <w:p>
            <w:pPr>
              <w:jc w:val="right"/>
              <w:ind w:right="8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7"/>
                <w:szCs w:val="17"/>
                <w:color w:val="auto"/>
              </w:rPr>
            </w:pPr>
          </w:p>
        </w:tc>
        <w:tc>
          <w:tcPr>
            <w:tcW w:w="1160" w:type="dxa"/>
            <w:vAlign w:val="bottom"/>
            <w:gridSpan w:val="2"/>
          </w:tcPr>
          <w:p>
            <w:pPr>
              <w:jc w:val="right"/>
              <w:ind w:right="9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5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Non-cash investing activities: </w:t>
            </w:r>
            <w:r>
              <w:rPr>
                <w:rFonts w:ascii="Times New Roman" w:cs="Times New Roman" w:eastAsia="Times New Roman" w:hAnsi="Times New Roman"/>
                <w:sz w:val="18"/>
                <w:szCs w:val="18"/>
                <w:color w:val="auto"/>
              </w:rPr>
              <w:t>Property and equipment in accounts payable</w:t>
            </w:r>
          </w:p>
        </w:tc>
        <w:tc>
          <w:tcPr>
            <w:tcW w:w="2020" w:type="dxa"/>
            <w:vAlign w:val="bottom"/>
            <w:gridSpan w:val="2"/>
            <w:shd w:val="clear" w:color="auto" w:fill="CFF0FC"/>
          </w:tcPr>
          <w:p>
            <w:pPr>
              <w:jc w:val="right"/>
              <w:ind w:right="8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9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5804535</wp:posOffset>
            </wp:positionH>
            <wp:positionV relativeFrom="paragraph">
              <wp:posOffset>-2639695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6987540</wp:posOffset>
            </wp:positionH>
            <wp:positionV relativeFrom="paragraph">
              <wp:posOffset>-2639695</wp:posOffset>
            </wp:positionV>
            <wp:extent cx="774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5804535</wp:posOffset>
            </wp:positionH>
            <wp:positionV relativeFrom="paragraph">
              <wp:posOffset>-2065020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6987540</wp:posOffset>
            </wp:positionH>
            <wp:positionV relativeFrom="paragraph">
              <wp:posOffset>-2065020</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5804535</wp:posOffset>
            </wp:positionH>
            <wp:positionV relativeFrom="paragraph">
              <wp:posOffset>-1233805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6987540</wp:posOffset>
            </wp:positionH>
            <wp:positionV relativeFrom="paragraph">
              <wp:posOffset>-1233805</wp:posOffset>
            </wp:positionV>
            <wp:extent cx="77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5804535</wp:posOffset>
            </wp:positionH>
            <wp:positionV relativeFrom="paragraph">
              <wp:posOffset>-659130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5804535</wp:posOffset>
            </wp:positionH>
            <wp:positionV relativeFrom="paragraph">
              <wp:posOffset>-642620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6987540</wp:posOffset>
            </wp:positionH>
            <wp:positionV relativeFrom="paragraph">
              <wp:posOffset>-659130</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6987540</wp:posOffset>
            </wp:positionH>
            <wp:positionV relativeFrom="paragraph">
              <wp:posOffset>-642620</wp:posOffset>
            </wp:positionV>
            <wp:extent cx="7747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5804535</wp:posOffset>
            </wp:positionH>
            <wp:positionV relativeFrom="paragraph">
              <wp:posOffset>-350520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5804535</wp:posOffset>
            </wp:positionH>
            <wp:positionV relativeFrom="paragraph">
              <wp:posOffset>-333375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6987540</wp:posOffset>
            </wp:positionH>
            <wp:positionV relativeFrom="paragraph">
              <wp:posOffset>-350520</wp:posOffset>
            </wp:positionV>
            <wp:extent cx="774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6987540</wp:posOffset>
            </wp:positionH>
            <wp:positionV relativeFrom="paragraph">
              <wp:posOffset>-333375</wp:posOffset>
            </wp:positionV>
            <wp:extent cx="774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5804535</wp:posOffset>
            </wp:positionH>
            <wp:positionV relativeFrom="paragraph">
              <wp:posOffset>-24765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5804535</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6987540</wp:posOffset>
            </wp:positionH>
            <wp:positionV relativeFrom="paragraph">
              <wp:posOffset>-24765</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6987540</wp:posOffset>
            </wp:positionH>
            <wp:positionV relativeFrom="paragraph">
              <wp:posOffset>-7620</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1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981" w:right="39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2025 and 2024</w:t>
      </w:r>
    </w:p>
    <w:p>
      <w:pPr>
        <w:spacing w:after="0" w:line="22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Tempest Therapeutics, Inc. (“Tempest” or the “Company”) is a clinical-stage biotechnology company advancing a diverse portfolio of targeted and immune-mediated product candidates with the potential to be first-in-class to treat a wide range of cancers. Tempest’s portfolio includes both cell therapy and small molecule product candidates spanning discovery through late-stage development. The Company is headquartered in Brisbane, California.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3, 2024, the Company’s stockholders approved a proposal to effect an amendment to the Company’s Restated Certificate of Incorporation to implement a reverse stock split. On April 4, 2025, the Company filed a certificate of amendment to the Company’s Restated Certificate of Incorporation with the Secretary of State of the State of Delaware to effect the one-for-thirteen (1:13) reverse stock split of its outstanding common stock (the "Reverse Stock Split").</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8, 2025, the Company effected the Reverse Stock Split. Pursuant to their terms, a proportionate adjustment was made to the per share exercise price and number of shares issuable under all of the Company’s outstanding options and warrants, and the number of shares authorized for issuance pursuant to the Company’s equity incentive plans have been reduced proportionately. The Reverse Stock Split did not reduce the number of authorized shares of common stock and did not alter the par value.</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fractional shares were issued as a result of the Reverse Stock Split. Stockholders of record who would have otherwise been entitled to receive a fractional share received a cash payment in lieu thereof. The Reverse Stock Split affected all stockholders proportionately and did not affect any stockholder’s percentage ownership of the Company’s common stock (except to the extent that the Reverse Stock Split resulted in any stockholder owning only a fractional share).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incurred operating losses since inception. As of December 31, 2025, the Company had $7.7 million of cash and cash equivalents. While the Company implemented cost reductions in 2025, the Company has finite cash resources available to fund its operations. In April 2025, the Company announced plans to explore a full range of strategic alternatives to advance its promising clinical stage programs and maximize stockholder value. The Company retained MTS Health Partners, L.P., an internationally recognized financial advisor with substantial experience in the biotechnology industry, to support it with the strategic evaluation process. As part of the cost reductions, the Company reduced its workforce by 21 of 26 full-time employees, which became effective April 30, 2025. Further, in support of such efforts, on June 5, 2025, each of Stephen Brady, the Company’s Chief Executive Officer and President, Samuel Whiting, the Company’s Executive Vice President and Chief Medical Officer, and Nicholas Maestas, the Company’s Chief Financial Officer and Head of Corporate Strategy, transitioned to consulting arrangements with the Company, pursuant to which they continued to serve the Company in their respective executive roles. The Company incurred $3.2 million of one-time cash severance payments, benefits and other related costs (excluding non-cash charges associated with stock-based compensation), with the majority of such costs incurred in the second quarter of 2025.</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3, 2026, the Company closed the Asset Acquisition (as defined below). See Note 13, Subsequent Events. Pursuant to the Asset Purchase Agreement (as defined below), Factor (as defined below) has made the Funding Commitment (as defined below) to provide the Company with financial support for at least 18 months following the closing of the Asset Acquisition, up to a maximum amount of $20.0 million that is inclusive of any amounts raised and received by the Company after the date of the Asset Purchase Agreement, on the terms and subject to the conditions and other provisions of a funding commitment letter contemplated by and entered into concurrently with the Asset Purchase Agreement. However, there is significant uncertainty as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5" w:name="page116"/>
    <w:bookmarkEnd w:id="115"/>
    <w:p>
      <w:pPr>
        <w:jc w:val="both"/>
        <w:spacing w:after="0" w:line="266" w:lineRule="auto"/>
        <w:rPr>
          <w:sz w:val="20"/>
          <w:szCs w:val="20"/>
          <w:color w:val="auto"/>
        </w:rPr>
      </w:pPr>
      <w:r>
        <w:rPr>
          <w:rFonts w:ascii="Times New Roman" w:cs="Times New Roman" w:eastAsia="Times New Roman" w:hAnsi="Times New Roman"/>
          <w:sz w:val="18"/>
          <w:szCs w:val="18"/>
          <w:color w:val="auto"/>
        </w:rPr>
        <w:t>to whether we will be able to satisfy the terms and conditions and other provisions set forth in the funding commitment letter, and, if we are unable to do so, we may be limited in the amount of funding that we are able to access under the Funding Commitment or we may not be able to access any funds under the Funding Commitment. The timing of any additional funding from Factor is uncertain.</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expects that its existing cash and cash equivalents will fund the Company’s projected operating expense requirements through less than 12 months from the date our consolidated financial statements were available to be issued. Accordingly, there is substantial doubt about the Company’s ability to continue to operate as a going concern for a period of 12 months from the date of issuance of these consolidated financial statements. The accompanying financial statements were prepared on a going concern basis, which contemplates the realization of assets and the satisfaction of liabilities in the normal course of business. These financial statements do not include any separate adjustments relating to the recovery of recorded assets or the classification of liabilities; however, such adjustments may be necessary in the future when the Company is unable to continue as a going concern.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July 23, 2021, the Company entered into a sales agreement with Jefferies LLC (“Jefferies”), pursuant to which the Company may sell, from time to time at its sole discretion through Jefferies, as its sales agent, shares of its common stock having, up to an aggregate sales price of $100.0 million of its common stock through Jefferies (the “Prior ATM Program”). As of June 20, 2024, the Company had sold an aggregate 9,017,110 shares of its common stock for gross proceeds of $42.7 million ($41.5 million net of commissions and estimated expenses) under the Prior ATM Program. On June 20, 2024, the Company and Jefferies terminated the Prior ATM Program and entered a new Open Market Sale Agreement (the “Sales Agreement”) to sell shares of common stock from time to time through Jefferies acting as sales agent (the “ATM Program”). The Company will pay Jefferies a commission up to 3.0% of the gross sales proceeds of any shares of its common stock sold through Jefferies under the ATM Program and also has provided Jefferies with indemnification and contribution rights. Pursuant to the prospectus supplement dated June 20, 2024 filed by the Company with the U.S. Securities and Exchange Commission (“SEC”), the Company was able to offer and sell up to $205.0 million of its shares of common stock pursuant to the Sales Agreement. On February 6, 2025, the Company filed a prospectus supplement with the SEC limiting the availability under the ATM Program to $14.5 million. On June 11, 2025, in connection with the RDO (as defined below), the Company delivered written notice to Jefferies that it was suspending and terminating the prospectus supplement, dated February 6, 2025, related to the ATM Program (the “ATM Prospectus”). The Company will not make any sales of its securities pursuant to the Sales Agreement, unless and until a new prospectus, prospectus supplement or a new registration statement is filed. Other than the termination of the ATM Prospectus, the Sales Agreement remains in full force and effect.</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current SEC regulations, if at any time the Company's public float is less than $75.0 million, and for so long as the Company’s public float remains less than $75.0 million, the amount the Company can raise through primary public offerings of securities in any 12-month period using shelf registration statements is limited to an aggregate of one-third of the Company's public float, which is referred to as the baby shelf rules. As of the year ended December 31, 2025, the Company has sold an aggregate of 312,830 shares of its common stock for proceeds of $2.8 million, pursuant to the ATM Program.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11, 2025, the Company sold an aggregate of 405,000 shares of the Company’s common stock and pre-funded warrants to purchase 334,000 shares of its common stock (the “June 2025 Pre-Funded Warrants”) in a registered direct offering (“June RDO”). The offering price was $6.25 per share of common stock and $6.249 per June 2025 Pre-Funded Warrant, which is the price of each share of common stock sold in the RDO, minus the $0.001 exercise price per June 2025 Pre-Funded Warrant. The net proceeds from the RDO were approximately $4.1 million, after deducting placement agent fees and offering expenses payable by the Company. As of December 31, 2025, all June 2025 Pre-Funded Warrants had been exercised.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24, 2025, the Company sold an aggregate of 487,000 shares of the Company's common stock, pre-funded warrants to purchase 685,414 shares of its common stock (the “November 2025 Pre-Funded Warrants”) and warrants to purchase an aggregate of 1,172,414 shares of common stock (the “Common Warrants”) in a registered direct offering (the “November RDO”).</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16" w:name="page117"/>
    <w:bookmarkEnd w:id="116"/>
    <w:p>
      <w:pPr>
        <w:jc w:val="both"/>
        <w:spacing w:after="0" w:line="256" w:lineRule="auto"/>
        <w:rPr>
          <w:sz w:val="20"/>
          <w:szCs w:val="20"/>
          <w:color w:val="auto"/>
        </w:rPr>
      </w:pPr>
      <w:r>
        <w:rPr>
          <w:rFonts w:ascii="Times New Roman" w:cs="Times New Roman" w:eastAsia="Times New Roman" w:hAnsi="Times New Roman"/>
          <w:sz w:val="18"/>
          <w:szCs w:val="18"/>
          <w:color w:val="auto"/>
        </w:rPr>
        <w:t>The combined purchase price of each share of common stock and accompanying Common Warrant was $3.625. The combined purchase price of each November 2025 Pre-Funded Warrants and accompanying Common Warrant was $3.624 (equal to the combined purchase price per share of common stock and accompanying Common Warrant, minus $0.001) The exercise price of the Common Warrants is $3.50 per share. The net proceeds from the RDO were approximately $3.8 million, after deducting placement agent fees and estimated offering expenses payable by the Company. As of December 31, 2025, all November 2025 Pre-Funded Warrants and Common Warrants remained outstanding. All November 2025 Pre-Funded Warrants were subsequently exercised in January and February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Basis of Presentation</w:t>
      </w:r>
      <w:r>
        <w:rPr>
          <w:rFonts w:ascii="Times New Roman" w:cs="Times New Roman" w:eastAsia="Times New Roman" w:hAnsi="Times New Roman"/>
          <w:sz w:val="18"/>
          <w:szCs w:val="18"/>
          <w:color w:val="auto"/>
        </w:rPr>
        <w:t>—The accompanying Consolidated Financial Statements have been prepared in accordance with US generally accepted accounting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principles ("GAAP") and necessarily include amounts based on estimates and assumptions by management.</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Use of Estimates</w:t>
      </w: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reported amounts of assets, liabilities, and the disclosure of contingent assets and liabilities at the date of the financial statements and the reported amounts of expenses during the reporting period. On an ongoing basis, the Company evaluates its estimates and assumptions, including those related to research and development accruals, recoverability of long-lived assets, right-of-use assets, lease obligations, stock-based compensation and income taxes uncertainties and valuation allowances.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those estimates.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Segment Information</w:t>
      </w:r>
      <w:r>
        <w:rPr>
          <w:rFonts w:ascii="Times New Roman" w:cs="Times New Roman" w:eastAsia="Times New Roman" w:hAnsi="Times New Roman"/>
          <w:sz w:val="18"/>
          <w:szCs w:val="18"/>
          <w:color w:val="auto"/>
        </w:rPr>
        <w:t>—The Company operates and manages its business as one reportable and operating segment, which is the business of discovery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of small molecule drugs to treat cancers. All assets and operations are in the U.S. The Company’s Chief Executive Officer, who is the chief operating decision maker (“CODM”), reviews financial information on an aggregate basis for purposes of allocating resources and evaluating financial performance. For additional segment information, see Note 12, Segment Reporting.</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Risks and Uncertainties</w:t>
      </w:r>
      <w:r>
        <w:rPr>
          <w:rFonts w:ascii="Times New Roman" w:cs="Times New Roman" w:eastAsia="Times New Roman" w:hAnsi="Times New Roman"/>
          <w:sz w:val="18"/>
          <w:szCs w:val="18"/>
          <w:color w:val="auto"/>
        </w:rPr>
        <w:t>—The Company is subject to risks and uncertainties common to early-stage companies in the biotechnology industry,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but not limited to, development by competitors of new technological innovations, protection of proprietary technology, dependence on key personnel, reliance on single-source vendors, availability of raw materials, patentability of the Company’s products and processes and clinical efficacy and safety of the Company’s products under development, compliance with government regulations and the need to obtain additional financing to fund operations. Product candidates currently under development will require significant additional research and development efforts, including extensive preclinical studies, clinical trials and regulatory approval, prior to commercialization. These efforts will require significant amounts of additional capital, adequate personnel infrastructure and extensive compliance and reporting. The Company’s product candidates are still in development and, to date, none of the Company’s product candidates have been approved for sale and, therefore, the Company has not generated any revenue from product sales.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revenue from product sales. The Company operates in an environment of rapid technological change and substantial competition from other pharmaceutical and biotechnology companies. In addition, the Company is dependent upon the services of its employees, consultants and other third parties.</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r>
        <w:rPr>
          <w:rFonts w:ascii="Times New Roman" w:cs="Times New Roman" w:eastAsia="Times New Roman" w:hAnsi="Times New Roman"/>
          <w:sz w:val="18"/>
          <w:szCs w:val="18"/>
          <w:color w:val="auto"/>
        </w:rPr>
        <w:t>—Financial instruments, which potentially subject the Company to concentration of risk, consist principally of cash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money market fund. All of the Company’s cash and money market fund are deposited in accounts with a major financial institution in excess of federally insured limits. The Company is exposed to credit risk in the event of default by the financial institutions holding its cash and cash equivalents to the extent recorded in the balance sheets. The Company has no</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auto"/>
        </w:rPr>
        <w:t>off-balance sheet concentrations of credit risk, such as foreign currency exchange contracts, option contracts or other hedging arrangements.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Cash and Cash Equivalents</w:t>
      </w:r>
      <w:r>
        <w:rPr>
          <w:rFonts w:ascii="Times New Roman" w:cs="Times New Roman" w:eastAsia="Times New Roman" w:hAnsi="Times New Roman"/>
          <w:sz w:val="18"/>
          <w:szCs w:val="18"/>
          <w:color w:val="auto"/>
        </w:rPr>
        <w:t>—The Company considers all highly liquid investments purchased with original maturities of 90 days or less at acquisitions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cash equivalents. As of December 31, 2025 and 2024, the Company’s cash and cash equivalents consisted of bank deposits and money market funds.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Leases</w:t>
      </w:r>
      <w:r>
        <w:rPr>
          <w:rFonts w:ascii="Times New Roman" w:cs="Times New Roman" w:eastAsia="Times New Roman" w:hAnsi="Times New Roman"/>
          <w:sz w:val="18"/>
          <w:szCs w:val="18"/>
          <w:color w:val="auto"/>
        </w:rPr>
        <w:t>—The Company determines if an arrangement is a lease at contract inception. A lease exists when a contract conveys to the customer the right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lease liabilities are initially and subsequently measured at the present value of the unpaid lease payments at the lease commencement date. When readily determinable, the Company uses the implicit rate in determining the present value of lease payments. When leases do not provide an implicit rate, the Company uses its incremental borrowing rate based on the information available at the lease commencement date, including the lease term.</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right-of-use (“ROU”) asset is initially measured at cost, which comprises the initial amount of the lease liability adjusted for lease payments made at or before the lease commencement date, plus any initial direct costs incurred less any lease incentives received. For operating leases, the ROU asset is subsequently measured throughout the lease term at the carrying amount of the lease liability, plus initial direct costs, plus (minus) any prepaid (accrued) lease payments, less the unamortized balance of lease incentives received. Lease expense for lease payments is recognized on a straight-line basis over the lease term.</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Property and Equipment</w:t>
      </w:r>
      <w:r>
        <w:rPr>
          <w:rFonts w:ascii="Times New Roman" w:cs="Times New Roman" w:eastAsia="Times New Roman" w:hAnsi="Times New Roman"/>
          <w:sz w:val="18"/>
          <w:szCs w:val="18"/>
          <w:color w:val="auto"/>
        </w:rPr>
        <w:t>—Property and equipment is recorded at cost and depreciated over the estimated useful lives of the related assets using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straight-line method. Upon disposal of an asset, the related cost and accumulated depreciation are removed from the asset accounts and any resulting gain or loss is included in the consolidated statements of operations. Repair and maintenance costs are expensed as incurred, whereas major improvements are capitalized as additions to property and equipment. The estimated useful lives of the Company’s respective assets are as follows:</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584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rPr>
              <w:t>3 years</w:t>
            </w:r>
          </w:p>
        </w:tc>
      </w:tr>
      <w:tr>
        <w:trPr>
          <w:trHeight w:val="31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84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rPr>
              <w:t>7 years</w:t>
            </w:r>
          </w:p>
        </w:tc>
      </w:tr>
      <w:tr>
        <w:trPr>
          <w:trHeight w:val="31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584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rPr>
              <w:t>5 years</w:t>
            </w:r>
          </w:p>
        </w:tc>
      </w:tr>
      <w:tr>
        <w:trPr>
          <w:trHeight w:val="31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84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Shorter of the useful life of the asset or the life of the lease</w:t>
            </w:r>
          </w:p>
        </w:tc>
      </w:tr>
    </w:tbl>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r>
        <w:rPr>
          <w:rFonts w:ascii="Times New Roman" w:cs="Times New Roman" w:eastAsia="Times New Roman" w:hAnsi="Times New Roman"/>
          <w:sz w:val="18"/>
          <w:szCs w:val="18"/>
          <w:color w:val="auto"/>
        </w:rPr>
        <w:t>—Long-lived assets are reviewed for impairment if events or circumstances indicate the carrying amount of these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not be recoverable. If this review indicates that these assets will not be recoverable, based on the forecasted undiscounted future operating cash flows expected to result from the use of long-lived assets and their eventual disposition, the Company’s carrying value of the long-lived assets is reduced to fair value based on a discounted future cash flow approach or quoted market values.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and Accrued Research and Development</w:t>
      </w:r>
      <w:r>
        <w:rPr>
          <w:rFonts w:ascii="Times New Roman" w:cs="Times New Roman" w:eastAsia="Times New Roman" w:hAnsi="Times New Roman"/>
          <w:sz w:val="18"/>
          <w:szCs w:val="18"/>
          <w:color w:val="auto"/>
        </w:rPr>
        <w:t>—Research and development expenses are charged to expense as incurred.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Research and development expenses include certain payroll and personnel expenses including stock-based compensation, laboratory supplies, consulting costs, external contract research and development expenses and facility or lease expenses. In-licensing fees and other costs to acquire technologies that are utilized in research and development, and that are not expected to have alternative future use, are expensed when incurred. Advance payments for goods or services for future research and development activities are deferred and expensed as the goods are delivered or the related services are performed.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estimates preclinical studies and clinical trial expenses based on the services performed pursuant to contracts with research institutions and clinical research organizations that conduct and manage preclinical studies and clinical trials on the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8" w:name="page119"/>
    <w:bookmarkEnd w:id="118"/>
    <w:p>
      <w:pPr>
        <w:jc w:val="both"/>
        <w:spacing w:after="0" w:line="256" w:lineRule="auto"/>
        <w:rPr>
          <w:sz w:val="20"/>
          <w:szCs w:val="20"/>
          <w:color w:val="auto"/>
        </w:rPr>
      </w:pPr>
      <w:r>
        <w:rPr>
          <w:rFonts w:ascii="Times New Roman" w:cs="Times New Roman" w:eastAsia="Times New Roman" w:hAnsi="Times New Roman"/>
          <w:sz w:val="18"/>
          <w:szCs w:val="18"/>
          <w:color w:val="auto"/>
        </w:rPr>
        <w:t>Company’s behalf. In accruing service fees, the Company estimates the time period over which services will be performed and the level of effort to be expended in each period. These estimates are based on communications with the third-party service providers, the Company’s estimates of accrued expenses and on information available at each balance sheet date. If the actual timing of the performance of services or the level of effort varies from the estimate, the Company will adjust the accrual accordingly. The estimates are trued up to reflect the best information available at the time of the financial statement issuance. Although the Company does not expect its estimates to be materially different from amounts actually incurred, the Company’s estimate of the status and timing of services performed relative to the actual status and timing of services performed may vary.</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Costs</w:t>
      </w:r>
      <w:r>
        <w:rPr>
          <w:rFonts w:ascii="Times New Roman" w:cs="Times New Roman" w:eastAsia="Times New Roman" w:hAnsi="Times New Roman"/>
          <w:sz w:val="18"/>
          <w:szCs w:val="18"/>
          <w:color w:val="auto"/>
        </w:rPr>
        <w:t>—Costs related to filing and pursuing patent applications are expensed as incurred, as recoverability of such expenditures is uncertain.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patent-related legal costs are reported as a component of general and administrative expenses.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r>
        <w:rPr>
          <w:rFonts w:ascii="Times New Roman" w:cs="Times New Roman" w:eastAsia="Times New Roman" w:hAnsi="Times New Roman"/>
          <w:sz w:val="18"/>
          <w:szCs w:val="18"/>
          <w:color w:val="auto"/>
        </w:rPr>
        <w:t>—General and administrative costs are expensed as incurred and include employee-related expenses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salaries, benefits, travel and stock-based compensation for the Company’s personnel in executive, finance and accounting, and other administrative functions, as well as fees paid for legal, accounting and tax services, consulting fees and facilities costs not otherwise included in research and development expenses. Legal costs include general corporate legal fees and patent costs.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Fair Value Measurements</w:t>
      </w: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between market participants at the measurement date. As such, fair value is a market-based measurement that should be determined based on assumptions that market participants would use in pricing an asset or liability. The carrying amounts of the Company’s financial instruments approximate fair value due to their short-term maturities.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r>
        <w:rPr>
          <w:rFonts w:ascii="Times New Roman" w:cs="Times New Roman" w:eastAsia="Times New Roman" w:hAnsi="Times New Roman"/>
          <w:sz w:val="18"/>
          <w:szCs w:val="18"/>
          <w:color w:val="auto"/>
        </w:rPr>
        <w:t>—The Company accounts for stock-based compensation by measuring and recognizing compensation expense for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share-based payments made to employees, directors and non-employees based on estimated grant-date fair values. The Company uses the straight-line method to allocate compensation cost to reporting periods over each optionee’s requisite service period, which is generally the vesting period.</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estimates the fair value of stock options to employees, directors and non-employees using the Black-Scholes option-valuation model. The Black-Scholes model requires the input of subjective assumptions, including expected volatility, expected dividend yield, expected term, risk-free rate of return, and the fair value of the underlying common stock on the date of grant. Due to the lack of company-specific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life science industry. The Company uses the simplified method to calculate the expected term for options granted to employees as it does not have sufficient historical exercise data to provide a reasonable basis upon which to estimate the expected term. The simplified method is based on the vesting period and the contractual term for each grant, or for each vesting 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 The risk-free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r>
        <w:rPr>
          <w:rFonts w:ascii="Times New Roman" w:cs="Times New Roman" w:eastAsia="Times New Roman" w:hAnsi="Times New Roman"/>
          <w:sz w:val="18"/>
          <w:szCs w:val="18"/>
          <w:color w:val="auto"/>
        </w:rPr>
        <w:t>—The Company follows the two-class method when computing net loss per share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9" w:name="page120"/>
    <w:bookmarkEnd w:id="119"/>
    <w:p>
      <w:pPr>
        <w:jc w:val="both"/>
        <w:spacing w:after="0" w:line="266"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Diluted net loss per share attributable to common stockholders is computed by dividing the diluted net loss attributable to common stockholders by the weighted average number of common shares outstanding for the period, including potential dilutive common shares. For purpose of this calculation, outstanding stock options, convertible preferred stock and warrants to purchase shares of convertible preferred stock are considered potential dilutive common shares.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color w:val="auto"/>
        </w:rPr>
        <w:t>—The Company accounts for income taxes using the asset and liability method. The Company recognizes deferred tax assets and liabilities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when such determination is made. As of December 31, 2025 and 2024, the Company has recorded a full valuation allowance on its deferred tax assets.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Tax benefits related to uncertain tax positions are recognized when it is more likely than not that a tax position will be sustained during an audit. Interest and penalties related to unrecognized tax benefits are included within the provision for income tax.</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r>
        <w:rPr>
          <w:rFonts w:ascii="Times New Roman" w:cs="Times New Roman" w:eastAsia="Times New Roman" w:hAnsi="Times New Roman"/>
          <w:sz w:val="18"/>
          <w:szCs w:val="18"/>
          <w:color w:val="auto"/>
        </w:rPr>
        <w:t>—In December 2023, the Financial Accounting Standards Board issued Accounting Standards Update (“ASU”)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2023-09, “Income Taxes (Topic 740): Improvements to Income Tax Disclosures,” which requires public entities to disclose specific tax rate reconciliation categories, as well as income taxes paid disaggregated by jurisdiction, amongst other disclosure enhancements. The ASU is effective for financial statements issued for annual periods beginning after December 15, 2024, with early adoption permitted. We adopted the ASU retrospectively for the period ending December 31, 2025, and it affects only our disclosures and does not impact our results of operations or financial condition.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fair value hierarchy for assets and liabilities measured at fair value on a recurring basis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7,707</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7,707</w:t>
            </w:r>
          </w:p>
        </w:tc>
        <w:tc>
          <w:tcPr>
            <w:tcW w:w="0" w:type="dxa"/>
            <w:vAlign w:val="bottom"/>
          </w:tcPr>
          <w:p>
            <w:pPr>
              <w:spacing w:after="0"/>
              <w:rPr>
                <w:sz w:val="1"/>
                <w:szCs w:val="1"/>
                <w:color w:val="auto"/>
              </w:rPr>
            </w:pPr>
          </w:p>
        </w:tc>
      </w:tr>
      <w:tr>
        <w:trPr>
          <w:trHeight w:val="20"/>
        </w:trPr>
        <w:tc>
          <w:tcPr>
            <w:tcW w:w="3700" w:type="dxa"/>
            <w:vAlign w:val="bottom"/>
            <w:shd w:val="clear" w:color="auto" w:fill="CFF0FC"/>
          </w:tcPr>
          <w:p>
            <w:pPr>
              <w:spacing w:after="0" w:line="20" w:lineRule="exact"/>
              <w:rPr>
                <w:sz w:val="1"/>
                <w:szCs w:val="1"/>
                <w:color w:val="auto"/>
              </w:rPr>
            </w:pPr>
          </w:p>
        </w:tc>
        <w:tc>
          <w:tcPr>
            <w:tcW w:w="2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7,707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7,707</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7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30,268</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30,268</w:t>
            </w:r>
          </w:p>
        </w:tc>
        <w:tc>
          <w:tcPr>
            <w:tcW w:w="0" w:type="dxa"/>
            <w:vAlign w:val="bottom"/>
          </w:tcPr>
          <w:p>
            <w:pPr>
              <w:spacing w:after="0"/>
              <w:rPr>
                <w:sz w:val="1"/>
                <w:szCs w:val="1"/>
                <w:color w:val="auto"/>
              </w:rPr>
            </w:pPr>
          </w:p>
        </w:tc>
      </w:tr>
      <w:tr>
        <w:trPr>
          <w:trHeight w:val="20"/>
        </w:trPr>
        <w:tc>
          <w:tcPr>
            <w:tcW w:w="3700" w:type="dxa"/>
            <w:vAlign w:val="bottom"/>
            <w:shd w:val="clear" w:color="auto" w:fill="CFF0FC"/>
          </w:tcPr>
          <w:p>
            <w:pPr>
              <w:spacing w:after="0" w:line="20" w:lineRule="exact"/>
              <w:rPr>
                <w:sz w:val="1"/>
                <w:szCs w:val="1"/>
                <w:color w:val="auto"/>
              </w:rPr>
            </w:pPr>
          </w:p>
        </w:tc>
        <w:tc>
          <w:tcPr>
            <w:tcW w:w="2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30,268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30,268</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70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7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-1731010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-1731010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-1731010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-1731010</wp:posOffset>
            </wp:positionV>
            <wp:extent cx="774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-1010920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-1010920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-1010920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-1010920</wp:posOffset>
            </wp:positionV>
            <wp:extent cx="774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38"/>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BALANCE SHEET ITEMS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 current asset consist of the following as of December 31, 2025 and 2024 (in thousands):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0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Prepaid research and development costs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1000" w:type="dxa"/>
            <w:vAlign w:val="bottom"/>
          </w:tcPr>
          <w:p>
            <w:pPr>
              <w:jc w:val="right"/>
              <w:ind w:right="83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1,206</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 as of December 31, 2025 and 2024 (in thousands):</w:t>
            </w: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0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00" w:type="dxa"/>
            <w:vAlign w:val="bottom"/>
            <w:shd w:val="clear" w:color="auto" w:fill="CFF0FC"/>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shd w:val="clear" w:color="auto" w:fill="CCEEFF"/>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1,485</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100" w:type="dxa"/>
            <w:vAlign w:val="bottom"/>
            <w:shd w:val="clear" w:color="auto" w:fill="CCEEFF"/>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(1,320)</w:t>
            </w:r>
          </w:p>
        </w:tc>
        <w:tc>
          <w:tcPr>
            <w:tcW w:w="0" w:type="dxa"/>
            <w:vAlign w:val="bottom"/>
          </w:tcPr>
          <w:p>
            <w:pPr>
              <w:spacing w:after="0"/>
              <w:rPr>
                <w:sz w:val="1"/>
                <w:szCs w:val="1"/>
                <w:color w:val="auto"/>
              </w:rPr>
            </w:pPr>
          </w:p>
        </w:tc>
      </w:tr>
      <w:tr>
        <w:trPr>
          <w:trHeight w:val="24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1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2025 and 2024 was $266 and $389, respectively.</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as of December 31, 2025 and 2024 consist of the following (in thousands):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0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other liabilities</w:t>
            </w:r>
          </w:p>
        </w:tc>
        <w:tc>
          <w:tcPr>
            <w:tcW w:w="1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Accrued clinical trial liability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1,391</w:t>
            </w:r>
          </w:p>
        </w:tc>
        <w:tc>
          <w:tcPr>
            <w:tcW w:w="0" w:type="dxa"/>
            <w:vAlign w:val="bottom"/>
          </w:tcPr>
          <w:p>
            <w:pPr>
              <w:spacing w:after="0"/>
              <w:rPr>
                <w:sz w:val="1"/>
                <w:szCs w:val="1"/>
                <w:color w:val="auto"/>
              </w:rPr>
            </w:pP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-2982595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-2982595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-1276350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-1259840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-1259840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COMMITMENTS AND CONTINGENCIES</w:t>
      </w:r>
    </w:p>
    <w:p>
      <w:pPr>
        <w:spacing w:after="0" w:line="2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Facilities Lease Agreements</w:t>
      </w:r>
      <w:r>
        <w:rPr>
          <w:rFonts w:ascii="Times New Roman" w:cs="Times New Roman" w:eastAsia="Times New Roman" w:hAnsi="Times New Roman"/>
          <w:sz w:val="18"/>
          <w:szCs w:val="18"/>
          <w:color w:val="auto"/>
        </w:rPr>
        <w:t>—In January 2022, the Company entered into an 8-year office lease agreement for a 20,116 square feet facility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Brisbane, California (“Brisbane Lease”). The lease commenced in December 2022.</w:t>
      </w:r>
    </w:p>
    <w:p>
      <w:pPr>
        <w:spacing w:after="0" w:line="15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balance of the operating lease right of use assets were $7,540 and $8,643, respectively, and the related operating lease liability were $8,141 and $9,011, respectively, as shown in the accompanying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expense was $1,946 and $2,244 for the years ended December 31, 2025 and 2024, respectively.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t>As of December 31, 2025, future minimum annual lease payments under the Company’s operating lease liabilities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Ending</w:t>
            </w:r>
          </w:p>
        </w:tc>
        <w:tc>
          <w:tcPr>
            <w:tcW w:w="140" w:type="dxa"/>
            <w:vAlign w:val="bottom"/>
          </w:tcPr>
          <w:p>
            <w:pPr>
              <w:spacing w:after="0"/>
              <w:rPr>
                <w:sz w:val="20"/>
                <w:szCs w:val="20"/>
                <w:color w:val="auto"/>
              </w:rPr>
            </w:pP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Total Commitment</w:t>
            </w:r>
          </w:p>
        </w:tc>
        <w:tc>
          <w:tcPr>
            <w:tcW w:w="0" w:type="dxa"/>
            <w:vAlign w:val="bottom"/>
          </w:tcPr>
          <w:p>
            <w:pPr>
              <w:spacing w:after="0"/>
              <w:rPr>
                <w:sz w:val="1"/>
                <w:szCs w:val="1"/>
                <w:color w:val="auto"/>
              </w:rPr>
            </w:pPr>
          </w:p>
        </w:tc>
      </w:tr>
      <w:tr>
        <w:trPr>
          <w:trHeight w:val="210"/>
        </w:trPr>
        <w:tc>
          <w:tcPr>
            <w:tcW w:w="924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(2,189)</w:t>
            </w:r>
          </w:p>
        </w:tc>
        <w:tc>
          <w:tcPr>
            <w:tcW w:w="0" w:type="dxa"/>
            <w:vAlign w:val="bottom"/>
          </w:tcPr>
          <w:p>
            <w:pPr>
              <w:spacing w:after="0"/>
              <w:rPr>
                <w:sz w:val="1"/>
                <w:szCs w:val="1"/>
                <w:color w:val="auto"/>
              </w:rPr>
            </w:pPr>
          </w:p>
        </w:tc>
      </w:tr>
      <w:tr>
        <w:trPr>
          <w:trHeight w:val="209"/>
        </w:trPr>
        <w:tc>
          <w:tcPr>
            <w:tcW w:w="92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Present value of operating lease obligations</w:t>
            </w:r>
          </w:p>
        </w:tc>
        <w:tc>
          <w:tcPr>
            <w:tcW w:w="1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8,141</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09"/>
        </w:trPr>
        <w:tc>
          <w:tcPr>
            <w:tcW w:w="9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Noncurrent operating lease obligations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6,949</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-736600</wp:posOffset>
            </wp:positionV>
            <wp:extent cx="774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-454025</wp:posOffset>
            </wp:positionV>
            <wp:extent cx="77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Related to this Brisbane Lease agreement, the Company entered into a letter of credit with a bank to deposit $388 in a separate account that is restricted cash to serve as security rent deposit. This amount is included in other noncurrent assets in the accompanying Consolidated Balance Sheets as of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LOAN PAYABLE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January 15, 2021, the Company entered into a loan agreement with Oxford Finance LLC (the “Lender”) to borrow a term loan amount of $35,000 to be funded in three tranches (as amended, the “Loan Agreement”). Tranche A of $15,000 was wired to the Company on January 15, 2021. Tranche B of $10,000 expired on March 31, 2022. Tranche C of $10,000 was available at the Lender’s 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23, 2022, the Company entered into a First Amendment to the Loan Agreement. The amendment modified the Loan Agreement as follows:</w:t>
      </w:r>
    </w:p>
    <w:p>
      <w:pPr>
        <w:spacing w:after="0" w:line="27" w:lineRule="exact"/>
        <w:rPr>
          <w:sz w:val="20"/>
          <w:szCs w:val="20"/>
          <w:color w:val="auto"/>
        </w:rPr>
      </w:pPr>
    </w:p>
    <w:p>
      <w:pPr>
        <w:jc w:val="both"/>
        <w:ind w:firstLine="8"/>
        <w:spacing w:after="0" w:line="253" w:lineRule="auto"/>
        <w:tabs>
          <w:tab w:leader="none" w:pos="22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Millendo Therapeutics US, Inc., a Delaware corporation and wholly owned subsidiary of the Company (“Millendo”), were joined as co-borrowers under the Loan Agreement; (ii) the interest-only repayment period was extended through December 31, 2023 (which interest-only period may be further extended through June 30, 2024 under certain circumstances); and (iii) a security interest in all of the assets of the Company, TempestTx and Millendo, including any intellectual property, was granted to the Lender. In addition, the Lender permitted a one-time prepayment in the amount of $5.0 million, which the Company paid on December 23, 2022.</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amendment to the Loan Agreement, the term loan had a maturity date of August 1, 2025 and an annual floating interest rate of 7.15%, which is an Index Rate plus 7.10%. Index Rate is the greater of (i) 1-Month CME Term SOFR or (ii) 0.05%. In the fourth quarter of 2023, the Company achieved the circumstances necessary to extend the interest-only repayment period through June 30, 2024. Monthly principal payments of $733 were required to begin on July 1, 2024. Related to this borrowing, the Company recorded loan discounts totaling $898 and paid $95 of debt issuance costs. These amounts would be amortized as additional interest expense over the life of the loan.</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8, 2025, using cash on hand, the Company made a repayment of $3.5 million in full satisfaction of the aggregate outstanding amount, including accrued interest and exit fees as of such date, under the Loan Agreement with the Lender. The payoff amount paid by the Company in connection with the termination of the Loan Agreement was pursuant to a payoff letter with the Lender and included payment of $0.6 million as an exit fee. Upon making the repayment, the Loan Agreement was terminated in accordance with its terms and all liens and security interests granted thereunder to secure the obligations were released.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and 2024, total interest expense was $207 and $1,316, respectively.</w:t>
      </w:r>
    </w:p>
    <w:p>
      <w:pPr>
        <w:spacing w:after="0" w:line="11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2" w:name="page123"/>
    <w:bookmarkEnd w:id="122"/>
    <w:p>
      <w:pPr>
        <w:ind w:right="8740" w:firstLine="8"/>
        <w:spacing w:after="0" w:line="503" w:lineRule="auto"/>
        <w:tabs>
          <w:tab w:leader="none" w:pos="1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Authorized Stock</w:t>
      </w: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authorized to issue 100,000,000 shares of common stock, par value of $0.001 per share, and 5,000,000 shares of preferred stock, 100,000 of which have been designated as Series A Participating Preferred Stock (the “Series A Preferred Stock”), par value of $0.001 per share pursuant to the Company’s adoption the Rights Plan (as defined below). No shares of the Company’s Series A Participating Preferred Stock were outstanding as of December 31, 2025 and 2024. Stockholders are entitled to dividends as declared by the Board of Directors, subject to rights of holders of all classes of stock outstanding having priority rights as to dividends. There have been no cash dividends declared to date. The holders of each share of common stock are entitled to one vote and the holders of each share of Series A Preferred Stock, if issued, are entitled to 1,000 votes. Except for effecting or validating certain specific actions intended to protect the preferred stockholders, the holders of common stock vote together with preferred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10, 2023, the Company’s Board of Directors adopted a limited duration stockholder rights plan (the “Rights Plan”), effective immediately, and declared a dividend of one preferred share purchase right (a “Right”) for each outstanding share of the Company’s common stock. The dividend was effective as of October 23, 2023 (the “Record Date”) with respect to stockholders of record on that date. The Rights will also attach to new common stock issued after the Record Date. Each Right entitles the registered holder to purchase from the Company one one-thousandth of a share of the Series A Preferred Stock at a price of $25.00 per one one-thousandth of a preferred share, subject to adjustment. The descriptions and terms of the Rights are set forth in a Rights Agreement, dated as of October 10, 2023 (the “Rights Agreement"), between the Company and Computershare Trust Company, NA.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9, 2024, the Company entered into Amendment No. 1 (the “Amendment”) to the Rights Agreement. The Amendment extends the Final Expiration Date of the Rights Agreement until immediately following the Company’s 2025 Annual Meeting of Stockholders or, if the Company’s stockholders approve the Rights Plan at or prior to such meeting, to October 10, 2026, unless the Rights are earlier redeemed or exchanged by the Company. The Company does not have any obligation under the Rights Agreement to seek stockholder approval for the Rights Agreement.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5, 2024, the Company entered into Amendment No. 2 (the “Second Amendment”) to the Rights Agreement. The Second Amendment makes certain technical amendments to the rights and obligations of the Company’s Board of Directors to administer and make determinations with respect to the Rights Agreement and the rights issued thereunder. The Rights Agreement otherwise remains unmodified and in full force and effect in accordance with its terms.</w:t>
      </w:r>
    </w:p>
    <w:p>
      <w:pPr>
        <w:spacing w:after="0" w:line="176" w:lineRule="exact"/>
        <w:rPr>
          <w:sz w:val="20"/>
          <w:szCs w:val="20"/>
          <w:color w:val="auto"/>
        </w:rPr>
      </w:pPr>
    </w:p>
    <w:p>
      <w:pPr>
        <w:ind w:right="8220" w:firstLine="8"/>
        <w:spacing w:after="0" w:line="503" w:lineRule="auto"/>
        <w:tabs>
          <w:tab w:leader="none" w:pos="1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Equity Plans</w:t>
      </w:r>
    </w:p>
    <w:p>
      <w:pPr>
        <w:jc w:val="both"/>
        <w:spacing w:after="0" w:line="261" w:lineRule="auto"/>
        <w:rPr>
          <w:sz w:val="20"/>
          <w:szCs w:val="20"/>
          <w:color w:val="auto"/>
        </w:rPr>
      </w:pPr>
      <w:r>
        <w:rPr>
          <w:rFonts w:ascii="Times New Roman" w:cs="Times New Roman" w:eastAsia="Times New Roman" w:hAnsi="Times New Roman"/>
          <w:sz w:val="18"/>
          <w:szCs w:val="18"/>
          <w:color w:val="auto"/>
        </w:rPr>
        <w:t>In 2011, Private Tempest adopted the 2011 Equity Incentive Plan (the “2011 Plan), and in 2017, Private Tempest adopted the 2017 Equity Incentive Plan (the “2017 Plan”), and together with the 2011 Plan, the “Tempest Prior Plans.” The Tempest Prior Plans have been terminated and no additional grants may be made under either plan. All stock awards granted under the Tempest Prior Plans will remain subject to the terms of the applicable prior plan. As a result of the merger with Millendo, the Tempest Prior Plans were assumed by the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29, 2019, the Board of Millendo adopted the 2019 Equity Incentive Plan (the “2019 Plan”), subject to approval by the Company’s stockholders, and became effective with such stockholder approval on June 11, 2019. On June 17, 2022, the Company’s stockholders approved the Amended and Restated 2019 Equity Incentive Plan (the “A&amp;R 2019 Plan”), which amended and restated the 2019 Plan and was the successor to, and replacement of, the 2019 Plan.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3" w:name="page124"/>
    <w:bookmarkEnd w:id="123"/>
    <w:p>
      <w:pPr>
        <w:jc w:val="both"/>
        <w:spacing w:after="0" w:line="245" w:lineRule="auto"/>
        <w:rPr>
          <w:sz w:val="20"/>
          <w:szCs w:val="20"/>
          <w:color w:val="auto"/>
        </w:rPr>
      </w:pPr>
      <w:r>
        <w:rPr>
          <w:rFonts w:ascii="Times New Roman" w:cs="Times New Roman" w:eastAsia="Times New Roman" w:hAnsi="Times New Roman"/>
          <w:sz w:val="18"/>
          <w:szCs w:val="18"/>
          <w:color w:val="auto"/>
        </w:rPr>
        <w:t>The Board of Tempest adopted the Amended and Restated 2023 Equity Incentive Plan (the “2023 Plan”) on April 30, 2023, subject to approval by the Company’s stockholders. On June 15, 2023, the Company’s stockholders approved the 2023 Plan, which amended and restated the A&amp;R 2019 Plan and will be a successor to, and replacement of, the A&amp;R 2019 Plan. The number of shares of the Company's common stock reserved for issuance under the 2023 Plan will automatically increase on January 1st of each year, for a period of 10 years, from January 1, 2024 continuing through January 1, 2033, by 4% of the total number of shares of the Company's common stock outstanding on December 31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of the preceding calendar year, or a lesser number of shares as may be determined by the Board of Directors. Accordingly, on January 1, 2026, the common stock reserved for issuance was increased by 197,086 shares. As of December 31, 2025, there were 47,745 shares available for future grant under the 2023 Plan. In addition, on January 27, 2026, the Company's stockholders approved the amendment to increase the number of shares issuable under the 2023 Plan by 1,410,000 shares of common stock.</w:t>
      </w:r>
    </w:p>
    <w:p>
      <w:pPr>
        <w:spacing w:after="0" w:line="1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2023 Plan allows the Company to grant stock awards to employees, directors and consultants of the Company, including incentive stock options (“ISOs”), non-qualified stock options (“NSOs”), stock appreciation rights, restricted stock awards, restricted stock unit awards and other stock awards.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Tempest adopted the 2023 Inducement Plan (“2023 Inducement Plan”) on June 21, 2023, pursuant to which the Company reserved 1,150,000 shares of its common stock to be used exclusively for grants of awards to individuals who were not previously employees or directors of the Company, as an inducement material to the individual’s entry into employment with the Company within the meaning of Rule 5635(c)(4) of the Nasdaq Listing Rules. The 2023 Inducement Plan was approved by the Company’s Board of Directors without stockholder approval in accordance with such rule. As of December 31, 2025, there were 67,615 shares available for future grant under the 2023 Inducement Plan.</w:t>
      </w:r>
    </w:p>
    <w:p>
      <w:pPr>
        <w:spacing w:after="0" w:line="1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measures employee and non-employee stock-based awards at grant date fair value and records compensation expense on a straight-line basis over the vesting period of the award.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Ownership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Millendo adopted the 2019 Employee Stock Purchase Plan on April 29, 2019, which became effective upon stockholder approval on June 11, 2019. On June 17, 2022, the Company’s stockholders approved the Amended and Restated 2019 Employee Stock Purchase Plan (the “2019 ESPP”). The 2019 ESPP enables employees to purchase shares of the Company's common stock through offerings of rights to purchase the Company's common stock to all eligible employees.</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2019 ESPP provides that the number of shares of common stock reserved for issuance under the 2019 ESPP will automatically increase on January 1, 2023 and continuing through (and including) January 1, 2029, by the lesser of 1.5% of the total number of shares of Common Stock outstanding on December 31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of the preceding calendar year, (ii) 500,000 shares of Common Stock, or (iii) such lesser number of shares of Common Stock as determined by the Board of Directors (which may be zero). On January 1, 2026, the common stock reserved for issuance was increased by 38,461 shares.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68,608 shares of common stock remained available for future issuance under the 2019 ESPP. During the year ended December 31, 2025, 5,955 shares of common stock had been issued under the 2019 ESPP.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Options to purchase the Company’s common stock may be granted at a price not less than the fair market value in the case of both NSOs and ISOs, except for an options holder who owns more than 10% of the voting power of all classes of stock of the Company, in which case the exercise price shall be no less than 110% of the fair market value per share on the grant date. Stock options granted under the Plans generally vest over four years and expire no later than ten (10) years from the date of grant. Vested options can be exercised at any time.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Prior to the merger with Millendo, the grant date fair market value of the shares of common stock underlying stock options was determined by the Company’s Board of Directors. Up until the merger, there had been no public market for the Company’s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4" w:name="page125"/>
    <w:bookmarkEnd w:id="124"/>
    <w:p>
      <w:pPr>
        <w:jc w:val="both"/>
        <w:spacing w:after="0" w:line="261" w:lineRule="auto"/>
        <w:rPr>
          <w:sz w:val="20"/>
          <w:szCs w:val="20"/>
          <w:color w:val="auto"/>
        </w:rPr>
      </w:pPr>
      <w:r>
        <w:rPr>
          <w:rFonts w:ascii="Times New Roman" w:cs="Times New Roman" w:eastAsia="Times New Roman" w:hAnsi="Times New Roman"/>
          <w:sz w:val="18"/>
          <w:szCs w:val="18"/>
          <w:color w:val="auto"/>
        </w:rPr>
        <w:t>common stock, and therefore the Board of Directors exercised reasonable judgment and considered a number of objective and subjective factors to determine the best estimate of the fair market value, which included valuations performed by an independent third-party, important developments in the Company’s operations, sales of convertible preferred stock, actual operating results, financial performance, the conditions in the life sciences industry, the economy in general, the stock price performance and volatility of comparable public companies, and the lack of liquidity of the Company’s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shows the stock option activities for the years ended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5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0" w:type="dxa"/>
            <w:vAlign w:val="bottom"/>
            <w:gridSpan w:val="7"/>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Total Options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5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00" w:type="dxa"/>
            <w:vAlign w:val="bottom"/>
          </w:tcPr>
          <w:p>
            <w:pPr>
              <w:spacing w:after="0"/>
              <w:rPr>
                <w:sz w:val="20"/>
                <w:szCs w:val="20"/>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Balance—December 31, 2023</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273,393</w:t>
            </w:r>
          </w:p>
        </w:tc>
        <w:tc>
          <w:tcPr>
            <w:tcW w:w="4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94.64</w:t>
            </w: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69,009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51.48</w:t>
            </w: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(6,284)</w:t>
            </w: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24.83</w:t>
            </w: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Cancelled and forfeited</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(16,028)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106.99</w:t>
            </w:r>
          </w:p>
        </w:tc>
      </w:tr>
      <w:tr>
        <w:trPr>
          <w:trHeight w:val="20"/>
        </w:trPr>
        <w:tc>
          <w:tcPr>
            <w:tcW w:w="5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Balance—December 31, 2024</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320,090</w:t>
            </w:r>
          </w:p>
        </w:tc>
        <w:tc>
          <w:tcPr>
            <w:tcW w:w="4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86.06</w:t>
            </w: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130,014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w:t>
            </w: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Cancelled and forfeited</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Balance—December 31, 2025</w:t>
            </w:r>
          </w:p>
        </w:tc>
        <w:tc>
          <w:tcPr>
            <w:tcW w:w="1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450,104</w:t>
            </w:r>
          </w:p>
        </w:tc>
        <w:tc>
          <w:tcPr>
            <w:tcW w:w="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64.44</w:t>
            </w:r>
          </w:p>
        </w:tc>
      </w:tr>
      <w:tr>
        <w:trPr>
          <w:trHeight w:val="413"/>
        </w:trPr>
        <w:tc>
          <w:tcPr>
            <w:tcW w:w="8180" w:type="dxa"/>
            <w:vAlign w:val="bottom"/>
            <w:tcBorders>
              <w:top w:val="single" w:sz="8" w:color="CFF0FC"/>
            </w:tcBorders>
            <w:gridSpan w:val="4"/>
          </w:tcPr>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December 31, 2025:</w:t>
            </w:r>
          </w:p>
        </w:tc>
        <w:tc>
          <w:tcPr>
            <w:tcW w:w="200" w:type="dxa"/>
            <w:vAlign w:val="bottom"/>
            <w:tcBorders>
              <w:top w:val="single" w:sz="8" w:color="auto"/>
            </w:tcBorders>
            <w:gridSpan w:val="2"/>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10"/>
        </w:trPr>
        <w:tc>
          <w:tcPr>
            <w:tcW w:w="5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5780" w:type="dxa"/>
            <w:vAlign w:val="bottom"/>
          </w:tcPr>
          <w:p>
            <w:pPr>
              <w:spacing w:after="0"/>
              <w:rPr>
                <w:sz w:val="20"/>
                <w:szCs w:val="20"/>
                <w:color w:val="auto"/>
              </w:rPr>
            </w:pPr>
          </w:p>
        </w:tc>
        <w:tc>
          <w:tcPr>
            <w:tcW w:w="11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 (In Years)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w:t>
            </w: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450,104</w:t>
            </w:r>
          </w:p>
        </w:tc>
        <w:tc>
          <w:tcPr>
            <w:tcW w:w="12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64.44</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450,104</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7.71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64.44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w:t>
            </w: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441,792</w:t>
            </w:r>
          </w:p>
        </w:tc>
        <w:tc>
          <w:tcPr>
            <w:tcW w:w="12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64.51</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-1542415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-1525270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granted employees and non-employees stock options to purchase 130,014 and 69,009 shares of common stock with a weighted-average grant date fair value of $11.20 and $51.48 per share, respectively. As of December 31, 2025 and 2024, total unrecognized compensation costs related to unvested employee stock options were $389 and $12,352, respectively. These costs are expected to be recognized over a weighted-average period of approximately 1.5 years and 2.6 years, respectively. The fair market value of stock options vested was $2,576 and $5,303 for the years ended December 31, 2025 and 2024, respectively.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stock options using the Black-Scholes option pricing valuation model. The fair value of employee stock options is being amortized on the straight-line basis over the requisite service period of the awards. The fair value of employee stock options was estimated using the following assumptions for the years ended December 31, 2025 and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00" w:type="dxa"/>
            <w:vAlign w:val="bottom"/>
          </w:tcPr>
          <w:p>
            <w:pPr>
              <w:spacing w:after="0"/>
              <w:rPr>
                <w:sz w:val="20"/>
                <w:szCs w:val="20"/>
                <w:color w:val="auto"/>
              </w:rPr>
            </w:pPr>
          </w:p>
        </w:tc>
        <w:tc>
          <w:tcPr>
            <w:tcW w:w="16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20"/>
                <w:szCs w:val="20"/>
                <w:color w:val="auto"/>
              </w:rPr>
            </w:pPr>
          </w:p>
        </w:tc>
        <w:tc>
          <w:tcPr>
            <w:tcW w:w="15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r>
      <w:tr>
        <w:trPr>
          <w:trHeight w:val="210"/>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5.5 - 6.1</w:t>
            </w:r>
          </w:p>
        </w:tc>
        <w:tc>
          <w:tcPr>
            <w:tcW w:w="220" w:type="dxa"/>
            <w:vAlign w:val="bottom"/>
            <w:shd w:val="clear" w:color="auto" w:fill="CFF0FC"/>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- 116%</w:t>
            </w:r>
          </w:p>
        </w:tc>
        <w:tc>
          <w:tcPr>
            <w:tcW w:w="3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- 124%</w:t>
            </w:r>
          </w:p>
        </w:tc>
        <w:tc>
          <w:tcPr>
            <w:tcW w:w="220" w:type="dxa"/>
            <w:vAlign w:val="bottom"/>
          </w:tcPr>
          <w:p>
            <w:pPr>
              <w:spacing w:after="0"/>
              <w:rPr>
                <w:sz w:val="18"/>
                <w:szCs w:val="18"/>
                <w:color w:val="auto"/>
              </w:rPr>
            </w:pP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- 4.7%</w:t>
            </w:r>
          </w:p>
        </w:tc>
        <w:tc>
          <w:tcPr>
            <w:tcW w:w="220" w:type="dxa"/>
            <w:vAlign w:val="bottom"/>
            <w:shd w:val="clear" w:color="auto" w:fill="CFF0FC"/>
          </w:tcPr>
          <w:p>
            <w:pPr>
              <w:spacing w:after="0"/>
              <w:rPr>
                <w:sz w:val="18"/>
                <w:szCs w:val="18"/>
                <w:color w:val="auto"/>
              </w:rPr>
            </w:pPr>
          </w:p>
        </w:tc>
      </w:tr>
      <w:tr>
        <w:trPr>
          <w:trHeight w:val="23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 %</w:t>
            </w:r>
          </w:p>
        </w:tc>
      </w:tr>
    </w:tbl>
    <w:p>
      <w:pPr>
        <w:spacing w:after="0" w:line="1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Expected Term</w:t>
      </w:r>
      <w:r>
        <w:rPr>
          <w:rFonts w:ascii="Times New Roman" w:cs="Times New Roman" w:eastAsia="Times New Roman" w:hAnsi="Times New Roman"/>
          <w:sz w:val="18"/>
          <w:szCs w:val="18"/>
          <w:color w:val="auto"/>
        </w:rPr>
        <w:t>—The expected term of options granted represents the period of time that the options are expected to be outstanding. Due to the lack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historical exercise history, the expected term of the Company’s employee stock options has been determined utilizing the simplified method for awards that qualify as plain-vanilla options.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5" w:name="page126"/>
    <w:bookmarkEnd w:id="125"/>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Expected Volatility</w:t>
      </w:r>
      <w:r>
        <w:rPr>
          <w:rFonts w:ascii="Times New Roman" w:cs="Times New Roman" w:eastAsia="Times New Roman" w:hAnsi="Times New Roman"/>
          <w:sz w:val="18"/>
          <w:szCs w:val="18"/>
          <w:color w:val="auto"/>
        </w:rPr>
        <w:t>—The expected stock price volatility assumption was determined by examining the historical volatilities for industry peers,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did not have any trading history for the Company’s common stock. The Company will continue to analyze the historical stock price volatility and expected term assumption as more historical data for the Company’s common stock becomes available.</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Risk-Free Interest Rate</w:t>
      </w:r>
      <w:r>
        <w:rPr>
          <w:rFonts w:ascii="Times New Roman" w:cs="Times New Roman" w:eastAsia="Times New Roman" w:hAnsi="Times New Roman"/>
          <w:sz w:val="18"/>
          <w:szCs w:val="18"/>
          <w:color w:val="auto"/>
        </w:rPr>
        <w:t>—The risk-free interest rate assumption is based on the U.S. Treasury instruments whose term was consistent with the expected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 of the Company’s stock options.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—The Company has not paid any cash dividends on common stock since inception and does not anticipate paying any dividends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foreseeable future. Consequently, an expected dividend yield of zero was used.</w:t>
      </w:r>
    </w:p>
    <w:p>
      <w:pPr>
        <w:spacing w:after="0" w:line="159" w:lineRule="exact"/>
        <w:rPr>
          <w:sz w:val="20"/>
          <w:szCs w:val="20"/>
          <w:color w:val="auto"/>
        </w:rPr>
      </w:pPr>
    </w:p>
    <w:p>
      <w:pPr>
        <w:jc w:val="both"/>
        <w:ind w:right="380"/>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2025, the Company accelerated the vesting of approximately 266,108 time-based vesting stock options grants previously awarded to the Company's employees, pursuant to the separation agreements entered into with such employees. The Company also extended the post-termination exercise period from 90 days to 180 days immediately following the separation date for any options that were vested, including the options that were accelerated in vesting, as described above. Further, in the fourth quarter of 2025, approximately 416,005 of modified stock options were further modified to extend the post-termination exercise period from either (i) 180 days to December 31, 2026 or (ii) to the earlier of (a) the date that is 90 days following termination of continuous service, and (b) the expiration of the term of the options as set forth in the award agreements.</w:t>
      </w:r>
    </w:p>
    <w:p>
      <w:pPr>
        <w:spacing w:after="0" w:line="189" w:lineRule="exact"/>
        <w:rPr>
          <w:sz w:val="20"/>
          <w:szCs w:val="20"/>
          <w:color w:val="auto"/>
        </w:rPr>
      </w:pPr>
    </w:p>
    <w:p>
      <w:pPr>
        <w:jc w:val="both"/>
        <w:ind w:right="380"/>
        <w:spacing w:after="0" w:line="253" w:lineRule="auto"/>
        <w:rPr>
          <w:sz w:val="20"/>
          <w:szCs w:val="20"/>
          <w:color w:val="auto"/>
        </w:rPr>
      </w:pPr>
      <w:r>
        <w:rPr>
          <w:rFonts w:ascii="Times New Roman" w:cs="Times New Roman" w:eastAsia="Times New Roman" w:hAnsi="Times New Roman"/>
          <w:sz w:val="18"/>
          <w:szCs w:val="18"/>
          <w:color w:val="auto"/>
        </w:rPr>
        <w:t>The above modifications to current and former employees stock options grants resulted in modification accounting under ASC 718, Compensation – Stock Compensation. As a result, the Company recognized approximately $0.8 million of stock compensation expense during the year ended December 31, 2025. For vested awards with no future service period required to be provided, the expense was measured on the modification date by calculating the difference between the fair value of the modified award and the fair value of the original award immediately before it was modified with immediate expense recognition. For unvested awards with no future service period required to be provided, the Company reversed any stock compensation expense previously recognized, remeasured the fair value of the modified award and immediately recognized stock compensation expense on the modification date. For stock options that were further modified to extend the post-termination exercise period upon termination of continuous service, the Company measured the expense by calculating the difference between the fair value of the modified award and the fair value of the original award immediately before it was modified. The fair value of those awards included a reduction to the share price for the fair value of the warrant dividend as the holders of the modified stock options were not participants in the warrant dividend. A portion of this modification was recorded as stock compensation expense in the fourth quarter and the remainder to be attributed over the derived service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stock-based compensation expense recognized in the Company’s consolidated statements of operations for the years ended December 31,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20" w:type="dxa"/>
            <w:vAlign w:val="bottom"/>
            <w:shd w:val="clear" w:color="auto" w:fill="CCEEFF"/>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20" w:type="dxa"/>
            <w:vAlign w:val="bottom"/>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3,081</w:t>
            </w:r>
          </w:p>
        </w:tc>
      </w:tr>
      <w:tr>
        <w:trPr>
          <w:trHeight w:val="250"/>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auto"/>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no provision for income taxes for the years ended December 31, 2025 and 2024, because the Company has incurred losses since inception. At December 31, 2025 and 2024 the Company concluded it was not more likely than not that it would realize its deferred tax assets, and therefore has recorded a full valuation allowance.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color w:val="auto"/>
        </w:rPr>
        <w:t>The Company paid no income taxes for the years ended December 31, 2025 and 2024, respectively.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income tax provision (benefit) related to continuing operations differ from the amounts computed by applying the statutory income tax rate of 21% to pre-tax loss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8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4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vMerge w:val="continue"/>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vMerge w:val="continue"/>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U.S. federal provision (benefit)</w:t>
            </w:r>
          </w:p>
        </w:tc>
        <w:tc>
          <w:tcPr>
            <w:tcW w:w="5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At statutory rate</w:t>
            </w:r>
          </w:p>
        </w:tc>
        <w:tc>
          <w:tcPr>
            <w:tcW w:w="58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(5,514)</w:t>
            </w:r>
          </w:p>
        </w:tc>
        <w:tc>
          <w:tcPr>
            <w:tcW w:w="5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10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(8,786)</w:t>
            </w:r>
          </w:p>
        </w:tc>
        <w:tc>
          <w:tcPr>
            <w:tcW w:w="7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5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9,199</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5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Transaction costs</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5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5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(478)</w:t>
            </w:r>
          </w:p>
        </w:tc>
        <w:tc>
          <w:tcPr>
            <w:tcW w:w="5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(1,136)</w:t>
            </w:r>
          </w:p>
        </w:tc>
        <w:tc>
          <w:tcPr>
            <w:tcW w:w="7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0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-170815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-170815</wp:posOffset>
            </wp:positionV>
            <wp:extent cx="1117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 income taxes in California comprise the majority of the state income taxes, net of federal effect category for the years ended December 31, 2025 and 2024,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at December 31, 2025 and 2024 are shown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losses</w:t>
            </w:r>
          </w:p>
        </w:tc>
        <w:tc>
          <w:tcPr>
            <w:tcW w:w="1060" w:type="dxa"/>
            <w:vAlign w:val="bottom"/>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152,074</w:t>
            </w:r>
          </w:p>
        </w:tc>
        <w:tc>
          <w:tcPr>
            <w:tcW w:w="3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143,896</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21,198</w:t>
            </w: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20,513</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liability</w:t>
            </w: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Capitalized R&amp;D</w:t>
            </w:r>
          </w:p>
        </w:tc>
        <w:tc>
          <w:tcPr>
            <w:tcW w:w="10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7,901</w:t>
            </w:r>
          </w:p>
        </w:tc>
        <w:tc>
          <w:tcPr>
            <w:tcW w:w="3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10,041</w:t>
            </w:r>
          </w:p>
        </w:tc>
        <w:tc>
          <w:tcPr>
            <w:tcW w:w="100" w:type="dxa"/>
            <w:vAlign w:val="bottom"/>
          </w:tcPr>
          <w:p>
            <w:pPr>
              <w:spacing w:after="0"/>
              <w:rPr>
                <w:sz w:val="18"/>
                <w:szCs w:val="18"/>
                <w:color w:val="auto"/>
              </w:rPr>
            </w:pPr>
          </w:p>
        </w:tc>
      </w:tr>
      <w:tr>
        <w:trPr>
          <w:trHeight w:val="210"/>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185,697</w:t>
            </w: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179,336</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(183,498)</w:t>
            </w:r>
          </w:p>
        </w:tc>
        <w:tc>
          <w:tcPr>
            <w:tcW w:w="3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(176,799)</w:t>
            </w:r>
          </w:p>
        </w:tc>
      </w:tr>
      <w:tr>
        <w:trPr>
          <w:trHeight w:val="210"/>
        </w:trPr>
        <w:tc>
          <w:tcPr>
            <w:tcW w:w="73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6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3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liability:</w:t>
            </w: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10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(2,180)</w:t>
            </w:r>
          </w:p>
        </w:tc>
        <w:tc>
          <w:tcPr>
            <w:tcW w:w="3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(2,518)</w:t>
            </w: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assets</w:t>
            </w:r>
          </w:p>
        </w:tc>
        <w:tc>
          <w:tcPr>
            <w:tcW w:w="10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7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10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(2,199)</w:t>
            </w:r>
          </w:p>
        </w:tc>
        <w:tc>
          <w:tcPr>
            <w:tcW w:w="3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(2,537)</w:t>
            </w:r>
          </w:p>
        </w:tc>
      </w:tr>
      <w:tr>
        <w:trPr>
          <w:trHeight w:val="210"/>
        </w:trPr>
        <w:tc>
          <w:tcPr>
            <w:tcW w:w="7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060" w:type="dxa"/>
            <w:vAlign w:val="bottom"/>
            <w:tcBorders>
              <w:top w:val="single" w:sz="8" w:color="auto"/>
              <w:bottom w:val="single" w:sz="8" w:color="auto"/>
            </w:tcBorders>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-736600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-170815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valuation allowance increased by $6.7 million from December 31, 2024 to December 31, 2025 due primarily to the generation of net operating losses and research and development credits.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required under ASU 2023-09, the Company has included only the portion of the valuation allowance related to federal deferred tax assets in the "change in valuation allowance" line of the rate reconciliation. The following table presents a reconciliation of the total change in the valuation allowance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1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260" w:type="dxa"/>
            <w:vAlign w:val="bottom"/>
          </w:tcPr>
          <w:p>
            <w:pPr>
              <w:spacing w:after="0"/>
              <w:rPr>
                <w:sz w:val="20"/>
                <w:szCs w:val="20"/>
                <w:color w:val="auto"/>
              </w:rPr>
            </w:pPr>
          </w:p>
        </w:tc>
        <w:tc>
          <w:tcPr>
            <w:tcW w:w="4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Beginning Balance</w:t>
            </w:r>
          </w:p>
        </w:tc>
        <w:tc>
          <w:tcPr>
            <w:tcW w:w="306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176,799</w:t>
            </w:r>
          </w:p>
        </w:tc>
        <w:tc>
          <w:tcPr>
            <w:tcW w:w="34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164,643</w:t>
            </w: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related to continuing operations</w:t>
            </w:r>
          </w:p>
        </w:tc>
        <w:tc>
          <w:tcPr>
            <w:tcW w:w="30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3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12,156</w:t>
            </w:r>
          </w:p>
        </w:tc>
        <w:tc>
          <w:tcPr>
            <w:tcW w:w="100" w:type="dxa"/>
            <w:vAlign w:val="bottom"/>
          </w:tcPr>
          <w:p>
            <w:pPr>
              <w:spacing w:after="0"/>
              <w:rPr>
                <w:sz w:val="18"/>
                <w:szCs w:val="18"/>
                <w:color w:val="auto"/>
              </w:rPr>
            </w:pPr>
          </w:p>
        </w:tc>
      </w:tr>
      <w:tr>
        <w:trPr>
          <w:trHeight w:val="250"/>
        </w:trPr>
        <w:tc>
          <w:tcPr>
            <w:tcW w:w="4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Ending Balance</w:t>
            </w:r>
          </w:p>
        </w:tc>
        <w:tc>
          <w:tcPr>
            <w:tcW w:w="4160" w:type="dxa"/>
            <w:vAlign w:val="bottom"/>
            <w:gridSpan w:val="2"/>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183,498</w:t>
            </w:r>
          </w:p>
        </w:tc>
        <w:tc>
          <w:tcPr>
            <w:tcW w:w="1420" w:type="dxa"/>
            <w:vAlign w:val="bottom"/>
            <w:gridSpan w:val="2"/>
            <w:shd w:val="clear" w:color="auto" w:fill="CFF0FC"/>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176,799</w:t>
            </w:r>
          </w:p>
        </w:tc>
        <w:tc>
          <w:tcPr>
            <w:tcW w:w="100" w:type="dxa"/>
            <w:vAlign w:val="bottom"/>
            <w:shd w:val="clear" w:color="auto" w:fill="CFF0FC"/>
          </w:tcPr>
          <w:p>
            <w:pPr>
              <w:spacing w:after="0"/>
              <w:rPr>
                <w:sz w:val="21"/>
                <w:szCs w:val="21"/>
                <w:color w:val="auto"/>
              </w:rPr>
            </w:pPr>
          </w:p>
        </w:tc>
      </w:tr>
      <w:tr>
        <w:trPr>
          <w:trHeight w:val="520"/>
        </w:trPr>
        <w:tc>
          <w:tcPr>
            <w:tcW w:w="4260" w:type="dxa"/>
            <w:vAlign w:val="bottom"/>
            <w:tcBorders>
              <w:top w:val="single" w:sz="8" w:color="CFF0FC"/>
            </w:tcBorders>
          </w:tcPr>
          <w:p>
            <w:pPr>
              <w:spacing w:after="0"/>
              <w:rPr>
                <w:sz w:val="24"/>
                <w:szCs w:val="24"/>
                <w:color w:val="auto"/>
              </w:rPr>
            </w:pPr>
          </w:p>
        </w:tc>
        <w:tc>
          <w:tcPr>
            <w:tcW w:w="3060" w:type="dxa"/>
            <w:vAlign w:val="bottom"/>
            <w:tcBorders>
              <w:top w:val="single" w:sz="8" w:color="CFF0FC"/>
            </w:tcBorders>
          </w:tcPr>
          <w:p>
            <w:pPr>
              <w:jc w:val="right"/>
              <w:ind w:right="1470"/>
              <w:spacing w:after="0"/>
              <w:rPr>
                <w:sz w:val="20"/>
                <w:szCs w:val="20"/>
                <w:color w:val="auto"/>
              </w:rPr>
            </w:pPr>
            <w:r>
              <w:rPr>
                <w:rFonts w:ascii="Times New Roman" w:cs="Times New Roman" w:eastAsia="Times New Roman" w:hAnsi="Times New Roman"/>
                <w:sz w:val="18"/>
                <w:szCs w:val="18"/>
                <w:color w:val="auto"/>
              </w:rPr>
              <w:t>124</w:t>
            </w:r>
          </w:p>
        </w:tc>
        <w:tc>
          <w:tcPr>
            <w:tcW w:w="1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26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-864870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-847725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7" w:name="page128"/>
    <w:bookmarkEnd w:id="127"/>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net operating loss carryforwards for federal and state income tax purposes of approximately $534.5 million and $501.9 million, respectively. As of December 31, 2024, the Company had net operating loss carryforwards for federal and state income tax purposes of approximately $502.2 million and $487.8 million,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federal and state net operating loss carryforwards begin to expire in 2031 and 2025, respectively, if not utilized. Federal net operating losses of $313.3 million are not subject to expiration.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federal and state research and development carryforwards of approximately $14.7 million and $4.4 million, respectively. The Company also had $7.4 million of Orphan Drug Credit. As of December 31, 2024, the Company had federal and state research and development carryforwards of approximately $14.1 million and $4.1 million, respectively. The federal and state credits begin to expire in 2031 and 2029, respectively, if not utilized; $3.3 million of the state credits can be carried forward indefinitely.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Utilization of some of the federal and state net operating loss and credit carryforwards may be subject to annual limitations due to the “change in ownership” provisions of the Internal Revenue Code of 1986 and similar state provisions. The annual limitations may result in the expiration of net operating losses and credits before utilization. The Company has not performed a Section 382 study as of December 31, 2025. At least $455.8 thousand of legacy Millendo federal net operating losses are expected to expire unused due to prior ownership changes.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the following activity relating to unrecognized tax benefits as of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220" w:type="dxa"/>
            <w:vAlign w:val="bottom"/>
            <w:gridSpan w:val="2"/>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5,239</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4,923</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 - tax position in current period</w:t>
            </w:r>
          </w:p>
        </w:tc>
        <w:tc>
          <w:tcPr>
            <w:tcW w:w="2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167</w:t>
            </w:r>
          </w:p>
        </w:tc>
        <w:tc>
          <w:tcPr>
            <w:tcW w:w="4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r>
      <w:tr>
        <w:trPr>
          <w:trHeight w:val="20"/>
        </w:trPr>
        <w:tc>
          <w:tcPr>
            <w:tcW w:w="5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3220" w:type="dxa"/>
            <w:vAlign w:val="bottom"/>
            <w:gridSpan w:val="2"/>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5,406</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5,239</w:t>
            </w:r>
          </w:p>
        </w:tc>
      </w:tr>
      <w:tr>
        <w:trPr>
          <w:trHeight w:val="20"/>
        </w:trPr>
        <w:tc>
          <w:tcPr>
            <w:tcW w:w="5300" w:type="dxa"/>
            <w:vAlign w:val="bottom"/>
            <w:tcBorders>
              <w:top w:val="single" w:sz="8" w:color="CFF0FC"/>
            </w:tcBorders>
            <w:shd w:val="clear" w:color="auto" w:fill="CFF0FC"/>
          </w:tcPr>
          <w:p>
            <w:pPr>
              <w:spacing w:after="0" w:line="20" w:lineRule="exact"/>
              <w:rPr>
                <w:sz w:val="1"/>
                <w:szCs w:val="1"/>
                <w:color w:val="auto"/>
              </w:rPr>
            </w:pPr>
          </w:p>
        </w:tc>
        <w:tc>
          <w:tcPr>
            <w:tcW w:w="20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-24765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and 2024, none of the unrecognized tax benefits would impact the Company's effective tax rate due to the valuation allowance. The Company's practice is to recognize interest and/or penalties related to income tax matters in income tax expense. The Company had no accrual for interest and penalties on the accompanying balance sheet as of December 31, 2025 and 2024, respectively, and has not recognized penalties and/or interest in the accompanying statements of operations for the years ended December 31, 2025 and 2024,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taxation in the United States, California, Massachusetts, and Michigan. The Company's tax years from inception are subject to examination by the IRS and state tax authorities due to the carryforward of unutilized net operating losses and research and development credits.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RETIREMENT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participates in a qualified 401(k) Plan sponsored by its professional service organization. The retirement plan is a defined contribution plan covering eligible employees. Participants may contribute a portion of their annual compensation limited to a maximum annual amount set by the Internal Revenue Service. During the year ended December 31, 2025, the Company contributed $124 to the 401(k) Plan. During the year ended December 31, 2024, the Company contributed $161 to the 401(k)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for the years ended December 31, 2025 and 2024 (in thousands, except share and per share amounts):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8"/>
        </w:trPr>
        <w:tc>
          <w:tcPr>
            <w:tcW w:w="7560" w:type="dxa"/>
            <w:vAlign w:val="bottom"/>
            <w:tcBorders>
              <w:bottom w:val="single" w:sz="8" w:color="CCEEFF"/>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(26,262)</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(41,843)</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4,149,733</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2,146,276</w:t>
            </w:r>
          </w:p>
        </w:tc>
        <w:tc>
          <w:tcPr>
            <w:tcW w:w="100" w:type="dxa"/>
            <w:vAlign w:val="bottom"/>
          </w:tcPr>
          <w:p>
            <w:pPr>
              <w:spacing w:after="0"/>
              <w:rPr>
                <w:sz w:val="18"/>
                <w:szCs w:val="18"/>
                <w:color w:val="auto"/>
              </w:rPr>
            </w:pPr>
          </w:p>
        </w:tc>
      </w:tr>
      <w:tr>
        <w:trPr>
          <w:trHeight w:val="249"/>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used in computing basic and diluted net loss per share</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4,149,733</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2,146,276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3"/>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stockholders—basic and diluted</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(6.33)</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(19.50)</w:t>
            </w:r>
          </w:p>
        </w:tc>
      </w:tr>
      <w:tr>
        <w:trPr>
          <w:trHeight w:val="20"/>
        </w:trPr>
        <w:tc>
          <w:tcPr>
            <w:tcW w:w="7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-325120</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-307975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and 2024, the Company’s potentially dilutive securities included unvested stock warrants and stock options, which have been excluded from the computation of diluted net loss per share attributable to common stockholders as the effect would be anti-dilutive. The issuance of pre-funded warrants and vested RSUs have been included in the computation of basic and diluted net loss per share attributable to common stockholders. Based on the amounts outstanding as of December 31, 2025 and 2024, the Company excluded the following potential common shares from the computation of diluted net loss per share attributable to common stockholders because including them would have had an anti-dilutive effect: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Borders>
              <w:bottom w:val="single" w:sz="8" w:color="CCEEFF"/>
            </w:tcBorders>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450,104</w:t>
            </w:r>
          </w:p>
        </w:tc>
        <w:tc>
          <w:tcPr>
            <w:tcW w:w="2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320,090</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40" w:type="dxa"/>
            <w:vAlign w:val="bottom"/>
          </w:tcPr>
          <w:p>
            <w:pPr>
              <w:spacing w:after="0"/>
              <w:rPr>
                <w:sz w:val="18"/>
                <w:szCs w:val="18"/>
                <w:color w:val="auto"/>
              </w:rPr>
            </w:pPr>
          </w:p>
        </w:tc>
        <w:tc>
          <w:tcPr>
            <w:tcW w:w="18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4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1,172,878</w:t>
            </w:r>
          </w:p>
        </w:tc>
        <w:tc>
          <w:tcPr>
            <w:tcW w:w="24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6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1,622,982</w:t>
            </w:r>
          </w:p>
        </w:tc>
        <w:tc>
          <w:tcPr>
            <w:tcW w:w="24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320,554</w:t>
            </w:r>
          </w:p>
        </w:tc>
      </w:tr>
      <w:tr>
        <w:trPr>
          <w:trHeight w:val="20"/>
        </w:trPr>
        <w:tc>
          <w:tcPr>
            <w:tcW w:w="7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and operating segment, which is the business of discovery and development of small molecule drugs to treat cancers. The Company’s chief operating decision maker (“CODM”) is its Chief Executive Officer. The determination of a single business segment is consistent with the consolidated financial information regularly reviewed by the CODM for purposes of assessing performance, allocating resources and planning and forecasting future periods.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Company has not generated revenue, the CODM assesses Company performance through the achievement of research goals towards advancing the Company’s product candidates through stages of development. As such, the CODM is regularly provided with budgeted and forecasted expense information as well as the Company’s Consolidated Financial Statements which is used to determine the Company’s liquidity needs and pipeline resource allocation.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CODM regularly reviews and evaluates research and development expenses and uses consolidated net loss, as reported on the Company’s Consolidated Statements of Operations, to assess the performance of the segment and to allocate resources. The consolidated net loss and significant segment expenses reviewed by the CODM are reported on the Company’s Consolidated Statements of Operations for the years ended December 31, 2025 and 2024. The measure of segment assets is reported on the Consolidated Balance Sheet as total assets. The CODM monitors the Company's cash and cash equivalents as reported on the Consolidated Balance Sheets.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financial information required for segment reporting that is provided to the chief operating decision maker is contained within the financial statements and notes to financial statements.</w:t>
      </w:r>
    </w:p>
    <w:p>
      <w:pPr>
        <w:spacing w:after="0" w:line="158" w:lineRule="exact"/>
        <w:rPr>
          <w:sz w:val="20"/>
          <w:szCs w:val="20"/>
          <w:color w:val="auto"/>
        </w:rPr>
      </w:pPr>
    </w:p>
    <w:p>
      <w:pPr>
        <w:ind w:right="8980" w:firstLine="8"/>
        <w:spacing w:after="0" w:line="503" w:lineRule="auto"/>
        <w:tabs>
          <w:tab w:leader="none" w:pos="27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 Acquisition of Erigen Assets</w:t>
      </w: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19, 2025, the Company executed an Asset Purchase Agreement (the “Asset Purchase Agreement”) with Erigen LLC, a Delaware limited liability company (“Erigen”), and Factor Bioscience Inc., a Delaware corporation (together with Erigen, “Sellers”), pursuant to which Sellers agreed to sell and transfer to the Company all right, title and interest of Sellers in and to all</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9" w:name="page130"/>
    <w:bookmarkEnd w:id="129"/>
    <w:p>
      <w:pPr>
        <w:jc w:val="both"/>
        <w:spacing w:after="0" w:line="258" w:lineRule="auto"/>
        <w:rPr>
          <w:sz w:val="20"/>
          <w:szCs w:val="20"/>
          <w:color w:val="auto"/>
        </w:rPr>
      </w:pPr>
      <w:r>
        <w:rPr>
          <w:rFonts w:ascii="Times New Roman" w:cs="Times New Roman" w:eastAsia="Times New Roman" w:hAnsi="Times New Roman"/>
          <w:sz w:val="18"/>
          <w:szCs w:val="18"/>
          <w:color w:val="auto"/>
        </w:rPr>
        <w:t>of the assets primarily related to (a) the autologous BCMA/CD19 dual-targeting CAR T-cell therapy known as ERI-2003, (b) the autologous CD70/CD70 dual-targeting CAR T-cell therapy known as ERI-2206, (c) the allogeneic BCMA/CD19 dual-targeting CAR T-cell therapy with a gene edit in the TRAC locus that inactivates the T cell receptor known as ERI-3003, and (d) the allogeneic CD70/CD70 dual-targeting CAR T-cell therapy with a gene edit in the TRAC locus that inactivates the T cell receptor known as ERI-3206 (collectively referred to herein as the “Erigen Assets”), in exchange for an aggregate purchase price of 8,268,495 shares of the Company’s common stock to be issued to Erigen on behalf of both Sellers.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3, 2026, the Company completed the acquisition of the Erigen Assets (the “Erigen Closing”) under the Asset Purchase Agreement (the “Asset Acquisition”) and issued to Erigen 8,268,495 shares of the Company’s common stock. Based on an assumed common stock price of approximately $2.41 per share, the aggregate consideration related to the Asset Acquisition is approximately $19.9 million. The Company incurred approximately $6.7 million of transaction costs in connection with the Asset Acquisition.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expects to account for the Asset Acquisition as an asset acquisition. Transaction costs are expected to be capitalized as part of the total cost of the Asset Acquisition. The Company is in the process of evaluating the assets acquired and any liabilities assumed and has not finalized the allocation of the consideration. Accordingly, the Company cannot reasonably estimate the financial statement impact of the transaction as of the date these consolidated financial statements were issued.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Asset Purchase Agreement, Factor has made a funding commitment (the “Funding Commitment”) to provide the Company with financial support for at least 18 months following the Erigen Closing, up to a maximum amount of $20.0 million that is inclusive of any amounts raised and received by us after the date of the Asset Purchase Agreement, on the terms and subject to the conditions and other provisions of a funding commitment letter contemplated by and entered into concurrently with the Asset Purchase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Dividend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20, 2026, the Company’s Board of Directors declared a record date of January 30, 2026 (the “Record Date”), for the distribution of a dividend (the “Warrant Dividend”) in the form of a warrant to purchase a share of the Company’s common stock (collectively, the “Warrants”) for each share of common stock outstanding on the Record Date at an exercise price of $18.48 per share. The Warrants were issued on the terms and conditions described in the Warrant Agreement, dated February 3, 2026, between the Company, Computershare Inc., and its affiliate, Computershare Trust Company, N.A., as Warrant Agent, on February 3, 2026. In addition, on February 3, 2026, certain warrants that were outstanding on the Record Date also received Warrants on a one-for-one basis, pursuant to the terms of such warrants (together with the Warrant Dividend, the “Warrant Distribution”). In the aggregate, 6,784,989 Warrants were issued pursuant to the Warrant Distribution.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Plan Amendment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27, 2026, the Company’s stockholders approved Amendment No. 1 to the 2023 Plan to increase the number of shares of the Company’s common stock issuable under such plan by 1,410,000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Plan Approval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27, 2026, the Company’s stockholders approved the Company’s Rights Agreement. Such stockholder approval extended the final expiration date of the Rights Agreement until October 10, 2026, unless the rights thereunder are earlier redeemed or exchanged by the Company. The Rights Agreement otherwise remains unmodified and in full force and effect in accordance with its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his appointment as President and Chief Executive Officer of the Company, effective February 3, 2026, the Company entered into an employment agreement with Matthew Angel (the “Angel Employment Agreement”). Pursuant to the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0" w:name="page131"/>
    <w:bookmarkEnd w:id="130"/>
    <w:p>
      <w:pPr>
        <w:jc w:val="both"/>
        <w:spacing w:after="0" w:line="258" w:lineRule="auto"/>
        <w:rPr>
          <w:sz w:val="20"/>
          <w:szCs w:val="20"/>
          <w:color w:val="auto"/>
        </w:rPr>
      </w:pPr>
      <w:r>
        <w:rPr>
          <w:rFonts w:ascii="Times New Roman" w:cs="Times New Roman" w:eastAsia="Times New Roman" w:hAnsi="Times New Roman"/>
          <w:sz w:val="18"/>
          <w:szCs w:val="18"/>
          <w:color w:val="auto"/>
        </w:rPr>
        <w:t>Angel Employment Agreement, Dr. Angel is entitled to receive an annual base salary of $650,000 and will be eligible to receive an annual bonus equal to 50% of his base salary, as determined by the Board in its sole discretion. In addition, on February 3, 2026, Dr. Angel received an option to purchase 269,621 shares of common stock, with an exercise price per share equal to the fair market value on the grant date (the “Option”). The Option vests over a four-year period, with one quarter (1/4) of the shares subject to the Option vesting on the first anniversary of the grant date, and the remaining shares vesting equally over the following 36 months of continuous service.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3, 2026, the Company entered into an employment agreement with Nicholas Maestas (the “Maestas Employment Agreement”), pursuant to which Mr. Maestas is entitled to receive compensation consistent with his previously filed employment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20, 2026, the Company entered into a securities purchase agreement (the “Purchase Agreement”) with (a) two institutional investors (the “Institutional Investors”) and (b) Factor Bioscience Inc. (together with the Institutional Investors, each, an “Investor” and, together, the “Investors”), pursuant to which the Company agreed to issue and sell in a private placement (the “Private Placement”) an aggregate of 462,964 shares (the “Shares”) of the Company’s common stock, and, in lieu of common stock, pre-funded warrants to purchase up to 462,963 shares of common stock (the “2026 Pre-Funded Warrants”), in each case accompanied by (i) Series A warrants to purchase up to 925,927 shares of common stock (the “Series A Warrants”) and</w:t>
      </w:r>
    </w:p>
    <w:p>
      <w:pPr>
        <w:spacing w:after="0" w:line="3" w:lineRule="exact"/>
        <w:rPr>
          <w:sz w:val="20"/>
          <w:szCs w:val="20"/>
          <w:color w:val="auto"/>
        </w:rPr>
      </w:pPr>
    </w:p>
    <w:p>
      <w:pPr>
        <w:jc w:val="both"/>
        <w:ind w:firstLine="8"/>
        <w:spacing w:after="0" w:line="252" w:lineRule="auto"/>
        <w:tabs>
          <w:tab w:leader="none" w:pos="26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B warrants to purchase up to 925,927 shares of common stock (the “Series B Warrants” and, together with the Series A Warrants, the “Common Warrants”). The Shares and the Common Warrants are immediately separable and were issued separately. The combined purchase price per Share and accompanying Common Warrants was $2.16 and the combined purchase price per Pre-Funded Warrant and accompanying Common Warrants was $2.159. The gross proceeds to us from the Private Placement were approximately $2.0 million (excluding up to approximately $4.0 million of aggregate gross proceeds that may be received in the future upon the cash exercise of the Common Warrants), before deducting placement agent fees and other offering expenses payable by the Company.</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Purchase Agreement, the Company agreed to seek approval from our stockholders for the issuance of the shares issuable upon exercise of the Common Warrants within 90 days following the date of the Purchase Agreement (the “Stockholder Approval”). The Series A Warrants will become exercisable on the effective date of the Stockholder Approval (the “Stockholder Approval Date”) and have a term of five years from the later of the Stockholder Approval Date and the Effectiveness Date (as defined below). The Series B Warrants will become exercisable on the Stockholder Approval Date and have a term of twenty-four months from the later of the Stockholder Approval Date and the Effectiveness Date. The Common Warrants have an exercise price of $2.16 per share. The Pre-Funded Warrants are exercisable immediately following the closing date of the Private Placement have an exercise price of $0.001 per share and may be exercised at any time until exercised in full. In addition, pursuant to the Purchase Agreement, the Company agreed not to sell any shares of the Company’s common stock or any securities convertible into or exercisable or exchangeable into shares of common stock, subject to certain customary exceptions, for a period of thirty (30) days after the Effectiveness Date.</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Private Placement, the Company entered into a registration rights agreement with the Investors (the “Registration Rights Agreement”), pursuant to which the Company agreed to file registration statements under the Securities Act with the SEC covering the resale of the Shares to be issued in the Private Placement and the shares of the Company’s common stock underlying the Common Warrants and Pre-Funded Warrants no later than 15 calendar days following the date of the Purchase Agreement, and to use reasonable best efforts to have the registration statement declared effective by 45 calendar days following the date of the Purchase Agreement, and in any event no later than 75 calendar days following the date of the Purchase Agreement in the event of a “full review” by the SEC (the “Effectiveness Date”).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the reports that we file or submit under the Exchange Act is recorded, processed, summarized and reported within the time periods specified in the SEC’s rules and forms and accumulated and communicated to our management, including our principal executive and principal financial officers, or persons performing similar functions, as appropriate to allow timely decisions regarding required disclosure.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and Chief Financial Officer &amp; Head of Corporate Strategy (principal financial officer), evaluated the effectiveness of our disclosure controls and procedures (as defined in the Securities Exchange Act of 1934 Rules 13a-15(e) or 15d-15(e)) as required by paragraph (b) of Exchange Act Rules 13a-15 or 15d-15, as of December 31, 2025. Based on the evaluation of our disclosure controls and procedures as of December 31, 2025, our Chief Executive Officer and Chief Financial Officer &amp; Head of Corporate Strategy concluded that, as of such date, our disclosure controls and procedures were effective.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w:t>
      </w:r>
    </w:p>
    <w:p>
      <w:pPr>
        <w:spacing w:after="0" w:line="27" w:lineRule="exact"/>
        <w:rPr>
          <w:sz w:val="20"/>
          <w:szCs w:val="20"/>
          <w:color w:val="auto"/>
        </w:rPr>
      </w:pPr>
    </w:p>
    <w:p>
      <w:pPr>
        <w:jc w:val="both"/>
        <w:ind w:firstLine="8"/>
        <w:spacing w:after="0" w:line="253" w:lineRule="auto"/>
        <w:tabs>
          <w:tab w:leader="none" w:pos="24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Exchange Act). Internal control over financial reporting is a process designed to provide reasonable assurance regarding the reliability of financial reporting and the preparation of financial statements for external reporting purposes in accordance with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December 31, 2025. In making this assessment, management used the criteria set forth by the Committee of Sponsoring organizations of the Treadway Commission (COSO) in Internal Control – Integrated Framework (2013). Based on that assessment, our management concluded that, as of December 31, 2025, our internal control over financial reporting was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and therefore our independent registered public accounting firm has not issued a report on the effectiveness of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during the quarter ended December 31, 2025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no director or officer of the Company adopted or terminated a “Rule 10b5-1 trading arrangement” or “non-Rule 10b5-1 trading arrangement,” as each term is defined in Item 408(a) of Regulation S-K.</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information regarding each member of our board of directors (the “Board”), including their ages as of March 1,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0" w:type="dxa"/>
            <w:vAlign w:val="bottom"/>
          </w:tcPr>
          <w:p>
            <w:pPr>
              <w:spacing w:after="0"/>
              <w:rPr>
                <w:sz w:val="15"/>
                <w:szCs w:val="15"/>
                <w:color w:val="auto"/>
              </w:rPr>
            </w:pPr>
          </w:p>
        </w:tc>
        <w:tc>
          <w:tcPr>
            <w:tcW w:w="420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20" w:type="dxa"/>
            <w:vAlign w:val="bottom"/>
          </w:tcPr>
          <w:p>
            <w:pPr>
              <w:spacing w:after="0"/>
              <w:rPr>
                <w:sz w:val="15"/>
                <w:szCs w:val="15"/>
                <w:color w:val="auto"/>
              </w:rPr>
            </w:pPr>
          </w:p>
        </w:tc>
        <w:tc>
          <w:tcPr>
            <w:tcW w:w="436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0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100" w:type="dxa"/>
            <w:vAlign w:val="bottom"/>
          </w:tcPr>
          <w:p>
            <w:pPr>
              <w:spacing w:after="0"/>
              <w:rPr>
                <w:sz w:val="15"/>
                <w:szCs w:val="15"/>
                <w:color w:val="auto"/>
              </w:rPr>
            </w:pPr>
          </w:p>
        </w:tc>
      </w:tr>
      <w:tr>
        <w:trPr>
          <w:trHeight w:val="209"/>
        </w:trPr>
        <w:tc>
          <w:tcPr>
            <w:tcW w:w="4320" w:type="dxa"/>
            <w:vAlign w:val="bottom"/>
            <w:gridSpan w:val="2"/>
            <w:shd w:val="clear" w:color="auto" w:fill="CFF0FC"/>
          </w:tcPr>
          <w:p>
            <w:pPr>
              <w:ind w:left="120"/>
              <w:spacing w:after="0" w:line="210" w:lineRule="exact"/>
              <w:rPr>
                <w:sz w:val="20"/>
                <w:szCs w:val="20"/>
                <w:color w:val="auto"/>
              </w:rPr>
            </w:pPr>
            <w:r>
              <w:rPr>
                <w:rFonts w:ascii="Times New Roman" w:cs="Times New Roman" w:eastAsia="Times New Roman" w:hAnsi="Times New Roman"/>
                <w:sz w:val="18"/>
                <w:szCs w:val="18"/>
                <w:color w:val="auto"/>
              </w:rPr>
              <w:t>Matthew Angel</w:t>
            </w:r>
            <w:r>
              <w:rPr>
                <w:rFonts w:ascii="Times New Roman" w:cs="Times New Roman" w:eastAsia="Times New Roman" w:hAnsi="Times New Roman"/>
                <w:sz w:val="24"/>
                <w:szCs w:val="24"/>
                <w:color w:val="auto"/>
                <w:vertAlign w:val="superscript"/>
              </w:rPr>
              <w:t>(1)</w:t>
            </w:r>
          </w:p>
        </w:tc>
        <w:tc>
          <w:tcPr>
            <w:tcW w:w="74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45</w:t>
            </w:r>
          </w:p>
        </w:tc>
        <w:tc>
          <w:tcPr>
            <w:tcW w:w="45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138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shd w:val="clear" w:color="auto" w:fill="CFF0FC"/>
          </w:tcPr>
          <w:p>
            <w:pPr>
              <w:spacing w:after="0"/>
              <w:rPr>
                <w:sz w:val="18"/>
                <w:szCs w:val="18"/>
                <w:color w:val="auto"/>
              </w:rPr>
            </w:pPr>
          </w:p>
        </w:tc>
      </w:tr>
      <w:tr>
        <w:trPr>
          <w:trHeight w:val="216"/>
        </w:trPr>
        <w:tc>
          <w:tcPr>
            <w:tcW w:w="432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8"/>
                <w:szCs w:val="18"/>
                <w:color w:val="auto"/>
              </w:rPr>
              <w:t>Stephen Brady</w:t>
            </w:r>
            <w:r>
              <w:rPr>
                <w:rFonts w:ascii="Times New Roman" w:cs="Times New Roman" w:eastAsia="Times New Roman" w:hAnsi="Times New Roman"/>
                <w:sz w:val="24"/>
                <w:szCs w:val="24"/>
                <w:color w:val="auto"/>
                <w:vertAlign w:val="superscript"/>
              </w:rPr>
              <w:t>(2)</w:t>
            </w:r>
          </w:p>
        </w:tc>
        <w:tc>
          <w:tcPr>
            <w:tcW w:w="7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56</w:t>
            </w:r>
          </w:p>
        </w:tc>
        <w:tc>
          <w:tcPr>
            <w:tcW w:w="4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Chair of the Board</w:t>
            </w:r>
          </w:p>
        </w:tc>
        <w:tc>
          <w:tcPr>
            <w:tcW w:w="13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8"/>
                <w:szCs w:val="18"/>
                <w:color w:val="auto"/>
              </w:rPr>
            </w:pPr>
          </w:p>
        </w:tc>
      </w:tr>
      <w:tr>
        <w:trPr>
          <w:trHeight w:val="216"/>
        </w:trPr>
        <w:tc>
          <w:tcPr>
            <w:tcW w:w="4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Christine Pellizzari</w:t>
            </w:r>
          </w:p>
        </w:tc>
        <w:tc>
          <w:tcPr>
            <w:tcW w:w="74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58</w:t>
            </w:r>
          </w:p>
        </w:tc>
        <w:tc>
          <w:tcPr>
            <w:tcW w:w="45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shd w:val="clear" w:color="auto" w:fill="CFF0FC"/>
          </w:tcPr>
          <w:p>
            <w:pPr>
              <w:spacing w:after="0"/>
              <w:rPr>
                <w:sz w:val="18"/>
                <w:szCs w:val="18"/>
                <w:color w:val="auto"/>
              </w:rPr>
            </w:pPr>
          </w:p>
        </w:tc>
      </w:tr>
      <w:tr>
        <w:trPr>
          <w:trHeight w:val="216"/>
        </w:trPr>
        <w:tc>
          <w:tcPr>
            <w:tcW w:w="432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8"/>
                <w:szCs w:val="18"/>
                <w:color w:val="auto"/>
              </w:rPr>
              <w:t>Michael Raab</w:t>
            </w:r>
            <w:r>
              <w:rPr>
                <w:rFonts w:ascii="Times New Roman" w:cs="Times New Roman" w:eastAsia="Times New Roman" w:hAnsi="Times New Roman"/>
                <w:sz w:val="24"/>
                <w:szCs w:val="24"/>
                <w:color w:val="auto"/>
                <w:vertAlign w:val="superscript"/>
              </w:rPr>
              <w:t>(2)</w:t>
            </w:r>
          </w:p>
        </w:tc>
        <w:tc>
          <w:tcPr>
            <w:tcW w:w="7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61</w:t>
            </w:r>
          </w:p>
        </w:tc>
        <w:tc>
          <w:tcPr>
            <w:tcW w:w="4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8"/>
                <w:szCs w:val="18"/>
                <w:color w:val="auto"/>
              </w:rPr>
            </w:pPr>
          </w:p>
        </w:tc>
      </w:tr>
      <w:tr>
        <w:trPr>
          <w:trHeight w:val="216"/>
        </w:trPr>
        <w:tc>
          <w:tcPr>
            <w:tcW w:w="4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Ronit Simantov</w:t>
            </w:r>
          </w:p>
        </w:tc>
        <w:tc>
          <w:tcPr>
            <w:tcW w:w="74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61</w:t>
            </w:r>
          </w:p>
        </w:tc>
        <w:tc>
          <w:tcPr>
            <w:tcW w:w="45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shd w:val="clear" w:color="auto" w:fill="CFF0FC"/>
          </w:tcPr>
          <w:p>
            <w:pPr>
              <w:spacing w:after="0"/>
              <w:rPr>
                <w:sz w:val="18"/>
                <w:szCs w:val="18"/>
                <w:color w:val="auto"/>
              </w:rPr>
            </w:pPr>
          </w:p>
        </w:tc>
      </w:tr>
    </w:tbl>
    <w:p>
      <w:pPr>
        <w:spacing w:after="0" w:line="85" w:lineRule="exact"/>
        <w:rPr>
          <w:sz w:val="20"/>
          <w:szCs w:val="20"/>
          <w:color w:val="auto"/>
        </w:rPr>
      </w:pPr>
    </w:p>
    <w:p>
      <w:pPr>
        <w:ind w:left="380" w:hanging="372"/>
        <w:spacing w:after="0"/>
        <w:tabs>
          <w:tab w:leader="none" w:pos="3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Angel was appointed as the Company’s Chief Executive Officer, President and director, effective immediately following the Closing of the Asset Acquisition.</w:t>
      </w:r>
    </w:p>
    <w:p>
      <w:pPr>
        <w:spacing w:after="0" w:line="95" w:lineRule="exact"/>
        <w:rPr>
          <w:rFonts w:ascii="Times New Roman" w:cs="Times New Roman" w:eastAsia="Times New Roman" w:hAnsi="Times New Roman"/>
          <w:sz w:val="14"/>
          <w:szCs w:val="14"/>
          <w:color w:val="auto"/>
        </w:rPr>
      </w:pPr>
    </w:p>
    <w:p>
      <w:pPr>
        <w:ind w:left="380" w:right="120" w:hanging="372"/>
        <w:spacing w:after="0" w:line="241" w:lineRule="auto"/>
        <w:tabs>
          <w:tab w:leader="none" w:pos="3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Raab, Chair of the Board since 2021, in light of his other professional commitments and in consideration of our current strategic objectives, determined that it would be appropriate to transition the role of Chair of the Board to a successor. Accordingly, Mr. Raab proposed that Mr. Brady succeed him, which the Board approved, effective immediately following the Closing of the Asset Acquisition.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Matthew Angel</w:t>
      </w:r>
    </w:p>
    <w:p>
      <w:pPr>
        <w:spacing w:after="0" w:line="22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Matthew Angel has served as our Chief Executive Officer, President and as a member of our Board since February 2026. Dr. Angel is the Co-Founder and Chairman of the Board of Directors of Factor Bioscience Inc. (“Factor”) and previously served as Factor’s President and Chief Executive Officer from 2011 to February 2026. From January 2023 to December 2023, Dr. Angel served as President and Chief Executive Officer and as a director of Ernexa Therapeutics Inc. (f/k/a Eterna Therapeutics Inc.). From May 2022 to December 2022, Dr. Angel served as Interim President, Chief Executive Officer and as a director of Ernexa Therapeutics Inc. In 2020, Dr. Angel co-founded Exacis Biotherapeutics Inc. (“Exacis”) and served as the Chief Science Officer, Secretary, Treasurer and as a director of Exacis from 2020 until the sale of Exacis in May 2023. Dr. Angel also co-founded and served as the Chief Science Officer, Secretary and as a director of Novellus, Inc., from 2014 until the sale of Novellus in July 2021. Dr. Angel received a Ph.D. from the Massachusetts Institute of Technology in 2012 and a B.S. in Engineering from Princeton University in 2003. Mr. Angel’s role as our Chief Executive Officer, his business expertise and his prior leadership roles in biotechnology companies provides him with the qualifications and skills to serve as a member of our Board.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Stephen Brady</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Stephen Brady has served as a member of our Board since June 2021. Mr. Brady served as our Chief Executive Officer from June 2021 until February 2026 and as our President from September 2023 to February 2026. Mr. Brady also served as President and Chief Operating Officer of our legacy company from September 2019 until June 2021. Previously, from September 2013 until April 2019, Mr. Brady served in various leadership positions, most recently as Executive Vice President, Strategy and Finance, at Immune Design, Inc., a biopharmaceutical company that was acquired by Merck &amp; Co., Inc. (“Merck”) in 2019. At Immune Design, Mr. Brady led the general and administrative functions at the company, including strategy, corporate development, finance and investor and public relations. Prior to Immune Design, he held roles of increasing responsibility in multiple biopharmaceutical companies, including as Vice President of Corporate Development at Proteolix, where he had primary responsibility for the company’s business development activities and sale to Onyx Pharmaceuticals. Mr. Brady served as a member of the board of directors of Atreca, Inc. from July 2021 to May 2024, and has served as a member of the board of the Biotechnology Innovation Organization (BIO), Emerging Companies Section Governing Board, since 2022. Mr. Brady received a B.A. in English from the University of Oregon, a J.D. from the University of the Pacific and an LL.M. from New York University School of Law. Mr. Brady’s prior role as our Chief Executive Officer, his business expertise and his prior leadership roles in biotechnology companies provides him with the qualifications and skills to serve as a member of our Board.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Christine Pellizzari</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Christine Pellizzari has served as a member of our Board since July 2021. Ms. Pellizzari has served as the Chief Legal Officer of Cleerly, Inc. since September 2025 and as the Principal of CAP Strategic Advisory Services since May 2024. Ms. Pellizzari</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3" w:name="page134"/>
    <w:bookmarkEnd w:id="133"/>
    <w:p>
      <w:pPr>
        <w:jc w:val="both"/>
        <w:spacing w:after="0" w:line="253" w:lineRule="auto"/>
        <w:rPr>
          <w:sz w:val="20"/>
          <w:szCs w:val="20"/>
          <w:color w:val="auto"/>
        </w:rPr>
      </w:pPr>
      <w:r>
        <w:rPr>
          <w:rFonts w:ascii="Times New Roman" w:cs="Times New Roman" w:eastAsia="Times New Roman" w:hAnsi="Times New Roman"/>
          <w:sz w:val="18"/>
          <w:szCs w:val="18"/>
          <w:color w:val="auto"/>
        </w:rPr>
        <w:t>previously served as the Chief Legal and Human Resources Officer of Science 37 Holdings, Inc. (Science 37) from July 2021 to May 2024. Ms. Pellizzari has served as a director and member of audit and compensation committees of Imunon, Inc. (formerly Celsion Corporation) since June 2021 and a director and member of the audit and compensation committees of Neurosense Therapeutics Ltd. since December 2021. Ms. Pellizzari served as Chief Legal Officer of Insmed, Inc. from 2018 to 2021 and prior to that as the General Counsel and Corporate Secretary from 2013 to 2018. Prior to joining Insmed, Ms. Pellizzari held various legal positions of increasing responsibility at Aegerion Pharmaceuticals, Inc., most recently as Executive Vice President, General Counsel and Secretary. Prior to Aegerion, Ms. Pellizzari served as Senior Vice President, General Counsel and Secretary of Dendrite International, Inc. Ms. Pellizzari joined Dendrite from the law firm of Wilentz, Goldman &amp; Spitzer where she specialized in health care transactions and related regulatory matters. She previously served as law clerk to the Honorable Reginald Stanton, Assignment Judge for the Superior Court of New Jersey. Ms. Pellizzari received her B.A. from the University of Massachusetts, Amherst and her J.D. from the University of Colorado, Boulder. Ms. Pellizzari’s legal, financial and business expertise in the biotechnology industry, including her experience in the capital markets and financial and legal compliance, qualifies her to serve as a member of our Board.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Michael Raab</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Michael Raab has served as a member of our Board since June 2021, and served as Chairman of our Board from June 2021 until February 2026 and as a member and Chairman of the board of directors of our legacy company from December 2018 until June 2021. Mr. Raab has served as Ardelyx Inc.’s President and Chief Executive Officer since March 2009 and as a member of the board of directors since 2008. Before Ardelyx, Mr. Raab was a partner at New Enterprise Associates (“NEA”), where he focused on the biotechnology and pharmaceutical sectors. Prior to joining NEA, Mr. Raab spent 15 years in commercial and operating leadership roles in the biotech and pharmaceutical industries, including serving as Senior Vice President, Therapeutics and General Manager of the Renal Division at Genzyme Corporation, or Genzyme, a biotechnology company. Mr. Raab also spent two years with Genzyme’s diagnostic products and services division. Before Genzyme, Mr. Raab held business development and sales and marketing positions at Repligen Corporation, a life sciences company, and Bristol-Myers Corporation. Mr. Raab has been the lead independent director of Amicus Therapeutics, Inc. since 2004. Mr. Raab received his B.A. from DePauw University. Mr. Raab’s industry and investment experience qualifies him to serve as a member of our Board.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Ronit Simantov, M.D.</w:t>
      </w:r>
    </w:p>
    <w:p>
      <w:pPr>
        <w:spacing w:after="0" w:line="229" w:lineRule="exact"/>
        <w:rPr>
          <w:sz w:val="20"/>
          <w:szCs w:val="20"/>
          <w:color w:val="auto"/>
        </w:rPr>
      </w:pPr>
    </w:p>
    <w:p>
      <w:pPr>
        <w:jc w:val="both"/>
        <w:ind w:firstLine="734"/>
        <w:spacing w:after="0" w:line="253" w:lineRule="auto"/>
        <w:rPr>
          <w:sz w:val="20"/>
          <w:szCs w:val="20"/>
          <w:color w:val="auto"/>
        </w:rPr>
      </w:pPr>
      <w:r>
        <w:rPr>
          <w:rFonts w:ascii="Times New Roman" w:cs="Times New Roman" w:eastAsia="Times New Roman" w:hAnsi="Times New Roman"/>
          <w:sz w:val="18"/>
          <w:szCs w:val="18"/>
          <w:color w:val="auto"/>
        </w:rPr>
        <w:t>Ronit Simantov, M.D. has served as member of our Board since August 2021. Dr. Simantov has served as Chief Medical Officer of Gamida Cell Ltd. since July 2017 and as the Chief Scientific Officer since July 2021. From July 2021 to July 2023, Dr. Simantov served as a member of the board of directors of Clovis Oncology, Inc. Prior to joining Gamida Cell, Dr. Simantov served as Vice President, Oncology Global Medical Affairs at Pfizer Inc., where she was responsible for multiple oncology programs in various roles. Prior to Pfizer, Dr. Simantov served as Vice President of Clinical Research at OSI Pharmaceuticals, as Chief Medical Officer at CuraGen Corporation (acquired by Celldex) where she led development of small molecules and antibody-drug conjugates, and at Bayer HealthCare Pharmaceuticals, where she led the Phase 3 study of Nexavar® (sorafenib) resulting in the first approval of a tyrosine kinase inhibitor in renal cell carcinoma. Prior to joining industry, Dr. Simantov spent seven years on the academic faculty at Weill Medical College of Cornell University, where she directed the fellowship program and conducted angiogenesis and vascular biology research. She has authored over 40 peer-reviewed manuscripts. Dr. Simantov holds an M.D. from New York University School of Medicine and a B.A. from Johns Hopkins University. She completed a residency in internal medicine at New York Hospital Cornell Medical Center, and a fellowship in hematology and oncology at Weill Cornell Medicine. Dr. Simantov’s extensive clinical and scientific experience provides her with the qualifications and skills to serve as a member of our Board.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xecutive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fficers</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who are not listed above as a member of our board of directors, including their ages as of March 1, 2026. There are no family relationships among any of our executive officers.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58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
        </w:trPr>
        <w:tc>
          <w:tcPr>
            <w:tcW w:w="12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440" w:type="dxa"/>
            <w:vAlign w:val="bottom"/>
            <w:gridSpan w:val="2"/>
            <w:shd w:val="clear" w:color="auto" w:fill="CFF0FC"/>
          </w:tcPr>
          <w:p>
            <w:pPr>
              <w:ind w:left="120"/>
              <w:spacing w:after="0" w:line="210" w:lineRule="exact"/>
              <w:rPr>
                <w:sz w:val="20"/>
                <w:szCs w:val="20"/>
                <w:color w:val="auto"/>
              </w:rPr>
            </w:pPr>
            <w:r>
              <w:rPr>
                <w:rFonts w:ascii="Times New Roman" w:cs="Times New Roman" w:eastAsia="Times New Roman" w:hAnsi="Times New Roman"/>
                <w:sz w:val="18"/>
                <w:szCs w:val="18"/>
                <w:color w:val="auto"/>
              </w:rPr>
              <w:t>Matthew Angel</w:t>
            </w:r>
            <w:r>
              <w:rPr>
                <w:rFonts w:ascii="Times New Roman" w:cs="Times New Roman" w:eastAsia="Times New Roman" w:hAnsi="Times New Roman"/>
                <w:sz w:val="24"/>
                <w:szCs w:val="24"/>
                <w:color w:val="auto"/>
                <w:vertAlign w:val="superscript"/>
              </w:rPr>
              <w:t>(1)</w:t>
            </w:r>
          </w:p>
        </w:tc>
        <w:tc>
          <w:tcPr>
            <w:tcW w:w="98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45</w:t>
            </w:r>
          </w:p>
        </w:tc>
        <w:tc>
          <w:tcPr>
            <w:tcW w:w="580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r>
      <w:tr>
        <w:trPr>
          <w:trHeight w:val="234"/>
        </w:trPr>
        <w:tc>
          <w:tcPr>
            <w:tcW w:w="3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Nicholas Maestas</w:t>
            </w:r>
          </w:p>
        </w:tc>
        <w:tc>
          <w:tcPr>
            <w:tcW w:w="9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46</w:t>
            </w:r>
          </w:p>
        </w:tc>
        <w:tc>
          <w:tcPr>
            <w:tcW w:w="5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tc>
      </w:tr>
    </w:tbl>
    <w:p>
      <w:pPr>
        <w:spacing w:after="0" w:line="67" w:lineRule="exact"/>
        <w:rPr>
          <w:sz w:val="20"/>
          <w:szCs w:val="20"/>
          <w:color w:val="auto"/>
        </w:rPr>
      </w:pPr>
    </w:p>
    <w:p>
      <w:pPr>
        <w:ind w:left="380" w:hanging="372"/>
        <w:spacing w:after="0"/>
        <w:tabs>
          <w:tab w:leader="none" w:pos="3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Angel was appointed as the Company’s Chief Executive Officer, President and director, effective immediately following the Closing.</w:t>
      </w:r>
    </w:p>
    <w:p>
      <w:pPr>
        <w:spacing w:after="0" w:line="2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Biographical information for Dr. Angel is included above with the director biographies under the caption “Board of Directors.”</w:t>
      </w:r>
    </w:p>
    <w:p>
      <w:pPr>
        <w:spacing w:after="0" w:line="11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Nicholas Maestas</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Mr. Maestas has served as our Chief Financial Officer and Head of Corporate Strategy since January 2025, having previously served as Vice President, Finance and Strategy from July 2021 through December 2024, and has served as our Corporate Secretary since September 2022. Prior to joining us, Mr. Maestas served as the head of FP&amp;A and strategic finance at Alector, a biopharmaceutical company that develops therapies for the treatment of neurodegeneration diseases, from July 2019 to July 2021. Prior to joining Alector, from November 2014 to July 2019, Mr. Maestas served in a variety of roles at Immune Design, an oncology immunotherapy company that was acquired by Merck in 2019, including as Senior Director, Corporate Development</w:t>
      </w:r>
    </w:p>
    <w:p>
      <w:pPr>
        <w:spacing w:after="0" w:line="3" w:lineRule="exact"/>
        <w:rPr>
          <w:sz w:val="20"/>
          <w:szCs w:val="20"/>
          <w:color w:val="auto"/>
        </w:rPr>
      </w:pPr>
    </w:p>
    <w:p>
      <w:pPr>
        <w:ind w:firstLine="8"/>
        <w:spacing w:after="0" w:line="260" w:lineRule="auto"/>
        <w:tabs>
          <w:tab w:leader="none" w:pos="19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from January to July 2019 and Director, Corporate Development &amp; Operations from January 2017 to December 2018. Mr. Maestas received a B.A. in Molecular and Cell Biology from the University of California, Berkeley and an M.B.A. from The Wharton School, University of Pennsylvania.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orporate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Board has a separately designated Audit Committee (the “Audit Committee”) established in accordance with Section 3(a)(58)(A) of the Exchange Act to oversee the Company’s corporate accounting and financial reporting processes and audits of its financial statements. Geoff Nichol, Christine Pellizzari and Michael Raab, served as members of the Audit Committee during 2025 with Ms. Pellizzari serving as Chair. On February 3, 2026, Dr. Nichol resigned from the Board and all committees thereof and Ronit Simantov was appointed to the Audit Committee to fill the vacancy created by Dr. Nichol’s resignation. The Board determined that each current member of the Audit Committee satisfies the independence requirements under Nasdaq listing standards and Rule 10A-3(b)(1) of the Exchange Act. Our Board has determined that Ms. Pellizzari is an “audit committee financial expert” within the meaning of SEC regulations. Each member of the Audit Committee can read and understand fundamental financial statements in accordance with applicable requirements. In arriving at these determinations, our Board has examined each Audit Committee member’s scope of experience and the nature of their employment.</w:t>
      </w:r>
    </w:p>
    <w:p>
      <w:pPr>
        <w:spacing w:after="0" w:line="188"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responsibilities of the Board with respect to the corporate accounting and financial reporting processes, systems of internal control and financial statement audits, and to oversee the independent registered public accounting firm.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have adopted a Code of Business Conduct that applies to all officers, directors and employees. If we ever were to amend or waive any provision of our Code of Conduct that applies to our principal executive officer, principal financial officer, principal accounting officer or any person performing similar functions, we intend to promptly disclose on our website (i) the date and nature of any amendment (other than technical, administrative or other non-substantive amendments) to the Code of Conduct that relates to any element of the code of ethics definition enumerated in Item 406(b) of Regulation S-K and (ii) the nature of any waiver, including an implicit waiver, from a provision of the Code of Conduct that is granted to one of these specified individuals that relates to one or more of the elements of the code of ethics definition enumerated in Item 406(b) of Regulation S-K, the name of such person who is granted the waiver and the date of the waiver. The full text of our Code of Conduct is available at the investors section of our website at www.tempesttx.com. The reference to our website address does not constitute incorporation by reference of the information contained at or available through our website, and you should not consider it to be a part of this Amendment.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231F20"/>
        </w:rPr>
        <w:t>We have adopted an insider trading policy governing the purchase, sale, and/or other dispositions of the Company’s securities by directors, officers, employees and designated consultants that is designed to promote compliance with insider trading laws, rules and regulations, as well as procedures designed to further the foregoing purposes. A copy of our insider trading policy was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color w:val="231F20"/>
        </w:rPr>
        <w:t>filed as an exhibit to our Annual Report on Form 10-K for our fiscal year ended December 31, 2024, originally filed with the SEC on March 27,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Share numbers included in the following tables and footnotes included in this Executive and Director Compensation section have been adjusted for the 1-for-13 reverse stock split (the “Reverse Stock Split”) of our common stock, on April 8, 2025, as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for each of the last two completed fiscal years regarding compensation awarded to or earned by our Former Chief Executive Officer and the two other most highly compensated executive officers (the “Named Executive Officers”) during the fiscal years indicated: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Salary</w:t>
            </w:r>
            <w:r>
              <w:rPr>
                <w:rFonts w:ascii="Times New Roman" w:cs="Times New Roman" w:eastAsia="Times New Roman" w:hAnsi="Times New Roman"/>
                <w:sz w:val="19"/>
                <w:szCs w:val="19"/>
                <w:b w:val="1"/>
                <w:bCs w:val="1"/>
                <w:color w:val="auto"/>
                <w:w w:val="96"/>
                <w:vertAlign w:val="superscript"/>
              </w:rPr>
              <w:t>(1)</w:t>
            </w:r>
          </w:p>
        </w:tc>
        <w:tc>
          <w:tcPr>
            <w:tcW w:w="1140" w:type="dxa"/>
            <w:vAlign w:val="bottom"/>
            <w:gridSpan w:val="2"/>
            <w:vMerge w:val="continue"/>
          </w:tcPr>
          <w:p>
            <w:pPr>
              <w:spacing w:after="0"/>
              <w:rPr>
                <w:sz w:val="12"/>
                <w:szCs w:val="12"/>
                <w:color w:val="auto"/>
              </w:rPr>
            </w:pPr>
          </w:p>
        </w:tc>
        <w:tc>
          <w:tcPr>
            <w:tcW w:w="16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740" w:type="dxa"/>
            <w:vAlign w:val="bottom"/>
            <w:gridSpan w:val="2"/>
            <w:vMerge w:val="continue"/>
          </w:tcPr>
          <w:p>
            <w:pPr>
              <w:spacing w:after="0"/>
              <w:rPr>
                <w:sz w:val="12"/>
                <w:szCs w:val="12"/>
                <w:color w:val="auto"/>
              </w:rPr>
            </w:pP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326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6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7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32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8"/>
                <w:szCs w:val="8"/>
                <w:b w:val="1"/>
                <w:bCs w:val="1"/>
                <w:color w:val="auto"/>
              </w:rPr>
              <w:t>(2)(3)</w:t>
            </w:r>
          </w:p>
        </w:tc>
        <w:tc>
          <w:tcPr>
            <w:tcW w:w="22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5"/>
                <w:szCs w:val="15"/>
                <w:color w:val="auto"/>
              </w:rPr>
            </w:pPr>
          </w:p>
        </w:tc>
        <w:tc>
          <w:tcPr>
            <w:tcW w:w="152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(4)</w:t>
            </w:r>
          </w:p>
        </w:tc>
        <w:tc>
          <w:tcPr>
            <w:tcW w:w="220" w:type="dxa"/>
            <w:vAlign w:val="bottom"/>
          </w:tcPr>
          <w:p>
            <w:pPr>
              <w:spacing w:after="0"/>
              <w:rPr>
                <w:sz w:val="15"/>
                <w:szCs w:val="15"/>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00" w:type="dxa"/>
            <w:vAlign w:val="bottom"/>
            <w:gridSpan w:val="3"/>
            <w:shd w:val="clear" w:color="auto" w:fill="CCEEFF"/>
          </w:tcPr>
          <w:p>
            <w:pPr>
              <w:ind w:left="120"/>
              <w:spacing w:after="0" w:line="210" w:lineRule="exact"/>
              <w:rPr>
                <w:sz w:val="20"/>
                <w:szCs w:val="20"/>
                <w:color w:val="auto"/>
              </w:rPr>
            </w:pPr>
            <w:r>
              <w:rPr>
                <w:rFonts w:ascii="Times New Roman" w:cs="Times New Roman" w:eastAsia="Times New Roman" w:hAnsi="Times New Roman"/>
                <w:sz w:val="18"/>
                <w:szCs w:val="18"/>
                <w:color w:val="auto"/>
              </w:rPr>
              <w:t>Stephen Brady</w:t>
            </w:r>
            <w:r>
              <w:rPr>
                <w:rFonts w:ascii="Times New Roman" w:cs="Times New Roman" w:eastAsia="Times New Roman" w:hAnsi="Times New Roman"/>
                <w:sz w:val="24"/>
                <w:szCs w:val="24"/>
                <w:color w:val="auto"/>
                <w:vertAlign w:val="superscript"/>
              </w:rPr>
              <w:t>(5)</w:t>
            </w:r>
          </w:p>
        </w:tc>
        <w:tc>
          <w:tcPr>
            <w:tcW w:w="700" w:type="dxa"/>
            <w:vAlign w:val="bottom"/>
            <w:gridSpan w:val="3"/>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906,400</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556,981</w:t>
            </w: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836,094</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2,299,475</w:t>
            </w:r>
          </w:p>
        </w:tc>
        <w:tc>
          <w:tcPr>
            <w:tcW w:w="0" w:type="dxa"/>
            <w:vAlign w:val="bottom"/>
          </w:tcPr>
          <w:p>
            <w:pPr>
              <w:spacing w:after="0"/>
              <w:rPr>
                <w:sz w:val="1"/>
                <w:szCs w:val="1"/>
                <w:color w:val="auto"/>
              </w:rPr>
            </w:pPr>
          </w:p>
        </w:tc>
      </w:tr>
      <w:tr>
        <w:trPr>
          <w:trHeight w:val="196"/>
        </w:trPr>
        <w:tc>
          <w:tcPr>
            <w:tcW w:w="3500" w:type="dxa"/>
            <w:vAlign w:val="bottom"/>
            <w:gridSpan w:val="3"/>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i w:val="1"/>
                <w:iCs w:val="1"/>
                <w:color w:val="auto"/>
              </w:rPr>
              <w:t>Former Chief Executive Officer and</w:t>
            </w:r>
          </w:p>
        </w:tc>
        <w:tc>
          <w:tcPr>
            <w:tcW w:w="700" w:type="dxa"/>
            <w:vAlign w:val="bottom"/>
            <w:gridSpan w:val="3"/>
            <w:shd w:val="clear" w:color="auto" w:fill="CCEEFF"/>
          </w:tcPr>
          <w:p>
            <w:pPr>
              <w:jc w:val="center"/>
              <w:ind w:left="10"/>
              <w:spacing w:after="0" w:line="195" w:lineRule="exact"/>
              <w:rPr>
                <w:sz w:val="20"/>
                <w:szCs w:val="20"/>
                <w:color w:val="auto"/>
              </w:rPr>
            </w:pPr>
            <w:r>
              <w:rPr>
                <w:rFonts w:ascii="Times New Roman" w:cs="Times New Roman" w:eastAsia="Times New Roman" w:hAnsi="Times New Roman"/>
                <w:sz w:val="18"/>
                <w:szCs w:val="18"/>
                <w:color w:val="auto"/>
                <w:w w:val="99"/>
              </w:rPr>
              <w:t>2024</w:t>
            </w:r>
          </w:p>
        </w:tc>
        <w:tc>
          <w:tcPr>
            <w:tcW w:w="1280" w:type="dxa"/>
            <w:vAlign w:val="bottom"/>
            <w:gridSpan w:val="3"/>
            <w:shd w:val="clear" w:color="auto" w:fill="CCEEFF"/>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600,000</w:t>
            </w:r>
          </w:p>
        </w:tc>
        <w:tc>
          <w:tcPr>
            <w:tcW w:w="1140" w:type="dxa"/>
            <w:vAlign w:val="bottom"/>
            <w:gridSpan w:val="2"/>
            <w:shd w:val="clear" w:color="auto" w:fill="CCEEFF"/>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977,999</w:t>
            </w:r>
          </w:p>
        </w:tc>
        <w:tc>
          <w:tcPr>
            <w:tcW w:w="1600" w:type="dxa"/>
            <w:vAlign w:val="bottom"/>
            <w:gridSpan w:val="2"/>
            <w:shd w:val="clear" w:color="auto" w:fill="CCEEFF"/>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280,500</w:t>
            </w:r>
          </w:p>
        </w:tc>
        <w:tc>
          <w:tcPr>
            <w:tcW w:w="1740" w:type="dxa"/>
            <w:vAlign w:val="bottom"/>
            <w:gridSpan w:val="2"/>
            <w:shd w:val="clear" w:color="auto" w:fill="CCEEFF"/>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13,800</w:t>
            </w:r>
          </w:p>
        </w:tc>
        <w:tc>
          <w:tcPr>
            <w:tcW w:w="1160" w:type="dxa"/>
            <w:vAlign w:val="bottom"/>
            <w:gridSpan w:val="2"/>
            <w:shd w:val="clear" w:color="auto" w:fill="CCEEFF"/>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1,872,299</w:t>
            </w:r>
          </w:p>
        </w:tc>
        <w:tc>
          <w:tcPr>
            <w:tcW w:w="0" w:type="dxa"/>
            <w:vAlign w:val="bottom"/>
          </w:tcPr>
          <w:p>
            <w:pPr>
              <w:spacing w:after="0"/>
              <w:rPr>
                <w:sz w:val="1"/>
                <w:szCs w:val="1"/>
                <w:color w:val="auto"/>
              </w:rPr>
            </w:pPr>
          </w:p>
        </w:tc>
      </w:tr>
      <w:tr>
        <w:trPr>
          <w:trHeight w:val="236"/>
        </w:trPr>
        <w:tc>
          <w:tcPr>
            <w:tcW w:w="35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President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50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7"/>
                <w:szCs w:val="17"/>
                <w:color w:val="auto"/>
              </w:rPr>
              <w:t>Samuel Whiting</w:t>
            </w:r>
            <w:r>
              <w:rPr>
                <w:rFonts w:ascii="Times New Roman" w:cs="Times New Roman" w:eastAsia="Times New Roman" w:hAnsi="Times New Roman"/>
                <w:sz w:val="22"/>
                <w:szCs w:val="22"/>
                <w:color w:val="auto"/>
                <w:vertAlign w:val="superscript"/>
              </w:rPr>
              <w:t>(6)</w:t>
            </w:r>
          </w:p>
        </w:tc>
        <w:tc>
          <w:tcPr>
            <w:tcW w:w="700" w:type="dxa"/>
            <w:vAlign w:val="bottom"/>
            <w:gridSpan w:val="3"/>
          </w:tcPr>
          <w:p>
            <w:pPr>
              <w:jc w:val="center"/>
              <w:ind w:left="10"/>
              <w:spacing w:after="0" w:line="195" w:lineRule="exact"/>
              <w:rPr>
                <w:sz w:val="20"/>
                <w:szCs w:val="20"/>
                <w:color w:val="auto"/>
              </w:rPr>
            </w:pPr>
            <w:r>
              <w:rPr>
                <w:rFonts w:ascii="Times New Roman" w:cs="Times New Roman" w:eastAsia="Times New Roman" w:hAnsi="Times New Roman"/>
                <w:sz w:val="18"/>
                <w:szCs w:val="18"/>
                <w:color w:val="auto"/>
                <w:w w:val="99"/>
              </w:rPr>
              <w:t>2025</w:t>
            </w:r>
          </w:p>
        </w:tc>
        <w:tc>
          <w:tcPr>
            <w:tcW w:w="1280" w:type="dxa"/>
            <w:vAlign w:val="bottom"/>
            <w:gridSpan w:val="3"/>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222,708</w:t>
            </w:r>
          </w:p>
        </w:tc>
        <w:tc>
          <w:tcPr>
            <w:tcW w:w="1140" w:type="dxa"/>
            <w:vAlign w:val="bottom"/>
            <w:gridSpan w:val="2"/>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300,246</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453,459</w:t>
            </w:r>
          </w:p>
        </w:tc>
        <w:tc>
          <w:tcPr>
            <w:tcW w:w="116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976,413</w:t>
            </w:r>
          </w:p>
        </w:tc>
        <w:tc>
          <w:tcPr>
            <w:tcW w:w="0" w:type="dxa"/>
            <w:vAlign w:val="bottom"/>
          </w:tcPr>
          <w:p>
            <w:pPr>
              <w:spacing w:after="0"/>
              <w:rPr>
                <w:sz w:val="1"/>
                <w:szCs w:val="1"/>
                <w:color w:val="auto"/>
              </w:rPr>
            </w:pPr>
          </w:p>
        </w:tc>
      </w:tr>
      <w:tr>
        <w:trPr>
          <w:trHeight w:val="236"/>
        </w:trPr>
        <w:tc>
          <w:tcPr>
            <w:tcW w:w="350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Former Chief Medical Officer</w:t>
            </w:r>
          </w:p>
        </w:tc>
        <w:tc>
          <w:tcPr>
            <w:tcW w:w="70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481,749</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391,200</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175,838</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13,800</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1,062,587</w:t>
            </w:r>
          </w:p>
        </w:tc>
        <w:tc>
          <w:tcPr>
            <w:tcW w:w="0" w:type="dxa"/>
            <w:vAlign w:val="bottom"/>
          </w:tcPr>
          <w:p>
            <w:pPr>
              <w:spacing w:after="0"/>
              <w:rPr>
                <w:sz w:val="1"/>
                <w:szCs w:val="1"/>
                <w:color w:val="auto"/>
              </w:rPr>
            </w:pPr>
          </w:p>
        </w:tc>
      </w:tr>
      <w:tr>
        <w:trPr>
          <w:trHeight w:val="193"/>
        </w:trPr>
        <w:tc>
          <w:tcPr>
            <w:tcW w:w="3500" w:type="dxa"/>
            <w:vAlign w:val="bottom"/>
            <w:gridSpan w:val="3"/>
            <w:shd w:val="clear" w:color="auto" w:fill="CCEEFF"/>
          </w:tcPr>
          <w:p>
            <w:pPr>
              <w:ind w:left="120"/>
              <w:spacing w:after="0" w:line="194" w:lineRule="exact"/>
              <w:rPr>
                <w:sz w:val="20"/>
                <w:szCs w:val="20"/>
                <w:color w:val="auto"/>
              </w:rPr>
            </w:pPr>
            <w:r>
              <w:rPr>
                <w:rFonts w:ascii="Times New Roman" w:cs="Times New Roman" w:eastAsia="Times New Roman" w:hAnsi="Times New Roman"/>
                <w:sz w:val="18"/>
                <w:szCs w:val="18"/>
                <w:color w:val="auto"/>
              </w:rPr>
              <w:t>Nicholas Maestas</w:t>
            </w:r>
          </w:p>
        </w:tc>
        <w:tc>
          <w:tcPr>
            <w:tcW w:w="700" w:type="dxa"/>
            <w:vAlign w:val="bottom"/>
            <w:gridSpan w:val="3"/>
            <w:shd w:val="clear" w:color="auto" w:fill="CCEEFF"/>
          </w:tcPr>
          <w:p>
            <w:pPr>
              <w:jc w:val="center"/>
              <w:ind w:left="10"/>
              <w:spacing w:after="0" w:line="194" w:lineRule="exact"/>
              <w:rPr>
                <w:sz w:val="20"/>
                <w:szCs w:val="20"/>
                <w:color w:val="auto"/>
              </w:rPr>
            </w:pPr>
            <w:r>
              <w:rPr>
                <w:rFonts w:ascii="Times New Roman" w:cs="Times New Roman" w:eastAsia="Times New Roman" w:hAnsi="Times New Roman"/>
                <w:sz w:val="18"/>
                <w:szCs w:val="18"/>
                <w:color w:val="auto"/>
                <w:w w:val="99"/>
              </w:rPr>
              <w:t>2025</w:t>
            </w:r>
          </w:p>
        </w:tc>
        <w:tc>
          <w:tcPr>
            <w:tcW w:w="1280" w:type="dxa"/>
            <w:vAlign w:val="bottom"/>
            <w:gridSpan w:val="3"/>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487,850</w:t>
            </w:r>
          </w:p>
        </w:tc>
        <w:tc>
          <w:tcPr>
            <w:tcW w:w="1140" w:type="dxa"/>
            <w:vAlign w:val="bottom"/>
            <w:gridSpan w:val="2"/>
            <w:shd w:val="clear" w:color="auto" w:fill="CCEEFF"/>
          </w:tcPr>
          <w:p>
            <w:pPr>
              <w:jc w:val="right"/>
              <w:ind w:right="200"/>
              <w:spacing w:after="0" w:line="194" w:lineRule="exact"/>
              <w:rPr>
                <w:sz w:val="20"/>
                <w:szCs w:val="20"/>
                <w:color w:val="auto"/>
              </w:rPr>
            </w:pPr>
            <w:r>
              <w:rPr>
                <w:rFonts w:ascii="Times New Roman" w:cs="Times New Roman" w:eastAsia="Times New Roman" w:hAnsi="Times New Roman"/>
                <w:sz w:val="18"/>
                <w:szCs w:val="18"/>
                <w:color w:val="auto"/>
              </w:rPr>
              <w:t>196,092</w:t>
            </w: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426,362</w:t>
            </w:r>
          </w:p>
        </w:tc>
        <w:tc>
          <w:tcPr>
            <w:tcW w:w="116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rPr>
              <w:t>1,110,304</w:t>
            </w:r>
          </w:p>
        </w:tc>
        <w:tc>
          <w:tcPr>
            <w:tcW w:w="0" w:type="dxa"/>
            <w:vAlign w:val="bottom"/>
          </w:tcPr>
          <w:p>
            <w:pPr>
              <w:spacing w:after="0"/>
              <w:rPr>
                <w:sz w:val="1"/>
                <w:szCs w:val="1"/>
                <w:color w:val="auto"/>
              </w:rPr>
            </w:pPr>
          </w:p>
        </w:tc>
      </w:tr>
      <w:tr>
        <w:trPr>
          <w:trHeight w:val="239"/>
        </w:trPr>
        <w:tc>
          <w:tcPr>
            <w:tcW w:w="35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700" w:type="dxa"/>
            <w:vAlign w:val="bottom"/>
            <w:gridSpan w:val="3"/>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365,547</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156,480</w:t>
            </w: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100,068</w:t>
            </w: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622,095</w:t>
            </w:r>
          </w:p>
        </w:tc>
        <w:tc>
          <w:tcPr>
            <w:tcW w:w="0" w:type="dxa"/>
            <w:vAlign w:val="bottom"/>
          </w:tcPr>
          <w:p>
            <w:pPr>
              <w:spacing w:after="0"/>
              <w:rPr>
                <w:sz w:val="1"/>
                <w:szCs w:val="1"/>
                <w:color w:val="auto"/>
              </w:rPr>
            </w:pPr>
          </w:p>
        </w:tc>
      </w:tr>
      <w:tr>
        <w:trPr>
          <w:trHeight w:val="216"/>
        </w:trPr>
        <w:tc>
          <w:tcPr>
            <w:tcW w:w="1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380" w:hanging="372"/>
        <w:spacing w:after="0" w:line="241" w:lineRule="auto"/>
        <w:tabs>
          <w:tab w:leader="none" w:pos="3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2025, such amounts reflect (i) salary paid to our Named Executive Officers, (ii) consulting payments following the Transition (as defined below) of $576,400, $13,950 and $254,100 for Mr. Brady, Dr. Whiting and Mr. Maestas, respectively, and (iii) salary paid to each of Mr. Brady and Mr. Maestas following the Rehire Transition (as defined below). See “—</w:t>
      </w:r>
      <w:r>
        <w:rPr>
          <w:rFonts w:ascii="Times New Roman" w:cs="Times New Roman" w:eastAsia="Times New Roman" w:hAnsi="Times New Roman"/>
          <w:sz w:val="14"/>
          <w:szCs w:val="14"/>
          <w:i w:val="1"/>
          <w:iCs w:val="1"/>
          <w:color w:val="auto"/>
        </w:rPr>
        <w:t>Narrative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Disclosure to the Summary Compensation Table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Annual Base Salary</w:t>
      </w:r>
      <w:r>
        <w:rPr>
          <w:rFonts w:ascii="Times New Roman" w:cs="Times New Roman" w:eastAsia="Times New Roman" w:hAnsi="Times New Roman"/>
          <w:sz w:val="14"/>
          <w:szCs w:val="14"/>
          <w:color w:val="auto"/>
        </w:rPr>
        <w:t>” below.</w:t>
      </w:r>
    </w:p>
    <w:p>
      <w:pPr>
        <w:spacing w:after="0" w:line="15" w:lineRule="exact"/>
        <w:rPr>
          <w:sz w:val="20"/>
          <w:szCs w:val="20"/>
          <w:color w:val="auto"/>
        </w:rPr>
      </w:pPr>
    </w:p>
    <w:p>
      <w:pPr>
        <w:jc w:val="both"/>
        <w:ind w:left="380" w:hanging="372"/>
        <w:spacing w:after="0" w:line="233" w:lineRule="auto"/>
        <w:tabs>
          <w:tab w:leader="none" w:pos="3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(i) the aggregate grant date fair value of the option awards granted to our Named Executive Officers during the relevant fiscal years under our equity incentive plans and (ii) the incremental value of awards accelerated pursuant to the terms of the separation agreements entered into with each of the Named Executive Officers in connection with the Transition during 2025, and related extension, each as computed in accordance with Financial Accounting Standards Board Accounting Standards Codification Topic 718 (“ASC 718”). The assumptions used in calculating the grant date fair value of the options are set forth in the notes to our audited consolidated financial statements included in our Annual Report on Form 10-K for the fiscal year ended December 31, 2025. These amounts do not reflect the actual economic value that may be realized by the Named Executive Officers.</w:t>
      </w:r>
    </w:p>
    <w:p>
      <w:pPr>
        <w:spacing w:after="0" w:line="13" w:lineRule="exact"/>
        <w:rPr>
          <w:rFonts w:ascii="Times New Roman" w:cs="Times New Roman" w:eastAsia="Times New Roman" w:hAnsi="Times New Roman"/>
          <w:sz w:val="14"/>
          <w:szCs w:val="14"/>
          <w:color w:val="auto"/>
        </w:rPr>
      </w:pPr>
    </w:p>
    <w:p>
      <w:pPr>
        <w:ind w:left="380" w:hanging="372"/>
        <w:spacing w:after="0" w:line="263" w:lineRule="auto"/>
        <w:tabs>
          <w:tab w:leader="none" w:pos="3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Narrative Disclosure to Summary Compensation Table—Equity-Based Incentive Awards</w:t>
      </w:r>
      <w:r>
        <w:rPr>
          <w:rFonts w:ascii="Times New Roman" w:cs="Times New Roman" w:eastAsia="Times New Roman" w:hAnsi="Times New Roman"/>
          <w:sz w:val="14"/>
          <w:szCs w:val="14"/>
          <w:color w:val="auto"/>
        </w:rPr>
        <w:t>” below for a description of the material terms of the program pursuant to which this compensation was awarded.</w:t>
      </w:r>
    </w:p>
    <w:p>
      <w:pPr>
        <w:jc w:val="both"/>
        <w:ind w:left="380" w:hanging="372"/>
        <w:spacing w:after="0" w:line="231" w:lineRule="auto"/>
        <w:tabs>
          <w:tab w:leader="none" w:pos="3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(i) severance benefits of $825,802, $444,662 and $424,946 paid to Mr. Brady, Dr. Whiting and Mr. Maestas, respectively, pursuant to separation agreements we entered into with each of Named Executive Officers in connection with the Transition, and (ii) matching contributions made by us to the Named Executive Officer’s 401(k) plan account in amounts of $10,292, $8,797 and $1,417 for Mr. Brady, Dr. Whiting and Mr. Maestas, respectively. For Mr. Brady such severance payments include $600,000, representing 12 months of base salary, a prorated 2025 bonus of $142,738, and COBRA upfront payments of $83,064. For Dr. Whiting such severance payments include $361,312, representing nine months of base salary, and a prorated 2025 bonus of $83,350. For Mr. Maestas such severance payments include $318,750, representing nine months of base salary, a prorated 2025 bonus of $73,532, and COBRA upfront payments of $32,664.</w:t>
      </w:r>
    </w:p>
    <w:p>
      <w:pPr>
        <w:spacing w:after="0" w:line="15" w:lineRule="exact"/>
        <w:rPr>
          <w:rFonts w:ascii="Times New Roman" w:cs="Times New Roman" w:eastAsia="Times New Roman" w:hAnsi="Times New Roman"/>
          <w:sz w:val="14"/>
          <w:szCs w:val="14"/>
          <w:color w:val="auto"/>
        </w:rPr>
      </w:pPr>
    </w:p>
    <w:p>
      <w:pPr>
        <w:ind w:left="380" w:right="20" w:hanging="372"/>
        <w:spacing w:after="0" w:line="261" w:lineRule="auto"/>
        <w:tabs>
          <w:tab w:leader="none" w:pos="3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3, 2026, immediately following the Closing, Mr. Brady resigned from his positions as the Company’s President and Chief Executive Officer. Dr. Angel was appointed to serve as our President and Chief Executive Officer, succeeding Mr. Brady in such capacities.</w:t>
      </w:r>
    </w:p>
    <w:p>
      <w:pPr>
        <w:ind w:left="380" w:hanging="372"/>
        <w:spacing w:after="0"/>
        <w:tabs>
          <w:tab w:leader="none" w:pos="3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5, 2025, Dr. Whiting transitioned to a consulting agreement with us, pursuant to which he continued to serve the Company as a consultant.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the Summary Compensation Table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Base Salary</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On June 5, 2025, each of our Named Executive Officers transitioned (collectively, the “Transition”) to consulting agreements with us, pursuant to which they received hourly compensation. In connection with the Asset Acquisition, on November 19, 2025, we rehired each of Mr. Brady and Mr. Maestas on a full-time basis. During the time period where each of our Named Executive Officers were not employed on a full-time basis, they received compensation pursuant to consulting arrangements. See “—</w:t>
      </w:r>
      <w:r>
        <w:rPr>
          <w:rFonts w:ascii="Times New Roman" w:cs="Times New Roman" w:eastAsia="Times New Roman" w:hAnsi="Times New Roman"/>
          <w:sz w:val="18"/>
          <w:szCs w:val="18"/>
          <w:i w:val="1"/>
          <w:iCs w:val="1"/>
          <w:color w:val="auto"/>
        </w:rPr>
        <w:t>Consulting and Employment Arrangements</w:t>
      </w:r>
      <w:r>
        <w:rPr>
          <w:rFonts w:ascii="Times New Roman" w:cs="Times New Roman" w:eastAsia="Times New Roman" w:hAnsi="Times New Roman"/>
          <w:sz w:val="18"/>
          <w:szCs w:val="18"/>
          <w:color w:val="auto"/>
        </w:rPr>
        <w:t>” for additional information.</w:t>
      </w:r>
    </w:p>
    <w:p>
      <w:pPr>
        <w:spacing w:after="0" w:line="180"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Our Named Executive Officers received a base salary to compensate them for services rendered to us while employed on a full-time basis. For 2025, such annual base salaries were $600,000, $481,749 and $425,000 for Mr. Brady, Dr. Whiting and Mr.</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6" w:name="page137"/>
    <w:bookmarkEnd w:id="136"/>
    <w:p>
      <w:pPr>
        <w:jc w:val="both"/>
        <w:spacing w:after="0" w:line="282" w:lineRule="auto"/>
        <w:rPr>
          <w:sz w:val="20"/>
          <w:szCs w:val="20"/>
          <w:color w:val="auto"/>
        </w:rPr>
      </w:pPr>
      <w:r>
        <w:rPr>
          <w:rFonts w:ascii="Times New Roman" w:cs="Times New Roman" w:eastAsia="Times New Roman" w:hAnsi="Times New Roman"/>
          <w:sz w:val="18"/>
          <w:szCs w:val="18"/>
          <w:color w:val="auto"/>
        </w:rPr>
        <w:t>Maestas, respectively. The annual base salary payable to each Named Executive Officer was intended to provide a fixed component of compensation reflecting the executive’s skill set, experience, role and responsibilities.</w:t>
      </w:r>
    </w:p>
    <w:p>
      <w:pPr>
        <w:spacing w:after="0" w:line="162"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None of our Named Executive Officers is currently party to an employment agreement or other agreement or arrangement that provides for automatic or scheduled increases in base salary.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Incentive Awards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Historically, our equity award program was the primary vehicle for offering long-term incentives to our executives. We believe that equity awards provided our executives with a strong link to our long-term performance, created an ownership culture and helped to align the interests of our executives and our stockholders. The use of options also can provide tax and other advantages relative to other forms of equity compensation.</w:t>
      </w:r>
    </w:p>
    <w:p>
      <w:pPr>
        <w:spacing w:after="0" w:line="17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historically have awarded equity grants broadly to our employees, including our non-executive employees. Historically, grants to our executives, including the Named Executive Officers, and other employees were made at the discretion of the Board and were generally made upon commencement of employment, promotion or annually during the first quarter of each year. Moving forward we believe that our equity awards are an important retention tool for our Named Executive Officers, as well as for our other employees.</w:t>
      </w:r>
    </w:p>
    <w:p>
      <w:pPr>
        <w:spacing w:after="0" w:line="18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connection with our annual grant process, on January 2, 2025, our Compensation Committee approved the grant to each of Mr. Brady, Dr. Whiting and Mr. Maestas of an option to purchase 42,307, 20,768 and 15,383 shares of our common stock, respectively, at an exercise price of $11.18 per share, under our Amended and Restated 2023 Equity Incentive Plan, as amended (the “2023 EIP”). Each option originally vested in equal monthly installments over a four-year period, subject to the executive’s continuous service to us through each vesting date. In addition, as described below under “—</w:t>
      </w:r>
      <w:r>
        <w:rPr>
          <w:rFonts w:ascii="Times New Roman" w:cs="Times New Roman" w:eastAsia="Times New Roman" w:hAnsi="Times New Roman"/>
          <w:sz w:val="18"/>
          <w:szCs w:val="18"/>
          <w:i w:val="1"/>
          <w:iCs w:val="1"/>
          <w:color w:val="auto"/>
        </w:rPr>
        <w:t>Consulting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Employment Arrangements</w:t>
      </w:r>
      <w:r>
        <w:rPr>
          <w:rFonts w:ascii="Times New Roman" w:cs="Times New Roman" w:eastAsia="Times New Roman" w:hAnsi="Times New Roman"/>
          <w:sz w:val="18"/>
          <w:szCs w:val="18"/>
          <w:color w:val="auto"/>
        </w:rPr>
        <w:t>,” on June 5, 2025, we entered into separation agreements with each of Mr. Brady, Dr. Whiting and Mr. Maestas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they became entitled to full acceleration of all outstanding unvested equity awards, which became fully vested and exercisable as of June 5, 2025. See “—</w:t>
      </w:r>
      <w:r>
        <w:rPr>
          <w:rFonts w:ascii="Times New Roman" w:cs="Times New Roman" w:eastAsia="Times New Roman" w:hAnsi="Times New Roman"/>
          <w:sz w:val="18"/>
          <w:szCs w:val="18"/>
          <w:i w:val="1"/>
          <w:iCs w:val="1"/>
          <w:color w:val="auto"/>
        </w:rPr>
        <w:t>Outstanding Equity Awards at Fiscal Year End</w:t>
      </w:r>
      <w:r>
        <w:rPr>
          <w:rFonts w:ascii="Times New Roman" w:cs="Times New Roman" w:eastAsia="Times New Roman" w:hAnsi="Times New Roman"/>
          <w:sz w:val="18"/>
          <w:szCs w:val="18"/>
          <w:color w:val="auto"/>
        </w:rPr>
        <w:t>” for further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Performance-Based Cash Compensation</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Historically we have developed a performance-based bonus program annually. Under the 2025 annual performance-based bonus program, each Named Executive Officer was eligible for an annual performance bonus based on (1) the individual’s target bonus, as a percentage of annual base salary, and (2) the percentage attainment of our 2025 corporate goals established by our Board in its sole discretion and communicated to each officer.</w:t>
      </w:r>
    </w:p>
    <w:p>
      <w:pPr>
        <w:spacing w:after="0" w:line="17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Each Named Executive Officer was assigned a target performance bonus expressed as a percentage of their annual base salary, which for 2025 was 55% for Mr. Brady, 40% for Dr. Whiting and 40% for Mr. Maestas. As described more fully below under “—</w:t>
      </w:r>
      <w:r>
        <w:rPr>
          <w:rFonts w:ascii="Times New Roman" w:cs="Times New Roman" w:eastAsia="Times New Roman" w:hAnsi="Times New Roman"/>
          <w:sz w:val="18"/>
          <w:szCs w:val="18"/>
          <w:i w:val="1"/>
          <w:iCs w:val="1"/>
          <w:color w:val="auto"/>
        </w:rPr>
        <w:t>Consulting and Employment Arrangements,</w:t>
      </w:r>
      <w:r>
        <w:rPr>
          <w:rFonts w:ascii="Times New Roman" w:cs="Times New Roman" w:eastAsia="Times New Roman" w:hAnsi="Times New Roman"/>
          <w:sz w:val="18"/>
          <w:szCs w:val="18"/>
          <w:color w:val="auto"/>
        </w:rPr>
        <w:t>” in connection with the Transition, we entered into separation agreements with each of Mr. Brady, Dr. Whiting and Mr. Maestas. Each separation agreement provided for severance benefits resulting from a termination by us without “cause” under each of Mr. Brady’s, Dr. Whiting’s and Mr. Maestas’s respective employment agreements, each as described below in “—</w:t>
      </w:r>
      <w:r>
        <w:rPr>
          <w:rFonts w:ascii="Times New Roman" w:cs="Times New Roman" w:eastAsia="Times New Roman" w:hAnsi="Times New Roman"/>
          <w:sz w:val="18"/>
          <w:szCs w:val="18"/>
          <w:i w:val="1"/>
          <w:iCs w:val="1"/>
          <w:color w:val="auto"/>
        </w:rPr>
        <w:t>Change in Control and Severance Arrangements</w:t>
      </w:r>
      <w:r>
        <w:rPr>
          <w:rFonts w:ascii="Times New Roman" w:cs="Times New Roman" w:eastAsia="Times New Roman" w:hAnsi="Times New Roman"/>
          <w:sz w:val="18"/>
          <w:szCs w:val="18"/>
          <w:color w:val="auto"/>
        </w:rPr>
        <w:t>.” As a result, none of Mr. Brady, Dr. Whiting and Mr. Maestas were eligible to receive annual incentive compensation for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2025, certain information regarding outstanding equity awards for the Named Executive Officers.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800" w:type="dxa"/>
            <w:vAlign w:val="bottom"/>
            <w:gridSpan w:val="3"/>
            <w:vMerge w:val="restart"/>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15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0" w:type="dxa"/>
            <w:vAlign w:val="bottom"/>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200" w:type="dxa"/>
            <w:vAlign w:val="bottom"/>
            <w:gridSpan w:val="2"/>
          </w:tcPr>
          <w:p>
            <w:pPr>
              <w:jc w:val="center"/>
              <w:ind w:left="13"/>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2"/>
                <w:szCs w:val="12"/>
                <w:color w:val="auto"/>
              </w:rPr>
            </w:pPr>
          </w:p>
        </w:tc>
        <w:tc>
          <w:tcPr>
            <w:tcW w:w="1800" w:type="dxa"/>
            <w:vAlign w:val="bottom"/>
            <w:gridSpan w:val="3"/>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73"/>
        </w:trPr>
        <w:tc>
          <w:tcPr>
            <w:tcW w:w="18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85"/>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1880" w:type="dxa"/>
            <w:vAlign w:val="bottom"/>
            <w:gridSpan w:val="3"/>
            <w:vMerge w:val="restart"/>
            <w:shd w:val="clear" w:color="auto" w:fill="CCEEFF"/>
          </w:tcPr>
          <w:p>
            <w:pPr>
              <w:ind w:left="120"/>
              <w:spacing w:after="0" w:line="187" w:lineRule="exact"/>
              <w:rPr>
                <w:sz w:val="20"/>
                <w:szCs w:val="20"/>
                <w:color w:val="auto"/>
              </w:rPr>
            </w:pPr>
            <w:r>
              <w:rPr>
                <w:rFonts w:ascii="Times New Roman" w:cs="Times New Roman" w:eastAsia="Times New Roman" w:hAnsi="Times New Roman"/>
                <w:sz w:val="18"/>
                <w:szCs w:val="18"/>
                <w:color w:val="auto"/>
              </w:rPr>
              <w:t>Stephen Brady</w:t>
            </w:r>
          </w:p>
        </w:tc>
        <w:tc>
          <w:tcPr>
            <w:tcW w:w="1700" w:type="dxa"/>
            <w:vAlign w:val="bottom"/>
            <w:gridSpan w:val="3"/>
            <w:vMerge w:val="restart"/>
          </w:tcPr>
          <w:p>
            <w:pPr>
              <w:jc w:val="right"/>
              <w:ind w:right="120"/>
              <w:spacing w:after="0" w:line="187" w:lineRule="exact"/>
              <w:rPr>
                <w:sz w:val="20"/>
                <w:szCs w:val="20"/>
                <w:color w:val="auto"/>
              </w:rPr>
            </w:pPr>
            <w:r>
              <w:rPr>
                <w:rFonts w:ascii="Times New Roman" w:cs="Times New Roman" w:eastAsia="Times New Roman" w:hAnsi="Times New Roman"/>
                <w:sz w:val="18"/>
                <w:szCs w:val="18"/>
                <w:color w:val="auto"/>
              </w:rPr>
              <w:t>1/2/2025</w:t>
            </w:r>
          </w:p>
        </w:tc>
        <w:tc>
          <w:tcPr>
            <w:tcW w:w="1480" w:type="dxa"/>
            <w:vAlign w:val="bottom"/>
            <w:gridSpan w:val="3"/>
            <w:vMerge w:val="restart"/>
          </w:tcPr>
          <w:p>
            <w:pPr>
              <w:jc w:val="right"/>
              <w:ind w:right="100"/>
              <w:spacing w:after="0" w:line="187" w:lineRule="exact"/>
              <w:rPr>
                <w:sz w:val="20"/>
                <w:szCs w:val="20"/>
                <w:color w:val="auto"/>
              </w:rPr>
            </w:pPr>
            <w:r>
              <w:rPr>
                <w:rFonts w:ascii="Times New Roman" w:cs="Times New Roman" w:eastAsia="Times New Roman" w:hAnsi="Times New Roman"/>
                <w:sz w:val="18"/>
                <w:szCs w:val="18"/>
                <w:color w:val="auto"/>
              </w:rPr>
              <w:t>1/2/2025</w:t>
            </w:r>
          </w:p>
        </w:tc>
        <w:tc>
          <w:tcPr>
            <w:tcW w:w="10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120" w:type="dxa"/>
            <w:vAlign w:val="bottom"/>
            <w:gridSpan w:val="3"/>
            <w:vMerge w:val="restart"/>
          </w:tcPr>
          <w:p>
            <w:pPr>
              <w:jc w:val="right"/>
              <w:ind w:right="100"/>
              <w:spacing w:after="0" w:line="187" w:lineRule="exact"/>
              <w:rPr>
                <w:sz w:val="20"/>
                <w:szCs w:val="20"/>
                <w:color w:val="auto"/>
              </w:rPr>
            </w:pPr>
            <w:r>
              <w:rPr>
                <w:rFonts w:ascii="Times New Roman" w:cs="Times New Roman" w:eastAsia="Times New Roman" w:hAnsi="Times New Roman"/>
                <w:sz w:val="18"/>
                <w:szCs w:val="18"/>
                <w:color w:val="auto"/>
              </w:rPr>
              <w:t>1/1/2035</w:t>
            </w:r>
          </w:p>
        </w:tc>
        <w:tc>
          <w:tcPr>
            <w:tcW w:w="1420" w:type="dxa"/>
            <w:vAlign w:val="bottom"/>
            <w:gridSpan w:val="3"/>
            <w:vMerge w:val="restart"/>
          </w:tcPr>
          <w:p>
            <w:pPr>
              <w:jc w:val="right"/>
              <w:ind w:right="220"/>
              <w:spacing w:after="0" w:line="187" w:lineRule="exact"/>
              <w:rPr>
                <w:sz w:val="20"/>
                <w:szCs w:val="20"/>
                <w:color w:val="auto"/>
              </w:rPr>
            </w:pPr>
            <w:r>
              <w:rPr>
                <w:rFonts w:ascii="Times New Roman" w:cs="Times New Roman" w:eastAsia="Times New Roman" w:hAnsi="Times New Roman"/>
                <w:sz w:val="18"/>
                <w:szCs w:val="18"/>
                <w:color w:val="auto"/>
              </w:rPr>
              <w:t>42,307</w:t>
            </w:r>
          </w:p>
        </w:tc>
        <w:tc>
          <w:tcPr>
            <w:tcW w:w="142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right"/>
              <w:ind w:right="100"/>
              <w:spacing w:after="0" w:line="187" w:lineRule="exact"/>
              <w:rPr>
                <w:sz w:val="20"/>
                <w:szCs w:val="20"/>
                <w:color w:val="auto"/>
              </w:rPr>
            </w:pPr>
            <w:r>
              <w:rPr>
                <w:rFonts w:ascii="Times New Roman" w:cs="Times New Roman" w:eastAsia="Times New Roman" w:hAnsi="Times New Roman"/>
                <w:sz w:val="18"/>
                <w:szCs w:val="18"/>
                <w:color w:val="auto"/>
              </w:rPr>
              <w:t>11.18</w:t>
            </w: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880" w:type="dxa"/>
            <w:vAlign w:val="bottom"/>
            <w:gridSpan w:val="3"/>
            <w:vMerge w:val="continue"/>
            <w:shd w:val="clear" w:color="auto" w:fill="CCEEFF"/>
          </w:tcPr>
          <w:p>
            <w:pPr>
              <w:spacing w:after="0"/>
              <w:rPr>
                <w:sz w:val="11"/>
                <w:szCs w:val="11"/>
                <w:color w:val="auto"/>
              </w:rPr>
            </w:pPr>
          </w:p>
        </w:tc>
        <w:tc>
          <w:tcPr>
            <w:tcW w:w="1700" w:type="dxa"/>
            <w:vAlign w:val="bottom"/>
            <w:gridSpan w:val="3"/>
            <w:vMerge w:val="continue"/>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12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12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700" w:type="dxa"/>
            <w:vAlign w:val="bottom"/>
            <w:gridSpan w:val="3"/>
            <w:vMerge w:val="restart"/>
            <w:shd w:val="clear" w:color="auto" w:fill="CCEEFF"/>
          </w:tcPr>
          <w:p>
            <w:pPr>
              <w:jc w:val="right"/>
              <w:ind w:right="120"/>
              <w:spacing w:after="0" w:line="194" w:lineRule="exact"/>
              <w:rPr>
                <w:sz w:val="20"/>
                <w:szCs w:val="20"/>
                <w:color w:val="auto"/>
              </w:rPr>
            </w:pPr>
            <w:r>
              <w:rPr>
                <w:rFonts w:ascii="Times New Roman" w:cs="Times New Roman" w:eastAsia="Times New Roman" w:hAnsi="Times New Roman"/>
                <w:sz w:val="18"/>
                <w:szCs w:val="18"/>
                <w:color w:val="auto"/>
              </w:rPr>
              <w:t>1/3/2024</w:t>
            </w:r>
          </w:p>
        </w:tc>
        <w:tc>
          <w:tcPr>
            <w:tcW w:w="1480" w:type="dxa"/>
            <w:vAlign w:val="bottom"/>
            <w:gridSpan w:val="3"/>
            <w:vMerge w:val="restart"/>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rPr>
              <w:t>1/3/2024</w:t>
            </w:r>
          </w:p>
        </w:tc>
        <w:tc>
          <w:tcPr>
            <w:tcW w:w="30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120" w:type="dxa"/>
            <w:vAlign w:val="bottom"/>
            <w:gridSpan w:val="3"/>
            <w:vMerge w:val="restart"/>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rPr>
              <w:t>1/2/2034</w:t>
            </w:r>
          </w:p>
        </w:tc>
        <w:tc>
          <w:tcPr>
            <w:tcW w:w="1420" w:type="dxa"/>
            <w:vAlign w:val="bottom"/>
            <w:gridSpan w:val="3"/>
            <w:vMerge w:val="restart"/>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19,230</w:t>
            </w:r>
          </w:p>
        </w:tc>
        <w:tc>
          <w:tcPr>
            <w:tcW w:w="1420" w:type="dxa"/>
            <w:vAlign w:val="bottom"/>
            <w:gridSpan w:val="2"/>
            <w:vMerge w:val="continue"/>
          </w:tcPr>
          <w:p>
            <w:pPr>
              <w:spacing w:after="0"/>
              <w:rPr>
                <w:sz w:val="5"/>
                <w:szCs w:val="5"/>
                <w:color w:val="auto"/>
              </w:rPr>
            </w:pPr>
          </w:p>
        </w:tc>
        <w:tc>
          <w:tcPr>
            <w:tcW w:w="1000" w:type="dxa"/>
            <w:vAlign w:val="bottom"/>
            <w:gridSpan w:val="2"/>
            <w:vMerge w:val="restart"/>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rPr>
              <w:t>60.58</w:t>
            </w: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00" w:type="dxa"/>
            <w:vAlign w:val="bottom"/>
            <w:gridSpan w:val="3"/>
            <w:vMerge w:val="continue"/>
            <w:shd w:val="clear" w:color="auto" w:fill="CCEEFF"/>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12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12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700" w:type="dxa"/>
            <w:vAlign w:val="bottom"/>
            <w:gridSpan w:val="3"/>
            <w:vMerge w:val="restart"/>
            <w:shd w:val="clear" w:color="auto" w:fill="CCEEFF"/>
          </w:tcPr>
          <w:p>
            <w:pPr>
              <w:jc w:val="right"/>
              <w:ind w:right="120"/>
              <w:spacing w:after="0" w:line="194" w:lineRule="exact"/>
              <w:rPr>
                <w:sz w:val="20"/>
                <w:szCs w:val="20"/>
                <w:color w:val="auto"/>
              </w:rPr>
            </w:pPr>
            <w:r>
              <w:rPr>
                <w:rFonts w:ascii="Times New Roman" w:cs="Times New Roman" w:eastAsia="Times New Roman" w:hAnsi="Times New Roman"/>
                <w:sz w:val="18"/>
                <w:szCs w:val="18"/>
                <w:color w:val="auto"/>
              </w:rPr>
              <w:t>10/11/23</w:t>
            </w:r>
          </w:p>
        </w:tc>
        <w:tc>
          <w:tcPr>
            <w:tcW w:w="1480" w:type="dxa"/>
            <w:vAlign w:val="bottom"/>
            <w:gridSpan w:val="3"/>
            <w:vMerge w:val="restart"/>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rPr>
              <w:t>10/11/23</w:t>
            </w:r>
          </w:p>
        </w:tc>
        <w:tc>
          <w:tcPr>
            <w:tcW w:w="30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120" w:type="dxa"/>
            <w:vAlign w:val="bottom"/>
            <w:gridSpan w:val="3"/>
            <w:vMerge w:val="restart"/>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rPr>
              <w:t>10/10/33</w:t>
            </w:r>
          </w:p>
        </w:tc>
        <w:tc>
          <w:tcPr>
            <w:tcW w:w="1420" w:type="dxa"/>
            <w:vAlign w:val="bottom"/>
            <w:gridSpan w:val="3"/>
            <w:vMerge w:val="restart"/>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55,768</w:t>
            </w:r>
          </w:p>
        </w:tc>
        <w:tc>
          <w:tcPr>
            <w:tcW w:w="1420" w:type="dxa"/>
            <w:vAlign w:val="bottom"/>
            <w:gridSpan w:val="2"/>
            <w:vMerge w:val="continue"/>
          </w:tcPr>
          <w:p>
            <w:pPr>
              <w:spacing w:after="0"/>
              <w:rPr>
                <w:sz w:val="5"/>
                <w:szCs w:val="5"/>
                <w:color w:val="auto"/>
              </w:rPr>
            </w:pPr>
          </w:p>
        </w:tc>
        <w:tc>
          <w:tcPr>
            <w:tcW w:w="1000" w:type="dxa"/>
            <w:vAlign w:val="bottom"/>
            <w:gridSpan w:val="2"/>
            <w:vMerge w:val="restart"/>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rPr>
              <w:t>127.01</w:t>
            </w: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00" w:type="dxa"/>
            <w:vAlign w:val="bottom"/>
            <w:gridSpan w:val="3"/>
            <w:vMerge w:val="continue"/>
            <w:shd w:val="clear" w:color="auto" w:fill="CCEEFF"/>
          </w:tcPr>
          <w:p>
            <w:pPr>
              <w:spacing w:after="0"/>
              <w:rPr>
                <w:sz w:val="11"/>
                <w:szCs w:val="11"/>
                <w:color w:val="auto"/>
              </w:rPr>
            </w:pPr>
          </w:p>
        </w:tc>
        <w:tc>
          <w:tcPr>
            <w:tcW w:w="1480" w:type="dxa"/>
            <w:vAlign w:val="bottom"/>
            <w:gridSpan w:val="3"/>
            <w:vMerge w:val="continue"/>
            <w:shd w:val="clear" w:color="auto" w:fill="CCEEFF"/>
          </w:tcPr>
          <w:p>
            <w:pPr>
              <w:spacing w:after="0"/>
              <w:rPr>
                <w:sz w:val="11"/>
                <w:szCs w:val="11"/>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20" w:type="dxa"/>
            <w:vAlign w:val="bottom"/>
            <w:shd w:val="clear" w:color="auto" w:fill="CCEEFF"/>
          </w:tcPr>
          <w:p>
            <w:pPr>
              <w:spacing w:after="0"/>
              <w:rPr>
                <w:sz w:val="7"/>
                <w:szCs w:val="7"/>
                <w:color w:val="auto"/>
              </w:rPr>
            </w:pPr>
          </w:p>
        </w:tc>
        <w:tc>
          <w:tcPr>
            <w:tcW w:w="1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70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1/3/23</w:t>
            </w:r>
          </w:p>
        </w:tc>
        <w:tc>
          <w:tcPr>
            <w:tcW w:w="14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1/3/23</w:t>
            </w:r>
          </w:p>
        </w:tc>
        <w:tc>
          <w:tcPr>
            <w:tcW w:w="3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1/2/33</w:t>
            </w:r>
          </w:p>
        </w:tc>
        <w:tc>
          <w:tcPr>
            <w:tcW w:w="14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13,637</w:t>
            </w:r>
          </w:p>
        </w:tc>
        <w:tc>
          <w:tcPr>
            <w:tcW w:w="142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15.99</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2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00" w:type="dxa"/>
            <w:vAlign w:val="bottom"/>
            <w:gridSpan w:val="3"/>
            <w:vMerge w:val="continue"/>
            <w:shd w:val="clear" w:color="auto" w:fill="CCEEFF"/>
          </w:tcPr>
          <w:p>
            <w:pPr>
              <w:spacing w:after="0"/>
              <w:rPr>
                <w:sz w:val="13"/>
                <w:szCs w:val="13"/>
                <w:color w:val="auto"/>
              </w:rPr>
            </w:pPr>
          </w:p>
        </w:tc>
        <w:tc>
          <w:tcPr>
            <w:tcW w:w="1480" w:type="dxa"/>
            <w:vAlign w:val="bottom"/>
            <w:gridSpan w:val="3"/>
            <w:vMerge w:val="continue"/>
            <w:shd w:val="clear" w:color="auto" w:fill="CCEEFF"/>
          </w:tcPr>
          <w:p>
            <w:pPr>
              <w:spacing w:after="0"/>
              <w:rPr>
                <w:sz w:val="13"/>
                <w:szCs w:val="13"/>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1420" w:type="dxa"/>
            <w:vAlign w:val="bottom"/>
            <w:gridSpan w:val="3"/>
            <w:vMerge w:val="continue"/>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2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700" w:type="dxa"/>
            <w:vAlign w:val="bottom"/>
            <w:gridSpan w:val="3"/>
            <w:vMerge w:val="restart"/>
            <w:shd w:val="clear" w:color="auto" w:fill="CCEEFF"/>
          </w:tcPr>
          <w:p>
            <w:pPr>
              <w:jc w:val="right"/>
              <w:ind w:right="120"/>
              <w:spacing w:after="0" w:line="194" w:lineRule="exact"/>
              <w:rPr>
                <w:sz w:val="20"/>
                <w:szCs w:val="20"/>
                <w:color w:val="auto"/>
              </w:rPr>
            </w:pPr>
            <w:r>
              <w:rPr>
                <w:rFonts w:ascii="Times New Roman" w:cs="Times New Roman" w:eastAsia="Times New Roman" w:hAnsi="Times New Roman"/>
                <w:sz w:val="18"/>
                <w:szCs w:val="18"/>
                <w:color w:val="auto"/>
              </w:rPr>
              <w:t>6/21/22</w:t>
            </w:r>
          </w:p>
        </w:tc>
        <w:tc>
          <w:tcPr>
            <w:tcW w:w="1480" w:type="dxa"/>
            <w:vAlign w:val="bottom"/>
            <w:gridSpan w:val="3"/>
            <w:vMerge w:val="restart"/>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rPr>
              <w:t>6/21/22</w:t>
            </w:r>
          </w:p>
        </w:tc>
        <w:tc>
          <w:tcPr>
            <w:tcW w:w="3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3"/>
            <w:vMerge w:val="restart"/>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rPr>
              <w:t>6/20/32</w:t>
            </w:r>
          </w:p>
        </w:tc>
        <w:tc>
          <w:tcPr>
            <w:tcW w:w="1420" w:type="dxa"/>
            <w:vAlign w:val="bottom"/>
            <w:gridSpan w:val="3"/>
            <w:vMerge w:val="restart"/>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13,347</w:t>
            </w:r>
          </w:p>
        </w:tc>
        <w:tc>
          <w:tcPr>
            <w:tcW w:w="142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rPr>
              <w:t>30.55</w:t>
            </w: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00" w:type="dxa"/>
            <w:vAlign w:val="bottom"/>
            <w:gridSpan w:val="3"/>
            <w:vMerge w:val="continue"/>
            <w:shd w:val="clear" w:color="auto" w:fill="CCEEFF"/>
          </w:tcPr>
          <w:p>
            <w:pPr>
              <w:spacing w:after="0"/>
              <w:rPr>
                <w:sz w:val="11"/>
                <w:szCs w:val="11"/>
                <w:color w:val="auto"/>
              </w:rPr>
            </w:pPr>
          </w:p>
        </w:tc>
        <w:tc>
          <w:tcPr>
            <w:tcW w:w="1480" w:type="dxa"/>
            <w:vAlign w:val="bottom"/>
            <w:gridSpan w:val="3"/>
            <w:vMerge w:val="continue"/>
            <w:shd w:val="clear" w:color="auto" w:fill="CCEEFF"/>
          </w:tcPr>
          <w:p>
            <w:pPr>
              <w:spacing w:after="0"/>
              <w:rPr>
                <w:sz w:val="11"/>
                <w:szCs w:val="11"/>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1"/>
                <w:szCs w:val="11"/>
                <w:color w:val="auto"/>
              </w:rPr>
            </w:pPr>
          </w:p>
        </w:tc>
        <w:tc>
          <w:tcPr>
            <w:tcW w:w="1120" w:type="dxa"/>
            <w:vAlign w:val="bottom"/>
            <w:gridSpan w:val="3"/>
            <w:vMerge w:val="continue"/>
            <w:shd w:val="clear" w:color="auto" w:fill="CCEEFF"/>
          </w:tcPr>
          <w:p>
            <w:pPr>
              <w:spacing w:after="0"/>
              <w:rPr>
                <w:sz w:val="11"/>
                <w:szCs w:val="11"/>
                <w:color w:val="auto"/>
              </w:rPr>
            </w:pPr>
          </w:p>
        </w:tc>
        <w:tc>
          <w:tcPr>
            <w:tcW w:w="1420" w:type="dxa"/>
            <w:vAlign w:val="bottom"/>
            <w:gridSpan w:val="3"/>
            <w:vMerge w:val="continue"/>
            <w:shd w:val="clear" w:color="auto" w:fill="CCEEFF"/>
          </w:tcPr>
          <w:p>
            <w:pPr>
              <w:spacing w:after="0"/>
              <w:rPr>
                <w:sz w:val="11"/>
                <w:szCs w:val="11"/>
                <w:color w:val="auto"/>
              </w:rPr>
            </w:pPr>
          </w:p>
        </w:tc>
        <w:tc>
          <w:tcPr>
            <w:tcW w:w="1420" w:type="dxa"/>
            <w:vAlign w:val="bottom"/>
            <w:gridSpan w:val="2"/>
            <w:vMerge w:val="continue"/>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20" w:type="dxa"/>
            <w:vAlign w:val="bottom"/>
            <w:shd w:val="clear" w:color="auto" w:fill="CCEEFF"/>
          </w:tcPr>
          <w:p>
            <w:pPr>
              <w:spacing w:after="0"/>
              <w:rPr>
                <w:sz w:val="7"/>
                <w:szCs w:val="7"/>
                <w:color w:val="auto"/>
              </w:rPr>
            </w:pPr>
          </w:p>
        </w:tc>
        <w:tc>
          <w:tcPr>
            <w:tcW w:w="1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70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1/4/22</w:t>
            </w:r>
          </w:p>
        </w:tc>
        <w:tc>
          <w:tcPr>
            <w:tcW w:w="14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1/4/22</w:t>
            </w:r>
          </w:p>
        </w:tc>
        <w:tc>
          <w:tcPr>
            <w:tcW w:w="3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1/3/32</w:t>
            </w:r>
          </w:p>
        </w:tc>
        <w:tc>
          <w:tcPr>
            <w:tcW w:w="142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7,269</w:t>
            </w:r>
          </w:p>
        </w:tc>
        <w:tc>
          <w:tcPr>
            <w:tcW w:w="142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70.85</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2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00" w:type="dxa"/>
            <w:vAlign w:val="bottom"/>
            <w:gridSpan w:val="3"/>
            <w:vMerge w:val="continue"/>
            <w:shd w:val="clear" w:color="auto" w:fill="CCEEFF"/>
          </w:tcPr>
          <w:p>
            <w:pPr>
              <w:spacing w:after="0"/>
              <w:rPr>
                <w:sz w:val="13"/>
                <w:szCs w:val="13"/>
                <w:color w:val="auto"/>
              </w:rPr>
            </w:pPr>
          </w:p>
        </w:tc>
        <w:tc>
          <w:tcPr>
            <w:tcW w:w="1480" w:type="dxa"/>
            <w:vAlign w:val="bottom"/>
            <w:gridSpan w:val="3"/>
            <w:vMerge w:val="continue"/>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vMerge w:val="continue"/>
            <w:shd w:val="clear" w:color="auto" w:fill="CCEEFF"/>
          </w:tcPr>
          <w:p>
            <w:pPr>
              <w:spacing w:after="0"/>
              <w:rPr>
                <w:sz w:val="13"/>
                <w:szCs w:val="13"/>
                <w:color w:val="auto"/>
              </w:rPr>
            </w:pPr>
          </w:p>
        </w:tc>
        <w:tc>
          <w:tcPr>
            <w:tcW w:w="1420" w:type="dxa"/>
            <w:vAlign w:val="bottom"/>
            <w:gridSpan w:val="3"/>
            <w:vMerge w:val="continue"/>
            <w:shd w:val="clear" w:color="auto" w:fill="CCEEFF"/>
          </w:tcPr>
          <w:p>
            <w:pPr>
              <w:spacing w:after="0"/>
              <w:rPr>
                <w:sz w:val="13"/>
                <w:szCs w:val="13"/>
                <w:color w:val="auto"/>
              </w:rPr>
            </w:pPr>
          </w:p>
        </w:tc>
        <w:tc>
          <w:tcPr>
            <w:tcW w:w="1420" w:type="dxa"/>
            <w:vAlign w:val="bottom"/>
            <w:gridSpan w:val="2"/>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w w:val="96"/>
              </w:rPr>
              <w:t>134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-1533525</wp:posOffset>
            </wp:positionV>
            <wp:extent cx="6626225" cy="8318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626225" cy="83185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92"/>
        </w:trPr>
        <w:tc>
          <w:tcPr>
            <w:tcW w:w="1880" w:type="dxa"/>
            <w:vAlign w:val="bottom"/>
          </w:tcPr>
          <w:p>
            <w:pPr>
              <w:spacing w:after="0"/>
              <w:rPr>
                <w:sz w:val="8"/>
                <w:szCs w:val="8"/>
                <w:color w:val="auto"/>
              </w:rPr>
            </w:pPr>
          </w:p>
        </w:tc>
        <w:tc>
          <w:tcPr>
            <w:tcW w:w="17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4/29/21</w:t>
            </w:r>
          </w:p>
        </w:tc>
        <w:tc>
          <w:tcPr>
            <w:tcW w:w="14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6/25/21</w:t>
            </w:r>
          </w:p>
        </w:tc>
        <w:tc>
          <w:tcPr>
            <w:tcW w:w="420" w:type="dxa"/>
            <w:vAlign w:val="bottom"/>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(1)</w:t>
            </w:r>
          </w:p>
        </w:tc>
        <w:tc>
          <w:tcPr>
            <w:tcW w:w="11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4/28/31</w:t>
            </w: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4,909</w:t>
            </w:r>
          </w:p>
        </w:tc>
        <w:tc>
          <w:tcPr>
            <w:tcW w:w="164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343.20</w:t>
            </w:r>
          </w:p>
        </w:tc>
        <w:tc>
          <w:tcPr>
            <w:tcW w:w="0" w:type="dxa"/>
            <w:vAlign w:val="bottom"/>
          </w:tcPr>
          <w:p>
            <w:pPr>
              <w:spacing w:after="0"/>
              <w:rPr>
                <w:sz w:val="1"/>
                <w:szCs w:val="1"/>
                <w:color w:val="auto"/>
              </w:rPr>
            </w:pPr>
          </w:p>
        </w:tc>
      </w:tr>
      <w:tr>
        <w:trPr>
          <w:trHeight w:val="63"/>
        </w:trPr>
        <w:tc>
          <w:tcPr>
            <w:tcW w:w="1880" w:type="dxa"/>
            <w:vAlign w:val="bottom"/>
            <w:shd w:val="clear" w:color="auto" w:fill="CCEEFF"/>
          </w:tcPr>
          <w:p>
            <w:pPr>
              <w:spacing w:after="0"/>
              <w:rPr>
                <w:sz w:val="5"/>
                <w:szCs w:val="5"/>
                <w:color w:val="auto"/>
              </w:rPr>
            </w:pPr>
          </w:p>
        </w:tc>
        <w:tc>
          <w:tcPr>
            <w:tcW w:w="170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880" w:type="dxa"/>
            <w:vAlign w:val="bottom"/>
            <w:shd w:val="clear" w:color="auto" w:fill="CCEEFF"/>
          </w:tcPr>
          <w:p>
            <w:pPr>
              <w:spacing w:after="0"/>
              <w:rPr>
                <w:sz w:val="13"/>
                <w:szCs w:val="13"/>
                <w:color w:val="auto"/>
              </w:rPr>
            </w:pPr>
          </w:p>
        </w:tc>
        <w:tc>
          <w:tcPr>
            <w:tcW w:w="170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64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88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30"/>
              <w:spacing w:after="0" w:line="194" w:lineRule="exact"/>
              <w:rPr>
                <w:sz w:val="20"/>
                <w:szCs w:val="20"/>
                <w:color w:val="auto"/>
              </w:rPr>
            </w:pPr>
            <w:r>
              <w:rPr>
                <w:rFonts w:ascii="Times New Roman" w:cs="Times New Roman" w:eastAsia="Times New Roman" w:hAnsi="Times New Roman"/>
                <w:sz w:val="18"/>
                <w:szCs w:val="18"/>
                <w:color w:val="auto"/>
              </w:rPr>
              <w:t>3/10/21</w:t>
            </w:r>
          </w:p>
        </w:tc>
        <w:tc>
          <w:tcPr>
            <w:tcW w:w="1480" w:type="dxa"/>
            <w:vAlign w:val="bottom"/>
            <w:shd w:val="clear" w:color="auto" w:fill="CCEEFF"/>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3/5/21</w:t>
            </w: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3/9/31</w:t>
            </w:r>
          </w:p>
        </w:tc>
        <w:tc>
          <w:tcPr>
            <w:tcW w:w="1300" w:type="dxa"/>
            <w:vAlign w:val="bottom"/>
            <w:shd w:val="clear" w:color="auto" w:fill="CCEEFF"/>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619</w:t>
            </w:r>
          </w:p>
        </w:tc>
        <w:tc>
          <w:tcPr>
            <w:tcW w:w="16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133.25</w:t>
            </w:r>
          </w:p>
        </w:tc>
        <w:tc>
          <w:tcPr>
            <w:tcW w:w="0" w:type="dxa"/>
            <w:vAlign w:val="bottom"/>
          </w:tcPr>
          <w:p>
            <w:pPr>
              <w:spacing w:after="0"/>
              <w:rPr>
                <w:sz w:val="1"/>
                <w:szCs w:val="1"/>
                <w:color w:val="auto"/>
              </w:rPr>
            </w:pPr>
          </w:p>
        </w:tc>
      </w:tr>
      <w:tr>
        <w:trPr>
          <w:trHeight w:val="239"/>
        </w:trPr>
        <w:tc>
          <w:tcPr>
            <w:tcW w:w="1880" w:type="dxa"/>
            <w:vAlign w:val="bottom"/>
            <w:shd w:val="clear" w:color="auto" w:fill="CCEEFF"/>
          </w:tcPr>
          <w:p>
            <w:pPr>
              <w:spacing w:after="0"/>
              <w:rPr>
                <w:sz w:val="20"/>
                <w:szCs w:val="20"/>
                <w:color w:val="auto"/>
              </w:rPr>
            </w:pPr>
          </w:p>
        </w:tc>
        <w:tc>
          <w:tcPr>
            <w:tcW w:w="1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3/30/20</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2/20/20</w:t>
            </w: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3/29/30</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5,404</w:t>
            </w:r>
          </w:p>
        </w:tc>
        <w:tc>
          <w:tcPr>
            <w:tcW w:w="16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76.70</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right"/>
              <w:ind w:right="30"/>
              <w:spacing w:after="0" w:line="194" w:lineRule="exact"/>
              <w:rPr>
                <w:sz w:val="20"/>
                <w:szCs w:val="20"/>
                <w:color w:val="auto"/>
              </w:rPr>
            </w:pPr>
            <w:r>
              <w:rPr>
                <w:rFonts w:ascii="Times New Roman" w:cs="Times New Roman" w:eastAsia="Times New Roman" w:hAnsi="Times New Roman"/>
                <w:sz w:val="18"/>
                <w:szCs w:val="18"/>
                <w:color w:val="auto"/>
              </w:rPr>
              <w:t>9/16/19</w:t>
            </w:r>
          </w:p>
        </w:tc>
        <w:tc>
          <w:tcPr>
            <w:tcW w:w="1480" w:type="dxa"/>
            <w:vAlign w:val="bottom"/>
            <w:tcBorders>
              <w:bottom w:val="single" w:sz="8" w:color="CCEEFF"/>
            </w:tcBorders>
            <w:shd w:val="clear" w:color="auto" w:fill="CCEEFF"/>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9/9/19</w:t>
            </w:r>
          </w:p>
        </w:tc>
        <w:tc>
          <w:tcPr>
            <w:tcW w:w="420" w:type="dxa"/>
            <w:vAlign w:val="bottom"/>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(1)</w:t>
            </w:r>
          </w:p>
        </w:tc>
        <w:tc>
          <w:tcPr>
            <w:tcW w:w="112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9/15/29</w:t>
            </w:r>
          </w:p>
        </w:tc>
        <w:tc>
          <w:tcPr>
            <w:tcW w:w="130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8,494</w:t>
            </w:r>
          </w:p>
        </w:tc>
        <w:tc>
          <w:tcPr>
            <w:tcW w:w="164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64.61</w:t>
            </w:r>
          </w:p>
        </w:tc>
        <w:tc>
          <w:tcPr>
            <w:tcW w:w="0" w:type="dxa"/>
            <w:vAlign w:val="bottom"/>
          </w:tcPr>
          <w:p>
            <w:pPr>
              <w:spacing w:after="0"/>
              <w:rPr>
                <w:sz w:val="1"/>
                <w:szCs w:val="1"/>
                <w:color w:val="auto"/>
              </w:rPr>
            </w:pPr>
          </w:p>
        </w:tc>
      </w:tr>
      <w:tr>
        <w:trPr>
          <w:trHeight w:val="63"/>
        </w:trPr>
        <w:tc>
          <w:tcPr>
            <w:tcW w:w="1880" w:type="dxa"/>
            <w:vAlign w:val="bottom"/>
            <w:vMerge w:val="restart"/>
          </w:tcPr>
          <w:p>
            <w:pPr>
              <w:ind w:left="120"/>
              <w:spacing w:after="0" w:line="194" w:lineRule="exact"/>
              <w:rPr>
                <w:sz w:val="20"/>
                <w:szCs w:val="20"/>
                <w:color w:val="auto"/>
              </w:rPr>
            </w:pPr>
            <w:r>
              <w:rPr>
                <w:rFonts w:ascii="Times New Roman" w:cs="Times New Roman" w:eastAsia="Times New Roman" w:hAnsi="Times New Roman"/>
                <w:sz w:val="18"/>
                <w:szCs w:val="18"/>
                <w:color w:val="auto"/>
              </w:rPr>
              <w:t>Samuel Whiting</w:t>
            </w:r>
          </w:p>
        </w:tc>
        <w:tc>
          <w:tcPr>
            <w:tcW w:w="1700" w:type="dxa"/>
            <w:vAlign w:val="bottom"/>
            <w:vMerge w:val="restart"/>
          </w:tcPr>
          <w:p>
            <w:pPr>
              <w:jc w:val="right"/>
              <w:ind w:right="30"/>
              <w:spacing w:after="0" w:line="194" w:lineRule="exact"/>
              <w:rPr>
                <w:sz w:val="20"/>
                <w:szCs w:val="20"/>
                <w:color w:val="auto"/>
              </w:rPr>
            </w:pPr>
            <w:r>
              <w:rPr>
                <w:rFonts w:ascii="Times New Roman" w:cs="Times New Roman" w:eastAsia="Times New Roman" w:hAnsi="Times New Roman"/>
                <w:sz w:val="18"/>
                <w:szCs w:val="18"/>
                <w:color w:val="auto"/>
              </w:rPr>
              <w:t>1/2/2025</w:t>
            </w:r>
          </w:p>
        </w:tc>
        <w:tc>
          <w:tcPr>
            <w:tcW w:w="1480" w:type="dxa"/>
            <w:vAlign w:val="bottom"/>
            <w:vMerge w:val="restart"/>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1/2/2025</w:t>
            </w:r>
          </w:p>
        </w:tc>
        <w:tc>
          <w:tcPr>
            <w:tcW w:w="420" w:type="dxa"/>
            <w:vAlign w:val="bottom"/>
            <w:vMerge w:val="continue"/>
          </w:tcPr>
          <w:p>
            <w:pPr>
              <w:spacing w:after="0"/>
              <w:rPr>
                <w:sz w:val="5"/>
                <w:szCs w:val="5"/>
                <w:color w:val="auto"/>
              </w:rPr>
            </w:pPr>
          </w:p>
        </w:tc>
        <w:tc>
          <w:tcPr>
            <w:tcW w:w="1120" w:type="dxa"/>
            <w:vAlign w:val="bottom"/>
            <w:vMerge w:val="restart"/>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1/1/2035</w:t>
            </w:r>
          </w:p>
        </w:tc>
        <w:tc>
          <w:tcPr>
            <w:tcW w:w="1300" w:type="dxa"/>
            <w:vAlign w:val="bottom"/>
            <w:vMerge w:val="restart"/>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20,768</w:t>
            </w:r>
          </w:p>
        </w:tc>
        <w:tc>
          <w:tcPr>
            <w:tcW w:w="164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130"/>
        </w:trPr>
        <w:tc>
          <w:tcPr>
            <w:tcW w:w="188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420" w:type="dxa"/>
            <w:vAlign w:val="bottom"/>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(1)</w:t>
            </w:r>
          </w:p>
        </w:tc>
        <w:tc>
          <w:tcPr>
            <w:tcW w:w="11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880" w:type="dxa"/>
            <w:vAlign w:val="bottom"/>
          </w:tcPr>
          <w:p>
            <w:pPr>
              <w:spacing w:after="0"/>
              <w:rPr>
                <w:sz w:val="7"/>
                <w:szCs w:val="7"/>
                <w:color w:val="auto"/>
              </w:rPr>
            </w:pPr>
          </w:p>
        </w:tc>
        <w:tc>
          <w:tcPr>
            <w:tcW w:w="17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1/3/2024</w:t>
            </w:r>
          </w:p>
        </w:tc>
        <w:tc>
          <w:tcPr>
            <w:tcW w:w="14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1/3/2024</w:t>
            </w:r>
          </w:p>
        </w:tc>
        <w:tc>
          <w:tcPr>
            <w:tcW w:w="420" w:type="dxa"/>
            <w:vAlign w:val="bottom"/>
            <w:vMerge w:val="continue"/>
          </w:tcPr>
          <w:p>
            <w:pPr>
              <w:spacing w:after="0"/>
              <w:rPr>
                <w:sz w:val="7"/>
                <w:szCs w:val="7"/>
                <w:color w:val="auto"/>
              </w:rPr>
            </w:pPr>
          </w:p>
        </w:tc>
        <w:tc>
          <w:tcPr>
            <w:tcW w:w="11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1/2/2034</w:t>
            </w: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7,691</w:t>
            </w:r>
          </w:p>
        </w:tc>
        <w:tc>
          <w:tcPr>
            <w:tcW w:w="164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60.58</w:t>
            </w:r>
          </w:p>
        </w:tc>
        <w:tc>
          <w:tcPr>
            <w:tcW w:w="0" w:type="dxa"/>
            <w:vAlign w:val="bottom"/>
          </w:tcPr>
          <w:p>
            <w:pPr>
              <w:spacing w:after="0"/>
              <w:rPr>
                <w:sz w:val="1"/>
                <w:szCs w:val="1"/>
                <w:color w:val="auto"/>
              </w:rPr>
            </w:pPr>
          </w:p>
        </w:tc>
      </w:tr>
      <w:tr>
        <w:trPr>
          <w:trHeight w:val="130"/>
        </w:trPr>
        <w:tc>
          <w:tcPr>
            <w:tcW w:w="188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420" w:type="dxa"/>
            <w:vAlign w:val="bottom"/>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(1)</w:t>
            </w:r>
          </w:p>
        </w:tc>
        <w:tc>
          <w:tcPr>
            <w:tcW w:w="11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880" w:type="dxa"/>
            <w:vAlign w:val="bottom"/>
          </w:tcPr>
          <w:p>
            <w:pPr>
              <w:spacing w:after="0"/>
              <w:rPr>
                <w:sz w:val="7"/>
                <w:szCs w:val="7"/>
                <w:color w:val="auto"/>
              </w:rPr>
            </w:pPr>
          </w:p>
        </w:tc>
        <w:tc>
          <w:tcPr>
            <w:tcW w:w="17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10/11/23</w:t>
            </w:r>
          </w:p>
        </w:tc>
        <w:tc>
          <w:tcPr>
            <w:tcW w:w="14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10/11/23</w:t>
            </w:r>
          </w:p>
        </w:tc>
        <w:tc>
          <w:tcPr>
            <w:tcW w:w="420" w:type="dxa"/>
            <w:vAlign w:val="bottom"/>
            <w:vMerge w:val="continue"/>
          </w:tcPr>
          <w:p>
            <w:pPr>
              <w:spacing w:after="0"/>
              <w:rPr>
                <w:sz w:val="7"/>
                <w:szCs w:val="7"/>
                <w:color w:val="auto"/>
              </w:rPr>
            </w:pPr>
          </w:p>
        </w:tc>
        <w:tc>
          <w:tcPr>
            <w:tcW w:w="11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10/10/33</w:t>
            </w: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25,000</w:t>
            </w:r>
          </w:p>
        </w:tc>
        <w:tc>
          <w:tcPr>
            <w:tcW w:w="164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127.01</w:t>
            </w:r>
          </w:p>
        </w:tc>
        <w:tc>
          <w:tcPr>
            <w:tcW w:w="0" w:type="dxa"/>
            <w:vAlign w:val="bottom"/>
          </w:tcPr>
          <w:p>
            <w:pPr>
              <w:spacing w:after="0"/>
              <w:rPr>
                <w:sz w:val="1"/>
                <w:szCs w:val="1"/>
                <w:color w:val="auto"/>
              </w:rPr>
            </w:pPr>
          </w:p>
        </w:tc>
      </w:tr>
      <w:tr>
        <w:trPr>
          <w:trHeight w:val="130"/>
        </w:trPr>
        <w:tc>
          <w:tcPr>
            <w:tcW w:w="188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420" w:type="dxa"/>
            <w:vAlign w:val="bottom"/>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(1)</w:t>
            </w:r>
          </w:p>
        </w:tc>
        <w:tc>
          <w:tcPr>
            <w:tcW w:w="11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880" w:type="dxa"/>
            <w:vAlign w:val="bottom"/>
          </w:tcPr>
          <w:p>
            <w:pPr>
              <w:spacing w:after="0"/>
              <w:rPr>
                <w:sz w:val="7"/>
                <w:szCs w:val="7"/>
                <w:color w:val="auto"/>
              </w:rPr>
            </w:pPr>
          </w:p>
        </w:tc>
        <w:tc>
          <w:tcPr>
            <w:tcW w:w="17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1/3/23</w:t>
            </w:r>
          </w:p>
        </w:tc>
        <w:tc>
          <w:tcPr>
            <w:tcW w:w="14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1/3/23</w:t>
            </w:r>
          </w:p>
        </w:tc>
        <w:tc>
          <w:tcPr>
            <w:tcW w:w="420" w:type="dxa"/>
            <w:vAlign w:val="bottom"/>
            <w:vMerge w:val="continue"/>
          </w:tcPr>
          <w:p>
            <w:pPr>
              <w:spacing w:after="0"/>
              <w:rPr>
                <w:sz w:val="7"/>
                <w:szCs w:val="7"/>
                <w:color w:val="auto"/>
              </w:rPr>
            </w:pPr>
          </w:p>
        </w:tc>
        <w:tc>
          <w:tcPr>
            <w:tcW w:w="11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1/2/33</w:t>
            </w: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5,361</w:t>
            </w:r>
          </w:p>
        </w:tc>
        <w:tc>
          <w:tcPr>
            <w:tcW w:w="164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130"/>
        </w:trPr>
        <w:tc>
          <w:tcPr>
            <w:tcW w:w="188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420" w:type="dxa"/>
            <w:vAlign w:val="bottom"/>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(1)</w:t>
            </w:r>
          </w:p>
        </w:tc>
        <w:tc>
          <w:tcPr>
            <w:tcW w:w="11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880" w:type="dxa"/>
            <w:vAlign w:val="bottom"/>
          </w:tcPr>
          <w:p>
            <w:pPr>
              <w:spacing w:after="0"/>
              <w:rPr>
                <w:sz w:val="7"/>
                <w:szCs w:val="7"/>
                <w:color w:val="auto"/>
              </w:rPr>
            </w:pPr>
          </w:p>
        </w:tc>
        <w:tc>
          <w:tcPr>
            <w:tcW w:w="17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6/21/22</w:t>
            </w:r>
          </w:p>
        </w:tc>
        <w:tc>
          <w:tcPr>
            <w:tcW w:w="14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6/21/22</w:t>
            </w:r>
          </w:p>
        </w:tc>
        <w:tc>
          <w:tcPr>
            <w:tcW w:w="420" w:type="dxa"/>
            <w:vAlign w:val="bottom"/>
            <w:vMerge w:val="continue"/>
          </w:tcPr>
          <w:p>
            <w:pPr>
              <w:spacing w:after="0"/>
              <w:rPr>
                <w:sz w:val="7"/>
                <w:szCs w:val="7"/>
                <w:color w:val="auto"/>
              </w:rPr>
            </w:pPr>
          </w:p>
        </w:tc>
        <w:tc>
          <w:tcPr>
            <w:tcW w:w="11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6/20/32</w:t>
            </w: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4,282</w:t>
            </w:r>
          </w:p>
        </w:tc>
        <w:tc>
          <w:tcPr>
            <w:tcW w:w="164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30.55</w:t>
            </w:r>
          </w:p>
        </w:tc>
        <w:tc>
          <w:tcPr>
            <w:tcW w:w="0" w:type="dxa"/>
            <w:vAlign w:val="bottom"/>
          </w:tcPr>
          <w:p>
            <w:pPr>
              <w:spacing w:after="0"/>
              <w:rPr>
                <w:sz w:val="1"/>
                <w:szCs w:val="1"/>
                <w:color w:val="auto"/>
              </w:rPr>
            </w:pPr>
          </w:p>
        </w:tc>
      </w:tr>
      <w:tr>
        <w:trPr>
          <w:trHeight w:val="130"/>
        </w:trPr>
        <w:tc>
          <w:tcPr>
            <w:tcW w:w="188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420" w:type="dxa"/>
            <w:vAlign w:val="bottom"/>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(1)</w:t>
            </w:r>
          </w:p>
        </w:tc>
        <w:tc>
          <w:tcPr>
            <w:tcW w:w="11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880" w:type="dxa"/>
            <w:vAlign w:val="bottom"/>
          </w:tcPr>
          <w:p>
            <w:pPr>
              <w:spacing w:after="0"/>
              <w:rPr>
                <w:sz w:val="7"/>
                <w:szCs w:val="7"/>
                <w:color w:val="auto"/>
              </w:rPr>
            </w:pPr>
          </w:p>
        </w:tc>
        <w:tc>
          <w:tcPr>
            <w:tcW w:w="17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1/4/22</w:t>
            </w:r>
          </w:p>
        </w:tc>
        <w:tc>
          <w:tcPr>
            <w:tcW w:w="14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1/4/22</w:t>
            </w:r>
          </w:p>
        </w:tc>
        <w:tc>
          <w:tcPr>
            <w:tcW w:w="420" w:type="dxa"/>
            <w:vAlign w:val="bottom"/>
            <w:vMerge w:val="continue"/>
          </w:tcPr>
          <w:p>
            <w:pPr>
              <w:spacing w:after="0"/>
              <w:rPr>
                <w:sz w:val="7"/>
                <w:szCs w:val="7"/>
                <w:color w:val="auto"/>
              </w:rPr>
            </w:pPr>
          </w:p>
        </w:tc>
        <w:tc>
          <w:tcPr>
            <w:tcW w:w="11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1/3/32</w:t>
            </w: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2,229</w:t>
            </w:r>
          </w:p>
        </w:tc>
        <w:tc>
          <w:tcPr>
            <w:tcW w:w="164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70.85</w:t>
            </w:r>
          </w:p>
        </w:tc>
        <w:tc>
          <w:tcPr>
            <w:tcW w:w="0" w:type="dxa"/>
            <w:vAlign w:val="bottom"/>
          </w:tcPr>
          <w:p>
            <w:pPr>
              <w:spacing w:after="0"/>
              <w:rPr>
                <w:sz w:val="1"/>
                <w:szCs w:val="1"/>
                <w:color w:val="auto"/>
              </w:rPr>
            </w:pPr>
          </w:p>
        </w:tc>
      </w:tr>
      <w:tr>
        <w:trPr>
          <w:trHeight w:val="130"/>
        </w:trPr>
        <w:tc>
          <w:tcPr>
            <w:tcW w:w="188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420" w:type="dxa"/>
            <w:vAlign w:val="bottom"/>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(1)</w:t>
            </w:r>
          </w:p>
        </w:tc>
        <w:tc>
          <w:tcPr>
            <w:tcW w:w="11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880" w:type="dxa"/>
            <w:vAlign w:val="bottom"/>
          </w:tcPr>
          <w:p>
            <w:pPr>
              <w:spacing w:after="0"/>
              <w:rPr>
                <w:sz w:val="7"/>
                <w:szCs w:val="7"/>
                <w:color w:val="auto"/>
              </w:rPr>
            </w:pPr>
          </w:p>
        </w:tc>
        <w:tc>
          <w:tcPr>
            <w:tcW w:w="17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4/29/21</w:t>
            </w:r>
          </w:p>
        </w:tc>
        <w:tc>
          <w:tcPr>
            <w:tcW w:w="14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6/25/21</w:t>
            </w:r>
          </w:p>
        </w:tc>
        <w:tc>
          <w:tcPr>
            <w:tcW w:w="420" w:type="dxa"/>
            <w:vAlign w:val="bottom"/>
            <w:vMerge w:val="continue"/>
          </w:tcPr>
          <w:p>
            <w:pPr>
              <w:spacing w:after="0"/>
              <w:rPr>
                <w:sz w:val="7"/>
                <w:szCs w:val="7"/>
                <w:color w:val="auto"/>
              </w:rPr>
            </w:pPr>
          </w:p>
        </w:tc>
        <w:tc>
          <w:tcPr>
            <w:tcW w:w="11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4/28/31</w:t>
            </w: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1,338</w:t>
            </w:r>
          </w:p>
        </w:tc>
        <w:tc>
          <w:tcPr>
            <w:tcW w:w="164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343.20</w:t>
            </w:r>
          </w:p>
        </w:tc>
        <w:tc>
          <w:tcPr>
            <w:tcW w:w="0" w:type="dxa"/>
            <w:vAlign w:val="bottom"/>
          </w:tcPr>
          <w:p>
            <w:pPr>
              <w:spacing w:after="0"/>
              <w:rPr>
                <w:sz w:val="1"/>
                <w:szCs w:val="1"/>
                <w:color w:val="auto"/>
              </w:rPr>
            </w:pPr>
          </w:p>
        </w:tc>
      </w:tr>
      <w:tr>
        <w:trPr>
          <w:trHeight w:val="130"/>
        </w:trPr>
        <w:tc>
          <w:tcPr>
            <w:tcW w:w="188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3/10/21</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3/5/21</w:t>
            </w:r>
          </w:p>
        </w:tc>
        <w:tc>
          <w:tcPr>
            <w:tcW w:w="4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3/9/31</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w:t>
            </w:r>
          </w:p>
        </w:tc>
        <w:tc>
          <w:tcPr>
            <w:tcW w:w="164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133.25</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11/16/20</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11/16/20</w:t>
            </w:r>
          </w:p>
        </w:tc>
        <w:tc>
          <w:tcPr>
            <w:tcW w:w="420" w:type="dxa"/>
            <w:vAlign w:val="bottom"/>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(1)</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11/15/30</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4,765</w:t>
            </w:r>
          </w:p>
        </w:tc>
        <w:tc>
          <w:tcPr>
            <w:tcW w:w="164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76.70</w:t>
            </w:r>
          </w:p>
        </w:tc>
        <w:tc>
          <w:tcPr>
            <w:tcW w:w="0" w:type="dxa"/>
            <w:vAlign w:val="bottom"/>
          </w:tcPr>
          <w:p>
            <w:pPr>
              <w:spacing w:after="0"/>
              <w:rPr>
                <w:sz w:val="1"/>
                <w:szCs w:val="1"/>
                <w:color w:val="auto"/>
              </w:rPr>
            </w:pPr>
          </w:p>
        </w:tc>
      </w:tr>
      <w:tr>
        <w:trPr>
          <w:trHeight w:val="23"/>
        </w:trPr>
        <w:tc>
          <w:tcPr>
            <w:tcW w:w="1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1880" w:type="dxa"/>
            <w:vAlign w:val="bottom"/>
            <w:vMerge w:val="restart"/>
            <w:shd w:val="clear" w:color="auto" w:fill="CCEEFF"/>
          </w:tcPr>
          <w:p>
            <w:pPr>
              <w:ind w:left="120"/>
              <w:spacing w:after="0" w:line="194" w:lineRule="exact"/>
              <w:rPr>
                <w:sz w:val="20"/>
                <w:szCs w:val="20"/>
                <w:color w:val="auto"/>
              </w:rPr>
            </w:pPr>
            <w:r>
              <w:rPr>
                <w:rFonts w:ascii="Times New Roman" w:cs="Times New Roman" w:eastAsia="Times New Roman" w:hAnsi="Times New Roman"/>
                <w:sz w:val="18"/>
                <w:szCs w:val="18"/>
                <w:color w:val="auto"/>
              </w:rPr>
              <w:t>Nicholas Maestas</w:t>
            </w:r>
          </w:p>
        </w:tc>
        <w:tc>
          <w:tcPr>
            <w:tcW w:w="1700" w:type="dxa"/>
            <w:vAlign w:val="bottom"/>
            <w:vMerge w:val="restart"/>
          </w:tcPr>
          <w:p>
            <w:pPr>
              <w:jc w:val="right"/>
              <w:ind w:right="30"/>
              <w:spacing w:after="0" w:line="194" w:lineRule="exact"/>
              <w:rPr>
                <w:sz w:val="20"/>
                <w:szCs w:val="20"/>
                <w:color w:val="auto"/>
              </w:rPr>
            </w:pPr>
            <w:r>
              <w:rPr>
                <w:rFonts w:ascii="Times New Roman" w:cs="Times New Roman" w:eastAsia="Times New Roman" w:hAnsi="Times New Roman"/>
                <w:sz w:val="18"/>
                <w:szCs w:val="18"/>
                <w:color w:val="auto"/>
              </w:rPr>
              <w:t>1/2/2025</w:t>
            </w:r>
          </w:p>
        </w:tc>
        <w:tc>
          <w:tcPr>
            <w:tcW w:w="1480" w:type="dxa"/>
            <w:vAlign w:val="bottom"/>
            <w:vMerge w:val="restart"/>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1/2/2025</w:t>
            </w:r>
          </w:p>
        </w:tc>
        <w:tc>
          <w:tcPr>
            <w:tcW w:w="420" w:type="dxa"/>
            <w:vAlign w:val="bottom"/>
            <w:vMerge w:val="continue"/>
          </w:tcPr>
          <w:p>
            <w:pPr>
              <w:spacing w:after="0"/>
              <w:rPr>
                <w:sz w:val="5"/>
                <w:szCs w:val="5"/>
                <w:color w:val="auto"/>
              </w:rPr>
            </w:pPr>
          </w:p>
        </w:tc>
        <w:tc>
          <w:tcPr>
            <w:tcW w:w="1120" w:type="dxa"/>
            <w:vAlign w:val="bottom"/>
            <w:vMerge w:val="restart"/>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1/1/2035</w:t>
            </w:r>
          </w:p>
        </w:tc>
        <w:tc>
          <w:tcPr>
            <w:tcW w:w="1300" w:type="dxa"/>
            <w:vAlign w:val="bottom"/>
            <w:vMerge w:val="restart"/>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15,383</w:t>
            </w:r>
          </w:p>
        </w:tc>
        <w:tc>
          <w:tcPr>
            <w:tcW w:w="1640" w:type="dxa"/>
            <w:vAlign w:val="bottom"/>
            <w:vMerge w:val="continue"/>
          </w:tcPr>
          <w:p>
            <w:pPr>
              <w:spacing w:after="0"/>
              <w:rPr>
                <w:sz w:val="5"/>
                <w:szCs w:val="5"/>
                <w:color w:val="auto"/>
              </w:rPr>
            </w:pPr>
          </w:p>
        </w:tc>
        <w:tc>
          <w:tcPr>
            <w:tcW w:w="900" w:type="dxa"/>
            <w:vAlign w:val="bottom"/>
            <w:vMerge w:val="restart"/>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130"/>
        </w:trPr>
        <w:tc>
          <w:tcPr>
            <w:tcW w:w="1880" w:type="dxa"/>
            <w:vAlign w:val="bottom"/>
            <w:vMerge w:val="continue"/>
            <w:shd w:val="clear" w:color="auto" w:fill="CCEEFF"/>
          </w:tcPr>
          <w:p>
            <w:pPr>
              <w:spacing w:after="0"/>
              <w:rPr>
                <w:sz w:val="11"/>
                <w:szCs w:val="11"/>
                <w:color w:val="auto"/>
              </w:rPr>
            </w:pPr>
          </w:p>
        </w:tc>
        <w:tc>
          <w:tcPr>
            <w:tcW w:w="170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420" w:type="dxa"/>
            <w:vAlign w:val="bottom"/>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(1)</w:t>
            </w:r>
          </w:p>
        </w:tc>
        <w:tc>
          <w:tcPr>
            <w:tcW w:w="11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1880" w:type="dxa"/>
            <w:vAlign w:val="bottom"/>
            <w:shd w:val="clear" w:color="auto" w:fill="CCEE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1880" w:type="dxa"/>
            <w:vAlign w:val="bottom"/>
            <w:shd w:val="clear" w:color="auto" w:fill="CCEEFF"/>
          </w:tcPr>
          <w:p>
            <w:pPr>
              <w:spacing w:after="0"/>
              <w:rPr>
                <w:sz w:val="5"/>
                <w:szCs w:val="5"/>
                <w:color w:val="auto"/>
              </w:rPr>
            </w:pPr>
          </w:p>
        </w:tc>
        <w:tc>
          <w:tcPr>
            <w:tcW w:w="1700" w:type="dxa"/>
            <w:vAlign w:val="bottom"/>
            <w:vMerge w:val="restart"/>
            <w:shd w:val="clear" w:color="auto" w:fill="CCEEFF"/>
          </w:tcPr>
          <w:p>
            <w:pPr>
              <w:jc w:val="right"/>
              <w:ind w:right="30"/>
              <w:spacing w:after="0" w:line="194" w:lineRule="exact"/>
              <w:rPr>
                <w:sz w:val="20"/>
                <w:szCs w:val="20"/>
                <w:color w:val="auto"/>
              </w:rPr>
            </w:pPr>
            <w:r>
              <w:rPr>
                <w:rFonts w:ascii="Times New Roman" w:cs="Times New Roman" w:eastAsia="Times New Roman" w:hAnsi="Times New Roman"/>
                <w:sz w:val="18"/>
                <w:szCs w:val="18"/>
                <w:color w:val="auto"/>
              </w:rPr>
              <w:t>1/3/2024</w:t>
            </w:r>
          </w:p>
        </w:tc>
        <w:tc>
          <w:tcPr>
            <w:tcW w:w="1480" w:type="dxa"/>
            <w:vAlign w:val="bottom"/>
            <w:vMerge w:val="restart"/>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1/3/2024</w:t>
            </w:r>
          </w:p>
        </w:tc>
        <w:tc>
          <w:tcPr>
            <w:tcW w:w="420" w:type="dxa"/>
            <w:vAlign w:val="bottom"/>
            <w:vMerge w:val="continue"/>
          </w:tcPr>
          <w:p>
            <w:pPr>
              <w:spacing w:after="0"/>
              <w:rPr>
                <w:sz w:val="5"/>
                <w:szCs w:val="5"/>
                <w:color w:val="auto"/>
              </w:rPr>
            </w:pPr>
          </w:p>
        </w:tc>
        <w:tc>
          <w:tcPr>
            <w:tcW w:w="1120" w:type="dxa"/>
            <w:vAlign w:val="bottom"/>
            <w:vMerge w:val="restart"/>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1/2/2034</w:t>
            </w:r>
          </w:p>
        </w:tc>
        <w:tc>
          <w:tcPr>
            <w:tcW w:w="1300" w:type="dxa"/>
            <w:vAlign w:val="bottom"/>
            <w:vMerge w:val="restart"/>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3,076</w:t>
            </w:r>
          </w:p>
        </w:tc>
        <w:tc>
          <w:tcPr>
            <w:tcW w:w="1640" w:type="dxa"/>
            <w:vAlign w:val="bottom"/>
            <w:vMerge w:val="continue"/>
          </w:tcPr>
          <w:p>
            <w:pPr>
              <w:spacing w:after="0"/>
              <w:rPr>
                <w:sz w:val="5"/>
                <w:szCs w:val="5"/>
                <w:color w:val="auto"/>
              </w:rPr>
            </w:pPr>
          </w:p>
        </w:tc>
        <w:tc>
          <w:tcPr>
            <w:tcW w:w="900" w:type="dxa"/>
            <w:vAlign w:val="bottom"/>
            <w:vMerge w:val="restart"/>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60.58</w:t>
            </w:r>
          </w:p>
        </w:tc>
        <w:tc>
          <w:tcPr>
            <w:tcW w:w="0" w:type="dxa"/>
            <w:vAlign w:val="bottom"/>
          </w:tcPr>
          <w:p>
            <w:pPr>
              <w:spacing w:after="0"/>
              <w:rPr>
                <w:sz w:val="1"/>
                <w:szCs w:val="1"/>
                <w:color w:val="auto"/>
              </w:rPr>
            </w:pPr>
          </w:p>
        </w:tc>
      </w:tr>
      <w:tr>
        <w:trPr>
          <w:trHeight w:val="130"/>
        </w:trPr>
        <w:tc>
          <w:tcPr>
            <w:tcW w:w="1880" w:type="dxa"/>
            <w:vAlign w:val="bottom"/>
            <w:shd w:val="clear" w:color="auto" w:fill="CCEEFF"/>
          </w:tcPr>
          <w:p>
            <w:pPr>
              <w:spacing w:after="0"/>
              <w:rPr>
                <w:sz w:val="11"/>
                <w:szCs w:val="11"/>
                <w:color w:val="auto"/>
              </w:rPr>
            </w:pPr>
          </w:p>
        </w:tc>
        <w:tc>
          <w:tcPr>
            <w:tcW w:w="1700" w:type="dxa"/>
            <w:vAlign w:val="bottom"/>
            <w:vMerge w:val="continue"/>
            <w:shd w:val="clear" w:color="auto" w:fill="CCEEFF"/>
          </w:tcPr>
          <w:p>
            <w:pPr>
              <w:spacing w:after="0"/>
              <w:rPr>
                <w:sz w:val="11"/>
                <w:szCs w:val="11"/>
                <w:color w:val="auto"/>
              </w:rPr>
            </w:pPr>
          </w:p>
        </w:tc>
        <w:tc>
          <w:tcPr>
            <w:tcW w:w="1480" w:type="dxa"/>
            <w:vAlign w:val="bottom"/>
            <w:vMerge w:val="continue"/>
          </w:tcPr>
          <w:p>
            <w:pPr>
              <w:spacing w:after="0"/>
              <w:rPr>
                <w:sz w:val="11"/>
                <w:szCs w:val="11"/>
                <w:color w:val="auto"/>
              </w:rPr>
            </w:pPr>
          </w:p>
        </w:tc>
        <w:tc>
          <w:tcPr>
            <w:tcW w:w="420" w:type="dxa"/>
            <w:vAlign w:val="bottom"/>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(1)</w:t>
            </w:r>
          </w:p>
        </w:tc>
        <w:tc>
          <w:tcPr>
            <w:tcW w:w="11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188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1880" w:type="dxa"/>
            <w:vAlign w:val="bottom"/>
            <w:shd w:val="clear" w:color="auto" w:fill="CCEEFF"/>
          </w:tcPr>
          <w:p>
            <w:pPr>
              <w:spacing w:after="0"/>
              <w:rPr>
                <w:sz w:val="5"/>
                <w:szCs w:val="5"/>
                <w:color w:val="auto"/>
              </w:rPr>
            </w:pPr>
          </w:p>
        </w:tc>
        <w:tc>
          <w:tcPr>
            <w:tcW w:w="1700" w:type="dxa"/>
            <w:vAlign w:val="bottom"/>
            <w:vMerge w:val="restart"/>
            <w:shd w:val="clear" w:color="auto" w:fill="CCEEFF"/>
          </w:tcPr>
          <w:p>
            <w:pPr>
              <w:jc w:val="right"/>
              <w:ind w:right="30"/>
              <w:spacing w:after="0" w:line="194" w:lineRule="exact"/>
              <w:rPr>
                <w:sz w:val="20"/>
                <w:szCs w:val="20"/>
                <w:color w:val="auto"/>
              </w:rPr>
            </w:pPr>
            <w:r>
              <w:rPr>
                <w:rFonts w:ascii="Times New Roman" w:cs="Times New Roman" w:eastAsia="Times New Roman" w:hAnsi="Times New Roman"/>
                <w:sz w:val="18"/>
                <w:szCs w:val="18"/>
                <w:color w:val="auto"/>
              </w:rPr>
              <w:t>10/11/23</w:t>
            </w:r>
          </w:p>
        </w:tc>
        <w:tc>
          <w:tcPr>
            <w:tcW w:w="1480" w:type="dxa"/>
            <w:vAlign w:val="bottom"/>
            <w:vMerge w:val="restart"/>
            <w:shd w:val="clear" w:color="auto" w:fill="CCEEFF"/>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10/11/23</w:t>
            </w:r>
          </w:p>
        </w:tc>
        <w:tc>
          <w:tcPr>
            <w:tcW w:w="420" w:type="dxa"/>
            <w:vAlign w:val="bottom"/>
            <w:vMerge w:val="continue"/>
          </w:tcPr>
          <w:p>
            <w:pPr>
              <w:spacing w:after="0"/>
              <w:rPr>
                <w:sz w:val="5"/>
                <w:szCs w:val="5"/>
                <w:color w:val="auto"/>
              </w:rPr>
            </w:pPr>
          </w:p>
        </w:tc>
        <w:tc>
          <w:tcPr>
            <w:tcW w:w="1120" w:type="dxa"/>
            <w:vAlign w:val="bottom"/>
            <w:vMerge w:val="restart"/>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10/10/33</w:t>
            </w:r>
          </w:p>
        </w:tc>
        <w:tc>
          <w:tcPr>
            <w:tcW w:w="1300" w:type="dxa"/>
            <w:vAlign w:val="bottom"/>
            <w:vMerge w:val="restart"/>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7,691</w:t>
            </w:r>
          </w:p>
        </w:tc>
        <w:tc>
          <w:tcPr>
            <w:tcW w:w="1640" w:type="dxa"/>
            <w:vAlign w:val="bottom"/>
            <w:vMerge w:val="continue"/>
          </w:tcPr>
          <w:p>
            <w:pPr>
              <w:spacing w:after="0"/>
              <w:rPr>
                <w:sz w:val="5"/>
                <w:szCs w:val="5"/>
                <w:color w:val="auto"/>
              </w:rPr>
            </w:pPr>
          </w:p>
        </w:tc>
        <w:tc>
          <w:tcPr>
            <w:tcW w:w="900" w:type="dxa"/>
            <w:vAlign w:val="bottom"/>
            <w:vMerge w:val="restart"/>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127.01</w:t>
            </w:r>
          </w:p>
        </w:tc>
        <w:tc>
          <w:tcPr>
            <w:tcW w:w="0" w:type="dxa"/>
            <w:vAlign w:val="bottom"/>
          </w:tcPr>
          <w:p>
            <w:pPr>
              <w:spacing w:after="0"/>
              <w:rPr>
                <w:sz w:val="1"/>
                <w:szCs w:val="1"/>
                <w:color w:val="auto"/>
              </w:rPr>
            </w:pPr>
          </w:p>
        </w:tc>
      </w:tr>
      <w:tr>
        <w:trPr>
          <w:trHeight w:val="130"/>
        </w:trPr>
        <w:tc>
          <w:tcPr>
            <w:tcW w:w="1880" w:type="dxa"/>
            <w:vAlign w:val="bottom"/>
            <w:shd w:val="clear" w:color="auto" w:fill="CCEEFF"/>
          </w:tcPr>
          <w:p>
            <w:pPr>
              <w:spacing w:after="0"/>
              <w:rPr>
                <w:sz w:val="11"/>
                <w:szCs w:val="11"/>
                <w:color w:val="auto"/>
              </w:rPr>
            </w:pPr>
          </w:p>
        </w:tc>
        <w:tc>
          <w:tcPr>
            <w:tcW w:w="1700" w:type="dxa"/>
            <w:vAlign w:val="bottom"/>
            <w:vMerge w:val="continue"/>
            <w:shd w:val="clear" w:color="auto" w:fill="CCEEFF"/>
          </w:tcPr>
          <w:p>
            <w:pPr>
              <w:spacing w:after="0"/>
              <w:rPr>
                <w:sz w:val="11"/>
                <w:szCs w:val="11"/>
                <w:color w:val="auto"/>
              </w:rPr>
            </w:pPr>
          </w:p>
        </w:tc>
        <w:tc>
          <w:tcPr>
            <w:tcW w:w="1480" w:type="dxa"/>
            <w:vAlign w:val="bottom"/>
            <w:vMerge w:val="continue"/>
            <w:shd w:val="clear" w:color="auto" w:fill="CCEEFF"/>
          </w:tcPr>
          <w:p>
            <w:pPr>
              <w:spacing w:after="0"/>
              <w:rPr>
                <w:sz w:val="11"/>
                <w:szCs w:val="11"/>
                <w:color w:val="auto"/>
              </w:rPr>
            </w:pPr>
          </w:p>
        </w:tc>
        <w:tc>
          <w:tcPr>
            <w:tcW w:w="420" w:type="dxa"/>
            <w:vAlign w:val="bottom"/>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(1)</w:t>
            </w:r>
          </w:p>
        </w:tc>
        <w:tc>
          <w:tcPr>
            <w:tcW w:w="11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880" w:type="dxa"/>
            <w:vAlign w:val="bottom"/>
            <w:shd w:val="clear" w:color="auto" w:fill="CCEEFF"/>
          </w:tcPr>
          <w:p>
            <w:pPr>
              <w:spacing w:after="0"/>
              <w:rPr>
                <w:sz w:val="7"/>
                <w:szCs w:val="7"/>
                <w:color w:val="auto"/>
              </w:rPr>
            </w:pPr>
          </w:p>
        </w:tc>
        <w:tc>
          <w:tcPr>
            <w:tcW w:w="17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1/3/23</w:t>
            </w:r>
          </w:p>
        </w:tc>
        <w:tc>
          <w:tcPr>
            <w:tcW w:w="14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1/3/23</w:t>
            </w:r>
          </w:p>
        </w:tc>
        <w:tc>
          <w:tcPr>
            <w:tcW w:w="420" w:type="dxa"/>
            <w:vAlign w:val="bottom"/>
            <w:vMerge w:val="continue"/>
          </w:tcPr>
          <w:p>
            <w:pPr>
              <w:spacing w:after="0"/>
              <w:rPr>
                <w:sz w:val="7"/>
                <w:szCs w:val="7"/>
                <w:color w:val="auto"/>
              </w:rPr>
            </w:pPr>
          </w:p>
        </w:tc>
        <w:tc>
          <w:tcPr>
            <w:tcW w:w="11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1/2/33</w:t>
            </w: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2,955</w:t>
            </w:r>
          </w:p>
        </w:tc>
        <w:tc>
          <w:tcPr>
            <w:tcW w:w="164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153"/>
        </w:trPr>
        <w:tc>
          <w:tcPr>
            <w:tcW w:w="1880" w:type="dxa"/>
            <w:vAlign w:val="bottom"/>
            <w:shd w:val="clear" w:color="auto" w:fill="CCEEFF"/>
          </w:tcPr>
          <w:p>
            <w:pPr>
              <w:spacing w:after="0"/>
              <w:rPr>
                <w:sz w:val="13"/>
                <w:szCs w:val="13"/>
                <w:color w:val="auto"/>
              </w:rPr>
            </w:pPr>
          </w:p>
        </w:tc>
        <w:tc>
          <w:tcPr>
            <w:tcW w:w="1700" w:type="dxa"/>
            <w:vAlign w:val="bottom"/>
            <w:vMerge w:val="continue"/>
            <w:shd w:val="clear" w:color="auto" w:fill="CCEEFF"/>
          </w:tcPr>
          <w:p>
            <w:pPr>
              <w:spacing w:after="0"/>
              <w:rPr>
                <w:sz w:val="13"/>
                <w:szCs w:val="13"/>
                <w:color w:val="auto"/>
              </w:rPr>
            </w:pPr>
          </w:p>
        </w:tc>
        <w:tc>
          <w:tcPr>
            <w:tcW w:w="1480" w:type="dxa"/>
            <w:vAlign w:val="bottom"/>
            <w:vMerge w:val="continue"/>
            <w:shd w:val="clear" w:color="auto" w:fill="CCEEFF"/>
          </w:tcPr>
          <w:p>
            <w:pPr>
              <w:spacing w:after="0"/>
              <w:rPr>
                <w:sz w:val="13"/>
                <w:szCs w:val="13"/>
                <w:color w:val="auto"/>
              </w:rPr>
            </w:pPr>
          </w:p>
        </w:tc>
        <w:tc>
          <w:tcPr>
            <w:tcW w:w="420" w:type="dxa"/>
            <w:vAlign w:val="bottom"/>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(1)</w:t>
            </w:r>
          </w:p>
        </w:tc>
        <w:tc>
          <w:tcPr>
            <w:tcW w:w="112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64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880" w:type="dxa"/>
            <w:vAlign w:val="bottom"/>
            <w:shd w:val="clear" w:color="auto" w:fill="CCEEFF"/>
          </w:tcPr>
          <w:p>
            <w:pPr>
              <w:spacing w:after="0"/>
              <w:rPr>
                <w:sz w:val="5"/>
                <w:szCs w:val="5"/>
                <w:color w:val="auto"/>
              </w:rPr>
            </w:pPr>
          </w:p>
        </w:tc>
        <w:tc>
          <w:tcPr>
            <w:tcW w:w="1700" w:type="dxa"/>
            <w:vAlign w:val="bottom"/>
            <w:vMerge w:val="restart"/>
            <w:shd w:val="clear" w:color="auto" w:fill="CCEEFF"/>
          </w:tcPr>
          <w:p>
            <w:pPr>
              <w:jc w:val="right"/>
              <w:ind w:right="30"/>
              <w:spacing w:after="0" w:line="194" w:lineRule="exact"/>
              <w:rPr>
                <w:sz w:val="20"/>
                <w:szCs w:val="20"/>
                <w:color w:val="auto"/>
              </w:rPr>
            </w:pPr>
            <w:r>
              <w:rPr>
                <w:rFonts w:ascii="Times New Roman" w:cs="Times New Roman" w:eastAsia="Times New Roman" w:hAnsi="Times New Roman"/>
                <w:sz w:val="18"/>
                <w:szCs w:val="18"/>
                <w:color w:val="auto"/>
              </w:rPr>
              <w:t>6/21/22</w:t>
            </w:r>
          </w:p>
        </w:tc>
        <w:tc>
          <w:tcPr>
            <w:tcW w:w="1480" w:type="dxa"/>
            <w:vAlign w:val="bottom"/>
            <w:vMerge w:val="restart"/>
            <w:shd w:val="clear" w:color="auto" w:fill="CCEEFF"/>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6/21/22</w:t>
            </w:r>
          </w:p>
        </w:tc>
        <w:tc>
          <w:tcPr>
            <w:tcW w:w="420" w:type="dxa"/>
            <w:vAlign w:val="bottom"/>
            <w:vMerge w:val="continue"/>
          </w:tcPr>
          <w:p>
            <w:pPr>
              <w:spacing w:after="0"/>
              <w:rPr>
                <w:sz w:val="5"/>
                <w:szCs w:val="5"/>
                <w:color w:val="auto"/>
              </w:rPr>
            </w:pPr>
          </w:p>
        </w:tc>
        <w:tc>
          <w:tcPr>
            <w:tcW w:w="1120" w:type="dxa"/>
            <w:vAlign w:val="bottom"/>
            <w:vMerge w:val="restart"/>
            <w:shd w:val="clear" w:color="auto" w:fill="CCEEFF"/>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6/20/32</w:t>
            </w:r>
          </w:p>
        </w:tc>
        <w:tc>
          <w:tcPr>
            <w:tcW w:w="1300" w:type="dxa"/>
            <w:vAlign w:val="bottom"/>
            <w:vMerge w:val="restart"/>
            <w:shd w:val="clear" w:color="auto" w:fill="CCEEFF"/>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3,943</w:t>
            </w:r>
          </w:p>
        </w:tc>
        <w:tc>
          <w:tcPr>
            <w:tcW w:w="1640" w:type="dxa"/>
            <w:vAlign w:val="bottom"/>
            <w:vMerge w:val="restart"/>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30.55</w:t>
            </w:r>
          </w:p>
        </w:tc>
        <w:tc>
          <w:tcPr>
            <w:tcW w:w="0" w:type="dxa"/>
            <w:vAlign w:val="bottom"/>
          </w:tcPr>
          <w:p>
            <w:pPr>
              <w:spacing w:after="0"/>
              <w:rPr>
                <w:sz w:val="1"/>
                <w:szCs w:val="1"/>
                <w:color w:val="auto"/>
              </w:rPr>
            </w:pPr>
          </w:p>
        </w:tc>
      </w:tr>
      <w:tr>
        <w:trPr>
          <w:trHeight w:val="130"/>
        </w:trPr>
        <w:tc>
          <w:tcPr>
            <w:tcW w:w="1880" w:type="dxa"/>
            <w:vAlign w:val="bottom"/>
            <w:shd w:val="clear" w:color="auto" w:fill="CCEEFF"/>
          </w:tcPr>
          <w:p>
            <w:pPr>
              <w:spacing w:after="0"/>
              <w:rPr>
                <w:sz w:val="11"/>
                <w:szCs w:val="11"/>
                <w:color w:val="auto"/>
              </w:rPr>
            </w:pPr>
          </w:p>
        </w:tc>
        <w:tc>
          <w:tcPr>
            <w:tcW w:w="1700" w:type="dxa"/>
            <w:vAlign w:val="bottom"/>
            <w:vMerge w:val="continue"/>
            <w:shd w:val="clear" w:color="auto" w:fill="CCEEFF"/>
          </w:tcPr>
          <w:p>
            <w:pPr>
              <w:spacing w:after="0"/>
              <w:rPr>
                <w:sz w:val="11"/>
                <w:szCs w:val="11"/>
                <w:color w:val="auto"/>
              </w:rPr>
            </w:pPr>
          </w:p>
        </w:tc>
        <w:tc>
          <w:tcPr>
            <w:tcW w:w="1480" w:type="dxa"/>
            <w:vAlign w:val="bottom"/>
            <w:vMerge w:val="continue"/>
            <w:shd w:val="clear" w:color="auto" w:fill="CCEEFF"/>
          </w:tcPr>
          <w:p>
            <w:pPr>
              <w:spacing w:after="0"/>
              <w:rPr>
                <w:sz w:val="11"/>
                <w:szCs w:val="11"/>
                <w:color w:val="auto"/>
              </w:rPr>
            </w:pPr>
          </w:p>
        </w:tc>
        <w:tc>
          <w:tcPr>
            <w:tcW w:w="420" w:type="dxa"/>
            <w:vAlign w:val="bottom"/>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(1)</w:t>
            </w:r>
          </w:p>
        </w:tc>
        <w:tc>
          <w:tcPr>
            <w:tcW w:w="1120" w:type="dxa"/>
            <w:vAlign w:val="bottom"/>
            <w:vMerge w:val="continue"/>
            <w:shd w:val="clear" w:color="auto" w:fill="CCEEFF"/>
          </w:tcPr>
          <w:p>
            <w:pPr>
              <w:spacing w:after="0"/>
              <w:rPr>
                <w:sz w:val="11"/>
                <w:szCs w:val="11"/>
                <w:color w:val="auto"/>
              </w:rPr>
            </w:pPr>
          </w:p>
        </w:tc>
        <w:tc>
          <w:tcPr>
            <w:tcW w:w="1300" w:type="dxa"/>
            <w:vAlign w:val="bottom"/>
            <w:vMerge w:val="continue"/>
            <w:shd w:val="clear" w:color="auto" w:fill="CCEEFF"/>
          </w:tcPr>
          <w:p>
            <w:pPr>
              <w:spacing w:after="0"/>
              <w:rPr>
                <w:sz w:val="11"/>
                <w:szCs w:val="11"/>
                <w:color w:val="auto"/>
              </w:rPr>
            </w:pPr>
          </w:p>
        </w:tc>
        <w:tc>
          <w:tcPr>
            <w:tcW w:w="164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880" w:type="dxa"/>
            <w:vAlign w:val="bottom"/>
            <w:shd w:val="clear" w:color="auto" w:fill="CCEEFF"/>
          </w:tcPr>
          <w:p>
            <w:pPr>
              <w:spacing w:after="0"/>
              <w:rPr>
                <w:sz w:val="7"/>
                <w:szCs w:val="7"/>
                <w:color w:val="auto"/>
              </w:rPr>
            </w:pPr>
          </w:p>
        </w:tc>
        <w:tc>
          <w:tcPr>
            <w:tcW w:w="17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1/4/22</w:t>
            </w:r>
          </w:p>
        </w:tc>
        <w:tc>
          <w:tcPr>
            <w:tcW w:w="14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1/4/22</w:t>
            </w:r>
          </w:p>
        </w:tc>
        <w:tc>
          <w:tcPr>
            <w:tcW w:w="420" w:type="dxa"/>
            <w:vAlign w:val="bottom"/>
            <w:vMerge w:val="continue"/>
          </w:tcPr>
          <w:p>
            <w:pPr>
              <w:spacing w:after="0"/>
              <w:rPr>
                <w:sz w:val="7"/>
                <w:szCs w:val="7"/>
                <w:color w:val="auto"/>
              </w:rPr>
            </w:pPr>
          </w:p>
        </w:tc>
        <w:tc>
          <w:tcPr>
            <w:tcW w:w="11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1/3/32</w:t>
            </w:r>
          </w:p>
        </w:tc>
        <w:tc>
          <w:tcPr>
            <w:tcW w:w="13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1,499</w:t>
            </w:r>
          </w:p>
        </w:tc>
        <w:tc>
          <w:tcPr>
            <w:tcW w:w="1640" w:type="dxa"/>
            <w:vAlign w:val="bottom"/>
            <w:vMerge w:val="restart"/>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70.85</w:t>
            </w:r>
          </w:p>
        </w:tc>
        <w:tc>
          <w:tcPr>
            <w:tcW w:w="0" w:type="dxa"/>
            <w:vAlign w:val="bottom"/>
          </w:tcPr>
          <w:p>
            <w:pPr>
              <w:spacing w:after="0"/>
              <w:rPr>
                <w:sz w:val="1"/>
                <w:szCs w:val="1"/>
                <w:color w:val="auto"/>
              </w:rPr>
            </w:pPr>
          </w:p>
        </w:tc>
      </w:tr>
      <w:tr>
        <w:trPr>
          <w:trHeight w:val="130"/>
        </w:trPr>
        <w:tc>
          <w:tcPr>
            <w:tcW w:w="1880" w:type="dxa"/>
            <w:vAlign w:val="bottom"/>
            <w:shd w:val="clear" w:color="auto" w:fill="CCEEFF"/>
          </w:tcPr>
          <w:p>
            <w:pPr>
              <w:spacing w:after="0"/>
              <w:rPr>
                <w:sz w:val="11"/>
                <w:szCs w:val="11"/>
                <w:color w:val="auto"/>
              </w:rPr>
            </w:pPr>
          </w:p>
        </w:tc>
        <w:tc>
          <w:tcPr>
            <w:tcW w:w="1700" w:type="dxa"/>
            <w:vAlign w:val="bottom"/>
            <w:vMerge w:val="continue"/>
            <w:shd w:val="clear" w:color="auto" w:fill="CCEEFF"/>
          </w:tcPr>
          <w:p>
            <w:pPr>
              <w:spacing w:after="0"/>
              <w:rPr>
                <w:sz w:val="11"/>
                <w:szCs w:val="11"/>
                <w:color w:val="auto"/>
              </w:rPr>
            </w:pPr>
          </w:p>
        </w:tc>
        <w:tc>
          <w:tcPr>
            <w:tcW w:w="1480" w:type="dxa"/>
            <w:vAlign w:val="bottom"/>
            <w:vMerge w:val="continue"/>
            <w:shd w:val="clear" w:color="auto" w:fill="CCEEFF"/>
          </w:tcPr>
          <w:p>
            <w:pPr>
              <w:spacing w:after="0"/>
              <w:rPr>
                <w:sz w:val="11"/>
                <w:szCs w:val="11"/>
                <w:color w:val="auto"/>
              </w:rPr>
            </w:pPr>
          </w:p>
        </w:tc>
        <w:tc>
          <w:tcPr>
            <w:tcW w:w="420" w:type="dxa"/>
            <w:vAlign w:val="bottom"/>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(1)</w:t>
            </w:r>
          </w:p>
        </w:tc>
        <w:tc>
          <w:tcPr>
            <w:tcW w:w="1120" w:type="dxa"/>
            <w:vAlign w:val="bottom"/>
            <w:vMerge w:val="continue"/>
            <w:shd w:val="clear" w:color="auto" w:fill="CCEEFF"/>
          </w:tcPr>
          <w:p>
            <w:pPr>
              <w:spacing w:after="0"/>
              <w:rPr>
                <w:sz w:val="11"/>
                <w:szCs w:val="11"/>
                <w:color w:val="auto"/>
              </w:rPr>
            </w:pPr>
          </w:p>
        </w:tc>
        <w:tc>
          <w:tcPr>
            <w:tcW w:w="1300" w:type="dxa"/>
            <w:vAlign w:val="bottom"/>
            <w:vMerge w:val="continue"/>
            <w:shd w:val="clear" w:color="auto" w:fill="CCEEFF"/>
          </w:tcPr>
          <w:p>
            <w:pPr>
              <w:spacing w:after="0"/>
              <w:rPr>
                <w:sz w:val="11"/>
                <w:szCs w:val="11"/>
                <w:color w:val="auto"/>
              </w:rPr>
            </w:pPr>
          </w:p>
        </w:tc>
        <w:tc>
          <w:tcPr>
            <w:tcW w:w="164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880" w:type="dxa"/>
            <w:vAlign w:val="bottom"/>
            <w:shd w:val="clear" w:color="auto" w:fill="CCEEFF"/>
          </w:tcPr>
          <w:p>
            <w:pPr>
              <w:spacing w:after="0"/>
              <w:rPr>
                <w:sz w:val="7"/>
                <w:szCs w:val="7"/>
                <w:color w:val="auto"/>
              </w:rPr>
            </w:pPr>
          </w:p>
        </w:tc>
        <w:tc>
          <w:tcPr>
            <w:tcW w:w="17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7/12/21</w:t>
            </w:r>
          </w:p>
        </w:tc>
        <w:tc>
          <w:tcPr>
            <w:tcW w:w="14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7/12/21</w:t>
            </w:r>
          </w:p>
        </w:tc>
        <w:tc>
          <w:tcPr>
            <w:tcW w:w="420" w:type="dxa"/>
            <w:vAlign w:val="bottom"/>
            <w:vMerge w:val="continue"/>
          </w:tcPr>
          <w:p>
            <w:pPr>
              <w:spacing w:after="0"/>
              <w:rPr>
                <w:sz w:val="7"/>
                <w:szCs w:val="7"/>
                <w:color w:val="auto"/>
              </w:rPr>
            </w:pPr>
          </w:p>
        </w:tc>
        <w:tc>
          <w:tcPr>
            <w:tcW w:w="11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7/11/31</w:t>
            </w:r>
          </w:p>
        </w:tc>
        <w:tc>
          <w:tcPr>
            <w:tcW w:w="13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1,786</w:t>
            </w:r>
          </w:p>
        </w:tc>
        <w:tc>
          <w:tcPr>
            <w:tcW w:w="1640" w:type="dxa"/>
            <w:vAlign w:val="bottom"/>
            <w:vMerge w:val="restart"/>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314.47</w:t>
            </w:r>
          </w:p>
        </w:tc>
        <w:tc>
          <w:tcPr>
            <w:tcW w:w="0" w:type="dxa"/>
            <w:vAlign w:val="bottom"/>
          </w:tcPr>
          <w:p>
            <w:pPr>
              <w:spacing w:after="0"/>
              <w:rPr>
                <w:sz w:val="1"/>
                <w:szCs w:val="1"/>
                <w:color w:val="auto"/>
              </w:rPr>
            </w:pPr>
          </w:p>
        </w:tc>
      </w:tr>
      <w:tr>
        <w:trPr>
          <w:trHeight w:val="153"/>
        </w:trPr>
        <w:tc>
          <w:tcPr>
            <w:tcW w:w="1880" w:type="dxa"/>
            <w:vAlign w:val="bottom"/>
            <w:shd w:val="clear" w:color="auto" w:fill="CCEEFF"/>
          </w:tcPr>
          <w:p>
            <w:pPr>
              <w:spacing w:after="0"/>
              <w:rPr>
                <w:sz w:val="13"/>
                <w:szCs w:val="13"/>
                <w:color w:val="auto"/>
              </w:rPr>
            </w:pPr>
          </w:p>
        </w:tc>
        <w:tc>
          <w:tcPr>
            <w:tcW w:w="1700" w:type="dxa"/>
            <w:vAlign w:val="bottom"/>
            <w:vMerge w:val="continue"/>
            <w:shd w:val="clear" w:color="auto" w:fill="CCEEFF"/>
          </w:tcPr>
          <w:p>
            <w:pPr>
              <w:spacing w:after="0"/>
              <w:rPr>
                <w:sz w:val="13"/>
                <w:szCs w:val="13"/>
                <w:color w:val="auto"/>
              </w:rPr>
            </w:pPr>
          </w:p>
        </w:tc>
        <w:tc>
          <w:tcPr>
            <w:tcW w:w="1480" w:type="dxa"/>
            <w:vAlign w:val="bottom"/>
            <w:vMerge w:val="continue"/>
            <w:shd w:val="clear" w:color="auto" w:fill="CCEEFF"/>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vMerge w:val="continue"/>
            <w:shd w:val="clear" w:color="auto" w:fill="CCEEFF"/>
          </w:tcPr>
          <w:p>
            <w:pPr>
              <w:spacing w:after="0"/>
              <w:rPr>
                <w:sz w:val="13"/>
                <w:szCs w:val="13"/>
                <w:color w:val="auto"/>
              </w:rPr>
            </w:pPr>
          </w:p>
        </w:tc>
        <w:tc>
          <w:tcPr>
            <w:tcW w:w="1300" w:type="dxa"/>
            <w:vAlign w:val="bottom"/>
            <w:vMerge w:val="continue"/>
            <w:shd w:val="clear" w:color="auto" w:fill="CCEEFF"/>
          </w:tcPr>
          <w:p>
            <w:pPr>
              <w:spacing w:after="0"/>
              <w:rPr>
                <w:sz w:val="13"/>
                <w:szCs w:val="13"/>
                <w:color w:val="auto"/>
              </w:rPr>
            </w:pPr>
          </w:p>
        </w:tc>
        <w:tc>
          <w:tcPr>
            <w:tcW w:w="1640" w:type="dxa"/>
            <w:vAlign w:val="bottom"/>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-2742565</wp:posOffset>
            </wp:positionV>
            <wp:extent cx="6626225" cy="1371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626225" cy="13716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-2331085</wp:posOffset>
            </wp:positionV>
            <wp:extent cx="3420110" cy="1371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011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6626225" cy="9601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626225" cy="9601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237426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93" w:lineRule="exact"/>
        <w:rPr>
          <w:sz w:val="20"/>
          <w:szCs w:val="20"/>
          <w:color w:val="auto"/>
        </w:rPr>
      </w:pPr>
    </w:p>
    <w:p>
      <w:pPr>
        <w:ind w:left="380" w:hanging="372"/>
        <w:spacing w:after="0" w:line="264" w:lineRule="auto"/>
        <w:tabs>
          <w:tab w:leader="none" w:pos="3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described below under “—</w:t>
      </w:r>
      <w:r>
        <w:rPr>
          <w:rFonts w:ascii="Times New Roman" w:cs="Times New Roman" w:eastAsia="Times New Roman" w:hAnsi="Times New Roman"/>
          <w:sz w:val="14"/>
          <w:szCs w:val="14"/>
          <w:i w:val="1"/>
          <w:iCs w:val="1"/>
          <w:color w:val="auto"/>
        </w:rPr>
        <w:t>Consulting Agreement and Employment Arrangements</w:t>
      </w:r>
      <w:r>
        <w:rPr>
          <w:rFonts w:ascii="Times New Roman" w:cs="Times New Roman" w:eastAsia="Times New Roman" w:hAnsi="Times New Roman"/>
          <w:sz w:val="14"/>
          <w:szCs w:val="14"/>
          <w:color w:val="auto"/>
        </w:rPr>
        <w:t>,” on June 5, 2025, we entered into separation agreements with each of Mr. Brady, Dr. Whiting and Mr. Maestas pursuant to which they became entitled to full acceleration of all outstanding unvested equity awards, which became fully vested and exercisable as of June 5, 2025.</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Consulting and Employment Arrangements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On June 5, 2025, each of Mr. Brady, Dr. Whiting and Mr. Maestas transitioned to consulting agreements with us, pursuant to which they continued to serve the Company in their respective executive roles. Each consulting agreement had a term of one year, unless earlier terminated by either party thereto. On November 19, 2025, we rehired each of Mr. Brady and Mr. Maestas on a full-time basis, terminating the consulting agreements (collectively, the “Rehire Transition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Dr. Whiting’s consulting agreement remains in effect in a non-executive role.</w:t>
      </w:r>
    </w:p>
    <w:p>
      <w:pPr>
        <w:spacing w:after="0" w:line="1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connection with the Transition, we entered into a separation agreement with each of Mr. Brady, Dr. Whiting and Mr. Maestas. Each separation agreement provided for severance benefits resulting from a termination by us without “cause” under each of Mr. Brady’s, Dr. Whiting’s and Mr. Maestas’s respective employment agreements, as described below under “—</w:t>
      </w:r>
      <w:r>
        <w:rPr>
          <w:rFonts w:ascii="Times New Roman" w:cs="Times New Roman" w:eastAsia="Times New Roman" w:hAnsi="Times New Roman"/>
          <w:sz w:val="18"/>
          <w:szCs w:val="18"/>
          <w:i w:val="1"/>
          <w:iCs w:val="1"/>
          <w:color w:val="auto"/>
        </w:rPr>
        <w:t>Change in Control and Severance Arrangements</w:t>
      </w:r>
      <w:r>
        <w:rPr>
          <w:rFonts w:ascii="Times New Roman" w:cs="Times New Roman" w:eastAsia="Times New Roman" w:hAnsi="Times New Roman"/>
          <w:sz w:val="18"/>
          <w:szCs w:val="18"/>
          <w:color w:val="auto"/>
        </w:rPr>
        <w:t>.” In addition, each of Mr. Brady, Dr. Whiting and Mr. Maestas became entitled to full acceleration of all outstanding unvested equity awards, which became fully vested and exercisable as of June 5, 2025. The foregoing severance benefits were contingent upon a general release of claims set forth in the separation agreement.</w:t>
      </w:r>
    </w:p>
    <w:p>
      <w:pPr>
        <w:spacing w:after="0" w:line="183"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Each of our Named Executive Officers’ employment was “at will” and could have been terminated at any time. Below is a description of our employment arrangements with each of our Named Executive Officers prior to the Transition.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Stephen Brady</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previously entered into an employment agreement, dated January 12, 2022, with Mr. Brady that superseded, amended and restated all prior agreements. Under the terms of the agreement, we agreed to an initial annual base salary, which was increased to $600,000, effective January 1, 2024. Mr. Brady was eligible to receive an annual bonus equal to 55% of his base salary, as determined by the Board in its sole discretion, and certain change in control and severance benefits as discussed below in “—</w:t>
      </w:r>
      <w:r>
        <w:rPr>
          <w:rFonts w:ascii="Times New Roman" w:cs="Times New Roman" w:eastAsia="Times New Roman" w:hAnsi="Times New Roman"/>
          <w:sz w:val="18"/>
          <w:szCs w:val="18"/>
          <w:i w:val="1"/>
          <w:iCs w:val="1"/>
          <w:color w:val="auto"/>
        </w:rPr>
        <w:t>Change in Control and Severance Arrangements</w:t>
      </w:r>
      <w:r>
        <w:rPr>
          <w:rFonts w:ascii="Times New Roman" w:cs="Times New Roman" w:eastAsia="Times New Roman" w:hAnsi="Times New Roman"/>
          <w:sz w:val="18"/>
          <w:szCs w:val="18"/>
          <w:color w:val="auto"/>
        </w:rPr>
        <w:t>.” Mr. Brady’s employment agreement was terminated in connection with the Transition.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Sam Whiting</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previously entered into an employment agreement, dated January 12, 2022, with Dr. Whiting that superseded, amended and restated all prior agreements. Under the terms of the agreement, we agreed to an initial annual base salary, which was increased to $481,749, effective January 1, 2024. Dr. Whiting was eligible to receive an annual bonus equal to 40% of his base salary, as determined by the Board in its sole discretion, and to certain change in control and severance benefits as discussed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color w:val="auto"/>
        </w:rPr>
        <w:t>below in “—</w:t>
      </w:r>
      <w:r>
        <w:rPr>
          <w:rFonts w:ascii="Times New Roman" w:cs="Times New Roman" w:eastAsia="Times New Roman" w:hAnsi="Times New Roman"/>
          <w:sz w:val="18"/>
          <w:szCs w:val="18"/>
          <w:i w:val="1"/>
          <w:iCs w:val="1"/>
          <w:color w:val="auto"/>
        </w:rPr>
        <w:t>Change in Control and Severance Arrangements</w:t>
      </w:r>
      <w:r>
        <w:rPr>
          <w:rFonts w:ascii="Times New Roman" w:cs="Times New Roman" w:eastAsia="Times New Roman" w:hAnsi="Times New Roman"/>
          <w:sz w:val="18"/>
          <w:szCs w:val="18"/>
          <w:color w:val="auto"/>
        </w:rPr>
        <w:t>.” Dr. Whiting’s employment agreement was terminated in connection with the Transition.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Nicholas Maestas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previously entered into an employment agreement, dated January 1, 2025, with Mr. Maestas that superseded, amended and restated all prior agreements. Under the terms of the agreement, we agreed to an initial annual base salary of $425,000. Mr. Maestas was eligible for an annual bonus equal to 40% of his base salary beginning in 2025, as determined by the Board in its sole discretion, and to certain change in control and severance benefits as discussed below in “—</w:t>
      </w:r>
      <w:r>
        <w:rPr>
          <w:rFonts w:ascii="Times New Roman" w:cs="Times New Roman" w:eastAsia="Times New Roman" w:hAnsi="Times New Roman"/>
          <w:sz w:val="18"/>
          <w:szCs w:val="18"/>
          <w:i w:val="1"/>
          <w:iCs w:val="1"/>
          <w:color w:val="auto"/>
        </w:rPr>
        <w:t>Change in Control and Severance Arrangements</w:t>
      </w:r>
      <w:r>
        <w:rPr>
          <w:rFonts w:ascii="Times New Roman" w:cs="Times New Roman" w:eastAsia="Times New Roman" w:hAnsi="Times New Roman"/>
          <w:sz w:val="18"/>
          <w:szCs w:val="18"/>
          <w:color w:val="auto"/>
        </w:rPr>
        <w:t>.” Mr. Maestas’ employment agreement was terminated in connection with the Transition.</w:t>
      </w:r>
    </w:p>
    <w:p>
      <w:pPr>
        <w:spacing w:after="0" w:line="18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 xml:space="preserve">On February 3, 2026 entered into an employment agreement with Mr. Maestas that superseded, amended and restated all prior agreements. Under the terms of the agreement, we agreed to an initial annual base salary of $425,000. Mr. Maestas is eligible for an annual bonus equal to 40% of his base salary beginning in 2026, as determined by the Board in its sole discretion, and to certain change in control and severance benefits as discussed below in “— </w:t>
      </w:r>
      <w:r>
        <w:rPr>
          <w:rFonts w:ascii="Times New Roman" w:cs="Times New Roman" w:eastAsia="Times New Roman" w:hAnsi="Times New Roman"/>
          <w:sz w:val="18"/>
          <w:szCs w:val="18"/>
          <w:i w:val="1"/>
          <w:iCs w:val="1"/>
          <w:color w:val="auto"/>
        </w:rPr>
        <w:t>Change in Control and Severance Arrangements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Control and Severance Arrangements</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Pursuant to the prior employment agreements with our Named Executive Officers (collectively, the “Former Employment Agreements”), if a Named Executive Officer’s employment was terminated by us without Cause or if a Named Executive Officer resigned for Good Reason (each as defined below), they would have been entitled to receive (i) semi-monthly payments equal to the sum of 12 months of the executive’s base salary for Mr. Brady, 9 months for Dr. Whiting and 9 months for Mr. Maestas, plus a prorated portion of the executive’s target annual bonus for the calendar year in which termination occurred and (ii) if the executive elected to continue health insurance coverage under COBRA, the payment of the monthly premium under COBRA until the earlier of 12 months for Mr. Brady, 9 months for Dr. Whiting and 9 months for Mr. Maestas following termination date or the date on which the executive commenced full-time employment or employment that provided eligibility for healthcare benefits substantially comparable to those provided by us.</w:t>
      </w:r>
    </w:p>
    <w:p>
      <w:pPr>
        <w:spacing w:after="0" w:line="19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Moreover, if a Named Executive Officer’s employment was terminated by us without Cause or a Named Executive Officer resigned for Good Reason within three months prior to or 12 months following a Change in Control, then in lieu of the severance benefits described above the Named Executive Officer would have been entitled to receive (i) a lump-sum amount equal to the sum of 18 months for Mr. Brady, 12 months for Dr. Whiting and 12 months for Mr. Maestas of the executive’s then base salary plus the executive’s then annual target bonus at 150% for Mr. Brady, 100% for Dr. Whiting and 100% for Mr. Maestas and (ii) payment of COBRA premiums as described above for up to 18 months for Mr. Brady, 12 months for Dr. Whiting and 12 months for Mr. Maestas.</w:t>
      </w:r>
    </w:p>
    <w:p>
      <w:pPr>
        <w:spacing w:after="0" w:line="1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Named Executive Officers’ receipt of any severance benefits under the Former Employment Agreements was subject to the execution and non-revocation of a separation agreement containing, among other things, a general release of claims in favor of us and our related persons and entities, confidentiality, return of property and non-solicitation and non-disparagement covenants.</w:t>
      </w:r>
    </w:p>
    <w:p>
      <w:pPr>
        <w:spacing w:after="0" w:line="176"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Further, if we were subject to a Change in Control prior to the termination of a Named Executive Officer’s service, then 100% of any unvested shares subject to any stock options then held by the Named Executive Officer would have vested and become exercisable in full.</w:t>
      </w:r>
    </w:p>
    <w:p>
      <w:pPr>
        <w:spacing w:after="0" w:line="16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Pursuant to his employment agreement with us, dated February 3, 2026, Mr. Maestas is entitled to severance payments consistent with those provided for under his respective Former Employment Agreement as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and Welfare Benefits; Perquisites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Prior to the Transition, our Named Executive Officers were, and following the Rehire Transition, Mr. Brady was and Mr. Maestas is, eligible to participate in our employee benefit plans, including medical, dental, vision, disability and life insurance plans, in each case on the same basis as all of our other full-time employees. Any part-time employees we hire would not be eligible to participate in our employee benefit plans. We generally do not provide perquisites or personal benefits to our Named Executive Officers, except in limited circumstances, and we did not provide any perquisites or personal benefits to our Named Executive Officers in 2025.</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participate in a multiple employer tax-qualified 401(k) savings plan which allows participants to defer eligible compensation up to the maximum amount allowed under Internal Revenue Service guidelines. Under our 401(k) plan, we currently make matching contributions of 100% on up to 4% of an employee’s eligible contributions to the plan, up to a maximum of $14,000 per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Incentive Compensation Recoupment Policy (the “Clawback Policy”), designed to comply with Rule 10D-1 of the Exchange Act and Nasdaq Listing Rule 5608, provides for recoupment of incentive compensation in the event of an accounting restatement resulting from material noncompliance with financial reporting requirements under the relevant securities laws. The Clawback Policy applies to our current and former executive officers. Compensation that is granted, earned or vested based wholly or in part upon attainmentof a Financial Reporting Measure (as defined in the Clawback Policy) is subject to recoupment.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229"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color w:val="auto"/>
        </w:rPr>
        <w:t>From time to time, we grant stock options to our employees, including our named executive officers. Historically, we have granted new-hire option awards on or soon after a new hire’s employment start date and annual refresh employee option grants in the first quarter of each fiscal year, which refresh grants are typically approved at the regularly scheduled meeting of the Compensation Committee occurring in such quarter. Also, non-employee directors receive automatic grants of initial and annual stock option awards, on the date of each annual meeting of stockholders, pursuant to the non-employee director compensation policy, as further described under the heading, “</w:t>
      </w:r>
      <w:r>
        <w:rPr>
          <w:rFonts w:ascii="Times New Roman" w:cs="Times New Roman" w:eastAsia="Times New Roman" w:hAnsi="Times New Roman"/>
          <w:sz w:val="18"/>
          <w:szCs w:val="18"/>
          <w:i w:val="1"/>
          <w:iCs w:val="1"/>
          <w:color w:val="auto"/>
        </w:rPr>
        <w:t>Director Compensation— Non-Employee Director Compensation Program</w:t>
      </w:r>
      <w:r>
        <w:rPr>
          <w:rFonts w:ascii="Times New Roman" w:cs="Times New Roman" w:eastAsia="Times New Roman" w:hAnsi="Times New Roman"/>
          <w:sz w:val="18"/>
          <w:szCs w:val="18"/>
          <w:color w:val="auto"/>
        </w:rPr>
        <w:t>” below. We do not otherwise maintain any written policies on the timing of awards of stock options, stock appreciation rights, or similar instruments with option-like features. The Compensation Committee considers whether there is any material nonpublic information (“MNPI”) about the Company when determining the timing of stock option grants and does not seek to time the award of stock options in relation to our public disclosure of MNPI. We have not timed the release of MNPI for the purpose of affecting the value of executive compensation.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irector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Program</w:t>
      </w:r>
    </w:p>
    <w:p>
      <w:pPr>
        <w:spacing w:after="0" w:line="22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standard compensation arrangements under which our non-employee directors were compensated for their service as directors for the fiscal year ended December 31, 2025, including as members of the various committees of our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p>
      <w:pPr>
        <w:spacing w:after="0" w:line="22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Each non-employee director received an annual base retainer of $40,000 with the non-executive Board Chair receiving an additional annual base retainer of $35,000. In addition, our non-employee directors received the following cash compensation for committee services, as applicable:</w:t>
      </w:r>
    </w:p>
    <w:p>
      <w:pPr>
        <w:spacing w:after="0" w:line="162" w:lineRule="exact"/>
        <w:rPr>
          <w:sz w:val="20"/>
          <w:szCs w:val="20"/>
          <w:color w:val="auto"/>
        </w:rPr>
      </w:pPr>
    </w:p>
    <w:p>
      <w:pPr>
        <w:ind w:left="1140" w:right="600" w:hanging="383"/>
        <w:spacing w:after="0" w:line="282"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chair of our Audit, Compensation, Nominating and Corporate Governance, and Science &amp; Technology committees received an additional annual retainer of $15,000, $10,000, $8,000 and $8,000, respectively; and</w:t>
      </w:r>
    </w:p>
    <w:p>
      <w:pPr>
        <w:spacing w:after="0" w:line="200" w:lineRule="exact"/>
        <w:rPr>
          <w:rFonts w:ascii="Times New Roman" w:cs="Times New Roman" w:eastAsia="Times New Roman" w:hAnsi="Times New Roman"/>
          <w:sz w:val="18"/>
          <w:szCs w:val="18"/>
          <w:color w:val="auto"/>
        </w:rPr>
      </w:pPr>
    </w:p>
    <w:p>
      <w:pPr>
        <w:spacing w:after="0" w:line="393"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non-chair member of our Audit, Compensation, Nominating and Corporate Governance, and Science &amp; Technology committees received an additional annual retainer of $7,500, $5,000, $4,000 and $4,000, respectively.</w:t>
      </w:r>
    </w:p>
    <w:p>
      <w:pPr>
        <w:spacing w:after="0" w:line="162"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The following reflects the retainers to be paid to non-employee directors for service on the Board and for service on each committee of the Board on which the director is a member, effective as of January 20, 2026:</w:t>
      </w:r>
    </w:p>
    <w:p>
      <w:pPr>
        <w:spacing w:after="0" w:line="162" w:lineRule="exact"/>
        <w:rPr>
          <w:sz w:val="20"/>
          <w:szCs w:val="20"/>
          <w:color w:val="auto"/>
        </w:rPr>
      </w:pPr>
    </w:p>
    <w:p>
      <w:pPr>
        <w:ind w:left="1140" w:right="600" w:hanging="383"/>
        <w:spacing w:after="0" w:line="282"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chair of our Audit, Compensation, Nominating and Corporate Governance, and Science &amp; Technology committees received an additional annual retainer of $20,000, $15,000, $10,000 and $12,000, respectively; and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0" w:name="page141"/>
    <w:bookmarkEnd w:id="140"/>
    <w:p>
      <w:pPr>
        <w:ind w:left="1140" w:right="80" w:hanging="383"/>
        <w:spacing w:after="0" w:line="282" w:lineRule="auto"/>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non-chair member of our Audit, Compensation, Nominating and Corporate Governance, and Science &amp; Technology committees received an additional annual retainer of $10,000, $7,500, $5,000 and $6,000, respectively.</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These retainers were payable in arrears in four equal quarterly installments on the last day of each quarter (each such date, a “Retainer Accrual Date”), provided that the amount of such payment will be prorated for any partial months of service. We also reimburse each of our directors for their travel expenses incurred in connection with their attendance at Board and committee meetings.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During 2025, non-employee directors first appointed to the Board were eligible to receive an initial option to purchase 1,923 shares of our common stock (the “Initial Grant”). Further, on the date of each annual meeting of stockholders, each non-employee director that continued to serve as a non-employee member on our Board would receive an option to purchase 1,230 shares of our common stock (the “Annual Grant”). Effective as of January 20, 2026, the Initial Grant was increased to 25,000 shares of common stock and the Annual Grant increased to 12,500 shares of common stock.</w:t>
      </w:r>
    </w:p>
    <w:p>
      <w:pPr>
        <w:spacing w:after="0" w:line="1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shares subject to each Initial Grant will vest over a three-year period, with one-third of the award vesting on the first anniversary of the grant date and the remainder of the award vesting in equal monthly installments thereafter, subject to the non-employee director’s Continuous Service (as defined in the 2023 Plan) through each such vesting date and will vest in full upon a Change in Control (as defined in the 2023 Plan). The shares subject to the Annual Grant will vest in full on the first anniversary of the date of grant; provided, that the Annual Grant will in any case be fully vested on the date of Company’s next annual stockholder meeting, subject to the non-employee director’s Continuous Service (as defined in the 2023 Plan) through such vesting date; provided, further, that the Annual Grant will vest in full upon a Change in Control (as defined in the 2023 Plan). With respect to a non-employee director who was first elected or appointed to the Board on a date other than the date of the Company’s annual stockholder meeting, upon our first annual meeting of our stockholders following such non-employee director’s first joining the Board, such non-employee director’s first Annual Grant will be pro-rated to reflect the time between such non-employee director’s election or appointment date and the date of such first annual meeting of our stockholders.</w:t>
      </w:r>
    </w:p>
    <w:p>
      <w:pPr>
        <w:spacing w:after="0" w:line="18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Each non-employee director may elect to convert such director’s cash compensation under the Non-Employee Director Compensation Policy into a restricted stock unit (“RSU”) award (such election, a “Retainer Grant Election”). If a non-employee director timely makes this election, then on the first business day following the applicable Retainer Accrual Date to which the Retainer Grant Election applies, and without any further action by the Board or designated committee of the Board, such non-employee director automatically will be granted a fully vested RSU award under the 2023 Plan covering a number of shares of common stock equal to (a) the aggregate amount of cash compensation otherwise payable to such non-employee director on the Retainer Accrual Date to which the Retainer Grant Election applies divided by (b) the closing sales price per share of the common stock on the applicable Retainer Accrual Date (or, if such date is not a business day, on the first business day thereafter), rounded down to the nearest whole share. No cash will be paid in lieu of fractional shares.</w:t>
      </w:r>
    </w:p>
    <w:p>
      <w:pPr>
        <w:spacing w:after="0" w:line="19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Notwithstanding the foregoing, any member of our Board that is entitled to the above compensation may elect to forego all or a portion of such compensation from time to time by giving notice to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Table</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for the year ended December 31, 2025 regarding the compensation awarded to or earned by our non-employee directors. Mr. Brady is not included in the table below, as he was an employee and received no additional compensation for his service as a director. As a Named Executive Officer, the compensation received by Mr. Brady is shown above in “—</w:t>
      </w:r>
      <w:r>
        <w:rPr>
          <w:rFonts w:ascii="Times New Roman" w:cs="Times New Roman" w:eastAsia="Times New Roman" w:hAnsi="Times New Roman"/>
          <w:sz w:val="18"/>
          <w:szCs w:val="18"/>
          <w:i w:val="1"/>
          <w:iCs w:val="1"/>
          <w:color w:val="auto"/>
        </w:rPr>
        <w:t>Executive Compensation—Summary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Table</w:t>
      </w:r>
      <w:r>
        <w:rPr>
          <w:rFonts w:ascii="Times New Roman" w:cs="Times New Roman" w:eastAsia="Times New Roman" w:hAnsi="Times New Roman"/>
          <w:sz w:val="18"/>
          <w:szCs w:val="18"/>
          <w:color w:val="auto"/>
        </w:rPr>
        <w:t>.”</w:t>
      </w:r>
    </w:p>
    <w:p>
      <w:pPr>
        <w:spacing w:after="0" w:line="16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5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2"/>
                <w:szCs w:val="12"/>
                <w:color w:val="auto"/>
              </w:rPr>
            </w:pPr>
          </w:p>
        </w:tc>
        <w:tc>
          <w:tcPr>
            <w:tcW w:w="14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4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680" w:type="dxa"/>
            <w:vAlign w:val="bottom"/>
            <w:vMerge w:val="continue"/>
          </w:tcPr>
          <w:p>
            <w:pPr>
              <w:spacing w:after="0"/>
              <w:rPr>
                <w:sz w:val="15"/>
                <w:szCs w:val="15"/>
                <w:color w:val="auto"/>
              </w:rPr>
            </w:pPr>
          </w:p>
        </w:tc>
        <w:tc>
          <w:tcPr>
            <w:tcW w:w="148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8"/>
                <w:szCs w:val="8"/>
                <w:b w:val="1"/>
                <w:bCs w:val="1"/>
                <w:color w:val="auto"/>
              </w:rPr>
              <w:t>(1)(2)</w:t>
            </w:r>
          </w:p>
        </w:tc>
        <w:tc>
          <w:tcPr>
            <w:tcW w:w="220" w:type="dxa"/>
            <w:vAlign w:val="bottom"/>
          </w:tcPr>
          <w:p>
            <w:pPr>
              <w:spacing w:after="0"/>
              <w:rPr>
                <w:sz w:val="15"/>
                <w:szCs w:val="15"/>
                <w:color w:val="auto"/>
              </w:rPr>
            </w:pPr>
          </w:p>
        </w:tc>
        <w:tc>
          <w:tcPr>
            <w:tcW w:w="11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7"/>
                <w:szCs w:val="17"/>
                <w:color w:val="auto"/>
              </w:rPr>
              <w:t>Geoff Nichol</w:t>
            </w:r>
            <w:r>
              <w:rPr>
                <w:rFonts w:ascii="Times New Roman" w:cs="Times New Roman" w:eastAsia="Times New Roman" w:hAnsi="Times New Roman"/>
                <w:sz w:val="22"/>
                <w:szCs w:val="22"/>
                <w:color w:val="auto"/>
                <w:vertAlign w:val="superscript"/>
              </w:rPr>
              <w:t>(3)</w:t>
            </w:r>
          </w:p>
        </w:tc>
        <w:tc>
          <w:tcPr>
            <w:tcW w:w="220" w:type="dxa"/>
            <w:vAlign w:val="bottom"/>
          </w:tcPr>
          <w:p>
            <w:pPr>
              <w:spacing w:after="0"/>
              <w:rPr>
                <w:sz w:val="16"/>
                <w:szCs w:val="16"/>
                <w:color w:val="auto"/>
              </w:rPr>
            </w:pPr>
          </w:p>
        </w:tc>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55,500</w:t>
            </w:r>
          </w:p>
        </w:tc>
        <w:tc>
          <w:tcPr>
            <w:tcW w:w="220" w:type="dxa"/>
            <w:vAlign w:val="bottom"/>
          </w:tcPr>
          <w:p>
            <w:pPr>
              <w:spacing w:after="0"/>
              <w:rPr>
                <w:sz w:val="16"/>
                <w:szCs w:val="16"/>
                <w:color w:val="auto"/>
              </w:rPr>
            </w:pPr>
          </w:p>
        </w:tc>
        <w:tc>
          <w:tcPr>
            <w:tcW w:w="1260" w:type="dxa"/>
            <w:vAlign w:val="bottom"/>
            <w:tcBorders>
              <w:top w:val="single" w:sz="8" w:color="auto"/>
            </w:tcBorders>
          </w:tcPr>
          <w:p>
            <w:pPr>
              <w:ind w:left="108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55,500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Christine Pellizzari</w:t>
            </w:r>
          </w:p>
        </w:tc>
        <w:tc>
          <w:tcPr>
            <w:tcW w:w="17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55,000</w:t>
            </w: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Michael Raab</w:t>
            </w:r>
          </w:p>
        </w:tc>
        <w:tc>
          <w:tcPr>
            <w:tcW w:w="17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105,500</w:t>
            </w: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105,500</w:t>
            </w:r>
          </w:p>
        </w:tc>
        <w:tc>
          <w:tcPr>
            <w:tcW w:w="0" w:type="dxa"/>
            <w:vAlign w:val="bottom"/>
          </w:tcPr>
          <w:p>
            <w:pPr>
              <w:spacing w:after="0"/>
              <w:rPr>
                <w:sz w:val="1"/>
                <w:szCs w:val="1"/>
                <w:color w:val="auto"/>
              </w:rPr>
            </w:pPr>
          </w:p>
        </w:tc>
      </w:t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Ronit Simantov</w:t>
            </w:r>
          </w:p>
        </w:tc>
        <w:tc>
          <w:tcPr>
            <w:tcW w:w="17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48,000</w:t>
            </w: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237426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81" w:lineRule="exact"/>
        <w:rPr>
          <w:sz w:val="20"/>
          <w:szCs w:val="20"/>
          <w:color w:val="auto"/>
        </w:rPr>
      </w:pPr>
    </w:p>
    <w:p>
      <w:pPr>
        <w:ind w:left="360" w:hanging="352"/>
        <w:spacing w:after="0"/>
        <w:tabs>
          <w:tab w:leader="none" w:pos="3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provides information regarding the aggregate number of equity awards granted to our non-employee directors that were outstanding as of December 31, 2025:</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1" w:name="page142"/>
    <w:bookmarkEnd w:id="141"/>
    <w:tbl>
      <w:tblPr>
        <w:tblLayout w:type="fixed"/>
        <w:tblInd w:w="48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0" w:type="dxa"/>
            <w:vAlign w:val="bottom"/>
          </w:tcPr>
          <w:p>
            <w:pPr>
              <w:spacing w:after="0"/>
              <w:rPr>
                <w:sz w:val="1"/>
                <w:szCs w:val="1"/>
                <w:color w:val="auto"/>
              </w:rPr>
            </w:pPr>
          </w:p>
        </w:tc>
      </w:tr>
      <w:tr>
        <w:trPr>
          <w:trHeight w:val="149"/>
        </w:trPr>
        <w:tc>
          <w:tcPr>
            <w:tcW w:w="8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2"/>
                <w:szCs w:val="12"/>
                <w:color w:val="auto"/>
              </w:rPr>
            </w:pPr>
          </w:p>
        </w:tc>
        <w:tc>
          <w:tcPr>
            <w:tcW w:w="20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at</w:t>
            </w:r>
          </w:p>
        </w:tc>
        <w:tc>
          <w:tcPr>
            <w:tcW w:w="0" w:type="dxa"/>
            <w:vAlign w:val="bottom"/>
          </w:tcPr>
          <w:p>
            <w:pPr>
              <w:spacing w:after="0"/>
              <w:rPr>
                <w:sz w:val="1"/>
                <w:szCs w:val="1"/>
                <w:color w:val="auto"/>
              </w:rPr>
            </w:pPr>
          </w:p>
        </w:tc>
      </w:tr>
      <w:tr>
        <w:trPr>
          <w:trHeight w:val="173"/>
        </w:trPr>
        <w:tc>
          <w:tcPr>
            <w:tcW w:w="84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w:t>
            </w:r>
          </w:p>
        </w:tc>
        <w:tc>
          <w:tcPr>
            <w:tcW w:w="0" w:type="dxa"/>
            <w:vAlign w:val="bottom"/>
          </w:tcPr>
          <w:p>
            <w:pPr>
              <w:spacing w:after="0"/>
              <w:rPr>
                <w:sz w:val="1"/>
                <w:szCs w:val="1"/>
                <w:color w:val="auto"/>
              </w:rPr>
            </w:pPr>
          </w:p>
        </w:tc>
      </w:tr>
      <w:tr>
        <w:trPr>
          <w:trHeight w:val="119"/>
        </w:trPr>
        <w:tc>
          <w:tcPr>
            <w:tcW w:w="840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Geoff Nichol</w:t>
            </w:r>
          </w:p>
        </w:tc>
        <w:tc>
          <w:tcPr>
            <w:tcW w:w="200" w:type="dxa"/>
            <w:vAlign w:val="bottom"/>
          </w:tcPr>
          <w:p>
            <w:pPr>
              <w:spacing w:after="0"/>
              <w:rPr>
                <w:sz w:val="10"/>
                <w:szCs w:val="10"/>
                <w:color w:val="auto"/>
              </w:rPr>
            </w:pPr>
          </w:p>
        </w:tc>
        <w:tc>
          <w:tcPr>
            <w:tcW w:w="19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2,823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Christine Pellizzari</w:t>
            </w:r>
          </w:p>
        </w:tc>
        <w:tc>
          <w:tcPr>
            <w:tcW w:w="22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2,639</w:t>
            </w:r>
          </w:p>
        </w:tc>
        <w:tc>
          <w:tcPr>
            <w:tcW w:w="0" w:type="dxa"/>
            <w:vAlign w:val="bottom"/>
          </w:tcPr>
          <w:p>
            <w:pPr>
              <w:spacing w:after="0"/>
              <w:rPr>
                <w:sz w:val="1"/>
                <w:szCs w:val="1"/>
                <w:color w:val="auto"/>
              </w:rPr>
            </w:pPr>
          </w:p>
        </w:tc>
      </w:tr>
      <w:tr>
        <w:trPr>
          <w:trHeight w:val="149"/>
        </w:trPr>
        <w:tc>
          <w:tcPr>
            <w:tcW w:w="8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Michael Raab</w:t>
            </w:r>
          </w:p>
        </w:tc>
        <w:tc>
          <w:tcPr>
            <w:tcW w:w="22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5,044</w:t>
            </w:r>
          </w:p>
        </w:tc>
        <w:tc>
          <w:tcPr>
            <w:tcW w:w="0" w:type="dxa"/>
            <w:vAlign w:val="bottom"/>
          </w:tcPr>
          <w:p>
            <w:pPr>
              <w:spacing w:after="0"/>
              <w:rPr>
                <w:sz w:val="1"/>
                <w:szCs w:val="1"/>
                <w:color w:val="auto"/>
              </w:rPr>
            </w:pPr>
          </w:p>
        </w:tc>
      </w:tr>
      <w:tr>
        <w:trPr>
          <w:trHeight w:val="188"/>
        </w:trPr>
        <w:tc>
          <w:tcPr>
            <w:tcW w:w="8400" w:type="dxa"/>
            <w:vAlign w:val="bottom"/>
          </w:tcPr>
          <w:p>
            <w:pPr>
              <w:spacing w:after="0"/>
              <w:rPr>
                <w:sz w:val="20"/>
                <w:szCs w:val="20"/>
                <w:color w:val="auto"/>
              </w:rPr>
            </w:pPr>
            <w:r>
              <w:rPr>
                <w:rFonts w:ascii="Times New Roman" w:cs="Times New Roman" w:eastAsia="Times New Roman" w:hAnsi="Times New Roman"/>
                <w:sz w:val="14"/>
                <w:szCs w:val="14"/>
                <w:color w:val="auto"/>
              </w:rPr>
              <w:t>Ronit Simantov</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2,639</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380" w:hanging="372"/>
        <w:spacing w:after="0" w:line="302" w:lineRule="auto"/>
        <w:tabs>
          <w:tab w:leader="none" w:pos="365"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our 2025 Annual Meeting of Stockholders, held January 27, 2026, each of Mr. Nichol, Ms. Pellizzari, Mr. Raab and Ms. Simantov received an Annual Grant on January 27, 2026, which is not reflected in the table above.</w:t>
      </w:r>
    </w:p>
    <w:p>
      <w:pPr>
        <w:spacing w:after="0" w:line="13"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Closing of the Asset Acquisition, Mr. Nichol resigned from our Board effective February 3, 2026.</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ecurity</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wnership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eneficial</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wners and</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anagement</w:t>
      </w:r>
    </w:p>
    <w:p>
      <w:pPr>
        <w:spacing w:after="0" w:line="229"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beneficial ownership of our common stock as of March 25, 2026, the most recent practicable date for computing beneficial ownership, by:</w:t>
      </w:r>
    </w:p>
    <w:p>
      <w:pPr>
        <w:spacing w:after="0" w:line="162" w:lineRule="exact"/>
        <w:rPr>
          <w:sz w:val="20"/>
          <w:szCs w:val="20"/>
          <w:color w:val="auto"/>
        </w:rPr>
      </w:pPr>
    </w:p>
    <w:p>
      <w:pPr>
        <w:ind w:left="1140" w:hanging="383"/>
        <w:spacing w:after="0"/>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director nominees;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These rules generally attribute beneficial ownership of securities to persons who possess sole or shared voting or investment power with respect to those securities. Unless otherwise indicated, the persons or entities identified in this table have sole voting and investment power with respect to all shares shown as beneficially owned by them, subject to applicable community property laws.</w:t>
      </w:r>
    </w:p>
    <w:p>
      <w:pPr>
        <w:spacing w:after="0" w:line="180" w:lineRule="exact"/>
        <w:rPr>
          <w:sz w:val="20"/>
          <w:szCs w:val="20"/>
          <w:color w:val="auto"/>
        </w:rPr>
      </w:pPr>
    </w:p>
    <w:p>
      <w:pPr>
        <w:jc w:val="both"/>
        <w:ind w:right="20" w:firstLine="374"/>
        <w:spacing w:after="0" w:line="261" w:lineRule="auto"/>
        <w:rPr>
          <w:sz w:val="20"/>
          <w:szCs w:val="20"/>
          <w:color w:val="auto"/>
        </w:rPr>
      </w:pPr>
      <w:r>
        <w:rPr>
          <w:rFonts w:ascii="Times New Roman" w:cs="Times New Roman" w:eastAsia="Times New Roman" w:hAnsi="Times New Roman"/>
          <w:sz w:val="18"/>
          <w:szCs w:val="18"/>
          <w:color w:val="auto"/>
        </w:rPr>
        <w:t>Applicable percentage ownership is based on 14,344,034 shares of our common stock issued and outstanding as of March 25, 2026. The number of shares of common stock used to calculate the percentage ownership of each listed person includes the shares of common stock underlying options and warrants held by such persons that are currently exercisable or convertible or will be exercisable or convertible within 60 days of March 25, 2026. However, we did not deem these shares outstanding for the purpose of computing the percentage ownership of any other person.</w:t>
      </w:r>
    </w:p>
    <w:p>
      <w:pPr>
        <w:spacing w:after="0" w:line="16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Name of Beneficial Owner </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13"/>
                <w:szCs w:val="13"/>
                <w:color w:val="auto"/>
              </w:rPr>
            </w:pPr>
          </w:p>
        </w:tc>
        <w:tc>
          <w:tcPr>
            <w:tcW w:w="224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1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10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8"/>
                <w:szCs w:val="18"/>
                <w:b w:val="1"/>
                <w:bCs w:val="1"/>
                <w:i w:val="1"/>
                <w:iCs w:val="1"/>
                <w:color w:val="auto"/>
              </w:rPr>
              <w:t>Stockholders Owning Greater than 5%:</w:t>
            </w:r>
          </w:p>
        </w:tc>
        <w:tc>
          <w:tcPr>
            <w:tcW w:w="220" w:type="dxa"/>
            <w:vAlign w:val="bottom"/>
          </w:tcPr>
          <w:p>
            <w:pPr>
              <w:spacing w:after="0"/>
              <w:rPr>
                <w:sz w:val="14"/>
                <w:szCs w:val="14"/>
                <w:color w:val="auto"/>
              </w:rPr>
            </w:pPr>
          </w:p>
        </w:tc>
        <w:tc>
          <w:tcPr>
            <w:tcW w:w="2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6100" w:type="dxa"/>
            <w:vAlign w:val="bottom"/>
          </w:tcPr>
          <w:p>
            <w:pPr>
              <w:spacing w:after="0" w:line="232" w:lineRule="exact"/>
              <w:rPr>
                <w:sz w:val="20"/>
                <w:szCs w:val="20"/>
                <w:color w:val="auto"/>
              </w:rPr>
            </w:pPr>
            <w:r>
              <w:rPr>
                <w:rFonts w:ascii="Times New Roman" w:cs="Times New Roman" w:eastAsia="Times New Roman" w:hAnsi="Times New Roman"/>
                <w:sz w:val="18"/>
                <w:szCs w:val="18"/>
                <w:color w:val="auto"/>
              </w:rPr>
              <w:t>Entities affiliated with Lotus Capital BVI Limited</w:t>
            </w:r>
            <w:r>
              <w:rPr>
                <w:rFonts w:ascii="Times New Roman" w:cs="Times New Roman" w:eastAsia="Times New Roman" w:hAnsi="Times New Roman"/>
                <w:sz w:val="24"/>
                <w:szCs w:val="24"/>
                <w:color w:val="auto"/>
                <w:vertAlign w:val="superscript"/>
              </w:rPr>
              <w:t>(2)</w:t>
            </w:r>
          </w:p>
        </w:tc>
        <w:tc>
          <w:tcPr>
            <w:tcW w:w="2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3,431,425</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0"/>
        </w:trPr>
        <w:tc>
          <w:tcPr>
            <w:tcW w:w="6100" w:type="dxa"/>
            <w:vAlign w:val="bottom"/>
          </w:tcPr>
          <w:p>
            <w:pPr>
              <w:spacing w:after="0" w:line="200" w:lineRule="exact"/>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Matthew Angel</w:t>
            </w:r>
            <w:r>
              <w:rPr>
                <w:rFonts w:ascii="Times New Roman" w:cs="Times New Roman" w:eastAsia="Times New Roman" w:hAnsi="Times New Roman"/>
                <w:sz w:val="24"/>
                <w:szCs w:val="24"/>
                <w:color w:val="auto"/>
                <w:vertAlign w:val="superscript"/>
              </w:rPr>
              <w:t>(3)</w:t>
            </w:r>
          </w:p>
        </w:tc>
        <w:tc>
          <w:tcPr>
            <w:tcW w:w="2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5,068,552</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Stephen Brady</w:t>
            </w:r>
            <w:r>
              <w:rPr>
                <w:rFonts w:ascii="Times New Roman" w:cs="Times New Roman" w:eastAsia="Times New Roman" w:hAnsi="Times New Roman"/>
                <w:sz w:val="24"/>
                <w:szCs w:val="24"/>
                <w:color w:val="auto"/>
                <w:vertAlign w:val="superscript"/>
              </w:rPr>
              <w:t>(4)</w:t>
            </w:r>
          </w:p>
        </w:tc>
        <w:tc>
          <w:tcPr>
            <w:tcW w:w="2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174,597</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Samuel Whiting</w:t>
            </w:r>
            <w:r>
              <w:rPr>
                <w:rFonts w:ascii="Times New Roman" w:cs="Times New Roman" w:eastAsia="Times New Roman" w:hAnsi="Times New Roman"/>
                <w:sz w:val="24"/>
                <w:szCs w:val="24"/>
                <w:color w:val="auto"/>
                <w:vertAlign w:val="superscript"/>
              </w:rPr>
              <w:t>(5)</w:t>
            </w:r>
          </w:p>
        </w:tc>
        <w:tc>
          <w:tcPr>
            <w:tcW w:w="2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71,666</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Nicholas Maestas</w:t>
            </w:r>
            <w:r>
              <w:rPr>
                <w:rFonts w:ascii="Times New Roman" w:cs="Times New Roman" w:eastAsia="Times New Roman" w:hAnsi="Times New Roman"/>
                <w:sz w:val="24"/>
                <w:szCs w:val="24"/>
                <w:color w:val="auto"/>
                <w:vertAlign w:val="superscript"/>
              </w:rPr>
              <w:t>(6)</w:t>
            </w:r>
          </w:p>
        </w:tc>
        <w:tc>
          <w:tcPr>
            <w:tcW w:w="2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36,923</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Christine Pellizzari</w:t>
            </w:r>
            <w:r>
              <w:rPr>
                <w:rFonts w:ascii="Times New Roman" w:cs="Times New Roman" w:eastAsia="Times New Roman" w:hAnsi="Times New Roman"/>
                <w:sz w:val="24"/>
                <w:szCs w:val="24"/>
                <w:color w:val="auto"/>
                <w:vertAlign w:val="superscript"/>
              </w:rPr>
              <w:t>(7)</w:t>
            </w:r>
          </w:p>
        </w:tc>
        <w:tc>
          <w:tcPr>
            <w:tcW w:w="2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3,869</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Michael Raab</w:t>
            </w:r>
            <w:r>
              <w:rPr>
                <w:rFonts w:ascii="Times New Roman" w:cs="Times New Roman" w:eastAsia="Times New Roman" w:hAnsi="Times New Roman"/>
                <w:sz w:val="24"/>
                <w:szCs w:val="24"/>
                <w:color w:val="auto"/>
                <w:vertAlign w:val="superscript"/>
              </w:rPr>
              <w:t>(8)</w:t>
            </w:r>
          </w:p>
        </w:tc>
        <w:tc>
          <w:tcPr>
            <w:tcW w:w="2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6,274</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Ronit Simantov</w:t>
            </w:r>
            <w:r>
              <w:rPr>
                <w:rFonts w:ascii="Times New Roman" w:cs="Times New Roman" w:eastAsia="Times New Roman" w:hAnsi="Times New Roman"/>
                <w:sz w:val="24"/>
                <w:szCs w:val="24"/>
                <w:color w:val="auto"/>
                <w:vertAlign w:val="superscript"/>
              </w:rPr>
              <w:t>(9)</w:t>
            </w:r>
          </w:p>
        </w:tc>
        <w:tc>
          <w:tcPr>
            <w:tcW w:w="2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3,869</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All current directors and executive officers as a group (6 persons)</w:t>
            </w:r>
            <w:r>
              <w:rPr>
                <w:rFonts w:ascii="Times New Roman" w:cs="Times New Roman" w:eastAsia="Times New Roman" w:hAnsi="Times New Roman"/>
                <w:sz w:val="24"/>
                <w:szCs w:val="24"/>
                <w:color w:val="auto"/>
                <w:vertAlign w:val="superscript"/>
              </w:rPr>
              <w:t>(10)</w:t>
            </w:r>
          </w:p>
        </w:tc>
        <w:tc>
          <w:tcPr>
            <w:tcW w:w="2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5,294,084</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237426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73" w:lineRule="exact"/>
        <w:rPr>
          <w:sz w:val="20"/>
          <w:szCs w:val="20"/>
          <w:color w:val="auto"/>
        </w:rPr>
      </w:pPr>
    </w:p>
    <w:p>
      <w:pPr>
        <w:ind w:left="360" w:hanging="352"/>
        <w:spacing w:after="0"/>
        <w:tabs>
          <w:tab w:leader="none" w:pos="3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one percent.</w:t>
      </w:r>
    </w:p>
    <w:p>
      <w:pPr>
        <w:spacing w:after="0" w:line="69" w:lineRule="exact"/>
        <w:rPr>
          <w:sz w:val="20"/>
          <w:szCs w:val="20"/>
          <w:color w:val="auto"/>
        </w:rPr>
      </w:pPr>
    </w:p>
    <w:p>
      <w:pPr>
        <w:ind w:left="380" w:hanging="372"/>
        <w:spacing w:after="0"/>
        <w:tabs>
          <w:tab w:leader="none" w:pos="3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for each director and executive officer is c/o Tempest Therapeutics, Inc., 2000 Sierra Point Parkway, Suite 400, Brisbane, California, 94005.</w:t>
      </w:r>
    </w:p>
    <w:p>
      <w:pPr>
        <w:spacing w:after="0" w:line="41" w:lineRule="exact"/>
        <w:rPr>
          <w:rFonts w:ascii="Times New Roman" w:cs="Times New Roman" w:eastAsia="Times New Roman" w:hAnsi="Times New Roman"/>
          <w:sz w:val="14"/>
          <w:szCs w:val="14"/>
          <w:color w:val="auto"/>
        </w:rPr>
      </w:pPr>
    </w:p>
    <w:p>
      <w:pPr>
        <w:ind w:left="380" w:hanging="372"/>
        <w:spacing w:after="0" w:line="261" w:lineRule="auto"/>
        <w:tabs>
          <w:tab w:leader="none" w:pos="3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are held by Erigen LLC. Lotus Capital BVI Limited is the beneficial owner of such shares. The address of each of Lotus Capital BVI Limited is Mandar House, 3rd Floor Johnson's Ghut, Tortola VG1110 British Virgin Islands.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42" w:name="page143"/>
    <w:bookmarkEnd w:id="142"/>
    <w:p>
      <w:pPr>
        <w:jc w:val="both"/>
        <w:ind w:left="380" w:hanging="372"/>
        <w:spacing w:after="0" w:line="241" w:lineRule="auto"/>
        <w:tabs>
          <w:tab w:leader="none" w:pos="3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4,837,070 shares of common stock held by Dr. Angel and 231,482 shares of common stock held by Factor. Dr. Angel is the majority stockholder and Chairman of the Board of Directors of Factor. and exercises voting and investment power over the shares held by Factor Biosciences Inc. The address of Factor Biosciences Inc. is 1035 Cambridge St Ste 17B, Cambridge MA 02141.</w:t>
      </w:r>
    </w:p>
    <w:p>
      <w:pPr>
        <w:spacing w:after="0" w:line="14"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3,613 shares of common stock and (ii) 170,984 shares of common stock subject to options that are exercisable within 60 days of March 25, 2026.</w:t>
      </w:r>
    </w:p>
    <w:p>
      <w:pPr>
        <w:spacing w:after="0" w:line="41"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71,666 shares of common stock subject to options that are exercisable within 60 days of March 25, 2026.</w:t>
      </w:r>
    </w:p>
    <w:p>
      <w:pPr>
        <w:spacing w:after="0" w:line="41"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590 shares of common stock and (ii) 36,333 shares of common stock subject to options that are exercisable within 60 days of March 25, 2026.</w:t>
      </w:r>
    </w:p>
    <w:p>
      <w:pPr>
        <w:spacing w:after="0" w:line="41"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3,869 shares of common stock subject to options that are exercisable within 60 days of March 25, 2026.</w:t>
      </w:r>
    </w:p>
    <w:p>
      <w:pPr>
        <w:spacing w:after="0" w:line="41"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6,274 shares of common stock subject to options that are exercisable within 60 days of March 25, 2026</w:t>
      </w:r>
    </w:p>
    <w:p>
      <w:pPr>
        <w:spacing w:after="0" w:line="41"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3,869 shares of common stock subject to options that are exercisable within 60 days of March 25, 2026.</w:t>
      </w:r>
    </w:p>
    <w:p>
      <w:pPr>
        <w:spacing w:after="0" w:line="41"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5,072,755 shares of common stock and (ii) 221,329 shares of common stock subject to options that are exercisable within 60 days of March 25, 2026</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nformation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equity compensation plan information as of December 31, 2025.</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16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 equity</w:t>
            </w: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168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68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6"/>
        </w:trPr>
        <w:tc>
          <w:tcPr>
            <w:tcW w:w="4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3"/>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680" w:type="dxa"/>
            <w:vAlign w:val="bottom"/>
            <w:gridSpan w:val="3"/>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8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76"/>
        </w:trPr>
        <w:tc>
          <w:tcPr>
            <w:tcW w:w="4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w:t>
            </w:r>
          </w:p>
        </w:tc>
        <w:tc>
          <w:tcPr>
            <w:tcW w:w="1680" w:type="dxa"/>
            <w:vAlign w:val="bottom"/>
            <w:gridSpan w:val="3"/>
          </w:tcPr>
          <w:p>
            <w:pPr>
              <w:jc w:val="center"/>
              <w:ind w:right="220"/>
              <w:spacing w:after="0" w:line="175" w:lineRule="exact"/>
              <w:rPr>
                <w:sz w:val="20"/>
                <w:szCs w:val="20"/>
                <w:color w:val="auto"/>
              </w:rPr>
            </w:pPr>
            <w:r>
              <w:rPr>
                <w:rFonts w:ascii="Times New Roman" w:cs="Times New Roman" w:eastAsia="Times New Roman" w:hAnsi="Times New Roman"/>
                <w:sz w:val="14"/>
                <w:szCs w:val="14"/>
                <w:b w:val="1"/>
                <w:bCs w:val="1"/>
                <w:color w:val="auto"/>
                <w:w w:val="96"/>
              </w:rPr>
              <w:t xml:space="preserve">(b)($) </w:t>
            </w:r>
            <w:r>
              <w:rPr>
                <w:rFonts w:ascii="Times New Roman" w:cs="Times New Roman" w:eastAsia="Times New Roman" w:hAnsi="Times New Roman"/>
                <w:sz w:val="19"/>
                <w:szCs w:val="19"/>
                <w:b w:val="1"/>
                <w:bCs w:val="1"/>
                <w:color w:val="auto"/>
                <w:w w:val="96"/>
                <w:vertAlign w:val="superscript"/>
              </w:rPr>
              <w:t>(1)</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91"/>
        </w:trPr>
        <w:tc>
          <w:tcPr>
            <w:tcW w:w="408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w w:val="99"/>
              </w:rPr>
              <w:t>Equity compensation plans approved by security holders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EIP</w:t>
            </w:r>
          </w:p>
        </w:tc>
        <w:tc>
          <w:tcPr>
            <w:tcW w:w="20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37,859</w:t>
            </w:r>
          </w:p>
        </w:tc>
        <w:tc>
          <w:tcPr>
            <w:tcW w:w="1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140.67</w:t>
            </w:r>
          </w:p>
        </w:tc>
        <w:tc>
          <w:tcPr>
            <w:tcW w:w="12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2019</w:t>
            </w:r>
          </w:p>
        </w:tc>
        <w:tc>
          <w:tcPr>
            <w:tcW w:w="35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EIP</w:t>
            </w:r>
          </w:p>
        </w:tc>
        <w:tc>
          <w:tcPr>
            <w:tcW w:w="2080" w:type="dxa"/>
            <w:vAlign w:val="bottom"/>
            <w:gridSpan w:val="4"/>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85,867</w:t>
            </w:r>
          </w:p>
        </w:tc>
        <w:tc>
          <w:tcPr>
            <w:tcW w:w="100" w:type="dxa"/>
            <w:vAlign w:val="bottom"/>
          </w:tcPr>
          <w:p>
            <w:pPr>
              <w:spacing w:after="0"/>
              <w:rPr>
                <w:sz w:val="17"/>
                <w:szCs w:val="17"/>
                <w:color w:val="auto"/>
              </w:rPr>
            </w:pPr>
          </w:p>
        </w:tc>
        <w:tc>
          <w:tcPr>
            <w:tcW w:w="15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33.53</w:t>
            </w:r>
          </w:p>
        </w:tc>
        <w:tc>
          <w:tcPr>
            <w:tcW w:w="120" w:type="dxa"/>
            <w:vAlign w:val="bottom"/>
          </w:tcPr>
          <w:p>
            <w:pPr>
              <w:spacing w:after="0"/>
              <w:rPr>
                <w:sz w:val="17"/>
                <w:szCs w:val="17"/>
                <w:color w:val="auto"/>
              </w:rPr>
            </w:pPr>
          </w:p>
        </w:tc>
        <w:tc>
          <w:tcPr>
            <w:tcW w:w="18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18"/>
                <w:szCs w:val="18"/>
                <w:color w:val="auto"/>
              </w:rPr>
              <w:t>68,608</w:t>
            </w:r>
            <w:r>
              <w:rPr>
                <w:rFonts w:ascii="Times New Roman" w:cs="Times New Roman" w:eastAsia="Times New Roman" w:hAnsi="Times New Roman"/>
                <w:sz w:val="24"/>
                <w:szCs w:val="24"/>
                <w:color w:val="auto"/>
                <w:vertAlign w:val="superscript"/>
              </w:rPr>
              <w:t>(2)</w:t>
            </w:r>
          </w:p>
        </w:tc>
        <w:tc>
          <w:tcPr>
            <w:tcW w:w="0" w:type="dxa"/>
            <w:vAlign w:val="bottom"/>
          </w:tcPr>
          <w:p>
            <w:pPr>
              <w:spacing w:after="0"/>
              <w:rPr>
                <w:sz w:val="1"/>
                <w:szCs w:val="1"/>
                <w:color w:val="auto"/>
              </w:rPr>
            </w:pPr>
          </w:p>
        </w:tc>
      </w:tr>
      <w:tr>
        <w:trPr>
          <w:trHeight w:val="236"/>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EIP</w:t>
            </w:r>
          </w:p>
        </w:tc>
        <w:tc>
          <w:tcPr>
            <w:tcW w:w="20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304,568</w:t>
            </w:r>
          </w:p>
        </w:tc>
        <w:tc>
          <w:tcPr>
            <w:tcW w:w="10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64.71</w:t>
            </w:r>
          </w:p>
        </w:tc>
        <w:tc>
          <w:tcPr>
            <w:tcW w:w="120" w:type="dxa"/>
            <w:vAlign w:val="bottom"/>
          </w:tcPr>
          <w:p>
            <w:pPr>
              <w:spacing w:after="0"/>
              <w:rPr>
                <w:sz w:val="20"/>
                <w:szCs w:val="20"/>
                <w:color w:val="auto"/>
              </w:rPr>
            </w:pPr>
          </w:p>
        </w:tc>
        <w:tc>
          <w:tcPr>
            <w:tcW w:w="1820" w:type="dxa"/>
            <w:vAlign w:val="bottom"/>
            <w:gridSpan w:val="2"/>
          </w:tcPr>
          <w:p>
            <w:pPr>
              <w:jc w:val="right"/>
              <w:ind w:right="100"/>
              <w:spacing w:after="0" w:line="236" w:lineRule="exact"/>
              <w:rPr>
                <w:sz w:val="20"/>
                <w:szCs w:val="20"/>
                <w:color w:val="auto"/>
              </w:rPr>
            </w:pPr>
            <w:r>
              <w:rPr>
                <w:rFonts w:ascii="Times New Roman" w:cs="Times New Roman" w:eastAsia="Times New Roman" w:hAnsi="Times New Roman"/>
                <w:sz w:val="18"/>
                <w:szCs w:val="18"/>
                <w:color w:val="auto"/>
              </w:rPr>
              <w:t>47,745</w:t>
            </w:r>
            <w:r>
              <w:rPr>
                <w:rFonts w:ascii="Times New Roman" w:cs="Times New Roman" w:eastAsia="Times New Roman" w:hAnsi="Times New Roman"/>
                <w:sz w:val="24"/>
                <w:szCs w:val="24"/>
                <w:color w:val="auto"/>
                <w:vertAlign w:val="superscript"/>
              </w:rPr>
              <w:t>(3)</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8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holders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580" w:type="dxa"/>
            <w:vAlign w:val="bottom"/>
          </w:tcPr>
          <w:p>
            <w:pPr>
              <w:ind w:left="20"/>
              <w:spacing w:after="0" w:line="255" w:lineRule="exact"/>
              <w:rPr>
                <w:sz w:val="20"/>
                <w:szCs w:val="20"/>
                <w:color w:val="auto"/>
              </w:rPr>
            </w:pPr>
            <w:r>
              <w:rPr>
                <w:rFonts w:ascii="Times New Roman" w:cs="Times New Roman" w:eastAsia="Times New Roman" w:hAnsi="Times New Roman"/>
                <w:sz w:val="18"/>
                <w:szCs w:val="18"/>
                <w:color w:val="auto"/>
              </w:rPr>
              <w:t>Inducement Plan</w:t>
            </w:r>
            <w:r>
              <w:rPr>
                <w:rFonts w:ascii="Times New Roman" w:cs="Times New Roman" w:eastAsia="Times New Roman" w:hAnsi="Times New Roman"/>
                <w:sz w:val="24"/>
                <w:szCs w:val="24"/>
                <w:color w:val="auto"/>
                <w:vertAlign w:val="superscript"/>
              </w:rPr>
              <w:t>(4)</w:t>
            </w:r>
          </w:p>
        </w:tc>
        <w:tc>
          <w:tcPr>
            <w:tcW w:w="20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20,841</w:t>
            </w:r>
          </w:p>
        </w:tc>
        <w:tc>
          <w:tcPr>
            <w:tcW w:w="100" w:type="dxa"/>
            <w:vAlign w:val="bottom"/>
          </w:tcPr>
          <w:p>
            <w:pPr>
              <w:spacing w:after="0"/>
              <w:rPr>
                <w:sz w:val="22"/>
                <w:szCs w:val="22"/>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26.74</w:t>
            </w:r>
          </w:p>
        </w:tc>
        <w:tc>
          <w:tcPr>
            <w:tcW w:w="120" w:type="dxa"/>
            <w:vAlign w:val="bottom"/>
          </w:tcPr>
          <w:p>
            <w:pPr>
              <w:spacing w:after="0"/>
              <w:rPr>
                <w:sz w:val="22"/>
                <w:szCs w:val="22"/>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67,615</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449,135</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183,968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-10795</wp:posOffset>
            </wp:positionV>
            <wp:extent cx="1114425"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114425" cy="171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-10795</wp:posOffset>
            </wp:positionV>
            <wp:extent cx="109728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09728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103" w:lineRule="exact"/>
        <w:rPr>
          <w:sz w:val="20"/>
          <w:szCs w:val="20"/>
          <w:color w:val="auto"/>
        </w:rPr>
      </w:pPr>
    </w:p>
    <w:p>
      <w:pPr>
        <w:ind w:left="380" w:hanging="372"/>
        <w:spacing w:after="0"/>
        <w:tabs>
          <w:tab w:leader="none" w:pos="3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weighted-average exercise price excludes any outstanding RSU awards, which have no exercise price.</w:t>
      </w:r>
    </w:p>
    <w:p>
      <w:pPr>
        <w:spacing w:after="0" w:line="41" w:lineRule="exact"/>
        <w:rPr>
          <w:rFonts w:ascii="Times New Roman" w:cs="Times New Roman" w:eastAsia="Times New Roman" w:hAnsi="Times New Roman"/>
          <w:sz w:val="14"/>
          <w:szCs w:val="14"/>
          <w:color w:val="auto"/>
        </w:rPr>
      </w:pPr>
    </w:p>
    <w:p>
      <w:pPr>
        <w:jc w:val="both"/>
        <w:ind w:left="380" w:hanging="372"/>
        <w:spacing w:after="0" w:line="233" w:lineRule="auto"/>
        <w:tabs>
          <w:tab w:leader="none" w:pos="3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2019 ESPP provides that the total number of shares reserved for issuance thereunder will automatically increase on January 1 of each year beginning on January 1, 2023, and continuing through (and including) January 1, 2029, by the lesser of (a) 1.5% of the total number of shares of common stock outstanding on December 31st of the preceding calendar year,</w:t>
      </w:r>
    </w:p>
    <w:p>
      <w:pPr>
        <w:ind w:left="380"/>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38,461 shares of our common stock, or (c) a lesser number determined by our Board prior to the applicable January 1st. Accordingly, on January 1, 2026, the number of shares of common stock available for issuance under our 2019 ESPP increased by 38,461 shares. This increase is not reflected in the table above.</w:t>
      </w:r>
    </w:p>
    <w:p>
      <w:pPr>
        <w:spacing w:after="0" w:line="14" w:lineRule="exact"/>
        <w:rPr>
          <w:rFonts w:ascii="Times New Roman" w:cs="Times New Roman" w:eastAsia="Times New Roman" w:hAnsi="Times New Roman"/>
          <w:sz w:val="14"/>
          <w:szCs w:val="14"/>
          <w:color w:val="auto"/>
        </w:rPr>
      </w:pPr>
    </w:p>
    <w:p>
      <w:pPr>
        <w:jc w:val="both"/>
        <w:ind w:left="380" w:hanging="372"/>
        <w:spacing w:after="0" w:line="231" w:lineRule="auto"/>
        <w:tabs>
          <w:tab w:leader="none" w:pos="3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2023 EIP provides that the total number of shares of our common stock reserved for issuance thereunder will automatically increase on January 1st of each calendar year for a period of up to 10 years, beginning on January 1, 2024, and ending on (and including) January 1, 2033, in an amount equal to (i) 4% of the total number of shares of common stock outstanding on December 31st of the preceding calendar year, or (ii) a lesser number of shares determined by our Board prior to January 1st of a given fiscal year. Accordingly, on January 1, 2026, the number of shares of common stock available for issuance under our 2023 EIP increased by 197,086 shares (the “Annual Increase”). In addition, on January 27, 2026, our stockholders approved Amendment No. 1 to the 2023 EIP to increase the number of shares of our common stock issuable under such plan by 1,410,000 shares (“Amendment Increase”). Neither of the Annual Increase or the Amendment Increase is reflected in the table above.</w:t>
      </w:r>
    </w:p>
    <w:p>
      <w:pPr>
        <w:spacing w:after="0" w:line="15" w:lineRule="exact"/>
        <w:rPr>
          <w:rFonts w:ascii="Times New Roman" w:cs="Times New Roman" w:eastAsia="Times New Roman" w:hAnsi="Times New Roman"/>
          <w:sz w:val="14"/>
          <w:szCs w:val="14"/>
          <w:color w:val="auto"/>
        </w:rPr>
      </w:pPr>
    </w:p>
    <w:p>
      <w:pPr>
        <w:ind w:left="380" w:hanging="372"/>
        <w:spacing w:after="0" w:line="261" w:lineRule="auto"/>
        <w:tabs>
          <w:tab w:leader="none" w:pos="3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underlying options granted to employees as inducement awards material to the grantees entering into employment with us pursuant to Nasdaq Rule 5635(c)(4). Does not reflect 969 shares of common stock granted pursuant to inducement grants made outside of the 2023 Inducement Plan at a weighted average exercise-price of $28.34.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rocedures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have adopted a written Related Person Transactions Policy that sets forth our policies and procedures regarding the identification, review, consideration and approval or ratification of “related-persons transactions.” For purposes of our policy only, a “related-person transaction” is a transaction, arrangement or relationship (or any series of similar transactions, arrangements or relationships) in which we and any “related person” are participants involving an amount that exceeds or will exceed $120,000 or, during such time as we qualify as a “smaller reporting company,” the lesser of (1) $120,000 or (2) 1% of the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3" w:name="page144"/>
    <w:bookmarkEnd w:id="143"/>
    <w:p>
      <w:pPr>
        <w:jc w:val="both"/>
        <w:spacing w:after="0" w:line="266" w:lineRule="auto"/>
        <w:rPr>
          <w:sz w:val="20"/>
          <w:szCs w:val="20"/>
          <w:color w:val="auto"/>
        </w:rPr>
      </w:pPr>
      <w:r>
        <w:rPr>
          <w:rFonts w:ascii="Times New Roman" w:cs="Times New Roman" w:eastAsia="Times New Roman" w:hAnsi="Times New Roman"/>
          <w:sz w:val="18"/>
          <w:szCs w:val="18"/>
          <w:color w:val="auto"/>
        </w:rPr>
        <w:t>average of our total assets for the last two completed fiscal years. Transactions involving compensation for services provided to us as an employee, director, consultant or similar capacity by a related person are not covered by this policy. A related person is any executive officer, director, or a holder of more than 5% of our capital stock, including any of their immediate family members, and any entity owned or controlled by such persons.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Other than compensation arrangements for our directors and executive officers, which are described in the section titled “Executive and Director Compensation,” the following is a description of our related person transactions since January 1, 2024 to which we were a party or will be a party.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Erigen Asset Purchase Agreement</w:t>
      </w:r>
    </w:p>
    <w:p>
      <w:pPr>
        <w:spacing w:after="0" w:line="22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 described under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Strategic Acquisition of Dual-Targeting CAR-T Programs,</w:t>
      </w:r>
      <w:r>
        <w:rPr>
          <w:rFonts w:ascii="Times New Roman" w:cs="Times New Roman" w:eastAsia="Times New Roman" w:hAnsi="Times New Roman"/>
          <w:sz w:val="18"/>
          <w:szCs w:val="18"/>
          <w:color w:val="auto"/>
        </w:rPr>
        <w:t>” on November 19, 2025, we executed the Asset Purchase Agreement with the Sellers, pursuant to which the Sellers agreed to sell and transfer to us all right, title and interest of the Sellers in and to the Assets, in exchange for an aggregate purchase price of 8,268,495 shares of our common stock, to be issued to Erigen on behalf of both Sellers. Erigen is a limited liability company and an affiliate of Factor with two members, Dr. Angel and Lotus Capital BVI Limited (“Lotus”), who own 58.5% and 41.5% of Erigen, respectively. At Closing, we issued 8,268,495 shares of our common to Erigen, resulting in Dr. Angel and Lotus beneficially holding approximately 37% and 26% of our common stock, respectively, immediately following the Closing. On February 3, 2026, Dr. Angel was appointed to serve as our President and Chief Executive Officer and as a member of the Board. Following the Closing, Erigen distributed 4,837,070 shares of common stock to Dr. Angel, and, as of the date of this Annual Report on Form 10-K, continued to hold 3,431,425 shares of common stock beneficially owned by Lotus.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 Amended and Restated License and Collaboration Agreement</w:t>
      </w:r>
    </w:p>
    <w:p>
      <w:pPr>
        <w:spacing w:after="0" w:line="22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 described under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License and Collaboration Agreements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Factor Amended and Restated License and Collaboration Agreement,</w:t>
      </w:r>
      <w:r>
        <w:rPr>
          <w:rFonts w:ascii="Times New Roman" w:cs="Times New Roman" w:eastAsia="Times New Roman" w:hAnsi="Times New Roman"/>
          <w:sz w:val="18"/>
          <w:szCs w:val="18"/>
          <w:color w:val="auto"/>
        </w:rPr>
        <w:t>” on February 3, 2026, the Restated Factor License Agreement was assigned to us in connection with the Closing pursuant to the Asset Purchase Agreement. Pursuant to the Restated Factor License Agreement, we are obligated to meet certain diligence milestones by specified dates and to use commercially reasonable efforts to develop and make commercially available at least one licensed product in the licensed territory. No upfront payment was paid pursuant to the Restated Factor License Agreement. We are obligated to pay Factor Bioscience Limited up to $40 million in total upon achievement of certain development milestones for the programs and up to $620 million in total upon achievement of certain commercial milestones for the programs. In addition, we are required to pay Factor Bioscience Limited mid-single digit to high-teens royalties on net sales of licensed products on a country-by-country and licensed product-by-licensed product basis until expiration of the last to expire valid claim of certain licensed patents covering such licensed product in such country, subject to certain customary reductions, and low-to-mid double digit sublicense fees.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 Amended and Restated Master Services Agreement</w:t>
      </w:r>
    </w:p>
    <w:p>
      <w:pPr>
        <w:spacing w:after="0" w:line="227"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As described under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License and Collaboration Agreements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Factor Amended and Restated Master Services Agreement,</w:t>
      </w:r>
      <w:r>
        <w:rPr>
          <w:rFonts w:ascii="Times New Roman" w:cs="Times New Roman" w:eastAsia="Times New Roman" w:hAnsi="Times New Roman"/>
          <w:sz w:val="18"/>
          <w:szCs w:val="18"/>
          <w:color w:val="auto"/>
        </w:rPr>
        <w:t>” on February 3, 2026 the Restated Factor Services Agreement was assigned to us in connection with the Closing pursuant to the Asset Purchase Agreement. Pursuant to the Restated Factor Services Agreement, Factor will perform services requested by us on a fee-for-services basis and provide us access to Factor’s facilities as mutually agreed upon in one or more written work orders. All deliverables developed as a result of Factor’s performance of the services or as set forth in a work order, other than specified improvements, will be our property and confidential information. Furthermore, Factor granted us a freedom-to-operate license to its background intellectual property solely to the extent necessary or reasonably useful to use, practice or otherwise exploit the deliverables.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and Registration Rights Agreement</w:t>
      </w:r>
    </w:p>
    <w:p>
      <w:pPr>
        <w:spacing w:after="0" w:line="227"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As described under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Private Placement</w:t>
      </w:r>
      <w:r>
        <w:rPr>
          <w:rFonts w:ascii="Times New Roman" w:cs="Times New Roman" w:eastAsia="Times New Roman" w:hAnsi="Times New Roman"/>
          <w:sz w:val="18"/>
          <w:szCs w:val="18"/>
          <w:color w:val="auto"/>
        </w:rPr>
        <w:t>,” on March 20, 2026, we entered into the Purchase Agreement with (a) the Institutional Investors and (b) Factor Bioscience Inc., pursuant to which we agreed to issue and sell in a Private Placement an aggregate of 462,964 Shares of our common stock, and, in lieu of common stock, pre-funded warrants to purchase up to 462,963 shares of our common stock, in each case accompanied by (i) Series A Warrants to purchase up to 925,927 shares of our common stock and (ii) Series B Warrants to purchase up to 925,927 shares of our common stock. Dr. Angel is the majority stockholder and Chairman of the Board of Directors of Factor Biosciences Inc. Pursuant to the Purchase Agreement, we sold an aggregate of 231,482 Shares, 231,482 Series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4" w:name="page145"/>
    <w:bookmarkEnd w:id="144"/>
    <w:p>
      <w:pPr>
        <w:jc w:val="both"/>
        <w:spacing w:after="0" w:line="282" w:lineRule="auto"/>
        <w:rPr>
          <w:sz w:val="20"/>
          <w:szCs w:val="20"/>
          <w:color w:val="auto"/>
        </w:rPr>
      </w:pPr>
      <w:r>
        <w:rPr>
          <w:rFonts w:ascii="Times New Roman" w:cs="Times New Roman" w:eastAsia="Times New Roman" w:hAnsi="Times New Roman"/>
          <w:sz w:val="18"/>
          <w:szCs w:val="18"/>
          <w:color w:val="auto"/>
        </w:rPr>
        <w:t>A Warrants and 231,482 Series B Warrants to Factor in exchange for $462,964, before deducting placement agent fees and other offering expenses payable by us.</w:t>
      </w:r>
    </w:p>
    <w:p>
      <w:pPr>
        <w:spacing w:after="0" w:line="16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connection with the Private Placement, we entered into the Registration Rights Agreement with the Investors, pursuant to which we agreed to file registration statements under the Securities Act with the SEC covering the resale of the Shares to be issued in the Private Placement and the shares of our common stock underlying the Common Warrants and Pre-Funded Warrants no later than 15 calendar days following the date of the Purchase Agreement, and to use reasonable best efforts to have the registration statement declared effective by 45 calendar days following the date of the Purchase Agreement, and in any event no later than 75 calendar days following the date of the Purchase Agreement in the event of a “full review” by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Services Agreement</w:t>
      </w:r>
    </w:p>
    <w:p>
      <w:pPr>
        <w:spacing w:after="0" w:line="229"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On March 24, 2026, we entered into a Professional Services Agreement, effective April 1, 2026, with YQ Advisors Limited (“YQ”) pursuant to which YQ will provide various business development and corporate development activities to us at an hourly rate of (i) $1,250 for services provided by Andrew Fang and (ii) $250 for services provided by other YQ service providers, up to a maximum aggregate amount of $720,000 per year. The agreement has a term of 12 months unless extended by mutual written agreement of the parties. Mr. Fang is the son of Bangxia Yang, the beneficial owner of Lotus, a greater than 5% holder of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ndemnification</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current directors and officers. These agreements provide for the indemnification of such persons for all reasonable expenses and liabilities incurred in connection with any action or proceeding brought against them by reason of the fact that they are or were serving in such capacity. We believe that these indemnification agreements are necessary to attract and retain qualified persons as directors and officers. Furthermore, we have obtained director and officer liability insurance to cover liabilities our directors and officers may incur in connection with their services to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ndependence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xecutive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essions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 required under the Nasdaq Capital Market (“Nasdaq”) listing standards, “independent” directors must comprise a majority of a listed company’s board of directors. In addition, applicable Nasdaq rules require that, subject to specified exceptions, each member of a listed company’s audit committee, compensation committee and nominating and corporate governance committee be independent within the meaning of applicable Nasdaq rules. Audit Committee members must also satisfy the independence criteria set forth in Rule 10A-3 under the Securities Exchange Act of 1934, as amended (the “Exchange Act”).</w:t>
      </w:r>
    </w:p>
    <w:p>
      <w:pPr>
        <w:spacing w:after="0" w:line="183"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Board undertook a review of the independence of each director and considered whether any director has a material relationship with us that could compromise his or her ability to exercise independent judgment in carrying out his or her responsibilities. As a result of this review, our Board determined that all of our directors, other than Mr. Brady, our former Chief Executive Officer and President, qualify as “independent” directors within the meaning of the Nasdaq rules. Accordingly, a majority of our directors are independent, as required under applicable Nasdaq rules. The Board also determined that each member of our Audit, Compensation and Nominating and Corporate Governance Committees satisfies the independence standards for such committees established by the SEC and the Nasdaq listing standards, as applicable.</w:t>
      </w:r>
    </w:p>
    <w:p>
      <w:pPr>
        <w:spacing w:after="0" w:line="18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Our non-employee directors have been meeting, and we anticipate that they will continue to meet, in regularly scheduled executive sessions at which only non-employee directors are present.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the Company for the fiscal years ended December 31, 2025 and 2024 by Ernst &amp; Young, the Company’s independent registered public accountant. All fees described below were pre-approved by the Audit Committee.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5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142"/>
        </w:trPr>
        <w:tc>
          <w:tcPr>
            <w:tcW w:w="34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4"/>
                <w:szCs w:val="24"/>
                <w:color w:val="auto"/>
                <w:vertAlign w:val="superscript"/>
              </w:rPr>
              <w:t>(1)</w:t>
            </w:r>
          </w:p>
        </w:tc>
        <w:tc>
          <w:tcPr>
            <w:tcW w:w="34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460" w:type="dxa"/>
            <w:vAlign w:val="bottom"/>
            <w:vMerge w:val="continue"/>
          </w:tcPr>
          <w:p>
            <w:pPr>
              <w:spacing w:after="0"/>
              <w:rPr>
                <w:sz w:val="16"/>
                <w:szCs w:val="16"/>
                <w:color w:val="auto"/>
              </w:rPr>
            </w:pPr>
          </w:p>
        </w:tc>
        <w:tc>
          <w:tcPr>
            <w:tcW w:w="3420" w:type="dxa"/>
            <w:vAlign w:val="bottom"/>
          </w:tcPr>
          <w:p>
            <w:pPr>
              <w:spacing w:after="0"/>
              <w:rPr>
                <w:sz w:val="16"/>
                <w:szCs w:val="16"/>
                <w:color w:val="auto"/>
              </w:rPr>
            </w:pPr>
          </w:p>
        </w:tc>
        <w:tc>
          <w:tcPr>
            <w:tcW w:w="860" w:type="dxa"/>
            <w:vAlign w:val="bottom"/>
          </w:tcPr>
          <w:p>
            <w:pPr>
              <w:jc w:val="right"/>
              <w:ind w:right="179"/>
              <w:spacing w:after="0" w:line="191"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5"/>
              </w:rPr>
              <w:t>930,000</w:t>
            </w:r>
          </w:p>
        </w:tc>
        <w:tc>
          <w:tcPr>
            <w:tcW w:w="220" w:type="dxa"/>
            <w:vAlign w:val="bottom"/>
          </w:tcPr>
          <w:p>
            <w:pPr>
              <w:spacing w:after="0"/>
              <w:rPr>
                <w:sz w:val="16"/>
                <w:szCs w:val="16"/>
                <w:color w:val="auto"/>
              </w:rPr>
            </w:pPr>
          </w:p>
        </w:tc>
        <w:tc>
          <w:tcPr>
            <w:tcW w:w="280" w:type="dxa"/>
            <w:vAlign w:val="bottom"/>
          </w:tcPr>
          <w:p>
            <w:pPr>
              <w:jc w:val="right"/>
              <w:ind w:right="113"/>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439"/>
              <w:spacing w:after="0" w:line="191" w:lineRule="exact"/>
              <w:rPr>
                <w:sz w:val="20"/>
                <w:szCs w:val="20"/>
                <w:color w:val="auto"/>
              </w:rPr>
            </w:pPr>
            <w:r>
              <w:rPr>
                <w:rFonts w:ascii="Times New Roman" w:cs="Times New Roman" w:eastAsia="Times New Roman" w:hAnsi="Times New Roman"/>
                <w:sz w:val="18"/>
                <w:szCs w:val="18"/>
                <w:color w:val="auto"/>
              </w:rPr>
              <w:t>755,000</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Audit-related Fees</w:t>
            </w:r>
          </w:p>
        </w:tc>
        <w:tc>
          <w:tcPr>
            <w:tcW w:w="3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460" w:type="dxa"/>
            <w:vAlign w:val="bottom"/>
          </w:tcPr>
          <w:p>
            <w:pPr>
              <w:spacing w:after="0"/>
              <w:rPr>
                <w:sz w:val="24"/>
                <w:szCs w:val="24"/>
                <w:color w:val="auto"/>
              </w:rPr>
            </w:pPr>
          </w:p>
        </w:tc>
        <w:tc>
          <w:tcPr>
            <w:tcW w:w="34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142</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46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16"/>
        </w:trPr>
        <w:tc>
          <w:tcPr>
            <w:tcW w:w="6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Tax Fees</w:t>
            </w:r>
          </w:p>
        </w:tc>
        <w:tc>
          <w:tcPr>
            <w:tcW w:w="20" w:type="dxa"/>
            <w:vAlign w:val="bottom"/>
          </w:tcPr>
          <w:p>
            <w:pPr>
              <w:spacing w:after="0"/>
              <w:rPr>
                <w:sz w:val="18"/>
                <w:szCs w:val="18"/>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All Other Fees</w:t>
            </w:r>
          </w:p>
        </w:tc>
        <w:tc>
          <w:tcPr>
            <w:tcW w:w="20" w:type="dxa"/>
            <w:vAlign w:val="bottom"/>
          </w:tcPr>
          <w:p>
            <w:pPr>
              <w:spacing w:after="0"/>
              <w:rPr>
                <w:sz w:val="20"/>
                <w:szCs w:val="20"/>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6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Fees</w:t>
            </w:r>
          </w:p>
        </w:tc>
        <w:tc>
          <w:tcPr>
            <w:tcW w:w="20" w:type="dxa"/>
            <w:vAlign w:val="bottom"/>
            <w:tcBorders>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   930,000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   755,000</w:t>
            </w:r>
          </w:p>
        </w:tc>
      </w:tr>
      <w:tr>
        <w:trPr>
          <w:trHeight w:val="216"/>
        </w:trPr>
        <w:tc>
          <w:tcPr>
            <w:tcW w:w="3740" w:type="dxa"/>
            <w:vAlign w:val="bottom"/>
            <w:tcBorders>
              <w:bottom w:val="single" w:sz="8" w:color="auto"/>
            </w:tcBorders>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bl>
    <w:p>
      <w:pPr>
        <w:spacing w:after="0" w:line="126" w:lineRule="exact"/>
        <w:rPr>
          <w:sz w:val="20"/>
          <w:szCs w:val="20"/>
          <w:color w:val="auto"/>
        </w:rPr>
      </w:pPr>
    </w:p>
    <w:p>
      <w:pPr>
        <w:ind w:left="360" w:hanging="352"/>
        <w:spacing w:after="0"/>
        <w:tabs>
          <w:tab w:leader="none" w:pos="3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relate to the audit of our annual financial statements, review of interim financial statements and assistance with registration statements filed with the SEC.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re</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pproval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olicies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rocedures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 xml:space="preserve">The Audit Committee has adopted a pre-approval policy under which the Audit Committee approves in advance all audit and permissible non-audit services to be performed by the independent accountants (subject to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exception). These services may include audit services, audit-related services, tax services, and other non-audit services. As part of its pre-approval policy, the Audit Committee considers whether the provision of any proposed non-audit services is consistent with the SEC’s rules on auditor independence. In accordance with its pre-approval policy, the Audit Committee has pre-approved certain specified audit and non-audit services to be provided by our independent auditor. If there are any additional services to be provided, a request for pre-approval must be submitted to the Audit Committee for its consideration under the policy. The Audit Committee generally pre-approves particular services or categories of services on a case-by-case basis. Finally, in accordance with the pre-approval policy, the Audit Committee has delegated pre-approval authority to the Chair of the Audit Committee. The Chair must report any pre-approval decisions to the Audit Committee at its next meeting. The Audit Committee has determined that the rendering of services other than audit services by Ernst &amp; Young is compatible with maintaining the principal accountant’s independence.</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filed the following documents as part of this Annual Report: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(a)(1)</w:t>
        <w:tab/>
        <w:t>Financial Statements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financial statements are included in Item 8. “Financial Statements and Supplementary Data.”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(a)(2)</w:t>
        <w:tab/>
        <w:t>Financial Statement Schedules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All schedules are omitted as information required is inapplicable or the information is presented in the financial statements and the related notes.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(a)(3)</w:t>
        <w:tab/>
        <w:t>Exhibits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Filed or</w:t>
            </w:r>
          </w:p>
        </w:tc>
        <w:tc>
          <w:tcPr>
            <w:tcW w:w="0" w:type="dxa"/>
            <w:vAlign w:val="bottom"/>
          </w:tcPr>
          <w:p>
            <w:pPr>
              <w:spacing w:after="0"/>
              <w:rPr>
                <w:sz w:val="1"/>
                <w:szCs w:val="1"/>
                <w:color w:val="auto"/>
              </w:rPr>
            </w:pPr>
          </w:p>
        </w:tc>
      </w:tr>
      <w:tr>
        <w:trPr>
          <w:trHeight w:val="148"/>
        </w:trPr>
        <w:tc>
          <w:tcPr>
            <w:tcW w:w="10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80" w:type="dxa"/>
            <w:vAlign w:val="bottom"/>
            <w:gridSpan w:val="21"/>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95"/>
        </w:trPr>
        <w:tc>
          <w:tcPr>
            <w:tcW w:w="1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21"/>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87"/>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5800" w:type="dxa"/>
            <w:vAlign w:val="bottom"/>
            <w:gridSpan w:val="28"/>
          </w:tcPr>
          <w:p>
            <w:pPr>
              <w:spacing w:after="0"/>
              <w:rPr>
                <w:rFonts w:ascii="Times New Roman" w:cs="Times New Roman" w:eastAsia="Times New Roman" w:hAnsi="Times New Roman"/>
                <w:sz w:val="14"/>
                <w:szCs w:val="14"/>
                <w:color w:val="0000FF"/>
              </w:rPr>
            </w:pPr>
            <w:hyperlink r:id="rId322">
              <w:r>
                <w:rPr>
                  <w:rFonts w:ascii="Times New Roman" w:cs="Times New Roman" w:eastAsia="Times New Roman" w:hAnsi="Times New Roman"/>
                  <w:sz w:val="14"/>
                  <w:szCs w:val="14"/>
                  <w:color w:val="0000FF"/>
                </w:rPr>
                <w:t>Agreement and Plan of Merger, dated as of March 29, 2021, by and among Tempest Therapeutics,</w:t>
              </w:r>
            </w:hyperlink>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3/29/2021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020" w:type="dxa"/>
            <w:vAlign w:val="bottom"/>
            <w:vMerge w:val="continue"/>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3280" w:type="dxa"/>
            <w:vAlign w:val="bottom"/>
            <w:tcBorders>
              <w:top w:val="single" w:sz="8" w:color="0000FF"/>
              <w:bottom w:val="single" w:sz="8" w:color="0000EE"/>
            </w:tcBorders>
            <w:gridSpan w:val="10"/>
          </w:tcPr>
          <w:p>
            <w:pPr>
              <w:spacing w:after="0" w:line="129" w:lineRule="exact"/>
              <w:rPr>
                <w:rFonts w:ascii="Times New Roman" w:cs="Times New Roman" w:eastAsia="Times New Roman" w:hAnsi="Times New Roman"/>
                <w:sz w:val="14"/>
                <w:szCs w:val="14"/>
                <w:color w:val="0000FF"/>
              </w:rPr>
            </w:pPr>
            <w:hyperlink r:id="rId322">
              <w:r>
                <w:rPr>
                  <w:rFonts w:ascii="Times New Roman" w:cs="Times New Roman" w:eastAsia="Times New Roman" w:hAnsi="Times New Roman"/>
                  <w:sz w:val="14"/>
                  <w:szCs w:val="14"/>
                  <w:color w:val="0000FF"/>
                </w:rPr>
                <w:t>Inc., Mars Merger Corp. and Tempest Therapeutics, Inc.</w:t>
              </w:r>
            </w:hyperlink>
          </w:p>
        </w:tc>
        <w:tc>
          <w:tcPr>
            <w:tcW w:w="2420" w:type="dxa"/>
            <w:vAlign w:val="bottom"/>
            <w:tcBorders>
              <w:top w:val="single" w:sz="8" w:color="0000FF"/>
            </w:tcBorders>
            <w:gridSpan w:val="1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5800" w:type="dxa"/>
            <w:vAlign w:val="bottom"/>
            <w:gridSpan w:val="28"/>
          </w:tcPr>
          <w:p>
            <w:pPr>
              <w:spacing w:after="0"/>
              <w:rPr>
                <w:rFonts w:ascii="Times New Roman" w:cs="Times New Roman" w:eastAsia="Times New Roman" w:hAnsi="Times New Roman"/>
                <w:sz w:val="14"/>
                <w:szCs w:val="14"/>
                <w:color w:val="0000FF"/>
              </w:rPr>
            </w:pPr>
            <w:hyperlink r:id="rId323">
              <w:r>
                <w:rPr>
                  <w:rFonts w:ascii="Times New Roman" w:cs="Times New Roman" w:eastAsia="Times New Roman" w:hAnsi="Times New Roman"/>
                  <w:sz w:val="14"/>
                  <w:szCs w:val="14"/>
                  <w:color w:val="0000FF"/>
                </w:rPr>
                <w:t>Restated Certificate of Incorporation of the Registrant, as amended</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5/15/2019</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5800" w:type="dxa"/>
            <w:vAlign w:val="bottom"/>
            <w:gridSpan w:val="28"/>
          </w:tcPr>
          <w:p>
            <w:pPr>
              <w:spacing w:after="0"/>
              <w:rPr>
                <w:rFonts w:ascii="Times New Roman" w:cs="Times New Roman" w:eastAsia="Times New Roman" w:hAnsi="Times New Roman"/>
                <w:sz w:val="14"/>
                <w:szCs w:val="14"/>
                <w:color w:val="0000FF"/>
              </w:rPr>
            </w:pPr>
            <w:hyperlink r:id="rId324">
              <w:r>
                <w:rPr>
                  <w:rFonts w:ascii="Times New Roman" w:cs="Times New Roman" w:eastAsia="Times New Roman" w:hAnsi="Times New Roman"/>
                  <w:sz w:val="14"/>
                  <w:szCs w:val="14"/>
                  <w:color w:val="0000FF"/>
                </w:rPr>
                <w:t>Certificate of Amendment to the Restated Certificate of Incorporation of the Company, as filed</w:t>
              </w:r>
            </w:hyperlink>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6/28/2021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0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5500" w:type="dxa"/>
            <w:vAlign w:val="bottom"/>
            <w:tcBorders>
              <w:top w:val="single" w:sz="8" w:color="0000FF"/>
            </w:tcBorders>
            <w:gridSpan w:val="18"/>
          </w:tcPr>
          <w:p>
            <w:pPr>
              <w:spacing w:after="0" w:line="129" w:lineRule="exact"/>
              <w:rPr>
                <w:rFonts w:ascii="Times New Roman" w:cs="Times New Roman" w:eastAsia="Times New Roman" w:hAnsi="Times New Roman"/>
                <w:sz w:val="14"/>
                <w:szCs w:val="14"/>
                <w:color w:val="0000FF"/>
              </w:rPr>
            </w:pPr>
            <w:hyperlink r:id="rId324">
              <w:r>
                <w:rPr>
                  <w:rFonts w:ascii="Times New Roman" w:cs="Times New Roman" w:eastAsia="Times New Roman" w:hAnsi="Times New Roman"/>
                  <w:sz w:val="14"/>
                  <w:szCs w:val="14"/>
                  <w:color w:val="0000FF"/>
                </w:rPr>
                <w:t>with the Secretary of State of the State of Delaware on June 24, 2021</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5800" w:type="dxa"/>
            <w:vAlign w:val="bottom"/>
            <w:gridSpan w:val="28"/>
          </w:tcPr>
          <w:p>
            <w:pPr>
              <w:spacing w:after="0"/>
              <w:rPr>
                <w:rFonts w:ascii="Times New Roman" w:cs="Times New Roman" w:eastAsia="Times New Roman" w:hAnsi="Times New Roman"/>
                <w:sz w:val="14"/>
                <w:szCs w:val="14"/>
                <w:color w:val="0000FF"/>
              </w:rPr>
            </w:pPr>
            <w:hyperlink r:id="rId325">
              <w:r>
                <w:rPr>
                  <w:rFonts w:ascii="Times New Roman" w:cs="Times New Roman" w:eastAsia="Times New Roman" w:hAnsi="Times New Roman"/>
                  <w:sz w:val="14"/>
                  <w:szCs w:val="14"/>
                  <w:color w:val="0000FF"/>
                </w:rPr>
                <w:t>Certificate of Amendment to the Restated Certificate of Incorporation of the Company, as filed</w:t>
              </w:r>
            </w:hyperlink>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6/28/2021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0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5500" w:type="dxa"/>
            <w:vAlign w:val="bottom"/>
            <w:tcBorders>
              <w:top w:val="single" w:sz="8" w:color="0000FF"/>
            </w:tcBorders>
            <w:gridSpan w:val="18"/>
          </w:tcPr>
          <w:p>
            <w:pPr>
              <w:spacing w:after="0" w:line="129" w:lineRule="exact"/>
              <w:rPr>
                <w:rFonts w:ascii="Times New Roman" w:cs="Times New Roman" w:eastAsia="Times New Roman" w:hAnsi="Times New Roman"/>
                <w:sz w:val="14"/>
                <w:szCs w:val="14"/>
                <w:color w:val="0000FF"/>
              </w:rPr>
            </w:pPr>
            <w:hyperlink r:id="rId325">
              <w:r>
                <w:rPr>
                  <w:rFonts w:ascii="Times New Roman" w:cs="Times New Roman" w:eastAsia="Times New Roman" w:hAnsi="Times New Roman"/>
                  <w:sz w:val="14"/>
                  <w:szCs w:val="14"/>
                  <w:color w:val="0000FF"/>
                </w:rPr>
                <w:t>with the Secretary of State of the State of Delaware on June 25, 2021</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5800" w:type="dxa"/>
            <w:vAlign w:val="bottom"/>
            <w:gridSpan w:val="28"/>
          </w:tcPr>
          <w:p>
            <w:pPr>
              <w:spacing w:after="0"/>
              <w:rPr>
                <w:rFonts w:ascii="Times New Roman" w:cs="Times New Roman" w:eastAsia="Times New Roman" w:hAnsi="Times New Roman"/>
                <w:sz w:val="14"/>
                <w:szCs w:val="14"/>
                <w:color w:val="0000FF"/>
              </w:rPr>
            </w:pPr>
            <w:hyperlink r:id="rId326">
              <w:r>
                <w:rPr>
                  <w:rFonts w:ascii="Times New Roman" w:cs="Times New Roman" w:eastAsia="Times New Roman" w:hAnsi="Times New Roman"/>
                  <w:sz w:val="14"/>
                  <w:szCs w:val="14"/>
                  <w:color w:val="0000FF"/>
                </w:rPr>
                <w:t>Certificate of Designation of Series A Junior Participating Preferred Stock filed with the Secretary</w:t>
              </w:r>
            </w:hyperlink>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10/11/2023</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10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5680" w:type="dxa"/>
            <w:vAlign w:val="bottom"/>
            <w:tcBorders>
              <w:top w:val="single" w:sz="8" w:color="0000FF"/>
            </w:tcBorders>
            <w:gridSpan w:val="23"/>
          </w:tcPr>
          <w:p>
            <w:pPr>
              <w:spacing w:after="0" w:line="129" w:lineRule="exact"/>
              <w:rPr>
                <w:rFonts w:ascii="Times New Roman" w:cs="Times New Roman" w:eastAsia="Times New Roman" w:hAnsi="Times New Roman"/>
                <w:sz w:val="14"/>
                <w:szCs w:val="14"/>
                <w:color w:val="0000FF"/>
              </w:rPr>
            </w:pPr>
            <w:hyperlink r:id="rId326">
              <w:r>
                <w:rPr>
                  <w:rFonts w:ascii="Times New Roman" w:cs="Times New Roman" w:eastAsia="Times New Roman" w:hAnsi="Times New Roman"/>
                  <w:sz w:val="14"/>
                  <w:szCs w:val="14"/>
                  <w:color w:val="0000FF"/>
                </w:rPr>
                <w:t>of State of the State of Delaware on October 10, 2023</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5800" w:type="dxa"/>
            <w:vAlign w:val="bottom"/>
            <w:gridSpan w:val="28"/>
          </w:tcPr>
          <w:p>
            <w:pPr>
              <w:spacing w:after="0" w:line="155" w:lineRule="exact"/>
              <w:rPr>
                <w:rFonts w:ascii="Times New Roman" w:cs="Times New Roman" w:eastAsia="Times New Roman" w:hAnsi="Times New Roman"/>
                <w:sz w:val="14"/>
                <w:szCs w:val="14"/>
                <w:color w:val="0000FF"/>
              </w:rPr>
            </w:pPr>
            <w:hyperlink r:id="rId327">
              <w:r>
                <w:rPr>
                  <w:rFonts w:ascii="Times New Roman" w:cs="Times New Roman" w:eastAsia="Times New Roman" w:hAnsi="Times New Roman"/>
                  <w:sz w:val="14"/>
                  <w:szCs w:val="14"/>
                  <w:color w:val="0000FF"/>
                </w:rPr>
                <w:t>Certificate of Amendment to the Restated Certificate of Incorporation of the Company, as filed</w:t>
              </w:r>
            </w:hyperlink>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4/7/2025</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020" w:type="dxa"/>
            <w:vAlign w:val="bottom"/>
            <w:vMerge w:val="continue"/>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3980" w:type="dxa"/>
            <w:vAlign w:val="bottom"/>
            <w:tcBorders>
              <w:top w:val="single" w:sz="8" w:color="0000FF"/>
              <w:bottom w:val="single" w:sz="8" w:color="0000FF"/>
            </w:tcBorders>
            <w:gridSpan w:val="14"/>
          </w:tcPr>
          <w:p>
            <w:pPr>
              <w:spacing w:after="0" w:line="129" w:lineRule="exact"/>
              <w:rPr>
                <w:rFonts w:ascii="Times New Roman" w:cs="Times New Roman" w:eastAsia="Times New Roman" w:hAnsi="Times New Roman"/>
                <w:sz w:val="14"/>
                <w:szCs w:val="14"/>
                <w:color w:val="0000FF"/>
              </w:rPr>
            </w:pPr>
            <w:hyperlink r:id="rId327">
              <w:r>
                <w:rPr>
                  <w:rFonts w:ascii="Times New Roman" w:cs="Times New Roman" w:eastAsia="Times New Roman" w:hAnsi="Times New Roman"/>
                  <w:sz w:val="14"/>
                  <w:szCs w:val="14"/>
                  <w:color w:val="0000FF"/>
                </w:rPr>
                <w:t>with the Secretary of State of the State of Delaware on April 4, 2025.</w:t>
              </w:r>
            </w:hyperlink>
          </w:p>
        </w:tc>
        <w:tc>
          <w:tcPr>
            <w:tcW w:w="1520" w:type="dxa"/>
            <w:vAlign w:val="bottom"/>
            <w:tcBorders>
              <w:top w:val="single" w:sz="8" w:color="0000FF"/>
            </w:tcBorders>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3.6</w:t>
            </w:r>
          </w:p>
        </w:tc>
        <w:tc>
          <w:tcPr>
            <w:tcW w:w="5800" w:type="dxa"/>
            <w:vAlign w:val="bottom"/>
            <w:gridSpan w:val="28"/>
          </w:tcPr>
          <w:p>
            <w:pPr>
              <w:spacing w:after="0"/>
              <w:rPr>
                <w:rFonts w:ascii="Times New Roman" w:cs="Times New Roman" w:eastAsia="Times New Roman" w:hAnsi="Times New Roman"/>
                <w:sz w:val="14"/>
                <w:szCs w:val="14"/>
                <w:color w:val="0000FF"/>
              </w:rPr>
            </w:pPr>
            <w:hyperlink r:id="rId328">
              <w:r>
                <w:rPr>
                  <w:rFonts w:ascii="Times New Roman" w:cs="Times New Roman" w:eastAsia="Times New Roman" w:hAnsi="Times New Roman"/>
                  <w:sz w:val="14"/>
                  <w:szCs w:val="14"/>
                  <w:color w:val="0000FF"/>
                </w:rPr>
                <w:t>Amended and Restated Bylaws of the Registrant</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9/24/2021</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580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Description of Securities Registered Pursuant to Section 12 of the Securities Exchange Act of 1934</w:t>
            </w: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5800" w:type="dxa"/>
            <w:vAlign w:val="bottom"/>
            <w:gridSpan w:val="28"/>
          </w:tcPr>
          <w:p>
            <w:pPr>
              <w:spacing w:after="0"/>
              <w:rPr>
                <w:rFonts w:ascii="Times New Roman" w:cs="Times New Roman" w:eastAsia="Times New Roman" w:hAnsi="Times New Roman"/>
                <w:sz w:val="14"/>
                <w:szCs w:val="14"/>
                <w:color w:val="0000FF"/>
              </w:rPr>
            </w:pPr>
            <w:hyperlink r:id="rId329">
              <w:r>
                <w:rPr>
                  <w:rFonts w:ascii="Times New Roman" w:cs="Times New Roman" w:eastAsia="Times New Roman" w:hAnsi="Times New Roman"/>
                  <w:sz w:val="14"/>
                  <w:szCs w:val="14"/>
                  <w:color w:val="0000FF"/>
                </w:rPr>
                <w:t>Form of Tempest Therapeutics, Inc. Warrant to Purchase Stock</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3/19/2024</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spacing w:after="0"/>
              <w:rPr>
                <w:sz w:val="19"/>
                <w:szCs w:val="19"/>
                <w:color w:val="auto"/>
              </w:rPr>
            </w:pPr>
          </w:p>
        </w:tc>
        <w:tc>
          <w:tcPr>
            <w:tcW w:w="5800" w:type="dxa"/>
            <w:vAlign w:val="bottom"/>
            <w:gridSpan w:val="28"/>
          </w:tcPr>
          <w:p>
            <w:pPr>
              <w:spacing w:after="0"/>
              <w:rPr>
                <w:rFonts w:ascii="Times New Roman" w:cs="Times New Roman" w:eastAsia="Times New Roman" w:hAnsi="Times New Roman"/>
                <w:sz w:val="14"/>
                <w:szCs w:val="14"/>
                <w:color w:val="0000FF"/>
              </w:rPr>
            </w:pPr>
            <w:hyperlink r:id="rId330">
              <w:r>
                <w:rPr>
                  <w:rFonts w:ascii="Times New Roman" w:cs="Times New Roman" w:eastAsia="Times New Roman" w:hAnsi="Times New Roman"/>
                  <w:sz w:val="14"/>
                  <w:szCs w:val="14"/>
                  <w:color w:val="0000FF"/>
                </w:rPr>
                <w:t>Rights Agreement, dated as of October 10, 2023, between Tempest Therapeutics, Inc. and</w:t>
              </w:r>
            </w:hyperlink>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0" w:type="dxa"/>
            <w:vAlign w:val="bottom"/>
            <w:tcBorders>
              <w:top w:val="single" w:sz="8" w:color="0000FF"/>
            </w:tcBorders>
            <w:gridSpan w:val="15"/>
          </w:tcPr>
          <w:p>
            <w:pPr>
              <w:spacing w:after="0" w:line="129" w:lineRule="exact"/>
              <w:rPr>
                <w:rFonts w:ascii="Times New Roman" w:cs="Times New Roman" w:eastAsia="Times New Roman" w:hAnsi="Times New Roman"/>
                <w:sz w:val="14"/>
                <w:szCs w:val="14"/>
                <w:color w:val="0000FF"/>
              </w:rPr>
            </w:pPr>
            <w:hyperlink r:id="rId330">
              <w:r>
                <w:rPr>
                  <w:rFonts w:ascii="Times New Roman" w:cs="Times New Roman" w:eastAsia="Times New Roman" w:hAnsi="Times New Roman"/>
                  <w:sz w:val="14"/>
                  <w:szCs w:val="14"/>
                  <w:color w:val="0000FF"/>
                </w:rPr>
                <w:t>Computershare Trust Company, N.A., which includes the form of Certificate of Designation</w:t>
              </w:r>
            </w:hyperlink>
          </w:p>
        </w:tc>
        <w:tc>
          <w:tcPr>
            <w:tcW w:w="580" w:type="dxa"/>
            <w:vAlign w:val="bottom"/>
            <w:gridSpan w:val="12"/>
          </w:tcPr>
          <w:p>
            <w:pPr>
              <w:ind w:left="140"/>
              <w:spacing w:after="0" w:line="129" w:lineRule="exact"/>
              <w:rPr>
                <w:rFonts w:ascii="Times New Roman" w:cs="Times New Roman" w:eastAsia="Times New Roman" w:hAnsi="Times New Roman"/>
                <w:sz w:val="14"/>
                <w:szCs w:val="14"/>
                <w:color w:val="0000FF"/>
              </w:rPr>
            </w:pPr>
            <w:hyperlink r:id="rId330">
              <w:r>
                <w:rPr>
                  <w:rFonts w:ascii="Times New Roman" w:cs="Times New Roman" w:eastAsia="Times New Roman" w:hAnsi="Times New Roman"/>
                  <w:sz w:val="14"/>
                  <w:szCs w:val="14"/>
                  <w:color w:val="0000FF"/>
                </w:rPr>
                <w:t>as</w:t>
              </w:r>
            </w:hyperlink>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20" w:type="dxa"/>
            <w:vAlign w:val="bottom"/>
          </w:tcPr>
          <w:p>
            <w:pPr>
              <w:spacing w:after="0"/>
              <w:rPr>
                <w:sz w:val="11"/>
                <w:szCs w:val="11"/>
                <w:color w:val="auto"/>
              </w:rPr>
            </w:pPr>
          </w:p>
        </w:tc>
        <w:tc>
          <w:tcPr>
            <w:tcW w:w="5520" w:type="dxa"/>
            <w:vAlign w:val="bottom"/>
            <w:tcBorders>
              <w:top w:val="single" w:sz="8" w:color="0000FF"/>
            </w:tcBorders>
            <w:gridSpan w:val="19"/>
          </w:tcPr>
          <w:p>
            <w:pPr>
              <w:spacing w:after="0" w:line="129" w:lineRule="exact"/>
              <w:rPr>
                <w:rFonts w:ascii="Times New Roman" w:cs="Times New Roman" w:eastAsia="Times New Roman" w:hAnsi="Times New Roman"/>
                <w:sz w:val="14"/>
                <w:szCs w:val="14"/>
                <w:color w:val="0000FF"/>
              </w:rPr>
            </w:pPr>
            <w:hyperlink r:id="rId330">
              <w:r>
                <w:rPr>
                  <w:rFonts w:ascii="Times New Roman" w:cs="Times New Roman" w:eastAsia="Times New Roman" w:hAnsi="Times New Roman"/>
                  <w:sz w:val="14"/>
                  <w:szCs w:val="14"/>
                  <w:color w:val="0000FF"/>
                </w:rPr>
                <w:t>Exhibit A, the form of Right Certificate as Exhibit B and the Summary of Rights to Purchase</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10/11/2023</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5380" w:type="dxa"/>
            <w:vAlign w:val="bottom"/>
            <w:tcBorders>
              <w:top w:val="single" w:sz="8" w:color="0000FF"/>
            </w:tcBorders>
            <w:gridSpan w:val="16"/>
          </w:tcPr>
          <w:p>
            <w:pPr>
              <w:spacing w:after="0" w:line="129" w:lineRule="exact"/>
              <w:rPr>
                <w:rFonts w:ascii="Times New Roman" w:cs="Times New Roman" w:eastAsia="Times New Roman" w:hAnsi="Times New Roman"/>
                <w:sz w:val="14"/>
                <w:szCs w:val="14"/>
                <w:color w:val="0000FF"/>
              </w:rPr>
            </w:pPr>
            <w:hyperlink r:id="rId330">
              <w:r>
                <w:rPr>
                  <w:rFonts w:ascii="Times New Roman" w:cs="Times New Roman" w:eastAsia="Times New Roman" w:hAnsi="Times New Roman"/>
                  <w:sz w:val="14"/>
                  <w:szCs w:val="14"/>
                  <w:color w:val="0000FF"/>
                </w:rPr>
                <w:t>Preferred Shares as Exhibit C</w:t>
              </w:r>
            </w:hyperlink>
          </w:p>
        </w:tc>
        <w:tc>
          <w:tcPr>
            <w:tcW w:w="60" w:type="dxa"/>
            <w:vAlign w:val="bottom"/>
          </w:tcPr>
          <w:p>
            <w:pPr>
              <w:spacing w:after="0"/>
              <w:rPr>
                <w:sz w:val="11"/>
                <w:szCs w:val="11"/>
                <w:color w:val="auto"/>
              </w:rPr>
            </w:pPr>
          </w:p>
        </w:tc>
        <w:tc>
          <w:tcPr>
            <w:tcW w:w="10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spacing w:after="0"/>
              <w:rPr>
                <w:sz w:val="19"/>
                <w:szCs w:val="19"/>
                <w:color w:val="auto"/>
              </w:rPr>
            </w:pPr>
          </w:p>
        </w:tc>
        <w:tc>
          <w:tcPr>
            <w:tcW w:w="5800" w:type="dxa"/>
            <w:vAlign w:val="bottom"/>
            <w:gridSpan w:val="28"/>
          </w:tcPr>
          <w:p>
            <w:pPr>
              <w:spacing w:after="0"/>
              <w:rPr>
                <w:rFonts w:ascii="Times New Roman" w:cs="Times New Roman" w:eastAsia="Times New Roman" w:hAnsi="Times New Roman"/>
                <w:sz w:val="14"/>
                <w:szCs w:val="14"/>
                <w:color w:val="0000FF"/>
              </w:rPr>
            </w:pPr>
            <w:hyperlink r:id="rId331">
              <w:r>
                <w:rPr>
                  <w:rFonts w:ascii="Times New Roman" w:cs="Times New Roman" w:eastAsia="Times New Roman" w:hAnsi="Times New Roman"/>
                  <w:sz w:val="14"/>
                  <w:szCs w:val="14"/>
                  <w:color w:val="0000FF"/>
                </w:rPr>
                <w:t>Amendment No. 1, dated as of October 9, 2024, to Rights Agreement, dated as of October 10,</w:t>
              </w:r>
            </w:hyperlink>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gridSpan w:val="4"/>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920" w:type="dxa"/>
            <w:vAlign w:val="bottom"/>
            <w:gridSpan w:val="6"/>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vMerge w:val="continue"/>
          </w:tcPr>
          <w:p>
            <w:pPr>
              <w:spacing w:after="0"/>
              <w:rPr>
                <w:sz w:val="11"/>
                <w:szCs w:val="11"/>
                <w:color w:val="auto"/>
              </w:rPr>
            </w:pPr>
          </w:p>
        </w:tc>
        <w:tc>
          <w:tcPr>
            <w:tcW w:w="5780" w:type="dxa"/>
            <w:vAlign w:val="bottom"/>
            <w:gridSpan w:val="27"/>
          </w:tcPr>
          <w:p>
            <w:pPr>
              <w:spacing w:after="0" w:line="129" w:lineRule="exact"/>
              <w:rPr>
                <w:rFonts w:ascii="Times New Roman" w:cs="Times New Roman" w:eastAsia="Times New Roman" w:hAnsi="Times New Roman"/>
                <w:sz w:val="14"/>
                <w:szCs w:val="14"/>
                <w:color w:val="0000FF"/>
              </w:rPr>
            </w:pPr>
            <w:hyperlink r:id="rId331">
              <w:r>
                <w:rPr>
                  <w:rFonts w:ascii="Times New Roman" w:cs="Times New Roman" w:eastAsia="Times New Roman" w:hAnsi="Times New Roman"/>
                  <w:sz w:val="14"/>
                  <w:szCs w:val="14"/>
                  <w:color w:val="0000FF"/>
                </w:rPr>
                <w:t>2023, by and between Tempest Therapeutics, Inc. and Computershare Trust Company, N.A., as</w:t>
              </w:r>
            </w:hyperlink>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10/10/2024</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5540" w:type="dxa"/>
            <w:vAlign w:val="bottom"/>
            <w:tcBorders>
              <w:top w:val="single" w:sz="8" w:color="0000FF"/>
            </w:tcBorders>
            <w:gridSpan w:val="20"/>
          </w:tcPr>
          <w:p>
            <w:pPr>
              <w:spacing w:after="0" w:line="129" w:lineRule="exact"/>
              <w:rPr>
                <w:rFonts w:ascii="Times New Roman" w:cs="Times New Roman" w:eastAsia="Times New Roman" w:hAnsi="Times New Roman"/>
                <w:sz w:val="14"/>
                <w:szCs w:val="14"/>
                <w:color w:val="0000FF"/>
              </w:rPr>
            </w:pPr>
            <w:hyperlink r:id="rId331">
              <w:r>
                <w:rPr>
                  <w:rFonts w:ascii="Times New Roman" w:cs="Times New Roman" w:eastAsia="Times New Roman" w:hAnsi="Times New Roman"/>
                  <w:sz w:val="14"/>
                  <w:szCs w:val="14"/>
                  <w:color w:val="0000FF"/>
                </w:rPr>
                <w:t>rights agent</w:t>
              </w:r>
            </w:hyperlink>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4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spacing w:after="0"/>
              <w:rPr>
                <w:sz w:val="19"/>
                <w:szCs w:val="19"/>
                <w:color w:val="auto"/>
              </w:rPr>
            </w:pPr>
          </w:p>
        </w:tc>
        <w:tc>
          <w:tcPr>
            <w:tcW w:w="5800" w:type="dxa"/>
            <w:vAlign w:val="bottom"/>
            <w:gridSpan w:val="28"/>
          </w:tcPr>
          <w:p>
            <w:pPr>
              <w:spacing w:after="0"/>
              <w:rPr>
                <w:rFonts w:ascii="Times New Roman" w:cs="Times New Roman" w:eastAsia="Times New Roman" w:hAnsi="Times New Roman"/>
                <w:sz w:val="14"/>
                <w:szCs w:val="14"/>
                <w:color w:val="0000FF"/>
              </w:rPr>
            </w:pPr>
            <w:hyperlink r:id="rId332">
              <w:r>
                <w:rPr>
                  <w:rFonts w:ascii="Times New Roman" w:cs="Times New Roman" w:eastAsia="Times New Roman" w:hAnsi="Times New Roman"/>
                  <w:sz w:val="14"/>
                  <w:szCs w:val="14"/>
                  <w:color w:val="0000FF"/>
                </w:rPr>
                <w:t>Amendment No. 2, dated as of December 5, 2024, to Rights Agreement, dated as of October 10,</w:t>
              </w:r>
            </w:hyperlink>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gridSpan w:val="4"/>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040" w:type="dxa"/>
            <w:vAlign w:val="bottom"/>
            <w:gridSpan w:val="10"/>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vMerge w:val="continue"/>
          </w:tcPr>
          <w:p>
            <w:pPr>
              <w:spacing w:after="0"/>
              <w:rPr>
                <w:sz w:val="11"/>
                <w:szCs w:val="11"/>
                <w:color w:val="auto"/>
              </w:rPr>
            </w:pPr>
          </w:p>
        </w:tc>
        <w:tc>
          <w:tcPr>
            <w:tcW w:w="5780" w:type="dxa"/>
            <w:vAlign w:val="bottom"/>
            <w:gridSpan w:val="27"/>
          </w:tcPr>
          <w:p>
            <w:pPr>
              <w:spacing w:after="0" w:line="129" w:lineRule="exact"/>
              <w:rPr>
                <w:rFonts w:ascii="Times New Roman" w:cs="Times New Roman" w:eastAsia="Times New Roman" w:hAnsi="Times New Roman"/>
                <w:sz w:val="14"/>
                <w:szCs w:val="14"/>
                <w:color w:val="0000FF"/>
              </w:rPr>
            </w:pPr>
            <w:hyperlink r:id="rId332">
              <w:r>
                <w:rPr>
                  <w:rFonts w:ascii="Times New Roman" w:cs="Times New Roman" w:eastAsia="Times New Roman" w:hAnsi="Times New Roman"/>
                  <w:sz w:val="14"/>
                  <w:szCs w:val="14"/>
                  <w:color w:val="0000FF"/>
                </w:rPr>
                <w:t>2023, as amended, by and between Tempest Therapeutics, Inc. and Computershare Trust Company,</w:t>
              </w:r>
            </w:hyperlink>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12/06/2024</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5740" w:type="dxa"/>
            <w:vAlign w:val="bottom"/>
            <w:tcBorders>
              <w:top w:val="single" w:sz="8" w:color="0000FF"/>
            </w:tcBorders>
            <w:gridSpan w:val="26"/>
          </w:tcPr>
          <w:p>
            <w:pPr>
              <w:spacing w:after="0" w:line="129" w:lineRule="exact"/>
              <w:rPr>
                <w:rFonts w:ascii="Times New Roman" w:cs="Times New Roman" w:eastAsia="Times New Roman" w:hAnsi="Times New Roman"/>
                <w:sz w:val="14"/>
                <w:szCs w:val="14"/>
                <w:color w:val="0000FF"/>
              </w:rPr>
            </w:pPr>
            <w:hyperlink r:id="rId332">
              <w:r>
                <w:rPr>
                  <w:rFonts w:ascii="Times New Roman" w:cs="Times New Roman" w:eastAsia="Times New Roman" w:hAnsi="Times New Roman"/>
                  <w:sz w:val="14"/>
                  <w:szCs w:val="14"/>
                  <w:color w:val="0000FF"/>
                </w:rPr>
                <w:t>N.A., as rights agent.</w:t>
              </w:r>
            </w:hyperlink>
          </w:p>
        </w:tc>
        <w:tc>
          <w:tcPr>
            <w:tcW w:w="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140" w:type="dxa"/>
            <w:vAlign w:val="bottom"/>
            <w:gridSpan w:val="11"/>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11/26/2025</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vMerge w:val="continue"/>
          </w:tcPr>
          <w:p>
            <w:pPr>
              <w:spacing w:after="0"/>
              <w:rPr>
                <w:sz w:val="21"/>
                <w:szCs w:val="21"/>
                <w:color w:val="auto"/>
              </w:rPr>
            </w:pPr>
          </w:p>
        </w:tc>
        <w:tc>
          <w:tcPr>
            <w:tcW w:w="5800" w:type="dxa"/>
            <w:vAlign w:val="bottom"/>
            <w:gridSpan w:val="28"/>
          </w:tcPr>
          <w:p>
            <w:pPr>
              <w:spacing w:after="0"/>
              <w:rPr>
                <w:rFonts w:ascii="Times New Roman" w:cs="Times New Roman" w:eastAsia="Times New Roman" w:hAnsi="Times New Roman"/>
                <w:sz w:val="14"/>
                <w:szCs w:val="14"/>
                <w:color w:val="0000FF"/>
              </w:rPr>
            </w:pPr>
            <w:hyperlink r:id="rId333">
              <w:r>
                <w:rPr>
                  <w:rFonts w:ascii="Times New Roman" w:cs="Times New Roman" w:eastAsia="Times New Roman" w:hAnsi="Times New Roman"/>
                  <w:sz w:val="14"/>
                  <w:szCs w:val="14"/>
                  <w:color w:val="0000FF"/>
                </w:rPr>
                <w:t>Form of Tempest Therapeutics, Inc. Prefunded Warrant</w:t>
              </w:r>
            </w:hyperlink>
          </w:p>
        </w:tc>
        <w:tc>
          <w:tcPr>
            <w:tcW w:w="66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1640" w:type="dxa"/>
            <w:vAlign w:val="bottom"/>
            <w:tcBorders>
              <w:right w:val="single" w:sz="8" w:color="0000EE"/>
            </w:tcBorders>
            <w:gridSpan w:val="4"/>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140" w:type="dxa"/>
            <w:vAlign w:val="bottom"/>
            <w:gridSpan w:val="11"/>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11/26/2025</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vMerge w:val="continue"/>
          </w:tcPr>
          <w:p>
            <w:pPr>
              <w:spacing w:after="0"/>
              <w:rPr>
                <w:sz w:val="19"/>
                <w:szCs w:val="19"/>
                <w:color w:val="auto"/>
              </w:rPr>
            </w:pPr>
          </w:p>
        </w:tc>
        <w:tc>
          <w:tcPr>
            <w:tcW w:w="5800" w:type="dxa"/>
            <w:vAlign w:val="bottom"/>
            <w:gridSpan w:val="28"/>
          </w:tcPr>
          <w:p>
            <w:pPr>
              <w:spacing w:after="0"/>
              <w:rPr>
                <w:rFonts w:ascii="Times New Roman" w:cs="Times New Roman" w:eastAsia="Times New Roman" w:hAnsi="Times New Roman"/>
                <w:sz w:val="14"/>
                <w:szCs w:val="14"/>
                <w:color w:val="0000FF"/>
              </w:rPr>
            </w:pPr>
            <w:hyperlink r:id="rId334">
              <w:r>
                <w:rPr>
                  <w:rFonts w:ascii="Times New Roman" w:cs="Times New Roman" w:eastAsia="Times New Roman" w:hAnsi="Times New Roman"/>
                  <w:sz w:val="14"/>
                  <w:szCs w:val="14"/>
                  <w:color w:val="0000FF"/>
                </w:rPr>
                <w:t>Form of Tempest Therapeutics, Inc. Common Stock Warrant</w:t>
              </w:r>
            </w:hyperlink>
          </w:p>
        </w:tc>
        <w:tc>
          <w:tcPr>
            <w:tcW w:w="66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1940" w:type="dxa"/>
            <w:vAlign w:val="bottom"/>
            <w:tcBorders>
              <w:right w:val="single" w:sz="8" w:color="0000EE"/>
            </w:tcBorders>
            <w:gridSpan w:val="6"/>
            <w:shd w:val="clear" w:color="auto" w:fill="0000FF"/>
          </w:tcPr>
          <w:p>
            <w:pPr>
              <w:spacing w:after="0" w:line="20" w:lineRule="exact"/>
              <w:rPr>
                <w:sz w:val="1"/>
                <w:szCs w:val="1"/>
                <w:color w:val="auto"/>
              </w:rPr>
            </w:pPr>
          </w:p>
        </w:tc>
        <w:tc>
          <w:tcPr>
            <w:tcW w:w="2140" w:type="dxa"/>
            <w:vAlign w:val="bottom"/>
            <w:gridSpan w:val="11"/>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20" w:type="dxa"/>
            <w:vAlign w:val="bottom"/>
          </w:tcPr>
          <w:p>
            <w:pPr>
              <w:spacing w:after="0"/>
              <w:rPr>
                <w:sz w:val="11"/>
                <w:szCs w:val="11"/>
                <w:color w:val="auto"/>
              </w:rPr>
            </w:pPr>
          </w:p>
        </w:tc>
        <w:tc>
          <w:tcPr>
            <w:tcW w:w="5800" w:type="dxa"/>
            <w:vAlign w:val="bottom"/>
            <w:gridSpan w:val="28"/>
          </w:tcPr>
          <w:p>
            <w:pPr>
              <w:spacing w:after="0" w:line="129" w:lineRule="exact"/>
              <w:rPr>
                <w:rFonts w:ascii="Times New Roman" w:cs="Times New Roman" w:eastAsia="Times New Roman" w:hAnsi="Times New Roman"/>
                <w:sz w:val="14"/>
                <w:szCs w:val="14"/>
                <w:color w:val="0000FF"/>
              </w:rPr>
            </w:pPr>
            <w:hyperlink r:id="rId335">
              <w:r>
                <w:rPr>
                  <w:rFonts w:ascii="Times New Roman" w:cs="Times New Roman" w:eastAsia="Times New Roman" w:hAnsi="Times New Roman"/>
                  <w:sz w:val="14"/>
                  <w:szCs w:val="14"/>
                  <w:color w:val="0000FF"/>
                </w:rPr>
                <w:t>Warrant Agreement (including Form of Warrant), dated February 3, 2026, between the Company,</w:t>
              </w:r>
            </w:hyperlink>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tcPr>
          <w:p>
            <w:pPr>
              <w:spacing w:after="0"/>
              <w:rPr>
                <w:sz w:val="11"/>
                <w:szCs w:val="11"/>
                <w:color w:val="auto"/>
              </w:rPr>
            </w:pPr>
          </w:p>
        </w:tc>
        <w:tc>
          <w:tcPr>
            <w:tcW w:w="5660" w:type="dxa"/>
            <w:vAlign w:val="bottom"/>
            <w:tcBorders>
              <w:top w:val="single" w:sz="8" w:color="0000FF"/>
            </w:tcBorders>
            <w:gridSpan w:val="22"/>
          </w:tcPr>
          <w:p>
            <w:pPr>
              <w:spacing w:after="0" w:line="129" w:lineRule="exact"/>
              <w:rPr>
                <w:rFonts w:ascii="Times New Roman" w:cs="Times New Roman" w:eastAsia="Times New Roman" w:hAnsi="Times New Roman"/>
                <w:sz w:val="14"/>
                <w:szCs w:val="14"/>
                <w:color w:val="0000FF"/>
              </w:rPr>
            </w:pPr>
            <w:hyperlink r:id="rId335">
              <w:r>
                <w:rPr>
                  <w:rFonts w:ascii="Times New Roman" w:cs="Times New Roman" w:eastAsia="Times New Roman" w:hAnsi="Times New Roman"/>
                  <w:sz w:val="14"/>
                  <w:szCs w:val="14"/>
                  <w:color w:val="0000FF"/>
                </w:rPr>
                <w:t>Computershare Inc., a Delaware corporation, and Computershare Trust Company, N.A., as Warrant</w:t>
              </w:r>
            </w:hyperlink>
          </w:p>
        </w:tc>
        <w:tc>
          <w:tcPr>
            <w:tcW w:w="120" w:type="dxa"/>
            <w:vAlign w:val="bottom"/>
            <w:gridSpan w:val="5"/>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2/6/2026</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20" w:type="dxa"/>
            <w:vAlign w:val="bottom"/>
            <w:vMerge w:val="continue"/>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34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w w:val="93"/>
              </w:rPr>
            </w:pPr>
            <w:hyperlink r:id="rId335">
              <w:r>
                <w:rPr>
                  <w:rFonts w:ascii="Times New Roman" w:cs="Times New Roman" w:eastAsia="Times New Roman" w:hAnsi="Times New Roman"/>
                  <w:sz w:val="14"/>
                  <w:szCs w:val="14"/>
                  <w:color w:val="0000FF"/>
                  <w:w w:val="93"/>
                </w:rPr>
                <w:t>Agent</w:t>
              </w:r>
            </w:hyperlink>
          </w:p>
        </w:tc>
        <w:tc>
          <w:tcPr>
            <w:tcW w:w="20" w:type="dxa"/>
            <w:vAlign w:val="bottom"/>
            <w:tcBorders>
              <w:top w:val="single" w:sz="8" w:color="0000FF"/>
              <w:bottom w:val="single" w:sz="8" w:color="0000EE"/>
            </w:tcBorders>
          </w:tcPr>
          <w:p>
            <w:pPr>
              <w:spacing w:after="0"/>
              <w:rPr>
                <w:sz w:val="11"/>
                <w:szCs w:val="11"/>
                <w:color w:val="auto"/>
              </w:rPr>
            </w:pPr>
          </w:p>
        </w:tc>
        <w:tc>
          <w:tcPr>
            <w:tcW w:w="5380" w:type="dxa"/>
            <w:vAlign w:val="bottom"/>
            <w:tcBorders>
              <w:top w:val="single" w:sz="8" w:color="0000FF"/>
            </w:tcBorders>
            <w:gridSpan w:val="24"/>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4"/>
                <w:szCs w:val="14"/>
                <w:color w:val="auto"/>
                <w:w w:val="94"/>
              </w:rPr>
              <w:t>10.1</w:t>
            </w:r>
            <w:r>
              <w:rPr>
                <w:rFonts w:ascii="Times New Roman" w:cs="Times New Roman" w:eastAsia="Times New Roman" w:hAnsi="Times New Roman"/>
                <w:sz w:val="19"/>
                <w:szCs w:val="19"/>
                <w:color w:val="auto"/>
                <w:w w:val="94"/>
                <w:vertAlign w:val="superscript"/>
              </w:rPr>
              <w:t>+</w:t>
            </w:r>
          </w:p>
        </w:tc>
        <w:tc>
          <w:tcPr>
            <w:tcW w:w="5800" w:type="dxa"/>
            <w:vAlign w:val="bottom"/>
            <w:gridSpan w:val="28"/>
          </w:tcPr>
          <w:p>
            <w:pPr>
              <w:spacing w:after="0"/>
              <w:rPr>
                <w:rFonts w:ascii="Times New Roman" w:cs="Times New Roman" w:eastAsia="Times New Roman" w:hAnsi="Times New Roman"/>
                <w:sz w:val="14"/>
                <w:szCs w:val="14"/>
                <w:color w:val="0000FF"/>
              </w:rPr>
            </w:pPr>
            <w:hyperlink r:id="rId336">
              <w:r>
                <w:rPr>
                  <w:rFonts w:ascii="Times New Roman" w:cs="Times New Roman" w:eastAsia="Times New Roman" w:hAnsi="Times New Roman"/>
                  <w:sz w:val="14"/>
                  <w:szCs w:val="14"/>
                  <w:color w:val="0000FF"/>
                </w:rPr>
                <w:t>2011 Equity Incentive Plan</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S-8</w:t>
            </w: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333-257727</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7/7/2021</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18"/>
        </w:trPr>
        <w:tc>
          <w:tcPr>
            <w:tcW w:w="72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w w:val="94"/>
              </w:rPr>
              <w:t>10.2</w:t>
            </w:r>
            <w:r>
              <w:rPr>
                <w:rFonts w:ascii="Times New Roman" w:cs="Times New Roman" w:eastAsia="Times New Roman" w:hAnsi="Times New Roman"/>
                <w:sz w:val="19"/>
                <w:szCs w:val="19"/>
                <w:color w:val="auto"/>
                <w:w w:val="94"/>
                <w:vertAlign w:val="superscript"/>
              </w:rPr>
              <w:t>+</w:t>
            </w:r>
          </w:p>
        </w:tc>
        <w:tc>
          <w:tcPr>
            <w:tcW w:w="5760" w:type="dxa"/>
            <w:vAlign w:val="bottom"/>
            <w:gridSpan w:val="12"/>
          </w:tcPr>
          <w:p>
            <w:pPr>
              <w:spacing w:after="0"/>
              <w:rPr>
                <w:rFonts w:ascii="Times New Roman" w:cs="Times New Roman" w:eastAsia="Times New Roman" w:hAnsi="Times New Roman"/>
                <w:sz w:val="14"/>
                <w:szCs w:val="14"/>
                <w:color w:val="0000FF"/>
              </w:rPr>
            </w:pPr>
            <w:hyperlink r:id="rId338">
              <w:r>
                <w:rPr>
                  <w:rFonts w:ascii="Times New Roman" w:cs="Times New Roman" w:eastAsia="Times New Roman" w:hAnsi="Times New Roman"/>
                  <w:sz w:val="14"/>
                  <w:szCs w:val="14"/>
                  <w:color w:val="0000FF"/>
                </w:rPr>
                <w:t>2017 Equity Incentive Plan</w:t>
              </w:r>
            </w:hyperlink>
          </w:p>
        </w:tc>
        <w:tc>
          <w:tcPr>
            <w:tcW w:w="0" w:type="dxa"/>
            <w:vAlign w:val="bottom"/>
          </w:tcPr>
          <w:p>
            <w:pPr>
              <w:spacing w:after="0"/>
              <w:rPr>
                <w:sz w:val="1"/>
                <w:szCs w:val="1"/>
                <w:color w:val="auto"/>
              </w:rPr>
            </w:pPr>
          </w:p>
        </w:tc>
      </w:tr>
      <w:tr>
        <w:trPr>
          <w:trHeight w:val="20"/>
        </w:trPr>
        <w:tc>
          <w:tcPr>
            <w:tcW w:w="720" w:type="dxa"/>
            <w:vAlign w:val="bottom"/>
            <w:vMerge w:val="restart"/>
          </w:tcPr>
          <w:p>
            <w:pPr>
              <w:jc w:val="center"/>
              <w:ind w:right="268"/>
              <w:spacing w:after="0"/>
              <w:rPr>
                <w:sz w:val="20"/>
                <w:szCs w:val="20"/>
                <w:color w:val="auto"/>
              </w:rPr>
            </w:pPr>
            <w:r>
              <w:rPr>
                <w:rFonts w:ascii="Times New Roman" w:cs="Times New Roman" w:eastAsia="Times New Roman" w:hAnsi="Times New Roman"/>
                <w:sz w:val="14"/>
                <w:szCs w:val="14"/>
                <w:color w:val="auto"/>
                <w:w w:val="94"/>
              </w:rPr>
              <w:t>10.3</w:t>
            </w:r>
            <w:r>
              <w:rPr>
                <w:rFonts w:ascii="Times New Roman" w:cs="Times New Roman" w:eastAsia="Times New Roman" w:hAnsi="Times New Roman"/>
                <w:sz w:val="19"/>
                <w:szCs w:val="19"/>
                <w:color w:val="auto"/>
                <w:w w:val="94"/>
                <w:vertAlign w:val="superscript"/>
              </w:rPr>
              <w:t>+</w:t>
            </w:r>
          </w:p>
        </w:tc>
        <w:tc>
          <w:tcPr>
            <w:tcW w:w="840" w:type="dxa"/>
            <w:vAlign w:val="bottom"/>
            <w:tcBorders>
              <w:left w:val="single" w:sz="8" w:color="0000EE"/>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vMerge w:val="continue"/>
          </w:tcPr>
          <w:p>
            <w:pPr>
              <w:spacing w:after="0"/>
              <w:rPr>
                <w:sz w:val="19"/>
                <w:szCs w:val="19"/>
                <w:color w:val="auto"/>
              </w:rPr>
            </w:pPr>
          </w:p>
        </w:tc>
        <w:tc>
          <w:tcPr>
            <w:tcW w:w="5760" w:type="dxa"/>
            <w:vAlign w:val="bottom"/>
            <w:gridSpan w:val="12"/>
          </w:tcPr>
          <w:p>
            <w:pPr>
              <w:spacing w:after="0"/>
              <w:rPr>
                <w:rFonts w:ascii="Times New Roman" w:cs="Times New Roman" w:eastAsia="Times New Roman" w:hAnsi="Times New Roman"/>
                <w:sz w:val="14"/>
                <w:szCs w:val="14"/>
                <w:color w:val="0000FF"/>
              </w:rPr>
            </w:pPr>
            <w:hyperlink r:id="rId339">
              <w:r>
                <w:rPr>
                  <w:rFonts w:ascii="Times New Roman" w:cs="Times New Roman" w:eastAsia="Times New Roman" w:hAnsi="Times New Roman"/>
                  <w:sz w:val="14"/>
                  <w:szCs w:val="14"/>
                  <w:color w:val="0000FF"/>
                </w:rPr>
                <w:t>Form of Stock Option Agreement under the 2017 Equity Incentive Plan</w:t>
              </w:r>
            </w:hyperlink>
          </w:p>
        </w:tc>
        <w:tc>
          <w:tcPr>
            <w:tcW w:w="0" w:type="dxa"/>
            <w:vAlign w:val="bottom"/>
          </w:tcPr>
          <w:p>
            <w:pPr>
              <w:spacing w:after="0"/>
              <w:rPr>
                <w:sz w:val="1"/>
                <w:szCs w:val="1"/>
                <w:color w:val="auto"/>
              </w:rPr>
            </w:pPr>
          </w:p>
        </w:tc>
      </w:tr>
      <w:tr>
        <w:trPr>
          <w:trHeight w:val="20"/>
        </w:trPr>
        <w:tc>
          <w:tcPr>
            <w:tcW w:w="720" w:type="dxa"/>
            <w:vAlign w:val="bottom"/>
            <w:vMerge w:val="restart"/>
          </w:tcPr>
          <w:p>
            <w:pPr>
              <w:jc w:val="center"/>
              <w:ind w:right="268"/>
              <w:spacing w:after="0"/>
              <w:rPr>
                <w:sz w:val="20"/>
                <w:szCs w:val="20"/>
                <w:color w:val="auto"/>
              </w:rPr>
            </w:pPr>
            <w:r>
              <w:rPr>
                <w:rFonts w:ascii="Times New Roman" w:cs="Times New Roman" w:eastAsia="Times New Roman" w:hAnsi="Times New Roman"/>
                <w:sz w:val="14"/>
                <w:szCs w:val="14"/>
                <w:color w:val="auto"/>
                <w:w w:val="94"/>
              </w:rPr>
              <w:t>10.4</w:t>
            </w:r>
            <w:r>
              <w:rPr>
                <w:rFonts w:ascii="Times New Roman" w:cs="Times New Roman" w:eastAsia="Times New Roman" w:hAnsi="Times New Roman"/>
                <w:sz w:val="19"/>
                <w:szCs w:val="19"/>
                <w:color w:val="auto"/>
                <w:w w:val="94"/>
                <w:vertAlign w:val="superscript"/>
              </w:rPr>
              <w:t>+</w:t>
            </w:r>
          </w:p>
        </w:tc>
        <w:tc>
          <w:tcPr>
            <w:tcW w:w="840" w:type="dxa"/>
            <w:vAlign w:val="bottom"/>
            <w:tcBorders>
              <w:left w:val="single" w:sz="8" w:color="0000EE"/>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vMerge w:val="continue"/>
          </w:tcPr>
          <w:p>
            <w:pPr>
              <w:spacing w:after="0"/>
              <w:rPr>
                <w:sz w:val="19"/>
                <w:szCs w:val="19"/>
                <w:color w:val="auto"/>
              </w:rPr>
            </w:pPr>
          </w:p>
        </w:tc>
        <w:tc>
          <w:tcPr>
            <w:tcW w:w="5760" w:type="dxa"/>
            <w:vAlign w:val="bottom"/>
            <w:gridSpan w:val="12"/>
          </w:tcPr>
          <w:p>
            <w:pPr>
              <w:spacing w:after="0"/>
              <w:rPr>
                <w:rFonts w:ascii="Times New Roman" w:cs="Times New Roman" w:eastAsia="Times New Roman" w:hAnsi="Times New Roman"/>
                <w:sz w:val="14"/>
                <w:szCs w:val="14"/>
                <w:color w:val="0000FF"/>
              </w:rPr>
            </w:pPr>
            <w:hyperlink r:id="rId340">
              <w:r>
                <w:rPr>
                  <w:rFonts w:ascii="Times New Roman" w:cs="Times New Roman" w:eastAsia="Times New Roman" w:hAnsi="Times New Roman"/>
                  <w:sz w:val="14"/>
                  <w:szCs w:val="14"/>
                  <w:color w:val="0000FF"/>
                </w:rPr>
                <w:t>Amended and Restated 2019 Equity Incentive Plan</w:t>
              </w:r>
            </w:hyperlink>
          </w:p>
        </w:tc>
        <w:tc>
          <w:tcPr>
            <w:tcW w:w="0" w:type="dxa"/>
            <w:vAlign w:val="bottom"/>
          </w:tcPr>
          <w:p>
            <w:pPr>
              <w:spacing w:after="0"/>
              <w:rPr>
                <w:sz w:val="1"/>
                <w:szCs w:val="1"/>
                <w:color w:val="auto"/>
              </w:rPr>
            </w:pPr>
          </w:p>
        </w:tc>
      </w:tr>
      <w:tr>
        <w:trPr>
          <w:trHeight w:val="20"/>
        </w:trPr>
        <w:tc>
          <w:tcPr>
            <w:tcW w:w="720" w:type="dxa"/>
            <w:vAlign w:val="bottom"/>
            <w:vMerge w:val="restart"/>
          </w:tcPr>
          <w:p>
            <w:pPr>
              <w:jc w:val="center"/>
              <w:ind w:right="268"/>
              <w:spacing w:after="0"/>
              <w:rPr>
                <w:sz w:val="20"/>
                <w:szCs w:val="20"/>
                <w:color w:val="auto"/>
              </w:rPr>
            </w:pPr>
            <w:r>
              <w:rPr>
                <w:rFonts w:ascii="Times New Roman" w:cs="Times New Roman" w:eastAsia="Times New Roman" w:hAnsi="Times New Roman"/>
                <w:sz w:val="14"/>
                <w:szCs w:val="14"/>
                <w:color w:val="auto"/>
                <w:w w:val="94"/>
              </w:rPr>
              <w:t>10.5</w:t>
            </w:r>
            <w:r>
              <w:rPr>
                <w:rFonts w:ascii="Times New Roman" w:cs="Times New Roman" w:eastAsia="Times New Roman" w:hAnsi="Times New Roman"/>
                <w:sz w:val="19"/>
                <w:szCs w:val="19"/>
                <w:color w:val="auto"/>
                <w:w w:val="94"/>
                <w:vertAlign w:val="superscript"/>
              </w:rPr>
              <w:t>+</w:t>
            </w:r>
          </w:p>
        </w:tc>
        <w:tc>
          <w:tcPr>
            <w:tcW w:w="840" w:type="dxa"/>
            <w:vAlign w:val="bottom"/>
            <w:tcBorders>
              <w:left w:val="single" w:sz="8" w:color="0000EE"/>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vMerge w:val="continue"/>
          </w:tcPr>
          <w:p>
            <w:pPr>
              <w:spacing w:after="0"/>
              <w:rPr>
                <w:sz w:val="19"/>
                <w:szCs w:val="19"/>
                <w:color w:val="auto"/>
              </w:rPr>
            </w:pPr>
          </w:p>
        </w:tc>
        <w:tc>
          <w:tcPr>
            <w:tcW w:w="5760" w:type="dxa"/>
            <w:vAlign w:val="bottom"/>
            <w:gridSpan w:val="12"/>
          </w:tcPr>
          <w:p>
            <w:pPr>
              <w:spacing w:after="0"/>
              <w:rPr>
                <w:rFonts w:ascii="Times New Roman" w:cs="Times New Roman" w:eastAsia="Times New Roman" w:hAnsi="Times New Roman"/>
                <w:sz w:val="14"/>
                <w:szCs w:val="14"/>
                <w:color w:val="0000FF"/>
              </w:rPr>
            </w:pPr>
            <w:hyperlink r:id="rId341">
              <w:r>
                <w:rPr>
                  <w:rFonts w:ascii="Times New Roman" w:cs="Times New Roman" w:eastAsia="Times New Roman" w:hAnsi="Times New Roman"/>
                  <w:sz w:val="14"/>
                  <w:szCs w:val="14"/>
                  <w:color w:val="0000FF"/>
                </w:rPr>
                <w:t>Form of Option Grant Package under 2019 Equity Incentive Plan</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40" w:type="dxa"/>
            <w:vAlign w:val="bottom"/>
            <w:tcBorders>
              <w:left w:val="single" w:sz="8" w:color="0000EE"/>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vMerge w:val="restart"/>
          </w:tcPr>
          <w:p>
            <w:pPr>
              <w:jc w:val="center"/>
              <w:ind w:right="268"/>
              <w:spacing w:after="0"/>
              <w:rPr>
                <w:sz w:val="20"/>
                <w:szCs w:val="20"/>
                <w:color w:val="auto"/>
              </w:rPr>
            </w:pPr>
            <w:r>
              <w:rPr>
                <w:rFonts w:ascii="Times New Roman" w:cs="Times New Roman" w:eastAsia="Times New Roman" w:hAnsi="Times New Roman"/>
                <w:sz w:val="14"/>
                <w:szCs w:val="14"/>
                <w:color w:val="auto"/>
                <w:w w:val="94"/>
              </w:rPr>
              <w:t>10.6</w:t>
            </w:r>
            <w:r>
              <w:rPr>
                <w:rFonts w:ascii="Times New Roman" w:cs="Times New Roman" w:eastAsia="Times New Roman" w:hAnsi="Times New Roman"/>
                <w:sz w:val="19"/>
                <w:szCs w:val="19"/>
                <w:color w:val="auto"/>
                <w:w w:val="94"/>
                <w:vertAlign w:val="superscript"/>
              </w:rPr>
              <w:t>+</w:t>
            </w:r>
          </w:p>
        </w:tc>
        <w:tc>
          <w:tcPr>
            <w:tcW w:w="5760" w:type="dxa"/>
            <w:vAlign w:val="bottom"/>
            <w:gridSpan w:val="12"/>
          </w:tcPr>
          <w:p>
            <w:pPr>
              <w:spacing w:after="0"/>
              <w:rPr>
                <w:rFonts w:ascii="Times New Roman" w:cs="Times New Roman" w:eastAsia="Times New Roman" w:hAnsi="Times New Roman"/>
                <w:sz w:val="14"/>
                <w:szCs w:val="14"/>
                <w:color w:val="0000FF"/>
              </w:rPr>
            </w:pPr>
            <w:hyperlink r:id="rId342">
              <w:r>
                <w:rPr>
                  <w:rFonts w:ascii="Times New Roman" w:cs="Times New Roman" w:eastAsia="Times New Roman" w:hAnsi="Times New Roman"/>
                  <w:sz w:val="14"/>
                  <w:szCs w:val="14"/>
                  <w:color w:val="0000FF"/>
                </w:rPr>
                <w:t>Form of Stock Option Agreement under the Sub Plan for French Residents under 2019 Equity</w:t>
              </w:r>
            </w:hyperlink>
          </w:p>
        </w:tc>
        <w:tc>
          <w:tcPr>
            <w:tcW w:w="0" w:type="dxa"/>
            <w:vAlign w:val="bottom"/>
          </w:tcPr>
          <w:p>
            <w:pPr>
              <w:spacing w:after="0"/>
              <w:rPr>
                <w:sz w:val="1"/>
                <w:szCs w:val="1"/>
                <w:color w:val="auto"/>
              </w:rPr>
            </w:pPr>
          </w:p>
        </w:tc>
      </w:tr>
      <w:tr>
        <w:trPr>
          <w:trHeight w:val="128"/>
        </w:trPr>
        <w:tc>
          <w:tcPr>
            <w:tcW w:w="720" w:type="dxa"/>
            <w:vAlign w:val="bottom"/>
            <w:vMerge w:val="continue"/>
          </w:tcPr>
          <w:p>
            <w:pPr>
              <w:spacing w:after="0"/>
              <w:rPr>
                <w:sz w:val="11"/>
                <w:szCs w:val="11"/>
                <w:color w:val="auto"/>
              </w:rPr>
            </w:pPr>
          </w:p>
        </w:tc>
        <w:tc>
          <w:tcPr>
            <w:tcW w:w="84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rPr>
            </w:pPr>
            <w:hyperlink r:id="rId342">
              <w:r>
                <w:rPr>
                  <w:rFonts w:ascii="Times New Roman" w:cs="Times New Roman" w:eastAsia="Times New Roman" w:hAnsi="Times New Roman"/>
                  <w:sz w:val="14"/>
                  <w:szCs w:val="14"/>
                  <w:color w:val="0000FF"/>
                </w:rPr>
                <w:t>Incentive Plan</w:t>
              </w:r>
            </w:hyperlink>
          </w:p>
        </w:tc>
        <w:tc>
          <w:tcPr>
            <w:tcW w:w="40" w:type="dxa"/>
            <w:vAlign w:val="bottom"/>
            <w:tcBorders>
              <w:top w:val="single" w:sz="8" w:color="0000FF"/>
              <w:bottom w:val="single" w:sz="8" w:color="0000EE"/>
            </w:tcBorders>
          </w:tcPr>
          <w:p>
            <w:pPr>
              <w:spacing w:after="0"/>
              <w:rPr>
                <w:sz w:val="11"/>
                <w:szCs w:val="11"/>
                <w:color w:val="auto"/>
              </w:rPr>
            </w:pPr>
          </w:p>
        </w:tc>
        <w:tc>
          <w:tcPr>
            <w:tcW w:w="4580" w:type="dxa"/>
            <w:vAlign w:val="bottom"/>
            <w:tcBorders>
              <w:top w:val="single" w:sz="8" w:color="0000FF"/>
            </w:tcBorders>
            <w:gridSpan w:val="9"/>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720" w:type="dxa"/>
            <w:vAlign w:val="bottom"/>
            <w:vMerge w:val="restart"/>
          </w:tcPr>
          <w:p>
            <w:pPr>
              <w:jc w:val="center"/>
              <w:ind w:right="268"/>
              <w:spacing w:after="0"/>
              <w:rPr>
                <w:sz w:val="20"/>
                <w:szCs w:val="20"/>
                <w:color w:val="auto"/>
              </w:rPr>
            </w:pPr>
            <w:r>
              <w:rPr>
                <w:rFonts w:ascii="Times New Roman" w:cs="Times New Roman" w:eastAsia="Times New Roman" w:hAnsi="Times New Roman"/>
                <w:sz w:val="14"/>
                <w:szCs w:val="14"/>
                <w:color w:val="auto"/>
                <w:w w:val="94"/>
              </w:rPr>
              <w:t>10.7</w:t>
            </w:r>
            <w:r>
              <w:rPr>
                <w:rFonts w:ascii="Times New Roman" w:cs="Times New Roman" w:eastAsia="Times New Roman" w:hAnsi="Times New Roman"/>
                <w:sz w:val="19"/>
                <w:szCs w:val="19"/>
                <w:color w:val="auto"/>
                <w:w w:val="94"/>
                <w:vertAlign w:val="superscript"/>
              </w:rPr>
              <w:t>+</w:t>
            </w:r>
          </w:p>
        </w:tc>
        <w:tc>
          <w:tcPr>
            <w:tcW w:w="5760" w:type="dxa"/>
            <w:vAlign w:val="bottom"/>
            <w:gridSpan w:val="12"/>
          </w:tcPr>
          <w:p>
            <w:pPr>
              <w:spacing w:after="0"/>
              <w:rPr>
                <w:rFonts w:ascii="Times New Roman" w:cs="Times New Roman" w:eastAsia="Times New Roman" w:hAnsi="Times New Roman"/>
                <w:sz w:val="14"/>
                <w:szCs w:val="14"/>
                <w:color w:val="0000FF"/>
              </w:rPr>
            </w:pPr>
            <w:hyperlink r:id="rId343">
              <w:r>
                <w:rPr>
                  <w:rFonts w:ascii="Times New Roman" w:cs="Times New Roman" w:eastAsia="Times New Roman" w:hAnsi="Times New Roman"/>
                  <w:sz w:val="14"/>
                  <w:szCs w:val="14"/>
                  <w:color w:val="0000FF"/>
                </w:rPr>
                <w:t>Form of Inducement Nonqualified Stock Option Agreement subject to the terms of the 2019 Equity</w:t>
              </w:r>
            </w:hyperlink>
          </w:p>
        </w:tc>
        <w:tc>
          <w:tcPr>
            <w:tcW w:w="0" w:type="dxa"/>
            <w:vAlign w:val="bottom"/>
          </w:tcPr>
          <w:p>
            <w:pPr>
              <w:spacing w:after="0"/>
              <w:rPr>
                <w:sz w:val="1"/>
                <w:szCs w:val="1"/>
                <w:color w:val="auto"/>
              </w:rPr>
            </w:pPr>
          </w:p>
        </w:tc>
      </w:tr>
      <w:tr>
        <w:trPr>
          <w:trHeight w:val="128"/>
        </w:trPr>
        <w:tc>
          <w:tcPr>
            <w:tcW w:w="720" w:type="dxa"/>
            <w:vAlign w:val="bottom"/>
            <w:vMerge w:val="continue"/>
          </w:tcPr>
          <w:p>
            <w:pPr>
              <w:spacing w:after="0"/>
              <w:rPr>
                <w:sz w:val="11"/>
                <w:szCs w:val="11"/>
                <w:color w:val="auto"/>
              </w:rPr>
            </w:pPr>
          </w:p>
        </w:tc>
        <w:tc>
          <w:tcPr>
            <w:tcW w:w="84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rPr>
            </w:pPr>
            <w:hyperlink r:id="rId343">
              <w:r>
                <w:rPr>
                  <w:rFonts w:ascii="Times New Roman" w:cs="Times New Roman" w:eastAsia="Times New Roman" w:hAnsi="Times New Roman"/>
                  <w:sz w:val="14"/>
                  <w:szCs w:val="14"/>
                  <w:color w:val="0000FF"/>
                </w:rPr>
                <w:t>Incentive Plan</w:t>
              </w:r>
            </w:hyperlink>
          </w:p>
        </w:tc>
        <w:tc>
          <w:tcPr>
            <w:tcW w:w="4920" w:type="dxa"/>
            <w:vAlign w:val="bottom"/>
            <w:tcBorders>
              <w:top w:val="single" w:sz="8" w:color="0000FF"/>
            </w:tcBorders>
            <w:gridSpan w:val="11"/>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72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w w:val="94"/>
              </w:rPr>
              <w:t>10.8</w:t>
            </w:r>
            <w:r>
              <w:rPr>
                <w:rFonts w:ascii="Times New Roman" w:cs="Times New Roman" w:eastAsia="Times New Roman" w:hAnsi="Times New Roman"/>
                <w:sz w:val="19"/>
                <w:szCs w:val="19"/>
                <w:color w:val="auto"/>
                <w:w w:val="94"/>
                <w:vertAlign w:val="superscript"/>
              </w:rPr>
              <w:t>+</w:t>
            </w:r>
          </w:p>
        </w:tc>
        <w:tc>
          <w:tcPr>
            <w:tcW w:w="5760" w:type="dxa"/>
            <w:vAlign w:val="bottom"/>
            <w:gridSpan w:val="12"/>
          </w:tcPr>
          <w:p>
            <w:pPr>
              <w:spacing w:after="0"/>
              <w:rPr>
                <w:rFonts w:ascii="Times New Roman" w:cs="Times New Roman" w:eastAsia="Times New Roman" w:hAnsi="Times New Roman"/>
                <w:sz w:val="14"/>
                <w:szCs w:val="14"/>
                <w:color w:val="0000FF"/>
              </w:rPr>
            </w:pPr>
            <w:hyperlink r:id="rId344">
              <w:r>
                <w:rPr>
                  <w:rFonts w:ascii="Times New Roman" w:cs="Times New Roman" w:eastAsia="Times New Roman" w:hAnsi="Times New Roman"/>
                  <w:sz w:val="14"/>
                  <w:szCs w:val="14"/>
                  <w:color w:val="0000FF"/>
                </w:rPr>
                <w:t>Amended and Restated 2019 Employee Stock Purchase Plan</w:t>
              </w:r>
            </w:hyperlink>
          </w:p>
        </w:tc>
        <w:tc>
          <w:tcPr>
            <w:tcW w:w="0" w:type="dxa"/>
            <w:vAlign w:val="bottom"/>
          </w:tcPr>
          <w:p>
            <w:pPr>
              <w:spacing w:after="0"/>
              <w:rPr>
                <w:sz w:val="1"/>
                <w:szCs w:val="1"/>
                <w:color w:val="auto"/>
              </w:rPr>
            </w:pPr>
          </w:p>
        </w:tc>
      </w:tr>
      <w:tr>
        <w:trPr>
          <w:trHeight w:val="20"/>
        </w:trPr>
        <w:tc>
          <w:tcPr>
            <w:tcW w:w="720" w:type="dxa"/>
            <w:vAlign w:val="bottom"/>
            <w:vMerge w:val="restart"/>
          </w:tcPr>
          <w:p>
            <w:pPr>
              <w:jc w:val="center"/>
              <w:ind w:right="268"/>
              <w:spacing w:after="0"/>
              <w:rPr>
                <w:sz w:val="20"/>
                <w:szCs w:val="20"/>
                <w:color w:val="auto"/>
              </w:rPr>
            </w:pPr>
            <w:r>
              <w:rPr>
                <w:rFonts w:ascii="Times New Roman" w:cs="Times New Roman" w:eastAsia="Times New Roman" w:hAnsi="Times New Roman"/>
                <w:sz w:val="14"/>
                <w:szCs w:val="14"/>
                <w:color w:val="auto"/>
                <w:w w:val="94"/>
              </w:rPr>
              <w:t>10.9</w:t>
            </w:r>
            <w:r>
              <w:rPr>
                <w:rFonts w:ascii="Times New Roman" w:cs="Times New Roman" w:eastAsia="Times New Roman" w:hAnsi="Times New Roman"/>
                <w:sz w:val="19"/>
                <w:szCs w:val="19"/>
                <w:color w:val="auto"/>
                <w:w w:val="94"/>
                <w:vertAlign w:val="superscript"/>
              </w:rPr>
              <w:t>+</w:t>
            </w:r>
          </w:p>
        </w:tc>
        <w:tc>
          <w:tcPr>
            <w:tcW w:w="880" w:type="dxa"/>
            <w:vAlign w:val="bottom"/>
            <w:tcBorders>
              <w:left w:val="single" w:sz="8" w:color="0000EE"/>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vMerge w:val="continue"/>
          </w:tcPr>
          <w:p>
            <w:pPr>
              <w:spacing w:after="0"/>
              <w:rPr>
                <w:sz w:val="19"/>
                <w:szCs w:val="19"/>
                <w:color w:val="auto"/>
              </w:rPr>
            </w:pPr>
          </w:p>
        </w:tc>
        <w:tc>
          <w:tcPr>
            <w:tcW w:w="5760" w:type="dxa"/>
            <w:vAlign w:val="bottom"/>
            <w:gridSpan w:val="12"/>
          </w:tcPr>
          <w:p>
            <w:pPr>
              <w:spacing w:after="0"/>
              <w:rPr>
                <w:rFonts w:ascii="Times New Roman" w:cs="Times New Roman" w:eastAsia="Times New Roman" w:hAnsi="Times New Roman"/>
                <w:sz w:val="14"/>
                <w:szCs w:val="14"/>
                <w:color w:val="0000FF"/>
              </w:rPr>
            </w:pPr>
            <w:hyperlink r:id="rId345">
              <w:r>
                <w:rPr>
                  <w:rFonts w:ascii="Times New Roman" w:cs="Times New Roman" w:eastAsia="Times New Roman" w:hAnsi="Times New Roman"/>
                  <w:sz w:val="14"/>
                  <w:szCs w:val="14"/>
                  <w:color w:val="0000FF"/>
                </w:rPr>
                <w:t>Form of Indemnification Agreement</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80" w:type="dxa"/>
            <w:vAlign w:val="bottom"/>
            <w:tcBorders>
              <w:left w:val="single" w:sz="8" w:color="0000FF"/>
            </w:tcBorders>
            <w:gridSpan w:val="2"/>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vMerge w:val="restart"/>
          </w:tcPr>
          <w:p>
            <w:pPr>
              <w:jc w:val="center"/>
              <w:ind w:right="248"/>
              <w:spacing w:after="0"/>
              <w:rPr>
                <w:sz w:val="20"/>
                <w:szCs w:val="20"/>
                <w:color w:val="auto"/>
              </w:rPr>
            </w:pPr>
            <w:r>
              <w:rPr>
                <w:rFonts w:ascii="Times New Roman" w:cs="Times New Roman" w:eastAsia="Times New Roman" w:hAnsi="Times New Roman"/>
                <w:sz w:val="14"/>
                <w:szCs w:val="14"/>
                <w:color w:val="auto"/>
              </w:rPr>
              <w:t>10.10</w:t>
            </w:r>
          </w:p>
        </w:tc>
        <w:tc>
          <w:tcPr>
            <w:tcW w:w="5760" w:type="dxa"/>
            <w:vAlign w:val="bottom"/>
            <w:gridSpan w:val="12"/>
          </w:tcPr>
          <w:p>
            <w:pPr>
              <w:spacing w:after="0"/>
              <w:rPr>
                <w:rFonts w:ascii="Times New Roman" w:cs="Times New Roman" w:eastAsia="Times New Roman" w:hAnsi="Times New Roman"/>
                <w:sz w:val="14"/>
                <w:szCs w:val="14"/>
                <w:color w:val="0000FF"/>
              </w:rPr>
            </w:pPr>
            <w:hyperlink r:id="rId346">
              <w:r>
                <w:rPr>
                  <w:rFonts w:ascii="Times New Roman" w:cs="Times New Roman" w:eastAsia="Times New Roman" w:hAnsi="Times New Roman"/>
                  <w:sz w:val="14"/>
                  <w:szCs w:val="14"/>
                  <w:color w:val="0000FF"/>
                </w:rPr>
                <w:t>Lease Agreement, dated January 24, 2022, by and between HCP Life Science REIT, Inc. and</w:t>
              </w:r>
            </w:hyperlink>
          </w:p>
        </w:tc>
        <w:tc>
          <w:tcPr>
            <w:tcW w:w="0" w:type="dxa"/>
            <w:vAlign w:val="bottom"/>
          </w:tcPr>
          <w:p>
            <w:pPr>
              <w:spacing w:after="0"/>
              <w:rPr>
                <w:sz w:val="1"/>
                <w:szCs w:val="1"/>
                <w:color w:val="auto"/>
              </w:rPr>
            </w:pPr>
          </w:p>
        </w:tc>
      </w:tr>
      <w:tr>
        <w:trPr>
          <w:trHeight w:val="128"/>
        </w:trPr>
        <w:tc>
          <w:tcPr>
            <w:tcW w:w="720" w:type="dxa"/>
            <w:vAlign w:val="bottom"/>
            <w:vMerge w:val="continue"/>
          </w:tcPr>
          <w:p>
            <w:pPr>
              <w:spacing w:after="0"/>
              <w:rPr>
                <w:sz w:val="11"/>
                <w:szCs w:val="11"/>
                <w:color w:val="auto"/>
              </w:rPr>
            </w:pPr>
          </w:p>
        </w:tc>
        <w:tc>
          <w:tcPr>
            <w:tcW w:w="1600" w:type="dxa"/>
            <w:vAlign w:val="bottom"/>
            <w:tcBorders>
              <w:top w:val="single" w:sz="8" w:color="0000FF"/>
              <w:bottom w:val="single" w:sz="8" w:color="0000EE"/>
            </w:tcBorders>
            <w:gridSpan w:val="3"/>
          </w:tcPr>
          <w:p>
            <w:pPr>
              <w:spacing w:after="0" w:line="129" w:lineRule="exact"/>
              <w:rPr>
                <w:rFonts w:ascii="Times New Roman" w:cs="Times New Roman" w:eastAsia="Times New Roman" w:hAnsi="Times New Roman"/>
                <w:sz w:val="14"/>
                <w:szCs w:val="14"/>
                <w:color w:val="0000FF"/>
              </w:rPr>
            </w:pPr>
            <w:hyperlink r:id="rId346">
              <w:r>
                <w:rPr>
                  <w:rFonts w:ascii="Times New Roman" w:cs="Times New Roman" w:eastAsia="Times New Roman" w:hAnsi="Times New Roman"/>
                  <w:sz w:val="14"/>
                  <w:szCs w:val="14"/>
                  <w:color w:val="0000FF"/>
                </w:rPr>
                <w:t>Tempest Therapeutics, Inc.</w:t>
              </w:r>
            </w:hyperlink>
          </w:p>
        </w:tc>
        <w:tc>
          <w:tcPr>
            <w:tcW w:w="3800" w:type="dxa"/>
            <w:vAlign w:val="bottom"/>
            <w:tcBorders>
              <w:top w:val="single" w:sz="8" w:color="0000FF"/>
            </w:tcBorders>
            <w:gridSpan w:val="7"/>
          </w:tcPr>
          <w:p>
            <w:pPr>
              <w:spacing w:after="0"/>
              <w:rPr>
                <w:sz w:val="11"/>
                <w:szCs w:val="11"/>
                <w:color w:val="auto"/>
              </w:rPr>
            </w:pPr>
          </w:p>
        </w:tc>
        <w:tc>
          <w:tcPr>
            <w:tcW w:w="3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72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w w:val="98"/>
              </w:rPr>
              <w:t>10.11</w:t>
            </w:r>
            <w:r>
              <w:rPr>
                <w:rFonts w:ascii="Times New Roman" w:cs="Times New Roman" w:eastAsia="Times New Roman" w:hAnsi="Times New Roman"/>
                <w:sz w:val="19"/>
                <w:szCs w:val="19"/>
                <w:color w:val="auto"/>
                <w:w w:val="98"/>
                <w:vertAlign w:val="superscript"/>
              </w:rPr>
              <w:t>+</w:t>
            </w:r>
          </w:p>
        </w:tc>
        <w:tc>
          <w:tcPr>
            <w:tcW w:w="5760" w:type="dxa"/>
            <w:vAlign w:val="bottom"/>
            <w:gridSpan w:val="12"/>
          </w:tcPr>
          <w:p>
            <w:pPr>
              <w:spacing w:after="0"/>
              <w:rPr>
                <w:rFonts w:ascii="Times New Roman" w:cs="Times New Roman" w:eastAsia="Times New Roman" w:hAnsi="Times New Roman"/>
                <w:sz w:val="14"/>
                <w:szCs w:val="14"/>
                <w:color w:val="0000FF"/>
              </w:rPr>
            </w:pPr>
            <w:hyperlink r:id="rId347">
              <w:r>
                <w:rPr>
                  <w:rFonts w:ascii="Times New Roman" w:cs="Times New Roman" w:eastAsia="Times New Roman" w:hAnsi="Times New Roman"/>
                  <w:sz w:val="14"/>
                  <w:szCs w:val="14"/>
                  <w:color w:val="0000FF"/>
                </w:rPr>
                <w:t>Tempest Therapeutics, Inc. Amended and Restated 2023 Equity Incentive Plan</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40" w:type="dxa"/>
            <w:vAlign w:val="bottom"/>
            <w:tcBorders>
              <w:left w:val="single" w:sz="8" w:color="0000EE"/>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720" w:hanging="391"/>
        <w:spacing w:after="0" w:line="184" w:lineRule="auto"/>
        <w:tabs>
          <w:tab w:leader="none" w:pos="720" w:val="left"/>
        </w:tabs>
        <w:numPr>
          <w:ilvl w:val="0"/>
          <w:numId w:val="72"/>
        </w:numPr>
        <w:rPr>
          <w:rFonts w:ascii="Times New Roman" w:cs="Times New Roman" w:eastAsia="Times New Roman" w:hAnsi="Times New Roman"/>
          <w:sz w:val="16"/>
          <w:szCs w:val="16"/>
          <w:color w:val="auto"/>
          <w:vertAlign w:val="subscript"/>
        </w:rPr>
      </w:pPr>
      <w:r>
        <w:rPr>
          <w:rFonts w:ascii="Times New Roman" w:cs="Times New Roman" w:eastAsia="Times New Roman" w:hAnsi="Times New Roman"/>
          <w:sz w:val="12"/>
          <w:szCs w:val="12"/>
          <w:u w:val="single" w:color="auto"/>
          <w:color w:val="0000FF"/>
        </w:rPr>
        <w:t>Amendment No. 1 to Tempest Therapeutics, Inc. Amended and Restated 2023 Equity Incentive</w:t>
      </w:r>
    </w:p>
    <w:p>
      <w:pPr>
        <w:spacing w:after="0" w:line="198" w:lineRule="auto"/>
        <w:rPr>
          <w:rFonts w:ascii="Times New Roman" w:cs="Times New Roman" w:eastAsia="Times New Roman" w:hAnsi="Times New Roman"/>
          <w:sz w:val="16"/>
          <w:szCs w:val="16"/>
          <w:color w:val="auto"/>
          <w:vertAlign w:val="subscript"/>
        </w:rPr>
      </w:pPr>
      <w:r>
        <w:rPr>
          <w:rFonts w:ascii="Times New Roman" w:cs="Times New Roman" w:eastAsia="Times New Roman" w:hAnsi="Times New Roman"/>
          <w:sz w:val="14"/>
          <w:szCs w:val="14"/>
          <w:color w:val="auto"/>
        </w:rPr>
        <w:t>10.12</w:t>
      </w:r>
      <w:r>
        <w:rPr>
          <w:rFonts w:ascii="Times New Roman" w:cs="Times New Roman" w:eastAsia="Times New Roman" w:hAnsi="Times New Roman"/>
          <w:sz w:val="21"/>
          <w:szCs w:val="21"/>
          <w:u w:val="single" w:color="auto"/>
          <w:color w:val="0000FF"/>
          <w:vertAlign w:val="subscript"/>
        </w:rPr>
        <w:t>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-113030</wp:posOffset>
            </wp:positionV>
            <wp:extent cx="351599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8">
                      <a:extLst>
                        <a:ext uri="{28A0092B-C50C-407E-A947-70E740481C1C}"/>
                      </a:extLst>
                    </a:blip>
                    <a:srcRect/>
                    <a:stretch>
                      <a:fillRect/>
                    </a:stretch>
                  </pic:blipFill>
                  <pic:spPr bwMode="auto">
                    <a:xfrm>
                      <a:off x="0" y="0"/>
                      <a:ext cx="3515995" cy="8255"/>
                    </a:xfrm>
                    <a:prstGeom prst="rect">
                      <a:avLst/>
                    </a:prstGeom>
                    <a:noFill/>
                  </pic:spPr>
                </pic:pic>
              </a:graphicData>
            </a:graphic>
          </wp:anchor>
        </w:drawing>
        <w:drawing>
          <wp:anchor simplePos="0" relativeHeight="251657728" behindDoc="1" locked="0" layoutInCell="0" allowOverlap="1">
            <wp:simplePos x="0" y="0"/>
            <wp:positionH relativeFrom="column">
              <wp:posOffset>462280</wp:posOffset>
            </wp:positionH>
            <wp:positionV relativeFrom="paragraph">
              <wp:posOffset>-18415</wp:posOffset>
            </wp:positionV>
            <wp:extent cx="1625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9">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6"/>
        </w:trPr>
        <w:tc>
          <w:tcPr>
            <w:tcW w:w="720" w:type="dxa"/>
            <w:vAlign w:val="bottom"/>
          </w:tcPr>
          <w:p>
            <w:pPr>
              <w:jc w:val="center"/>
              <w:ind w:right="268"/>
              <w:spacing w:after="0" w:line="185" w:lineRule="exact"/>
              <w:rPr>
                <w:sz w:val="20"/>
                <w:szCs w:val="20"/>
                <w:color w:val="auto"/>
              </w:rPr>
            </w:pPr>
            <w:r>
              <w:rPr>
                <w:rFonts w:ascii="Times New Roman" w:cs="Times New Roman" w:eastAsia="Times New Roman" w:hAnsi="Times New Roman"/>
                <w:sz w:val="14"/>
                <w:szCs w:val="14"/>
                <w:color w:val="auto"/>
                <w:w w:val="98"/>
              </w:rPr>
              <w:t>10.13</w:t>
            </w:r>
            <w:r>
              <w:rPr>
                <w:rFonts w:ascii="Times New Roman" w:cs="Times New Roman" w:eastAsia="Times New Roman" w:hAnsi="Times New Roman"/>
                <w:sz w:val="19"/>
                <w:szCs w:val="19"/>
                <w:color w:val="auto"/>
                <w:w w:val="98"/>
                <w:vertAlign w:val="superscript"/>
              </w:rPr>
              <w:t>+</w:t>
            </w:r>
          </w:p>
        </w:tc>
        <w:tc>
          <w:tcPr>
            <w:tcW w:w="5780" w:type="dxa"/>
            <w:vAlign w:val="bottom"/>
            <w:gridSpan w:val="35"/>
          </w:tcPr>
          <w:p>
            <w:pPr>
              <w:spacing w:after="0"/>
              <w:rPr>
                <w:rFonts w:ascii="Times New Roman" w:cs="Times New Roman" w:eastAsia="Times New Roman" w:hAnsi="Times New Roman"/>
                <w:sz w:val="14"/>
                <w:szCs w:val="14"/>
                <w:color w:val="0000FF"/>
              </w:rPr>
            </w:pPr>
            <w:hyperlink r:id="rId350">
              <w:r>
                <w:rPr>
                  <w:rFonts w:ascii="Times New Roman" w:cs="Times New Roman" w:eastAsia="Times New Roman" w:hAnsi="Times New Roman"/>
                  <w:sz w:val="14"/>
                  <w:szCs w:val="14"/>
                  <w:color w:val="0000FF"/>
                </w:rPr>
                <w:t>Form of Option Grant Package under the Amended and Restated 2023 Equity Incentive Plan</w:t>
              </w:r>
            </w:hyperlink>
          </w:p>
        </w:tc>
        <w:tc>
          <w:tcPr>
            <w:tcW w:w="0" w:type="dxa"/>
            <w:vAlign w:val="bottom"/>
          </w:tcPr>
          <w:p>
            <w:pPr>
              <w:spacing w:after="0"/>
              <w:rPr>
                <w:sz w:val="1"/>
                <w:szCs w:val="1"/>
                <w:color w:val="auto"/>
              </w:rPr>
            </w:pPr>
          </w:p>
        </w:tc>
      </w:tr>
      <w:tr>
        <w:trPr>
          <w:trHeight w:val="20"/>
        </w:trPr>
        <w:tc>
          <w:tcPr>
            <w:tcW w:w="720" w:type="dxa"/>
            <w:vAlign w:val="bottom"/>
            <w:vMerge w:val="restart"/>
          </w:tcPr>
          <w:p>
            <w:pPr>
              <w:jc w:val="center"/>
              <w:ind w:right="268"/>
              <w:spacing w:after="0"/>
              <w:rPr>
                <w:sz w:val="20"/>
                <w:szCs w:val="20"/>
                <w:color w:val="auto"/>
              </w:rPr>
            </w:pPr>
            <w:r>
              <w:rPr>
                <w:rFonts w:ascii="Times New Roman" w:cs="Times New Roman" w:eastAsia="Times New Roman" w:hAnsi="Times New Roman"/>
                <w:sz w:val="14"/>
                <w:szCs w:val="14"/>
                <w:color w:val="auto"/>
                <w:w w:val="98"/>
              </w:rPr>
              <w:t>10.14</w:t>
            </w:r>
            <w:r>
              <w:rPr>
                <w:rFonts w:ascii="Times New Roman" w:cs="Times New Roman" w:eastAsia="Times New Roman" w:hAnsi="Times New Roman"/>
                <w:sz w:val="19"/>
                <w:szCs w:val="19"/>
                <w:color w:val="auto"/>
                <w:w w:val="98"/>
                <w:vertAlign w:val="superscript"/>
              </w:rPr>
              <w:t>+</w:t>
            </w:r>
          </w:p>
        </w:tc>
        <w:tc>
          <w:tcPr>
            <w:tcW w:w="84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vMerge w:val="continue"/>
          </w:tcPr>
          <w:p>
            <w:pPr>
              <w:spacing w:after="0"/>
              <w:rPr>
                <w:sz w:val="19"/>
                <w:szCs w:val="19"/>
                <w:color w:val="auto"/>
              </w:rPr>
            </w:pPr>
          </w:p>
        </w:tc>
        <w:tc>
          <w:tcPr>
            <w:tcW w:w="5780" w:type="dxa"/>
            <w:vAlign w:val="bottom"/>
            <w:gridSpan w:val="35"/>
          </w:tcPr>
          <w:p>
            <w:pPr>
              <w:spacing w:after="0"/>
              <w:rPr>
                <w:rFonts w:ascii="Times New Roman" w:cs="Times New Roman" w:eastAsia="Times New Roman" w:hAnsi="Times New Roman"/>
                <w:sz w:val="14"/>
                <w:szCs w:val="14"/>
                <w:color w:val="0000FF"/>
              </w:rPr>
            </w:pPr>
            <w:hyperlink r:id="rId351">
              <w:r>
                <w:rPr>
                  <w:rFonts w:ascii="Times New Roman" w:cs="Times New Roman" w:eastAsia="Times New Roman" w:hAnsi="Times New Roman"/>
                  <w:sz w:val="14"/>
                  <w:szCs w:val="14"/>
                  <w:color w:val="0000FF"/>
                </w:rPr>
                <w:t>Tempest Therapeutics, Inc. 2023 Inducement Plan</w:t>
              </w:r>
            </w:hyperlink>
          </w:p>
        </w:tc>
        <w:tc>
          <w:tcPr>
            <w:tcW w:w="0" w:type="dxa"/>
            <w:vAlign w:val="bottom"/>
          </w:tcPr>
          <w:p>
            <w:pPr>
              <w:spacing w:after="0"/>
              <w:rPr>
                <w:sz w:val="1"/>
                <w:szCs w:val="1"/>
                <w:color w:val="auto"/>
              </w:rPr>
            </w:pPr>
          </w:p>
        </w:tc>
      </w:tr>
      <w:tr>
        <w:trPr>
          <w:trHeight w:val="20"/>
        </w:trPr>
        <w:tc>
          <w:tcPr>
            <w:tcW w:w="720" w:type="dxa"/>
            <w:vAlign w:val="bottom"/>
            <w:vMerge w:val="restart"/>
          </w:tcPr>
          <w:p>
            <w:pPr>
              <w:jc w:val="center"/>
              <w:ind w:right="268"/>
              <w:spacing w:after="0"/>
              <w:rPr>
                <w:sz w:val="20"/>
                <w:szCs w:val="20"/>
                <w:color w:val="auto"/>
              </w:rPr>
            </w:pPr>
            <w:r>
              <w:rPr>
                <w:rFonts w:ascii="Times New Roman" w:cs="Times New Roman" w:eastAsia="Times New Roman" w:hAnsi="Times New Roman"/>
                <w:sz w:val="14"/>
                <w:szCs w:val="14"/>
                <w:color w:val="auto"/>
                <w:w w:val="98"/>
              </w:rPr>
              <w:t>10.15</w:t>
            </w:r>
            <w:r>
              <w:rPr>
                <w:rFonts w:ascii="Times New Roman" w:cs="Times New Roman" w:eastAsia="Times New Roman" w:hAnsi="Times New Roman"/>
                <w:sz w:val="19"/>
                <w:szCs w:val="19"/>
                <w:color w:val="auto"/>
                <w:w w:val="98"/>
                <w:vertAlign w:val="superscript"/>
              </w:rPr>
              <w:t>+</w:t>
            </w:r>
          </w:p>
        </w:tc>
        <w:tc>
          <w:tcPr>
            <w:tcW w:w="84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vMerge w:val="continue"/>
          </w:tcPr>
          <w:p>
            <w:pPr>
              <w:spacing w:after="0"/>
              <w:rPr>
                <w:sz w:val="19"/>
                <w:szCs w:val="19"/>
                <w:color w:val="auto"/>
              </w:rPr>
            </w:pPr>
          </w:p>
        </w:tc>
        <w:tc>
          <w:tcPr>
            <w:tcW w:w="5780" w:type="dxa"/>
            <w:vAlign w:val="bottom"/>
            <w:gridSpan w:val="35"/>
          </w:tcPr>
          <w:p>
            <w:pPr>
              <w:spacing w:after="0"/>
              <w:rPr>
                <w:rFonts w:ascii="Times New Roman" w:cs="Times New Roman" w:eastAsia="Times New Roman" w:hAnsi="Times New Roman"/>
                <w:sz w:val="14"/>
                <w:szCs w:val="14"/>
                <w:color w:val="0000FF"/>
              </w:rPr>
            </w:pPr>
            <w:hyperlink r:id="rId352">
              <w:r>
                <w:rPr>
                  <w:rFonts w:ascii="Times New Roman" w:cs="Times New Roman" w:eastAsia="Times New Roman" w:hAnsi="Times New Roman"/>
                  <w:sz w:val="14"/>
                  <w:szCs w:val="14"/>
                  <w:color w:val="0000FF"/>
                </w:rPr>
                <w:t>Form of Option Grant Package under the 2023 Inducement Plan</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4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vMerge w:val="restart"/>
          </w:tcPr>
          <w:p>
            <w:pPr>
              <w:jc w:val="center"/>
              <w:ind w:right="248"/>
              <w:spacing w:after="0"/>
              <w:rPr>
                <w:sz w:val="20"/>
                <w:szCs w:val="20"/>
                <w:color w:val="auto"/>
              </w:rPr>
            </w:pPr>
            <w:r>
              <w:rPr>
                <w:rFonts w:ascii="Times New Roman" w:cs="Times New Roman" w:eastAsia="Times New Roman" w:hAnsi="Times New Roman"/>
                <w:sz w:val="14"/>
                <w:szCs w:val="14"/>
                <w:color w:val="auto"/>
              </w:rPr>
              <w:t>10.16#</w:t>
            </w:r>
          </w:p>
        </w:tc>
        <w:tc>
          <w:tcPr>
            <w:tcW w:w="5780" w:type="dxa"/>
            <w:vAlign w:val="bottom"/>
            <w:gridSpan w:val="35"/>
          </w:tcPr>
          <w:p>
            <w:pPr>
              <w:spacing w:after="0"/>
              <w:rPr>
                <w:rFonts w:ascii="Times New Roman" w:cs="Times New Roman" w:eastAsia="Times New Roman" w:hAnsi="Times New Roman"/>
                <w:sz w:val="14"/>
                <w:szCs w:val="14"/>
                <w:color w:val="0000FF"/>
              </w:rPr>
            </w:pPr>
            <w:hyperlink r:id="rId353">
              <w:r>
                <w:rPr>
                  <w:rFonts w:ascii="Times New Roman" w:cs="Times New Roman" w:eastAsia="Times New Roman" w:hAnsi="Times New Roman"/>
                  <w:sz w:val="14"/>
                  <w:szCs w:val="14"/>
                  <w:color w:val="0000FF"/>
                </w:rPr>
                <w:t>Roche Supply Agreement, dated October 7, 2024, by and between the Registrant and F. Hoffmann-</w:t>
              </w:r>
            </w:hyperlink>
          </w:p>
        </w:tc>
        <w:tc>
          <w:tcPr>
            <w:tcW w:w="0" w:type="dxa"/>
            <w:vAlign w:val="bottom"/>
          </w:tcPr>
          <w:p>
            <w:pPr>
              <w:spacing w:after="0"/>
              <w:rPr>
                <w:sz w:val="1"/>
                <w:szCs w:val="1"/>
                <w:color w:val="auto"/>
              </w:rPr>
            </w:pPr>
          </w:p>
        </w:tc>
      </w:tr>
      <w:tr>
        <w:trPr>
          <w:trHeight w:val="20"/>
        </w:trPr>
        <w:tc>
          <w:tcPr>
            <w:tcW w:w="720" w:type="dxa"/>
            <w:vAlign w:val="bottom"/>
            <w:vMerge w:val="continue"/>
          </w:tcPr>
          <w:p>
            <w:pPr>
              <w:spacing w:after="0" w:line="20" w:lineRule="exact"/>
              <w:rPr>
                <w:sz w:val="1"/>
                <w:szCs w:val="1"/>
                <w:color w:val="auto"/>
              </w:rPr>
            </w:pPr>
          </w:p>
        </w:tc>
        <w:tc>
          <w:tcPr>
            <w:tcW w:w="84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720" w:type="dxa"/>
            <w:vAlign w:val="bottom"/>
            <w:vMerge w:val="continue"/>
          </w:tcPr>
          <w:p>
            <w:pPr>
              <w:spacing w:after="0"/>
              <w:rPr>
                <w:sz w:val="11"/>
                <w:szCs w:val="11"/>
                <w:color w:val="auto"/>
              </w:rPr>
            </w:pPr>
          </w:p>
        </w:tc>
        <w:tc>
          <w:tcPr>
            <w:tcW w:w="5720" w:type="dxa"/>
            <w:vAlign w:val="bottom"/>
            <w:gridSpan w:val="32"/>
          </w:tcPr>
          <w:p>
            <w:pPr>
              <w:spacing w:after="0" w:line="129" w:lineRule="exact"/>
              <w:rPr>
                <w:rFonts w:ascii="Times New Roman" w:cs="Times New Roman" w:eastAsia="Times New Roman" w:hAnsi="Times New Roman"/>
                <w:sz w:val="14"/>
                <w:szCs w:val="14"/>
                <w:color w:val="0000FF"/>
              </w:rPr>
            </w:pPr>
            <w:hyperlink r:id="rId353">
              <w:r>
                <w:rPr>
                  <w:rFonts w:ascii="Times New Roman" w:cs="Times New Roman" w:eastAsia="Times New Roman" w:hAnsi="Times New Roman"/>
                  <w:sz w:val="14"/>
                  <w:szCs w:val="14"/>
                  <w:color w:val="0000FF"/>
                </w:rPr>
                <w:t>La Roche Ltd.</w:t>
              </w:r>
            </w:hyperlink>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4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20" w:type="dxa"/>
            <w:vAlign w:val="bottom"/>
            <w:vMerge w:val="restart"/>
          </w:tcPr>
          <w:p>
            <w:pPr>
              <w:jc w:val="center"/>
              <w:ind w:right="268"/>
              <w:spacing w:after="0"/>
              <w:rPr>
                <w:sz w:val="20"/>
                <w:szCs w:val="20"/>
                <w:color w:val="auto"/>
              </w:rPr>
            </w:pPr>
            <w:r>
              <w:rPr>
                <w:rFonts w:ascii="Times New Roman" w:cs="Times New Roman" w:eastAsia="Times New Roman" w:hAnsi="Times New Roman"/>
                <w:sz w:val="14"/>
                <w:szCs w:val="14"/>
                <w:color w:val="auto"/>
                <w:w w:val="98"/>
              </w:rPr>
              <w:t>10.17</w:t>
            </w:r>
            <w:r>
              <w:rPr>
                <w:rFonts w:ascii="Times New Roman" w:cs="Times New Roman" w:eastAsia="Times New Roman" w:hAnsi="Times New Roman"/>
                <w:sz w:val="19"/>
                <w:szCs w:val="19"/>
                <w:color w:val="auto"/>
                <w:w w:val="98"/>
                <w:vertAlign w:val="superscript"/>
              </w:rPr>
              <w:t>+</w:t>
            </w:r>
          </w:p>
        </w:tc>
        <w:tc>
          <w:tcPr>
            <w:tcW w:w="5780" w:type="dxa"/>
            <w:vAlign w:val="bottom"/>
            <w:gridSpan w:val="35"/>
          </w:tcPr>
          <w:p>
            <w:pPr>
              <w:spacing w:after="0" w:line="155" w:lineRule="exact"/>
              <w:rPr>
                <w:rFonts w:ascii="Times New Roman" w:cs="Times New Roman" w:eastAsia="Times New Roman" w:hAnsi="Times New Roman"/>
                <w:sz w:val="14"/>
                <w:szCs w:val="14"/>
                <w:color w:val="0000FF"/>
              </w:rPr>
            </w:pPr>
            <w:hyperlink r:id="rId354">
              <w:r>
                <w:rPr>
                  <w:rFonts w:ascii="Times New Roman" w:cs="Times New Roman" w:eastAsia="Times New Roman" w:hAnsi="Times New Roman"/>
                  <w:sz w:val="14"/>
                  <w:szCs w:val="14"/>
                  <w:color w:val="0000FF"/>
                </w:rPr>
                <w:t>Amended and Restated Offer Letter, dated August 11, 2025, by and between Tempest</w:t>
              </w:r>
            </w:hyperlink>
          </w:p>
        </w:tc>
        <w:tc>
          <w:tcPr>
            <w:tcW w:w="0" w:type="dxa"/>
            <w:vAlign w:val="bottom"/>
          </w:tcPr>
          <w:p>
            <w:pPr>
              <w:spacing w:after="0"/>
              <w:rPr>
                <w:sz w:val="1"/>
                <w:szCs w:val="1"/>
                <w:color w:val="auto"/>
              </w:rPr>
            </w:pPr>
          </w:p>
        </w:tc>
      </w:tr>
      <w:tr>
        <w:trPr>
          <w:trHeight w:val="128"/>
        </w:trPr>
        <w:tc>
          <w:tcPr>
            <w:tcW w:w="720" w:type="dxa"/>
            <w:vAlign w:val="bottom"/>
            <w:vMerge w:val="continue"/>
          </w:tcPr>
          <w:p>
            <w:pPr>
              <w:spacing w:after="0"/>
              <w:rPr>
                <w:sz w:val="11"/>
                <w:szCs w:val="11"/>
                <w:color w:val="auto"/>
              </w:rPr>
            </w:pPr>
          </w:p>
        </w:tc>
        <w:tc>
          <w:tcPr>
            <w:tcW w:w="2460" w:type="dxa"/>
            <w:vAlign w:val="bottom"/>
            <w:tcBorders>
              <w:top w:val="single" w:sz="8" w:color="0000FF"/>
              <w:bottom w:val="single" w:sz="8" w:color="0000FF"/>
            </w:tcBorders>
            <w:gridSpan w:val="12"/>
          </w:tcPr>
          <w:p>
            <w:pPr>
              <w:spacing w:after="0" w:line="129" w:lineRule="exact"/>
              <w:rPr>
                <w:rFonts w:ascii="Times New Roman" w:cs="Times New Roman" w:eastAsia="Times New Roman" w:hAnsi="Times New Roman"/>
                <w:sz w:val="14"/>
                <w:szCs w:val="14"/>
                <w:color w:val="0000FF"/>
              </w:rPr>
            </w:pPr>
            <w:hyperlink r:id="rId354">
              <w:r>
                <w:rPr>
                  <w:rFonts w:ascii="Times New Roman" w:cs="Times New Roman" w:eastAsia="Times New Roman" w:hAnsi="Times New Roman"/>
                  <w:sz w:val="14"/>
                  <w:szCs w:val="14"/>
                  <w:color w:val="0000FF"/>
                </w:rPr>
                <w:t>Therapeutics, Inc. and Justin Trojanowski.</w:t>
              </w:r>
            </w:hyperlink>
          </w:p>
        </w:tc>
        <w:tc>
          <w:tcPr>
            <w:tcW w:w="20" w:type="dxa"/>
            <w:vAlign w:val="bottom"/>
            <w:tcBorders>
              <w:top w:val="single" w:sz="8" w:color="0000FF"/>
              <w:bottom w:val="single" w:sz="8" w:color="0000EE"/>
            </w:tcBorders>
          </w:tcPr>
          <w:p>
            <w:pPr>
              <w:spacing w:after="0"/>
              <w:rPr>
                <w:sz w:val="11"/>
                <w:szCs w:val="11"/>
                <w:color w:val="auto"/>
              </w:rPr>
            </w:pPr>
          </w:p>
        </w:tc>
        <w:tc>
          <w:tcPr>
            <w:tcW w:w="2500" w:type="dxa"/>
            <w:vAlign w:val="bottom"/>
            <w:tcBorders>
              <w:top w:val="single" w:sz="8" w:color="0000FF"/>
            </w:tcBorders>
            <w:gridSpan w:val="10"/>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0" w:type="dxa"/>
            <w:vAlign w:val="bottom"/>
            <w:vMerge w:val="restart"/>
          </w:tcPr>
          <w:p>
            <w:pPr>
              <w:jc w:val="center"/>
              <w:ind w:right="268"/>
              <w:spacing w:after="0"/>
              <w:rPr>
                <w:sz w:val="20"/>
                <w:szCs w:val="20"/>
                <w:color w:val="auto"/>
              </w:rPr>
            </w:pPr>
            <w:r>
              <w:rPr>
                <w:rFonts w:ascii="Times New Roman" w:cs="Times New Roman" w:eastAsia="Times New Roman" w:hAnsi="Times New Roman"/>
                <w:sz w:val="14"/>
                <w:szCs w:val="14"/>
                <w:color w:val="auto"/>
                <w:w w:val="98"/>
              </w:rPr>
              <w:t>10.18</w:t>
            </w:r>
            <w:r>
              <w:rPr>
                <w:rFonts w:ascii="Times New Roman" w:cs="Times New Roman" w:eastAsia="Times New Roman" w:hAnsi="Times New Roman"/>
                <w:sz w:val="19"/>
                <w:szCs w:val="19"/>
                <w:color w:val="auto"/>
                <w:w w:val="98"/>
                <w:vertAlign w:val="superscript"/>
              </w:rPr>
              <w:t>+</w:t>
            </w:r>
          </w:p>
        </w:tc>
        <w:tc>
          <w:tcPr>
            <w:tcW w:w="5780" w:type="dxa"/>
            <w:vAlign w:val="bottom"/>
            <w:gridSpan w:val="35"/>
          </w:tcPr>
          <w:p>
            <w:pPr>
              <w:spacing w:after="0" w:line="129" w:lineRule="exact"/>
              <w:rPr>
                <w:rFonts w:ascii="Times New Roman" w:cs="Times New Roman" w:eastAsia="Times New Roman" w:hAnsi="Times New Roman"/>
                <w:sz w:val="14"/>
                <w:szCs w:val="14"/>
                <w:color w:val="0000FF"/>
              </w:rPr>
            </w:pPr>
            <w:hyperlink r:id="rId355">
              <w:r>
                <w:rPr>
                  <w:rFonts w:ascii="Times New Roman" w:cs="Times New Roman" w:eastAsia="Times New Roman" w:hAnsi="Times New Roman"/>
                  <w:sz w:val="14"/>
                  <w:szCs w:val="14"/>
                  <w:color w:val="0000FF"/>
                </w:rPr>
                <w:t>Separation Agreement, dated June 13, 2025, by and between Tempest Therapeutics, Inc. and</w:t>
              </w:r>
            </w:hyperlink>
          </w:p>
        </w:tc>
        <w:tc>
          <w:tcPr>
            <w:tcW w:w="0" w:type="dxa"/>
            <w:vAlign w:val="bottom"/>
          </w:tcPr>
          <w:p>
            <w:pPr>
              <w:spacing w:after="0"/>
              <w:rPr>
                <w:sz w:val="1"/>
                <w:szCs w:val="1"/>
                <w:color w:val="auto"/>
              </w:rPr>
            </w:pPr>
          </w:p>
        </w:tc>
      </w:tr>
      <w:tr>
        <w:trPr>
          <w:trHeight w:val="128"/>
        </w:trPr>
        <w:tc>
          <w:tcPr>
            <w:tcW w:w="720" w:type="dxa"/>
            <w:vAlign w:val="bottom"/>
            <w:vMerge w:val="continue"/>
          </w:tcPr>
          <w:p>
            <w:pPr>
              <w:spacing w:after="0"/>
              <w:rPr>
                <w:sz w:val="11"/>
                <w:szCs w:val="11"/>
                <w:color w:val="auto"/>
              </w:rPr>
            </w:pPr>
          </w:p>
        </w:tc>
        <w:tc>
          <w:tcPr>
            <w:tcW w:w="860" w:type="dxa"/>
            <w:vAlign w:val="bottom"/>
            <w:tcBorders>
              <w:top w:val="single" w:sz="8" w:color="0000FF"/>
              <w:bottom w:val="single" w:sz="8" w:color="0000FF"/>
            </w:tcBorders>
            <w:gridSpan w:val="2"/>
          </w:tcPr>
          <w:p>
            <w:pPr>
              <w:spacing w:after="0" w:line="129" w:lineRule="exact"/>
              <w:rPr>
                <w:rFonts w:ascii="Times New Roman" w:cs="Times New Roman" w:eastAsia="Times New Roman" w:hAnsi="Times New Roman"/>
                <w:sz w:val="14"/>
                <w:szCs w:val="14"/>
                <w:color w:val="0000FF"/>
              </w:rPr>
            </w:pPr>
            <w:hyperlink r:id="rId355">
              <w:r>
                <w:rPr>
                  <w:rFonts w:ascii="Times New Roman" w:cs="Times New Roman" w:eastAsia="Times New Roman" w:hAnsi="Times New Roman"/>
                  <w:sz w:val="14"/>
                  <w:szCs w:val="14"/>
                  <w:color w:val="0000FF"/>
                </w:rPr>
                <w:t>Stephen Brady</w:t>
              </w:r>
            </w:hyperlink>
          </w:p>
        </w:tc>
        <w:tc>
          <w:tcPr>
            <w:tcW w:w="20" w:type="dxa"/>
            <w:vAlign w:val="bottom"/>
            <w:tcBorders>
              <w:top w:val="single" w:sz="8" w:color="0000FF"/>
              <w:bottom w:val="single" w:sz="8" w:color="0000EE"/>
            </w:tcBorders>
          </w:tcPr>
          <w:p>
            <w:pPr>
              <w:spacing w:after="0"/>
              <w:rPr>
                <w:sz w:val="11"/>
                <w:szCs w:val="11"/>
                <w:color w:val="auto"/>
              </w:rPr>
            </w:pPr>
          </w:p>
        </w:tc>
        <w:tc>
          <w:tcPr>
            <w:tcW w:w="4500" w:type="dxa"/>
            <w:vAlign w:val="bottom"/>
            <w:tcBorders>
              <w:top w:val="single" w:sz="8" w:color="0000FF"/>
            </w:tcBorders>
            <w:gridSpan w:val="23"/>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0" w:type="dxa"/>
            <w:vAlign w:val="bottom"/>
            <w:vMerge w:val="restart"/>
          </w:tcPr>
          <w:p>
            <w:pPr>
              <w:jc w:val="center"/>
              <w:ind w:right="268"/>
              <w:spacing w:after="0"/>
              <w:rPr>
                <w:sz w:val="20"/>
                <w:szCs w:val="20"/>
                <w:color w:val="auto"/>
              </w:rPr>
            </w:pPr>
            <w:r>
              <w:rPr>
                <w:rFonts w:ascii="Times New Roman" w:cs="Times New Roman" w:eastAsia="Times New Roman" w:hAnsi="Times New Roman"/>
                <w:sz w:val="14"/>
                <w:szCs w:val="14"/>
                <w:color w:val="auto"/>
                <w:w w:val="98"/>
              </w:rPr>
              <w:t>10.19</w:t>
            </w:r>
            <w:r>
              <w:rPr>
                <w:rFonts w:ascii="Times New Roman" w:cs="Times New Roman" w:eastAsia="Times New Roman" w:hAnsi="Times New Roman"/>
                <w:sz w:val="19"/>
                <w:szCs w:val="19"/>
                <w:color w:val="auto"/>
                <w:w w:val="98"/>
                <w:vertAlign w:val="superscript"/>
              </w:rPr>
              <w:t>+</w:t>
            </w:r>
          </w:p>
        </w:tc>
        <w:tc>
          <w:tcPr>
            <w:tcW w:w="5780" w:type="dxa"/>
            <w:vAlign w:val="bottom"/>
            <w:gridSpan w:val="35"/>
          </w:tcPr>
          <w:p>
            <w:pPr>
              <w:spacing w:after="0" w:line="129" w:lineRule="exact"/>
              <w:rPr>
                <w:rFonts w:ascii="Times New Roman" w:cs="Times New Roman" w:eastAsia="Times New Roman" w:hAnsi="Times New Roman"/>
                <w:sz w:val="14"/>
                <w:szCs w:val="14"/>
                <w:color w:val="0000FF"/>
              </w:rPr>
            </w:pPr>
            <w:hyperlink r:id="rId356">
              <w:r>
                <w:rPr>
                  <w:rFonts w:ascii="Times New Roman" w:cs="Times New Roman" w:eastAsia="Times New Roman" w:hAnsi="Times New Roman"/>
                  <w:sz w:val="14"/>
                  <w:szCs w:val="14"/>
                  <w:color w:val="0000FF"/>
                </w:rPr>
                <w:t>Separation Agreement, dated June 13, 2025, by and between Tempest Therapeutics, Inc. and</w:t>
              </w:r>
            </w:hyperlink>
          </w:p>
        </w:tc>
        <w:tc>
          <w:tcPr>
            <w:tcW w:w="0" w:type="dxa"/>
            <w:vAlign w:val="bottom"/>
          </w:tcPr>
          <w:p>
            <w:pPr>
              <w:spacing w:after="0"/>
              <w:rPr>
                <w:sz w:val="1"/>
                <w:szCs w:val="1"/>
                <w:color w:val="auto"/>
              </w:rPr>
            </w:pPr>
          </w:p>
        </w:tc>
      </w:tr>
      <w:tr>
        <w:trPr>
          <w:trHeight w:val="129"/>
        </w:trPr>
        <w:tc>
          <w:tcPr>
            <w:tcW w:w="720" w:type="dxa"/>
            <w:vAlign w:val="bottom"/>
            <w:vMerge w:val="continue"/>
          </w:tcPr>
          <w:p>
            <w:pPr>
              <w:spacing w:after="0"/>
              <w:rPr>
                <w:sz w:val="11"/>
                <w:szCs w:val="11"/>
                <w:color w:val="auto"/>
              </w:rPr>
            </w:pPr>
          </w:p>
        </w:tc>
        <w:tc>
          <w:tcPr>
            <w:tcW w:w="5380" w:type="dxa"/>
            <w:vAlign w:val="bottom"/>
            <w:tcBorders>
              <w:top w:val="single" w:sz="8" w:color="0000FF"/>
            </w:tcBorders>
            <w:gridSpan w:val="26"/>
          </w:tcPr>
          <w:p>
            <w:pPr>
              <w:spacing w:after="0" w:line="129" w:lineRule="exact"/>
              <w:rPr>
                <w:rFonts w:ascii="Times New Roman" w:cs="Times New Roman" w:eastAsia="Times New Roman" w:hAnsi="Times New Roman"/>
                <w:sz w:val="14"/>
                <w:szCs w:val="14"/>
                <w:color w:val="0000FF"/>
              </w:rPr>
            </w:pPr>
            <w:hyperlink r:id="rId356">
              <w:r>
                <w:rPr>
                  <w:rFonts w:ascii="Times New Roman" w:cs="Times New Roman" w:eastAsia="Times New Roman" w:hAnsi="Times New Roman"/>
                  <w:sz w:val="14"/>
                  <w:szCs w:val="14"/>
                  <w:color w:val="0000FF"/>
                </w:rPr>
                <w:t>Samuel Whiting</w:t>
              </w:r>
            </w:hyperlink>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92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720" w:type="dxa"/>
            <w:vAlign w:val="bottom"/>
            <w:vMerge w:val="restart"/>
          </w:tcPr>
          <w:p>
            <w:pPr>
              <w:jc w:val="center"/>
              <w:ind w:right="268"/>
              <w:spacing w:after="0"/>
              <w:rPr>
                <w:sz w:val="20"/>
                <w:szCs w:val="20"/>
                <w:color w:val="auto"/>
              </w:rPr>
            </w:pPr>
            <w:r>
              <w:rPr>
                <w:rFonts w:ascii="Times New Roman" w:cs="Times New Roman" w:eastAsia="Times New Roman" w:hAnsi="Times New Roman"/>
                <w:sz w:val="14"/>
                <w:szCs w:val="14"/>
                <w:color w:val="auto"/>
                <w:w w:val="98"/>
              </w:rPr>
              <w:t>10.20</w:t>
            </w:r>
            <w:r>
              <w:rPr>
                <w:rFonts w:ascii="Times New Roman" w:cs="Times New Roman" w:eastAsia="Times New Roman" w:hAnsi="Times New Roman"/>
                <w:sz w:val="19"/>
                <w:szCs w:val="19"/>
                <w:color w:val="auto"/>
                <w:w w:val="98"/>
                <w:vertAlign w:val="superscript"/>
              </w:rPr>
              <w:t>+</w:t>
            </w:r>
          </w:p>
        </w:tc>
        <w:tc>
          <w:tcPr>
            <w:tcW w:w="5780" w:type="dxa"/>
            <w:vAlign w:val="bottom"/>
            <w:gridSpan w:val="35"/>
          </w:tcPr>
          <w:p>
            <w:pPr>
              <w:spacing w:after="0" w:line="129" w:lineRule="exact"/>
              <w:rPr>
                <w:rFonts w:ascii="Times New Roman" w:cs="Times New Roman" w:eastAsia="Times New Roman" w:hAnsi="Times New Roman"/>
                <w:sz w:val="14"/>
                <w:szCs w:val="14"/>
                <w:color w:val="0000FF"/>
              </w:rPr>
            </w:pPr>
            <w:hyperlink r:id="rId357">
              <w:r>
                <w:rPr>
                  <w:rFonts w:ascii="Times New Roman" w:cs="Times New Roman" w:eastAsia="Times New Roman" w:hAnsi="Times New Roman"/>
                  <w:sz w:val="14"/>
                  <w:szCs w:val="14"/>
                  <w:color w:val="0000FF"/>
                </w:rPr>
                <w:t>Separation Agreement, dated June 13, 2025, by and between Tempest Therapeutics, Inc. and</w:t>
              </w:r>
            </w:hyperlink>
          </w:p>
        </w:tc>
        <w:tc>
          <w:tcPr>
            <w:tcW w:w="0" w:type="dxa"/>
            <w:vAlign w:val="bottom"/>
          </w:tcPr>
          <w:p>
            <w:pPr>
              <w:spacing w:after="0"/>
              <w:rPr>
                <w:sz w:val="1"/>
                <w:szCs w:val="1"/>
                <w:color w:val="auto"/>
              </w:rPr>
            </w:pPr>
          </w:p>
        </w:tc>
      </w:tr>
      <w:tr>
        <w:trPr>
          <w:trHeight w:val="128"/>
        </w:trPr>
        <w:tc>
          <w:tcPr>
            <w:tcW w:w="720" w:type="dxa"/>
            <w:vAlign w:val="bottom"/>
            <w:vMerge w:val="continue"/>
          </w:tcPr>
          <w:p>
            <w:pPr>
              <w:spacing w:after="0"/>
              <w:rPr>
                <w:sz w:val="11"/>
                <w:szCs w:val="11"/>
                <w:color w:val="auto"/>
              </w:rPr>
            </w:pPr>
          </w:p>
        </w:tc>
        <w:tc>
          <w:tcPr>
            <w:tcW w:w="5380" w:type="dxa"/>
            <w:vAlign w:val="bottom"/>
            <w:tcBorders>
              <w:top w:val="single" w:sz="8" w:color="0000FF"/>
            </w:tcBorders>
            <w:gridSpan w:val="26"/>
          </w:tcPr>
          <w:p>
            <w:pPr>
              <w:spacing w:after="0" w:line="129" w:lineRule="exact"/>
              <w:rPr>
                <w:rFonts w:ascii="Times New Roman" w:cs="Times New Roman" w:eastAsia="Times New Roman" w:hAnsi="Times New Roman"/>
                <w:sz w:val="14"/>
                <w:szCs w:val="14"/>
                <w:color w:val="0000FF"/>
              </w:rPr>
            </w:pPr>
            <w:hyperlink r:id="rId357">
              <w:r>
                <w:rPr>
                  <w:rFonts w:ascii="Times New Roman" w:cs="Times New Roman" w:eastAsia="Times New Roman" w:hAnsi="Times New Roman"/>
                  <w:sz w:val="14"/>
                  <w:szCs w:val="14"/>
                  <w:color w:val="0000FF"/>
                </w:rPr>
                <w:t>Nicholas Maestas</w:t>
              </w:r>
            </w:hyperlink>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jc w:val="center"/>
              <w:ind w:right="268"/>
              <w:spacing w:after="0"/>
              <w:rPr>
                <w:sz w:val="20"/>
                <w:szCs w:val="20"/>
                <w:color w:val="auto"/>
              </w:rPr>
            </w:pPr>
            <w:r>
              <w:rPr>
                <w:rFonts w:ascii="Times New Roman" w:cs="Times New Roman" w:eastAsia="Times New Roman" w:hAnsi="Times New Roman"/>
                <w:sz w:val="14"/>
                <w:szCs w:val="14"/>
                <w:color w:val="auto"/>
                <w:w w:val="98"/>
              </w:rPr>
              <w:t>10.21</w:t>
            </w:r>
            <w:r>
              <w:rPr>
                <w:rFonts w:ascii="Times New Roman" w:cs="Times New Roman" w:eastAsia="Times New Roman" w:hAnsi="Times New Roman"/>
                <w:sz w:val="19"/>
                <w:szCs w:val="19"/>
                <w:color w:val="auto"/>
                <w:w w:val="98"/>
                <w:vertAlign w:val="superscript"/>
              </w:rPr>
              <w:t>+</w:t>
            </w:r>
          </w:p>
        </w:tc>
        <w:tc>
          <w:tcPr>
            <w:tcW w:w="92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vMerge w:val="continue"/>
          </w:tcPr>
          <w:p>
            <w:pPr>
              <w:spacing w:after="0"/>
              <w:rPr>
                <w:sz w:val="19"/>
                <w:szCs w:val="19"/>
                <w:color w:val="auto"/>
              </w:rPr>
            </w:pPr>
          </w:p>
        </w:tc>
        <w:tc>
          <w:tcPr>
            <w:tcW w:w="5780" w:type="dxa"/>
            <w:vAlign w:val="bottom"/>
            <w:gridSpan w:val="35"/>
          </w:tcPr>
          <w:p>
            <w:pPr>
              <w:spacing w:after="0"/>
              <w:rPr>
                <w:rFonts w:ascii="Times New Roman" w:cs="Times New Roman" w:eastAsia="Times New Roman" w:hAnsi="Times New Roman"/>
                <w:sz w:val="14"/>
                <w:szCs w:val="14"/>
                <w:color w:val="0000FF"/>
              </w:rPr>
            </w:pPr>
            <w:hyperlink r:id="rId358">
              <w:r>
                <w:rPr>
                  <w:rFonts w:ascii="Times New Roman" w:cs="Times New Roman" w:eastAsia="Times New Roman" w:hAnsi="Times New Roman"/>
                  <w:sz w:val="14"/>
                  <w:szCs w:val="14"/>
                  <w:color w:val="0000FF"/>
                </w:rPr>
                <w:t>Form of Consulting Agreement</w:t>
              </w:r>
            </w:hyperlink>
          </w:p>
        </w:tc>
        <w:tc>
          <w:tcPr>
            <w:tcW w:w="0" w:type="dxa"/>
            <w:vAlign w:val="bottom"/>
          </w:tcPr>
          <w:p>
            <w:pPr>
              <w:spacing w:after="0"/>
              <w:rPr>
                <w:sz w:val="1"/>
                <w:szCs w:val="1"/>
                <w:color w:val="auto"/>
              </w:rPr>
            </w:pPr>
          </w:p>
        </w:tc>
      </w:tr>
      <w:tr>
        <w:trPr>
          <w:trHeight w:val="20"/>
        </w:trPr>
        <w:tc>
          <w:tcPr>
            <w:tcW w:w="720" w:type="dxa"/>
            <w:vAlign w:val="bottom"/>
            <w:vMerge w:val="restart"/>
          </w:tcPr>
          <w:p>
            <w:pPr>
              <w:jc w:val="center"/>
              <w:ind w:right="268"/>
              <w:spacing w:after="0"/>
              <w:rPr>
                <w:sz w:val="20"/>
                <w:szCs w:val="20"/>
                <w:color w:val="auto"/>
              </w:rPr>
            </w:pPr>
            <w:r>
              <w:rPr>
                <w:rFonts w:ascii="Times New Roman" w:cs="Times New Roman" w:eastAsia="Times New Roman" w:hAnsi="Times New Roman"/>
                <w:sz w:val="14"/>
                <w:szCs w:val="14"/>
                <w:color w:val="auto"/>
                <w:w w:val="98"/>
              </w:rPr>
              <w:t>10.22</w:t>
            </w:r>
            <w:r>
              <w:rPr>
                <w:rFonts w:ascii="Times New Roman" w:cs="Times New Roman" w:eastAsia="Times New Roman" w:hAnsi="Times New Roman"/>
                <w:sz w:val="19"/>
                <w:szCs w:val="19"/>
                <w:color w:val="auto"/>
                <w:w w:val="98"/>
                <w:vertAlign w:val="superscript"/>
              </w:rPr>
              <w:t>+</w:t>
            </w:r>
          </w:p>
        </w:tc>
        <w:tc>
          <w:tcPr>
            <w:tcW w:w="92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vMerge w:val="continue"/>
          </w:tcPr>
          <w:p>
            <w:pPr>
              <w:spacing w:after="0"/>
              <w:rPr>
                <w:sz w:val="19"/>
                <w:szCs w:val="19"/>
                <w:color w:val="auto"/>
              </w:rPr>
            </w:pPr>
          </w:p>
        </w:tc>
        <w:tc>
          <w:tcPr>
            <w:tcW w:w="5780" w:type="dxa"/>
            <w:vAlign w:val="bottom"/>
            <w:gridSpan w:val="35"/>
          </w:tcPr>
          <w:p>
            <w:pPr>
              <w:spacing w:after="0"/>
              <w:rPr>
                <w:rFonts w:ascii="Times New Roman" w:cs="Times New Roman" w:eastAsia="Times New Roman" w:hAnsi="Times New Roman"/>
                <w:sz w:val="14"/>
                <w:szCs w:val="14"/>
                <w:color w:val="0000FF"/>
              </w:rPr>
            </w:pPr>
            <w:hyperlink r:id="rId359">
              <w:r>
                <w:rPr>
                  <w:rFonts w:ascii="Times New Roman" w:cs="Times New Roman" w:eastAsia="Times New Roman" w:hAnsi="Times New Roman"/>
                  <w:sz w:val="14"/>
                  <w:szCs w:val="14"/>
                  <w:color w:val="0000FF"/>
                </w:rPr>
                <w:t>Form of Success Bonus Agreement</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92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gridSpan w:val="2"/>
            <w:shd w:val="clear" w:color="auto" w:fill="0000FF"/>
          </w:tcPr>
          <w:p>
            <w:pPr>
              <w:spacing w:after="0" w:line="20" w:lineRule="exact"/>
              <w:rPr>
                <w:sz w:val="1"/>
                <w:szCs w:val="1"/>
                <w:color w:val="auto"/>
              </w:rPr>
            </w:pPr>
          </w:p>
        </w:tc>
        <w:tc>
          <w:tcPr>
            <w:tcW w:w="3720" w:type="dxa"/>
            <w:vAlign w:val="bottom"/>
            <w:gridSpan w:val="24"/>
            <w:vMerge w:val="restart"/>
          </w:tcPr>
          <w:p>
            <w:pPr>
              <w:spacing w:after="0" w:line="149" w:lineRule="exact"/>
              <w:rPr>
                <w:rFonts w:ascii="Times New Roman" w:cs="Times New Roman" w:eastAsia="Times New Roman" w:hAnsi="Times New Roman"/>
                <w:sz w:val="14"/>
                <w:szCs w:val="14"/>
                <w:color w:val="0000FF"/>
              </w:rPr>
            </w:pPr>
            <w:hyperlink r:id="rId360">
              <w:r>
                <w:rPr>
                  <w:rFonts w:ascii="Times New Roman" w:cs="Times New Roman" w:eastAsia="Times New Roman" w:hAnsi="Times New Roman"/>
                  <w:sz w:val="14"/>
                  <w:szCs w:val="14"/>
                  <w:color w:val="0000FF"/>
                </w:rPr>
                <w:t>November 19, 2025, by and among Erigen LLC, Factor</w:t>
              </w:r>
            </w:hyperlink>
          </w:p>
        </w:tc>
        <w:tc>
          <w:tcPr>
            <w:tcW w:w="0" w:type="dxa"/>
            <w:vAlign w:val="bottom"/>
          </w:tcPr>
          <w:p>
            <w:pPr>
              <w:spacing w:after="0" w:line="20" w:lineRule="exact"/>
              <w:rPr>
                <w:sz w:val="1"/>
                <w:szCs w:val="1"/>
                <w:color w:val="auto"/>
              </w:rPr>
            </w:pPr>
          </w:p>
        </w:tc>
      </w:tr>
      <w:tr>
        <w:trPr>
          <w:trHeight w:val="129"/>
        </w:trPr>
        <w:tc>
          <w:tcPr>
            <w:tcW w:w="720" w:type="dxa"/>
            <w:vAlign w:val="bottom"/>
            <w:vMerge w:val="restart"/>
          </w:tcPr>
          <w:p>
            <w:pPr>
              <w:jc w:val="center"/>
              <w:ind w:right="248"/>
              <w:spacing w:after="0"/>
              <w:rPr>
                <w:sz w:val="20"/>
                <w:szCs w:val="20"/>
                <w:color w:val="auto"/>
              </w:rPr>
            </w:pPr>
            <w:r>
              <w:rPr>
                <w:rFonts w:ascii="Times New Roman" w:cs="Times New Roman" w:eastAsia="Times New Roman" w:hAnsi="Times New Roman"/>
                <w:sz w:val="14"/>
                <w:szCs w:val="14"/>
                <w:color w:val="auto"/>
              </w:rPr>
              <w:t>10.23*</w:t>
            </w:r>
          </w:p>
        </w:tc>
        <w:tc>
          <w:tcPr>
            <w:tcW w:w="2060" w:type="dxa"/>
            <w:vAlign w:val="bottom"/>
            <w:gridSpan w:val="11"/>
          </w:tcPr>
          <w:p>
            <w:pPr>
              <w:spacing w:after="0" w:line="129" w:lineRule="exact"/>
              <w:rPr>
                <w:rFonts w:ascii="Times New Roman" w:cs="Times New Roman" w:eastAsia="Times New Roman" w:hAnsi="Times New Roman"/>
                <w:sz w:val="14"/>
                <w:szCs w:val="14"/>
                <w:color w:val="0000FF"/>
              </w:rPr>
            </w:pPr>
            <w:hyperlink r:id="rId360">
              <w:r>
                <w:rPr>
                  <w:rFonts w:ascii="Times New Roman" w:cs="Times New Roman" w:eastAsia="Times New Roman" w:hAnsi="Times New Roman"/>
                  <w:sz w:val="14"/>
                  <w:szCs w:val="14"/>
                  <w:color w:val="0000FF"/>
                </w:rPr>
                <w:t>Asset Purchase Agreement, dated</w:t>
              </w:r>
            </w:hyperlink>
          </w:p>
        </w:tc>
        <w:tc>
          <w:tcPr>
            <w:tcW w:w="3720" w:type="dxa"/>
            <w:vAlign w:val="bottom"/>
            <w:gridSpan w:val="2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0" w:type="dxa"/>
            <w:vAlign w:val="bottom"/>
            <w:vMerge w:val="continue"/>
          </w:tcPr>
          <w:p>
            <w:pPr>
              <w:spacing w:after="0"/>
              <w:rPr>
                <w:sz w:val="11"/>
                <w:szCs w:val="11"/>
                <w:color w:val="auto"/>
              </w:rPr>
            </w:pPr>
          </w:p>
        </w:tc>
        <w:tc>
          <w:tcPr>
            <w:tcW w:w="2800" w:type="dxa"/>
            <w:vAlign w:val="bottom"/>
            <w:tcBorders>
              <w:top w:val="single" w:sz="8" w:color="0000FF"/>
              <w:bottom w:val="single" w:sz="8" w:color="0000FF"/>
            </w:tcBorders>
            <w:gridSpan w:val="17"/>
          </w:tcPr>
          <w:p>
            <w:pPr>
              <w:spacing w:after="0" w:line="129" w:lineRule="exact"/>
              <w:rPr>
                <w:rFonts w:ascii="Times New Roman" w:cs="Times New Roman" w:eastAsia="Times New Roman" w:hAnsi="Times New Roman"/>
                <w:sz w:val="14"/>
                <w:szCs w:val="14"/>
                <w:color w:val="0000FF"/>
              </w:rPr>
            </w:pPr>
            <w:hyperlink r:id="rId360">
              <w:r>
                <w:rPr>
                  <w:rFonts w:ascii="Times New Roman" w:cs="Times New Roman" w:eastAsia="Times New Roman" w:hAnsi="Times New Roman"/>
                  <w:sz w:val="14"/>
                  <w:szCs w:val="14"/>
                  <w:color w:val="0000FF"/>
                </w:rPr>
                <w:t>Bioscience Inc., and Tempest Therapeutics, Inc.</w:t>
              </w:r>
            </w:hyperlink>
          </w:p>
        </w:tc>
        <w:tc>
          <w:tcPr>
            <w:tcW w:w="2420" w:type="dxa"/>
            <w:vAlign w:val="bottom"/>
            <w:tcBorders>
              <w:top w:val="single" w:sz="8" w:color="0000FF"/>
            </w:tcBorders>
            <w:gridSpan w:val="7"/>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20" w:type="dxa"/>
            <w:vAlign w:val="bottom"/>
            <w:vMerge w:val="restart"/>
          </w:tcPr>
          <w:p>
            <w:pPr>
              <w:jc w:val="center"/>
              <w:ind w:right="248"/>
              <w:spacing w:after="0"/>
              <w:rPr>
                <w:sz w:val="20"/>
                <w:szCs w:val="20"/>
                <w:color w:val="auto"/>
              </w:rPr>
            </w:pPr>
            <w:r>
              <w:rPr>
                <w:rFonts w:ascii="Times New Roman" w:cs="Times New Roman" w:eastAsia="Times New Roman" w:hAnsi="Times New Roman"/>
                <w:sz w:val="14"/>
                <w:szCs w:val="14"/>
                <w:color w:val="auto"/>
              </w:rPr>
              <w:t>10.24</w:t>
            </w:r>
          </w:p>
        </w:tc>
        <w:tc>
          <w:tcPr>
            <w:tcW w:w="2800" w:type="dxa"/>
            <w:vAlign w:val="bottom"/>
            <w:gridSpan w:val="17"/>
          </w:tcPr>
          <w:p>
            <w:pPr>
              <w:spacing w:after="0" w:line="129" w:lineRule="exact"/>
              <w:rPr>
                <w:rFonts w:ascii="Times New Roman" w:cs="Times New Roman" w:eastAsia="Times New Roman" w:hAnsi="Times New Roman"/>
                <w:sz w:val="14"/>
                <w:szCs w:val="14"/>
                <w:color w:val="0000FF"/>
              </w:rPr>
            </w:pPr>
            <w:hyperlink r:id="rId361">
              <w:r>
                <w:rPr>
                  <w:rFonts w:ascii="Times New Roman" w:cs="Times New Roman" w:eastAsia="Times New Roman" w:hAnsi="Times New Roman"/>
                  <w:sz w:val="14"/>
                  <w:szCs w:val="14"/>
                  <w:color w:val="0000FF"/>
                </w:rPr>
                <w:t>Lock-Up Agreement, dated November 19, 2025,</w:t>
              </w:r>
            </w:hyperlink>
          </w:p>
        </w:tc>
        <w:tc>
          <w:tcPr>
            <w:tcW w:w="2980" w:type="dxa"/>
            <w:vAlign w:val="bottom"/>
            <w:gridSpan w:val="18"/>
          </w:tcPr>
          <w:p>
            <w:pPr>
              <w:ind w:left="40"/>
              <w:spacing w:after="0" w:line="129" w:lineRule="exact"/>
              <w:rPr>
                <w:rFonts w:ascii="Times New Roman" w:cs="Times New Roman" w:eastAsia="Times New Roman" w:hAnsi="Times New Roman"/>
                <w:sz w:val="14"/>
                <w:szCs w:val="14"/>
                <w:color w:val="0000FF"/>
              </w:rPr>
            </w:pPr>
            <w:hyperlink r:id="rId361">
              <w:r>
                <w:rPr>
                  <w:rFonts w:ascii="Times New Roman" w:cs="Times New Roman" w:eastAsia="Times New Roman" w:hAnsi="Times New Roman"/>
                  <w:sz w:val="14"/>
                  <w:szCs w:val="14"/>
                  <w:color w:val="0000FF"/>
                </w:rPr>
                <w:t>by and between Erigen LLC and Tempest</w:t>
              </w:r>
            </w:hyperlink>
          </w:p>
        </w:tc>
        <w:tc>
          <w:tcPr>
            <w:tcW w:w="0" w:type="dxa"/>
            <w:vAlign w:val="bottom"/>
          </w:tcPr>
          <w:p>
            <w:pPr>
              <w:spacing w:after="0"/>
              <w:rPr>
                <w:sz w:val="1"/>
                <w:szCs w:val="1"/>
                <w:color w:val="auto"/>
              </w:rPr>
            </w:pPr>
          </w:p>
        </w:tc>
      </w:tr>
      <w:tr>
        <w:trPr>
          <w:trHeight w:val="128"/>
        </w:trPr>
        <w:tc>
          <w:tcPr>
            <w:tcW w:w="720" w:type="dxa"/>
            <w:vAlign w:val="bottom"/>
            <w:vMerge w:val="continue"/>
          </w:tcPr>
          <w:p>
            <w:pPr>
              <w:spacing w:after="0"/>
              <w:rPr>
                <w:sz w:val="11"/>
                <w:szCs w:val="11"/>
                <w:color w:val="auto"/>
              </w:rPr>
            </w:pPr>
          </w:p>
        </w:tc>
        <w:tc>
          <w:tcPr>
            <w:tcW w:w="1060" w:type="dxa"/>
            <w:vAlign w:val="bottom"/>
            <w:tcBorders>
              <w:top w:val="single" w:sz="8" w:color="0000FF"/>
              <w:bottom w:val="single" w:sz="8" w:color="0000FF"/>
            </w:tcBorders>
            <w:gridSpan w:val="6"/>
          </w:tcPr>
          <w:p>
            <w:pPr>
              <w:spacing w:after="0" w:line="129" w:lineRule="exact"/>
              <w:rPr>
                <w:rFonts w:ascii="Times New Roman" w:cs="Times New Roman" w:eastAsia="Times New Roman" w:hAnsi="Times New Roman"/>
                <w:sz w:val="14"/>
                <w:szCs w:val="14"/>
                <w:color w:val="0000FF"/>
              </w:rPr>
            </w:pPr>
            <w:hyperlink r:id="rId361">
              <w:r>
                <w:rPr>
                  <w:rFonts w:ascii="Times New Roman" w:cs="Times New Roman" w:eastAsia="Times New Roman" w:hAnsi="Times New Roman"/>
                  <w:sz w:val="14"/>
                  <w:szCs w:val="14"/>
                  <w:color w:val="0000FF"/>
                </w:rPr>
                <w:t>Therapeutics, Inc.</w:t>
              </w:r>
            </w:hyperlink>
          </w:p>
        </w:tc>
        <w:tc>
          <w:tcPr>
            <w:tcW w:w="20" w:type="dxa"/>
            <w:vAlign w:val="bottom"/>
            <w:tcBorders>
              <w:top w:val="single" w:sz="8" w:color="0000FF"/>
              <w:bottom w:val="single" w:sz="8" w:color="0000EE"/>
            </w:tcBorders>
          </w:tcPr>
          <w:p>
            <w:pPr>
              <w:spacing w:after="0"/>
              <w:rPr>
                <w:sz w:val="11"/>
                <w:szCs w:val="11"/>
                <w:color w:val="auto"/>
              </w:rPr>
            </w:pPr>
          </w:p>
        </w:tc>
        <w:tc>
          <w:tcPr>
            <w:tcW w:w="4260" w:type="dxa"/>
            <w:vAlign w:val="bottom"/>
            <w:tcBorders>
              <w:top w:val="single" w:sz="8" w:color="0000FF"/>
            </w:tcBorders>
            <w:gridSpan w:val="18"/>
          </w:tcPr>
          <w:p>
            <w:pPr>
              <w:spacing w:after="0"/>
              <w:rPr>
                <w:sz w:val="11"/>
                <w:szCs w:val="11"/>
                <w:color w:val="auto"/>
              </w:rPr>
            </w:pPr>
          </w:p>
        </w:tc>
        <w:tc>
          <w:tcPr>
            <w:tcW w:w="1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0" w:type="dxa"/>
            <w:vAlign w:val="bottom"/>
            <w:vMerge w:val="restart"/>
          </w:tcPr>
          <w:p>
            <w:pPr>
              <w:jc w:val="center"/>
              <w:ind w:right="248"/>
              <w:spacing w:after="0"/>
              <w:rPr>
                <w:sz w:val="20"/>
                <w:szCs w:val="20"/>
                <w:color w:val="auto"/>
              </w:rPr>
            </w:pPr>
            <w:r>
              <w:rPr>
                <w:rFonts w:ascii="Times New Roman" w:cs="Times New Roman" w:eastAsia="Times New Roman" w:hAnsi="Times New Roman"/>
                <w:sz w:val="14"/>
                <w:szCs w:val="14"/>
                <w:color w:val="auto"/>
              </w:rPr>
              <w:t>10.25#</w:t>
            </w:r>
          </w:p>
        </w:tc>
        <w:tc>
          <w:tcPr>
            <w:tcW w:w="1080" w:type="dxa"/>
            <w:vAlign w:val="bottom"/>
            <w:gridSpan w:val="7"/>
          </w:tcPr>
          <w:p>
            <w:pPr>
              <w:spacing w:after="0" w:line="129" w:lineRule="exact"/>
              <w:rPr>
                <w:sz w:val="20"/>
                <w:szCs w:val="20"/>
                <w:color w:val="auto"/>
              </w:rPr>
            </w:pPr>
            <w:r>
              <w:rPr>
                <w:rFonts w:ascii="Times New Roman" w:cs="Times New Roman" w:eastAsia="Times New Roman" w:hAnsi="Times New Roman"/>
                <w:sz w:val="14"/>
                <w:szCs w:val="14"/>
                <w:color w:val="0000FF"/>
              </w:rPr>
              <w:t>Exclusive License</w:t>
            </w:r>
          </w:p>
        </w:tc>
        <w:tc>
          <w:tcPr>
            <w:tcW w:w="20" w:type="dxa"/>
            <w:vAlign w:val="bottom"/>
          </w:tcPr>
          <w:p>
            <w:pPr>
              <w:spacing w:after="0"/>
              <w:rPr>
                <w:sz w:val="11"/>
                <w:szCs w:val="11"/>
                <w:color w:val="auto"/>
              </w:rPr>
            </w:pPr>
          </w:p>
        </w:tc>
        <w:tc>
          <w:tcPr>
            <w:tcW w:w="4680" w:type="dxa"/>
            <w:vAlign w:val="bottom"/>
            <w:gridSpan w:val="27"/>
          </w:tcPr>
          <w:p>
            <w:pPr>
              <w:spacing w:after="0" w:line="129" w:lineRule="exact"/>
              <w:rPr>
                <w:sz w:val="20"/>
                <w:szCs w:val="20"/>
                <w:color w:val="auto"/>
              </w:rPr>
            </w:pPr>
            <w:r>
              <w:rPr>
                <w:rFonts w:ascii="Times New Roman" w:cs="Times New Roman" w:eastAsia="Times New Roman" w:hAnsi="Times New Roman"/>
                <w:sz w:val="14"/>
                <w:szCs w:val="14"/>
                <w:color w:val="0000FF"/>
              </w:rPr>
              <w:t>and Collaboration Agreement, dated July 18, 2025, by and between Erigen LLC</w:t>
            </w:r>
          </w:p>
        </w:tc>
        <w:tc>
          <w:tcPr>
            <w:tcW w:w="0" w:type="dxa"/>
            <w:vAlign w:val="bottom"/>
          </w:tcPr>
          <w:p>
            <w:pPr>
              <w:spacing w:after="0"/>
              <w:rPr>
                <w:sz w:val="1"/>
                <w:szCs w:val="1"/>
                <w:color w:val="auto"/>
              </w:rPr>
            </w:pPr>
          </w:p>
        </w:tc>
      </w:tr>
      <w:tr>
        <w:trPr>
          <w:trHeight w:val="129"/>
        </w:trPr>
        <w:tc>
          <w:tcPr>
            <w:tcW w:w="720" w:type="dxa"/>
            <w:vAlign w:val="bottom"/>
            <w:vMerge w:val="continue"/>
          </w:tcPr>
          <w:p>
            <w:pPr>
              <w:spacing w:after="0"/>
              <w:rPr>
                <w:sz w:val="11"/>
                <w:szCs w:val="11"/>
                <w:color w:val="auto"/>
              </w:rPr>
            </w:pPr>
          </w:p>
        </w:tc>
        <w:tc>
          <w:tcPr>
            <w:tcW w:w="5740" w:type="dxa"/>
            <w:vAlign w:val="bottom"/>
            <w:tcBorders>
              <w:top w:val="single" w:sz="8" w:color="0000FF"/>
            </w:tcBorders>
            <w:gridSpan w:val="33"/>
          </w:tcPr>
          <w:p>
            <w:pPr>
              <w:spacing w:after="0" w:line="129" w:lineRule="exact"/>
              <w:rPr>
                <w:sz w:val="20"/>
                <w:szCs w:val="20"/>
                <w:color w:val="auto"/>
              </w:rPr>
            </w:pPr>
            <w:r>
              <w:rPr>
                <w:rFonts w:ascii="Times New Roman" w:cs="Times New Roman" w:eastAsia="Times New Roman" w:hAnsi="Times New Roman"/>
                <w:sz w:val="14"/>
                <w:szCs w:val="14"/>
                <w:color w:val="0000FF"/>
              </w:rPr>
              <w:t>and Novatim Immune Therapeutics Co., Ltd.</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92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180" w:type="dxa"/>
            <w:vAlign w:val="bottom"/>
            <w:tcBorders>
              <w:left w:val="single" w:sz="8" w:color="0000FF"/>
            </w:tcBorders>
            <w:gridSpan w:val="4"/>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720" w:type="dxa"/>
            <w:vAlign w:val="bottom"/>
            <w:vMerge w:val="restart"/>
          </w:tcPr>
          <w:p>
            <w:pPr>
              <w:jc w:val="center"/>
              <w:ind w:right="248"/>
              <w:spacing w:after="0"/>
              <w:rPr>
                <w:sz w:val="20"/>
                <w:szCs w:val="20"/>
                <w:color w:val="auto"/>
              </w:rPr>
            </w:pPr>
            <w:r>
              <w:rPr>
                <w:rFonts w:ascii="Times New Roman" w:cs="Times New Roman" w:eastAsia="Times New Roman" w:hAnsi="Times New Roman"/>
                <w:sz w:val="14"/>
                <w:szCs w:val="14"/>
                <w:color w:val="auto"/>
              </w:rPr>
              <w:t>10.26#</w:t>
            </w:r>
          </w:p>
        </w:tc>
        <w:tc>
          <w:tcPr>
            <w:tcW w:w="5780" w:type="dxa"/>
            <w:vAlign w:val="bottom"/>
            <w:gridSpan w:val="35"/>
          </w:tcPr>
          <w:p>
            <w:pPr>
              <w:spacing w:after="0" w:line="129" w:lineRule="exact"/>
              <w:rPr>
                <w:sz w:val="20"/>
                <w:szCs w:val="20"/>
                <w:color w:val="auto"/>
              </w:rPr>
            </w:pPr>
            <w:r>
              <w:rPr>
                <w:rFonts w:ascii="Times New Roman" w:cs="Times New Roman" w:eastAsia="Times New Roman" w:hAnsi="Times New Roman"/>
                <w:sz w:val="14"/>
                <w:szCs w:val="14"/>
                <w:color w:val="0000FF"/>
              </w:rPr>
              <w:t>Amended and Restated License and Collaboration Agreement, dated November 19, 2025, by and</w:t>
            </w:r>
          </w:p>
        </w:tc>
        <w:tc>
          <w:tcPr>
            <w:tcW w:w="0" w:type="dxa"/>
            <w:vAlign w:val="bottom"/>
          </w:tcPr>
          <w:p>
            <w:pPr>
              <w:spacing w:after="0"/>
              <w:rPr>
                <w:sz w:val="1"/>
                <w:szCs w:val="1"/>
                <w:color w:val="auto"/>
              </w:rPr>
            </w:pPr>
          </w:p>
        </w:tc>
      </w:tr>
      <w:tr>
        <w:trPr>
          <w:trHeight w:val="128"/>
        </w:trPr>
        <w:tc>
          <w:tcPr>
            <w:tcW w:w="720" w:type="dxa"/>
            <w:vAlign w:val="bottom"/>
            <w:vMerge w:val="continue"/>
          </w:tcPr>
          <w:p>
            <w:pPr>
              <w:spacing w:after="0"/>
              <w:rPr>
                <w:sz w:val="11"/>
                <w:szCs w:val="11"/>
                <w:color w:val="auto"/>
              </w:rPr>
            </w:pPr>
          </w:p>
        </w:tc>
        <w:tc>
          <w:tcPr>
            <w:tcW w:w="3020" w:type="dxa"/>
            <w:vAlign w:val="bottom"/>
            <w:tcBorders>
              <w:top w:val="single" w:sz="8" w:color="0000FF"/>
              <w:bottom w:val="single" w:sz="8" w:color="0000FF"/>
            </w:tcBorders>
            <w:gridSpan w:val="19"/>
          </w:tcPr>
          <w:p>
            <w:pPr>
              <w:spacing w:after="0" w:line="129" w:lineRule="exact"/>
              <w:rPr>
                <w:sz w:val="20"/>
                <w:szCs w:val="20"/>
                <w:color w:val="auto"/>
              </w:rPr>
            </w:pPr>
            <w:r>
              <w:rPr>
                <w:rFonts w:ascii="Times New Roman" w:cs="Times New Roman" w:eastAsia="Times New Roman" w:hAnsi="Times New Roman"/>
                <w:sz w:val="14"/>
                <w:szCs w:val="14"/>
                <w:color w:val="0000FF"/>
              </w:rPr>
              <w:t>between Factor Bioscience Limited and Erigen LLC</w:t>
            </w:r>
          </w:p>
        </w:tc>
        <w:tc>
          <w:tcPr>
            <w:tcW w:w="2620" w:type="dxa"/>
            <w:vAlign w:val="bottom"/>
            <w:tcBorders>
              <w:top w:val="single" w:sz="8" w:color="0000FF"/>
            </w:tcBorders>
            <w:gridSpan w:val="11"/>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20" w:type="dxa"/>
            <w:vAlign w:val="bottom"/>
            <w:vMerge w:val="restart"/>
          </w:tcPr>
          <w:p>
            <w:pPr>
              <w:jc w:val="center"/>
              <w:ind w:right="248"/>
              <w:spacing w:after="0"/>
              <w:rPr>
                <w:sz w:val="20"/>
                <w:szCs w:val="20"/>
                <w:color w:val="auto"/>
              </w:rPr>
            </w:pPr>
            <w:r>
              <w:rPr>
                <w:rFonts w:ascii="Times New Roman" w:cs="Times New Roman" w:eastAsia="Times New Roman" w:hAnsi="Times New Roman"/>
                <w:sz w:val="14"/>
                <w:szCs w:val="14"/>
                <w:color w:val="auto"/>
              </w:rPr>
              <w:t>10.27#</w:t>
            </w:r>
          </w:p>
        </w:tc>
        <w:tc>
          <w:tcPr>
            <w:tcW w:w="3020" w:type="dxa"/>
            <w:vAlign w:val="bottom"/>
            <w:gridSpan w:val="19"/>
          </w:tcPr>
          <w:p>
            <w:pPr>
              <w:spacing w:after="0" w:line="129" w:lineRule="exact"/>
              <w:rPr>
                <w:sz w:val="20"/>
                <w:szCs w:val="20"/>
                <w:color w:val="auto"/>
              </w:rPr>
            </w:pPr>
            <w:r>
              <w:rPr>
                <w:rFonts w:ascii="Times New Roman" w:cs="Times New Roman" w:eastAsia="Times New Roman" w:hAnsi="Times New Roman"/>
                <w:sz w:val="14"/>
                <w:szCs w:val="14"/>
                <w:color w:val="0000FF"/>
              </w:rPr>
              <w:t>Amended and Restated Master Services Agreement,</w:t>
            </w:r>
          </w:p>
        </w:tc>
        <w:tc>
          <w:tcPr>
            <w:tcW w:w="2760" w:type="dxa"/>
            <w:vAlign w:val="bottom"/>
            <w:gridSpan w:val="16"/>
          </w:tcPr>
          <w:p>
            <w:pPr>
              <w:ind w:left="20"/>
              <w:spacing w:after="0" w:line="129" w:lineRule="exact"/>
              <w:rPr>
                <w:sz w:val="20"/>
                <w:szCs w:val="20"/>
                <w:color w:val="auto"/>
              </w:rPr>
            </w:pPr>
            <w:r>
              <w:rPr>
                <w:rFonts w:ascii="Times New Roman" w:cs="Times New Roman" w:eastAsia="Times New Roman" w:hAnsi="Times New Roman"/>
                <w:sz w:val="14"/>
                <w:szCs w:val="14"/>
                <w:color w:val="0000FF"/>
              </w:rPr>
              <w:t>dated November 19, 2025, by and between</w:t>
            </w:r>
          </w:p>
        </w:tc>
        <w:tc>
          <w:tcPr>
            <w:tcW w:w="0" w:type="dxa"/>
            <w:vAlign w:val="bottom"/>
          </w:tcPr>
          <w:p>
            <w:pPr>
              <w:spacing w:after="0"/>
              <w:rPr>
                <w:sz w:val="1"/>
                <w:szCs w:val="1"/>
                <w:color w:val="auto"/>
              </w:rPr>
            </w:pPr>
          </w:p>
        </w:tc>
      </w:tr>
      <w:tr>
        <w:trPr>
          <w:trHeight w:val="128"/>
        </w:trPr>
        <w:tc>
          <w:tcPr>
            <w:tcW w:w="720" w:type="dxa"/>
            <w:vAlign w:val="bottom"/>
            <w:vMerge w:val="continue"/>
          </w:tcPr>
          <w:p>
            <w:pPr>
              <w:spacing w:after="0"/>
              <w:rPr>
                <w:sz w:val="11"/>
                <w:szCs w:val="11"/>
                <w:color w:val="auto"/>
              </w:rPr>
            </w:pPr>
          </w:p>
        </w:tc>
        <w:tc>
          <w:tcPr>
            <w:tcW w:w="5560" w:type="dxa"/>
            <w:vAlign w:val="bottom"/>
            <w:tcBorders>
              <w:top w:val="single" w:sz="8" w:color="0000FF"/>
            </w:tcBorders>
            <w:gridSpan w:val="29"/>
          </w:tcPr>
          <w:p>
            <w:pPr>
              <w:spacing w:after="0" w:line="129" w:lineRule="exact"/>
              <w:rPr>
                <w:sz w:val="20"/>
                <w:szCs w:val="20"/>
                <w:color w:val="auto"/>
              </w:rPr>
            </w:pPr>
            <w:r>
              <w:rPr>
                <w:rFonts w:ascii="Times New Roman" w:cs="Times New Roman" w:eastAsia="Times New Roman" w:hAnsi="Times New Roman"/>
                <w:sz w:val="14"/>
                <w:szCs w:val="14"/>
                <w:color w:val="0000FF"/>
              </w:rPr>
              <w:t>Factor Bioscience Limited and Erigen LLC</w:t>
            </w:r>
          </w:p>
        </w:tc>
        <w:tc>
          <w:tcPr>
            <w:tcW w:w="1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92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180" w:type="dxa"/>
            <w:vAlign w:val="bottom"/>
            <w:tcBorders>
              <w:left w:val="single" w:sz="8" w:color="0000FF"/>
            </w:tcBorders>
            <w:gridSpan w:val="4"/>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EE"/>
            </w:tcBorders>
            <w:gridSpan w:val="5"/>
            <w:shd w:val="clear" w:color="auto" w:fill="0000FF"/>
          </w:tcPr>
          <w:p>
            <w:pPr>
              <w:spacing w:after="0" w:line="20" w:lineRule="exact"/>
              <w:rPr>
                <w:sz w:val="1"/>
                <w:szCs w:val="1"/>
                <w:color w:val="auto"/>
              </w:rPr>
            </w:pPr>
          </w:p>
        </w:tc>
        <w:tc>
          <w:tcPr>
            <w:tcW w:w="3260" w:type="dxa"/>
            <w:vAlign w:val="bottom"/>
            <w:gridSpan w:val="21"/>
            <w:vMerge w:val="restart"/>
          </w:tcPr>
          <w:p>
            <w:pPr>
              <w:spacing w:after="0" w:line="149" w:lineRule="exact"/>
              <w:rPr>
                <w:sz w:val="20"/>
                <w:szCs w:val="20"/>
                <w:color w:val="auto"/>
              </w:rPr>
            </w:pPr>
            <w:r>
              <w:rPr>
                <w:rFonts w:ascii="Times New Roman" w:cs="Times New Roman" w:eastAsia="Times New Roman" w:hAnsi="Times New Roman"/>
                <w:sz w:val="14"/>
                <w:szCs w:val="14"/>
                <w:color w:val="0000FF"/>
              </w:rPr>
              <w:t>November 19, 2025, by and between the Registrant and</w:t>
            </w:r>
          </w:p>
        </w:tc>
        <w:tc>
          <w:tcPr>
            <w:tcW w:w="0" w:type="dxa"/>
            <w:vAlign w:val="bottom"/>
          </w:tcPr>
          <w:p>
            <w:pPr>
              <w:spacing w:after="0" w:line="20" w:lineRule="exact"/>
              <w:rPr>
                <w:sz w:val="1"/>
                <w:szCs w:val="1"/>
                <w:color w:val="auto"/>
              </w:rPr>
            </w:pPr>
          </w:p>
        </w:tc>
      </w:tr>
      <w:tr>
        <w:trPr>
          <w:trHeight w:val="128"/>
        </w:trPr>
        <w:tc>
          <w:tcPr>
            <w:tcW w:w="720" w:type="dxa"/>
            <w:vAlign w:val="bottom"/>
            <w:vMerge w:val="restart"/>
          </w:tcPr>
          <w:p>
            <w:pPr>
              <w:jc w:val="center"/>
              <w:ind w:right="268"/>
              <w:spacing w:after="0"/>
              <w:rPr>
                <w:sz w:val="20"/>
                <w:szCs w:val="20"/>
                <w:color w:val="auto"/>
              </w:rPr>
            </w:pPr>
            <w:r>
              <w:rPr>
                <w:rFonts w:ascii="Times New Roman" w:cs="Times New Roman" w:eastAsia="Times New Roman" w:hAnsi="Times New Roman"/>
                <w:sz w:val="14"/>
                <w:szCs w:val="14"/>
                <w:color w:val="auto"/>
                <w:w w:val="98"/>
              </w:rPr>
              <w:t>10.28</w:t>
            </w:r>
            <w:r>
              <w:rPr>
                <w:rFonts w:ascii="Times New Roman" w:cs="Times New Roman" w:eastAsia="Times New Roman" w:hAnsi="Times New Roman"/>
                <w:sz w:val="19"/>
                <w:szCs w:val="19"/>
                <w:color w:val="auto"/>
                <w:w w:val="98"/>
                <w:vertAlign w:val="superscript"/>
              </w:rPr>
              <w:t>+</w:t>
            </w:r>
          </w:p>
        </w:tc>
        <w:tc>
          <w:tcPr>
            <w:tcW w:w="2520" w:type="dxa"/>
            <w:vAlign w:val="bottom"/>
            <w:gridSpan w:val="14"/>
          </w:tcPr>
          <w:p>
            <w:pPr>
              <w:spacing w:after="0" w:line="129" w:lineRule="exact"/>
              <w:rPr>
                <w:sz w:val="20"/>
                <w:szCs w:val="20"/>
                <w:color w:val="auto"/>
              </w:rPr>
            </w:pPr>
            <w:r>
              <w:rPr>
                <w:rFonts w:ascii="Times New Roman" w:cs="Times New Roman" w:eastAsia="Times New Roman" w:hAnsi="Times New Roman"/>
                <w:sz w:val="14"/>
                <w:szCs w:val="14"/>
                <w:color w:val="0000FF"/>
              </w:rPr>
              <w:t>Executive Employment Agreement, dated</w:t>
            </w:r>
          </w:p>
        </w:tc>
        <w:tc>
          <w:tcPr>
            <w:tcW w:w="3260" w:type="dxa"/>
            <w:vAlign w:val="bottom"/>
            <w:gridSpan w:val="2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20" w:type="dxa"/>
            <w:vAlign w:val="bottom"/>
            <w:vMerge w:val="continue"/>
          </w:tcPr>
          <w:p>
            <w:pPr>
              <w:spacing w:after="0"/>
              <w:rPr>
                <w:sz w:val="11"/>
                <w:szCs w:val="11"/>
                <w:color w:val="auto"/>
              </w:rPr>
            </w:pPr>
          </w:p>
        </w:tc>
        <w:tc>
          <w:tcPr>
            <w:tcW w:w="5720" w:type="dxa"/>
            <w:vAlign w:val="bottom"/>
            <w:tcBorders>
              <w:top w:val="single" w:sz="8" w:color="0000FF"/>
            </w:tcBorders>
            <w:gridSpan w:val="32"/>
          </w:tcPr>
          <w:p>
            <w:pPr>
              <w:spacing w:after="0" w:line="129" w:lineRule="exact"/>
              <w:rPr>
                <w:sz w:val="20"/>
                <w:szCs w:val="20"/>
                <w:color w:val="auto"/>
              </w:rPr>
            </w:pPr>
            <w:r>
              <w:rPr>
                <w:rFonts w:ascii="Times New Roman" w:cs="Times New Roman" w:eastAsia="Times New Roman" w:hAnsi="Times New Roman"/>
                <w:sz w:val="14"/>
                <w:szCs w:val="14"/>
                <w:color w:val="0000FF"/>
              </w:rPr>
              <w:t>Matthew Angel</w:t>
            </w: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920" w:type="dxa"/>
            <w:vAlign w:val="bottom"/>
            <w:tcBorders>
              <w:left w:val="single" w:sz="8" w:color="0000EE"/>
              <w:right w:val="single" w:sz="8" w:color="0000EE"/>
            </w:tcBorders>
            <w:gridSpan w:val="4"/>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720" w:type="dxa"/>
            <w:vAlign w:val="bottom"/>
            <w:vMerge w:val="restart"/>
          </w:tcPr>
          <w:p>
            <w:pPr>
              <w:jc w:val="center"/>
              <w:ind w:right="268"/>
              <w:spacing w:after="0"/>
              <w:rPr>
                <w:sz w:val="20"/>
                <w:szCs w:val="20"/>
                <w:color w:val="auto"/>
              </w:rPr>
            </w:pPr>
            <w:r>
              <w:rPr>
                <w:rFonts w:ascii="Times New Roman" w:cs="Times New Roman" w:eastAsia="Times New Roman" w:hAnsi="Times New Roman"/>
                <w:sz w:val="14"/>
                <w:szCs w:val="14"/>
                <w:color w:val="auto"/>
                <w:w w:val="98"/>
              </w:rPr>
              <w:t>10.29</w:t>
            </w:r>
            <w:r>
              <w:rPr>
                <w:rFonts w:ascii="Times New Roman" w:cs="Times New Roman" w:eastAsia="Times New Roman" w:hAnsi="Times New Roman"/>
                <w:sz w:val="19"/>
                <w:szCs w:val="19"/>
                <w:color w:val="auto"/>
                <w:w w:val="98"/>
                <w:vertAlign w:val="superscript"/>
              </w:rPr>
              <w:t>+</w:t>
            </w:r>
          </w:p>
        </w:tc>
        <w:tc>
          <w:tcPr>
            <w:tcW w:w="5780" w:type="dxa"/>
            <w:vAlign w:val="bottom"/>
            <w:gridSpan w:val="35"/>
          </w:tcPr>
          <w:p>
            <w:pPr>
              <w:spacing w:after="0" w:line="129" w:lineRule="exact"/>
              <w:rPr>
                <w:sz w:val="20"/>
                <w:szCs w:val="20"/>
                <w:color w:val="auto"/>
              </w:rPr>
            </w:pPr>
            <w:r>
              <w:rPr>
                <w:rFonts w:ascii="Times New Roman" w:cs="Times New Roman" w:eastAsia="Times New Roman" w:hAnsi="Times New Roman"/>
                <w:sz w:val="14"/>
                <w:szCs w:val="14"/>
                <w:color w:val="0000FF"/>
              </w:rPr>
              <w:t>Executive Employment Agreement, dated February 3, 2026 by and between the Registrant and</w:t>
            </w:r>
          </w:p>
        </w:tc>
        <w:tc>
          <w:tcPr>
            <w:tcW w:w="0" w:type="dxa"/>
            <w:vAlign w:val="bottom"/>
          </w:tcPr>
          <w:p>
            <w:pPr>
              <w:spacing w:after="0"/>
              <w:rPr>
                <w:sz w:val="1"/>
                <w:szCs w:val="1"/>
                <w:color w:val="auto"/>
              </w:rPr>
            </w:pPr>
          </w:p>
        </w:tc>
      </w:tr>
      <w:tr>
        <w:trPr>
          <w:trHeight w:val="129"/>
        </w:trPr>
        <w:tc>
          <w:tcPr>
            <w:tcW w:w="720" w:type="dxa"/>
            <w:vAlign w:val="bottom"/>
            <w:vMerge w:val="continue"/>
          </w:tcPr>
          <w:p>
            <w:pPr>
              <w:spacing w:after="0"/>
              <w:rPr>
                <w:sz w:val="11"/>
                <w:szCs w:val="11"/>
                <w:color w:val="auto"/>
              </w:rPr>
            </w:pPr>
          </w:p>
        </w:tc>
        <w:tc>
          <w:tcPr>
            <w:tcW w:w="5500" w:type="dxa"/>
            <w:vAlign w:val="bottom"/>
            <w:tcBorders>
              <w:top w:val="single" w:sz="8" w:color="0000FF"/>
            </w:tcBorders>
            <w:gridSpan w:val="27"/>
          </w:tcPr>
          <w:p>
            <w:pPr>
              <w:spacing w:after="0" w:line="129" w:lineRule="exact"/>
              <w:rPr>
                <w:sz w:val="20"/>
                <w:szCs w:val="20"/>
                <w:color w:val="auto"/>
              </w:rPr>
            </w:pPr>
            <w:r>
              <w:rPr>
                <w:rFonts w:ascii="Times New Roman" w:cs="Times New Roman" w:eastAsia="Times New Roman" w:hAnsi="Times New Roman"/>
                <w:sz w:val="14"/>
                <w:szCs w:val="14"/>
                <w:color w:val="0000FF"/>
              </w:rPr>
              <w:t>Nicholas Maestas</w:t>
            </w:r>
          </w:p>
        </w:tc>
        <w:tc>
          <w:tcPr>
            <w:tcW w:w="40" w:type="dxa"/>
            <w:vAlign w:val="bottom"/>
          </w:tcPr>
          <w:p>
            <w:pPr>
              <w:spacing w:after="0"/>
              <w:rPr>
                <w:sz w:val="11"/>
                <w:szCs w:val="11"/>
                <w:color w:val="auto"/>
              </w:rPr>
            </w:pPr>
          </w:p>
        </w:tc>
        <w:tc>
          <w:tcPr>
            <w:tcW w:w="140" w:type="dxa"/>
            <w:vAlign w:val="bottom"/>
            <w:gridSpan w:val="3"/>
          </w:tcPr>
          <w:p>
            <w:pPr>
              <w:spacing w:after="0"/>
              <w:rPr>
                <w:sz w:val="11"/>
                <w:szCs w:val="11"/>
                <w:color w:val="auto"/>
              </w:rPr>
            </w:pPr>
          </w:p>
        </w:tc>
        <w:tc>
          <w:tcPr>
            <w:tcW w:w="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40" w:type="dxa"/>
            <w:vAlign w:val="bottom"/>
            <w:tcBorders>
              <w:left w:val="single" w:sz="8" w:color="0000EE"/>
              <w:right w:val="single" w:sz="8" w:color="0000EE"/>
            </w:tcBorders>
            <w:gridSpan w:val="5"/>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rPr>
              <w:t>19.1</w:t>
            </w:r>
          </w:p>
        </w:tc>
        <w:tc>
          <w:tcPr>
            <w:tcW w:w="5780" w:type="dxa"/>
            <w:vAlign w:val="bottom"/>
            <w:gridSpan w:val="35"/>
          </w:tcPr>
          <w:p>
            <w:pPr>
              <w:spacing w:after="0"/>
              <w:rPr>
                <w:rFonts w:ascii="Times New Roman" w:cs="Times New Roman" w:eastAsia="Times New Roman" w:hAnsi="Times New Roman"/>
                <w:sz w:val="14"/>
                <w:szCs w:val="14"/>
                <w:color w:val="0000FF"/>
              </w:rPr>
            </w:pPr>
            <w:hyperlink r:id="rId362">
              <w:r>
                <w:rPr>
                  <w:rFonts w:ascii="Times New Roman" w:cs="Times New Roman" w:eastAsia="Times New Roman" w:hAnsi="Times New Roman"/>
                  <w:sz w:val="14"/>
                  <w:szCs w:val="14"/>
                  <w:color w:val="0000FF"/>
                </w:rPr>
                <w:t>Tempest Therapeutics, Inc. Insider Trading Policy</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100" w:type="dxa"/>
            <w:vAlign w:val="bottom"/>
            <w:tcBorders>
              <w:left w:val="single" w:sz="8" w:color="0000EE"/>
            </w:tcBorders>
            <w:gridSpan w:val="8"/>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2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rPr>
              <w:t>21.1</w:t>
            </w:r>
          </w:p>
        </w:tc>
        <w:tc>
          <w:tcPr>
            <w:tcW w:w="5780" w:type="dxa"/>
            <w:vAlign w:val="bottom"/>
            <w:gridSpan w:val="35"/>
          </w:tcPr>
          <w:p>
            <w:pPr>
              <w:spacing w:after="0"/>
              <w:rPr>
                <w:rFonts w:ascii="Times New Roman" w:cs="Times New Roman" w:eastAsia="Times New Roman" w:hAnsi="Times New Roman"/>
                <w:sz w:val="14"/>
                <w:szCs w:val="14"/>
                <w:color w:val="0000FF"/>
              </w:rPr>
            </w:pPr>
            <w:hyperlink r:id="rId363">
              <w:r>
                <w:rPr>
                  <w:rFonts w:ascii="Times New Roman" w:cs="Times New Roman" w:eastAsia="Times New Roman" w:hAnsi="Times New Roman"/>
                  <w:sz w:val="14"/>
                  <w:szCs w:val="14"/>
                  <w:color w:val="0000FF"/>
                </w:rPr>
                <w:t>Subsidiaries of the Registrant</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100" w:type="dxa"/>
            <w:vAlign w:val="bottom"/>
            <w:tcBorders>
              <w:left w:val="single" w:sz="8" w:color="0000EE"/>
            </w:tcBorders>
            <w:gridSpan w:val="8"/>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2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rPr>
              <w:t>23.1</w:t>
            </w:r>
          </w:p>
        </w:tc>
        <w:tc>
          <w:tcPr>
            <w:tcW w:w="5780" w:type="dxa"/>
            <w:vAlign w:val="bottom"/>
            <w:gridSpan w:val="35"/>
          </w:tcPr>
          <w:p>
            <w:pPr>
              <w:spacing w:after="0"/>
              <w:rPr>
                <w:sz w:val="20"/>
                <w:szCs w:val="20"/>
                <w:color w:val="auto"/>
              </w:rPr>
            </w:pPr>
            <w:r>
              <w:rPr>
                <w:rFonts w:ascii="Times New Roman" w:cs="Times New Roman" w:eastAsia="Times New Roman" w:hAnsi="Times New Roman"/>
                <w:sz w:val="14"/>
                <w:szCs w:val="14"/>
                <w:color w:val="0000FF"/>
              </w:rPr>
              <w:t>Consent of Ernst &amp; Young LLP, independent registered public accounting firm</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100" w:type="dxa"/>
            <w:vAlign w:val="bottom"/>
            <w:tcBorders>
              <w:left w:val="single" w:sz="8" w:color="0000EE"/>
            </w:tcBorders>
            <w:gridSpan w:val="8"/>
            <w:shd w:val="clear" w:color="auto" w:fill="0000FF"/>
          </w:tcPr>
          <w:p>
            <w:pPr>
              <w:spacing w:after="0" w:line="20" w:lineRule="exact"/>
              <w:rPr>
                <w:sz w:val="1"/>
                <w:szCs w:val="1"/>
                <w:color w:val="auto"/>
              </w:rPr>
            </w:pPr>
          </w:p>
        </w:tc>
        <w:tc>
          <w:tcPr>
            <w:tcW w:w="1420" w:type="dxa"/>
            <w:vAlign w:val="bottom"/>
            <w:tcBorders>
              <w:right w:val="single" w:sz="8" w:color="0000FF"/>
            </w:tcBorders>
            <w:gridSpan w:val="6"/>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2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rPr>
              <w:t>24.1</w:t>
            </w:r>
          </w:p>
        </w:tc>
        <w:tc>
          <w:tcPr>
            <w:tcW w:w="5780" w:type="dxa"/>
            <w:vAlign w:val="bottom"/>
            <w:gridSpan w:val="35"/>
          </w:tcPr>
          <w:p>
            <w:pPr>
              <w:spacing w:after="0"/>
              <w:rPr>
                <w:sz w:val="20"/>
                <w:szCs w:val="20"/>
                <w:color w:val="auto"/>
              </w:rPr>
            </w:pPr>
            <w:r>
              <w:rPr>
                <w:rFonts w:ascii="Times New Roman" w:cs="Times New Roman" w:eastAsia="Times New Roman" w:hAnsi="Times New Roman"/>
                <w:sz w:val="14"/>
                <w:szCs w:val="14"/>
                <w:color w:val="0000FF"/>
              </w:rPr>
              <w:t>Power of Attorney (included on signature page)</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100" w:type="dxa"/>
            <w:vAlign w:val="bottom"/>
            <w:tcBorders>
              <w:left w:val="single" w:sz="8" w:color="0000EE"/>
            </w:tcBorders>
            <w:gridSpan w:val="8"/>
            <w:shd w:val="clear" w:color="auto" w:fill="0000FF"/>
          </w:tcPr>
          <w:p>
            <w:pPr>
              <w:spacing w:after="0" w:line="20" w:lineRule="exact"/>
              <w:rPr>
                <w:sz w:val="1"/>
                <w:szCs w:val="1"/>
                <w:color w:val="auto"/>
              </w:rPr>
            </w:pPr>
          </w:p>
        </w:tc>
        <w:tc>
          <w:tcPr>
            <w:tcW w:w="1420" w:type="dxa"/>
            <w:vAlign w:val="bottom"/>
            <w:tcBorders>
              <w:right w:val="single" w:sz="8" w:color="0000FF"/>
            </w:tcBorders>
            <w:gridSpan w:val="6"/>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5780" w:type="dxa"/>
            <w:vAlign w:val="bottom"/>
            <w:gridSpan w:val="35"/>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 15d-14(a) promulgated</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100" w:type="dxa"/>
            <w:vAlign w:val="bottom"/>
            <w:tcBorders>
              <w:left w:val="single" w:sz="8" w:color="0000EE"/>
            </w:tcBorders>
            <w:gridSpan w:val="8"/>
            <w:shd w:val="clear" w:color="auto" w:fill="0000FF"/>
          </w:tcPr>
          <w:p>
            <w:pPr>
              <w:spacing w:after="0" w:line="20" w:lineRule="exact"/>
              <w:rPr>
                <w:sz w:val="1"/>
                <w:szCs w:val="1"/>
                <w:color w:val="auto"/>
              </w:rPr>
            </w:pPr>
          </w:p>
        </w:tc>
        <w:tc>
          <w:tcPr>
            <w:tcW w:w="1420" w:type="dxa"/>
            <w:vAlign w:val="bottom"/>
            <w:tcBorders>
              <w:right w:val="single" w:sz="8" w:color="0000FF"/>
            </w:tcBorders>
            <w:gridSpan w:val="6"/>
            <w:shd w:val="clear" w:color="auto" w:fill="0000FF"/>
          </w:tcPr>
          <w:p>
            <w:pPr>
              <w:spacing w:after="0" w:line="20" w:lineRule="exact"/>
              <w:rPr>
                <w:sz w:val="1"/>
                <w:szCs w:val="1"/>
                <w:color w:val="auto"/>
              </w:rPr>
            </w:pPr>
          </w:p>
        </w:tc>
        <w:tc>
          <w:tcPr>
            <w:tcW w:w="1920" w:type="dxa"/>
            <w:vAlign w:val="bottom"/>
            <w:tcBorders>
              <w:left w:val="single" w:sz="8" w:color="0000FF"/>
            </w:tcBorders>
            <w:gridSpan w:val="7"/>
            <w:shd w:val="clear" w:color="auto" w:fill="0000FF"/>
          </w:tcPr>
          <w:p>
            <w:pPr>
              <w:spacing w:after="0" w:line="20" w:lineRule="exact"/>
              <w:rPr>
                <w:sz w:val="1"/>
                <w:szCs w:val="1"/>
                <w:color w:val="auto"/>
              </w:rPr>
            </w:pPr>
          </w:p>
        </w:tc>
        <w:tc>
          <w:tcPr>
            <w:tcW w:w="1100" w:type="dxa"/>
            <w:vAlign w:val="bottom"/>
            <w:tcBorders>
              <w:right w:val="single" w:sz="8" w:color="0000FF"/>
            </w:tcBorders>
            <w:gridSpan w:val="7"/>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720" w:type="dxa"/>
            <w:vAlign w:val="bottom"/>
            <w:vMerge w:val="restart"/>
          </w:tcPr>
          <w:p>
            <w:pPr>
              <w:jc w:val="center"/>
              <w:ind w:right="268"/>
              <w:spacing w:after="0"/>
              <w:rPr>
                <w:sz w:val="20"/>
                <w:szCs w:val="20"/>
                <w:color w:val="auto"/>
              </w:rPr>
            </w:pPr>
            <w:r>
              <w:rPr>
                <w:rFonts w:ascii="Times New Roman" w:cs="Times New Roman" w:eastAsia="Times New Roman" w:hAnsi="Times New Roman"/>
                <w:sz w:val="14"/>
                <w:szCs w:val="14"/>
                <w:color w:val="auto"/>
              </w:rPr>
              <w:t>31.1</w:t>
            </w:r>
          </w:p>
        </w:tc>
        <w:tc>
          <w:tcPr>
            <w:tcW w:w="5780" w:type="dxa"/>
            <w:vAlign w:val="bottom"/>
            <w:gridSpan w:val="35"/>
          </w:tcPr>
          <w:p>
            <w:pPr>
              <w:spacing w:after="0" w:line="129" w:lineRule="exact"/>
              <w:rPr>
                <w:sz w:val="20"/>
                <w:szCs w:val="20"/>
                <w:color w:val="auto"/>
              </w:rPr>
            </w:pPr>
            <w:r>
              <w:rPr>
                <w:rFonts w:ascii="Times New Roman" w:cs="Times New Roman" w:eastAsia="Times New Roman" w:hAnsi="Times New Roman"/>
                <w:sz w:val="14"/>
                <w:szCs w:val="14"/>
                <w:color w:val="0000FF"/>
              </w:rPr>
              <w:t>under the Securities Exchange Act of 1934, as adopted pursuant to Section 302 of the Sarbanes-</w:t>
            </w:r>
          </w:p>
        </w:tc>
        <w:tc>
          <w:tcPr>
            <w:tcW w:w="0" w:type="dxa"/>
            <w:vAlign w:val="bottom"/>
          </w:tcPr>
          <w:p>
            <w:pPr>
              <w:spacing w:after="0"/>
              <w:rPr>
                <w:sz w:val="1"/>
                <w:szCs w:val="1"/>
                <w:color w:val="auto"/>
              </w:rPr>
            </w:pPr>
          </w:p>
        </w:tc>
      </w:tr>
      <w:tr>
        <w:trPr>
          <w:trHeight w:val="20"/>
        </w:trPr>
        <w:tc>
          <w:tcPr>
            <w:tcW w:w="720" w:type="dxa"/>
            <w:vAlign w:val="bottom"/>
            <w:vMerge w:val="continue"/>
          </w:tcPr>
          <w:p>
            <w:pPr>
              <w:spacing w:after="0" w:line="20" w:lineRule="exact"/>
              <w:rPr>
                <w:sz w:val="1"/>
                <w:szCs w:val="1"/>
                <w:color w:val="auto"/>
              </w:rPr>
            </w:pPr>
          </w:p>
        </w:tc>
        <w:tc>
          <w:tcPr>
            <w:tcW w:w="1100" w:type="dxa"/>
            <w:vAlign w:val="bottom"/>
            <w:tcBorders>
              <w:left w:val="single" w:sz="8" w:color="0000EE"/>
            </w:tcBorders>
            <w:gridSpan w:val="8"/>
            <w:shd w:val="clear" w:color="auto" w:fill="0000FF"/>
          </w:tcPr>
          <w:p>
            <w:pPr>
              <w:spacing w:after="0" w:line="20" w:lineRule="exact"/>
              <w:rPr>
                <w:sz w:val="1"/>
                <w:szCs w:val="1"/>
                <w:color w:val="auto"/>
              </w:rPr>
            </w:pPr>
          </w:p>
        </w:tc>
        <w:tc>
          <w:tcPr>
            <w:tcW w:w="1420" w:type="dxa"/>
            <w:vAlign w:val="bottom"/>
            <w:tcBorders>
              <w:right w:val="single" w:sz="8" w:color="0000FF"/>
            </w:tcBorders>
            <w:gridSpan w:val="6"/>
            <w:shd w:val="clear" w:color="auto" w:fill="0000FF"/>
          </w:tcPr>
          <w:p>
            <w:pPr>
              <w:spacing w:after="0" w:line="20" w:lineRule="exact"/>
              <w:rPr>
                <w:sz w:val="1"/>
                <w:szCs w:val="1"/>
                <w:color w:val="auto"/>
              </w:rPr>
            </w:pPr>
          </w:p>
        </w:tc>
        <w:tc>
          <w:tcPr>
            <w:tcW w:w="1920" w:type="dxa"/>
            <w:vAlign w:val="bottom"/>
            <w:tcBorders>
              <w:left w:val="single" w:sz="8" w:color="0000FF"/>
            </w:tcBorders>
            <w:gridSpan w:val="7"/>
            <w:shd w:val="clear" w:color="auto" w:fill="0000FF"/>
          </w:tcPr>
          <w:p>
            <w:pPr>
              <w:spacing w:after="0" w:line="20" w:lineRule="exact"/>
              <w:rPr>
                <w:sz w:val="1"/>
                <w:szCs w:val="1"/>
                <w:color w:val="auto"/>
              </w:rPr>
            </w:pPr>
          </w:p>
        </w:tc>
        <w:tc>
          <w:tcPr>
            <w:tcW w:w="1100" w:type="dxa"/>
            <w:vAlign w:val="bottom"/>
            <w:tcBorders>
              <w:right w:val="single" w:sz="8" w:color="0000FF"/>
            </w:tcBorders>
            <w:gridSpan w:val="7"/>
            <w:shd w:val="clear" w:color="auto" w:fill="0000FF"/>
          </w:tcPr>
          <w:p>
            <w:pPr>
              <w:spacing w:after="0" w:line="20" w:lineRule="exact"/>
              <w:rPr>
                <w:sz w:val="1"/>
                <w:szCs w:val="1"/>
                <w:color w:val="auto"/>
              </w:rPr>
            </w:pPr>
          </w:p>
        </w:tc>
        <w:tc>
          <w:tcPr>
            <w:tcW w:w="140" w:type="dxa"/>
            <w:vAlign w:val="bottom"/>
            <w:gridSpan w:val="3"/>
            <w:vMerge w:val="restart"/>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720" w:type="dxa"/>
            <w:vAlign w:val="bottom"/>
            <w:vMerge w:val="continue"/>
          </w:tcPr>
          <w:p>
            <w:pPr>
              <w:spacing w:after="0"/>
              <w:rPr>
                <w:sz w:val="11"/>
                <w:szCs w:val="11"/>
                <w:color w:val="auto"/>
              </w:rPr>
            </w:pPr>
          </w:p>
        </w:tc>
        <w:tc>
          <w:tcPr>
            <w:tcW w:w="5540" w:type="dxa"/>
            <w:vAlign w:val="bottom"/>
            <w:gridSpan w:val="28"/>
          </w:tcPr>
          <w:p>
            <w:pPr>
              <w:spacing w:after="0" w:line="129" w:lineRule="exact"/>
              <w:rPr>
                <w:sz w:val="20"/>
                <w:szCs w:val="20"/>
                <w:color w:val="auto"/>
              </w:rPr>
            </w:pPr>
            <w:r>
              <w:rPr>
                <w:rFonts w:ascii="Times New Roman" w:cs="Times New Roman" w:eastAsia="Times New Roman" w:hAnsi="Times New Roman"/>
                <w:sz w:val="14"/>
                <w:szCs w:val="14"/>
                <w:color w:val="0000FF"/>
              </w:rPr>
              <w:t>Oxley Act of 2002</w:t>
            </w:r>
          </w:p>
        </w:tc>
        <w:tc>
          <w:tcPr>
            <w:tcW w:w="140" w:type="dxa"/>
            <w:vAlign w:val="bottom"/>
            <w:gridSpan w:val="3"/>
            <w:vMerge w:val="continue"/>
          </w:tcPr>
          <w:p>
            <w:pPr>
              <w:spacing w:after="0"/>
              <w:rPr>
                <w:sz w:val="11"/>
                <w:szCs w:val="11"/>
                <w:color w:val="auto"/>
              </w:rPr>
            </w:pPr>
          </w:p>
        </w:tc>
        <w:tc>
          <w:tcPr>
            <w:tcW w:w="80" w:type="dxa"/>
            <w:vAlign w:val="bottom"/>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100" w:type="dxa"/>
            <w:vAlign w:val="bottom"/>
            <w:tcBorders>
              <w:left w:val="single" w:sz="8" w:color="0000EE"/>
            </w:tcBorders>
            <w:gridSpan w:val="8"/>
            <w:shd w:val="clear" w:color="auto" w:fill="0000FF"/>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5780" w:type="dxa"/>
            <w:vAlign w:val="bottom"/>
            <w:gridSpan w:val="35"/>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13a-14(a) and 15d-14(a) promulgated</w:t>
            </w:r>
          </w:p>
        </w:tc>
        <w:tc>
          <w:tcPr>
            <w:tcW w:w="0" w:type="dxa"/>
            <w:vAlign w:val="bottom"/>
          </w:tcPr>
          <w:p>
            <w:pPr>
              <w:spacing w:after="0"/>
              <w:rPr>
                <w:sz w:val="1"/>
                <w:szCs w:val="1"/>
                <w:color w:val="auto"/>
              </w:rPr>
            </w:pPr>
          </w:p>
        </w:tc>
      </w:tr>
      <w:tr>
        <w:trPr>
          <w:trHeight w:val="128"/>
        </w:trPr>
        <w:tc>
          <w:tcPr>
            <w:tcW w:w="720" w:type="dxa"/>
            <w:vAlign w:val="bottom"/>
            <w:vMerge w:val="restart"/>
          </w:tcPr>
          <w:p>
            <w:pPr>
              <w:jc w:val="center"/>
              <w:ind w:right="268"/>
              <w:spacing w:after="0"/>
              <w:rPr>
                <w:sz w:val="20"/>
                <w:szCs w:val="20"/>
                <w:color w:val="auto"/>
              </w:rPr>
            </w:pPr>
            <w:r>
              <w:rPr>
                <w:rFonts w:ascii="Times New Roman" w:cs="Times New Roman" w:eastAsia="Times New Roman" w:hAnsi="Times New Roman"/>
                <w:sz w:val="14"/>
                <w:szCs w:val="14"/>
                <w:color w:val="auto"/>
              </w:rPr>
              <w:t>31.2</w:t>
            </w:r>
          </w:p>
        </w:tc>
        <w:tc>
          <w:tcPr>
            <w:tcW w:w="5540" w:type="dxa"/>
            <w:vAlign w:val="bottom"/>
            <w:tcBorders>
              <w:top w:val="single" w:sz="8" w:color="0000FF"/>
              <w:bottom w:val="single" w:sz="8" w:color="0000FF"/>
            </w:tcBorders>
            <w:gridSpan w:val="28"/>
          </w:tcPr>
          <w:p>
            <w:pPr>
              <w:spacing w:after="0" w:line="129" w:lineRule="exact"/>
              <w:rPr>
                <w:sz w:val="20"/>
                <w:szCs w:val="20"/>
                <w:color w:val="auto"/>
              </w:rPr>
            </w:pPr>
            <w:r>
              <w:rPr>
                <w:rFonts w:ascii="Times New Roman" w:cs="Times New Roman" w:eastAsia="Times New Roman" w:hAnsi="Times New Roman"/>
                <w:sz w:val="14"/>
                <w:szCs w:val="14"/>
                <w:color w:val="0000FF"/>
              </w:rPr>
              <w:t>under the Securities Exchange Act of 1934, as adopted pursuant to section 302 of the Sarbanes-</w:t>
            </w:r>
          </w:p>
        </w:tc>
        <w:tc>
          <w:tcPr>
            <w:tcW w:w="220" w:type="dxa"/>
            <w:vAlign w:val="bottom"/>
            <w:tcBorders>
              <w:top w:val="single" w:sz="8" w:color="0000FF"/>
            </w:tcBorders>
            <w:gridSpan w:val="6"/>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20" w:type="dxa"/>
            <w:vAlign w:val="bottom"/>
            <w:vMerge w:val="continue"/>
          </w:tcPr>
          <w:p>
            <w:pPr>
              <w:spacing w:after="0"/>
              <w:rPr>
                <w:sz w:val="11"/>
                <w:szCs w:val="11"/>
                <w:color w:val="auto"/>
              </w:rPr>
            </w:pPr>
          </w:p>
        </w:tc>
        <w:tc>
          <w:tcPr>
            <w:tcW w:w="5540" w:type="dxa"/>
            <w:vAlign w:val="bottom"/>
            <w:gridSpan w:val="28"/>
          </w:tcPr>
          <w:p>
            <w:pPr>
              <w:spacing w:after="0" w:line="129" w:lineRule="exact"/>
              <w:rPr>
                <w:sz w:val="20"/>
                <w:szCs w:val="20"/>
                <w:color w:val="auto"/>
              </w:rPr>
            </w:pPr>
            <w:r>
              <w:rPr>
                <w:rFonts w:ascii="Times New Roman" w:cs="Times New Roman" w:eastAsia="Times New Roman" w:hAnsi="Times New Roman"/>
                <w:sz w:val="14"/>
                <w:szCs w:val="14"/>
                <w:color w:val="0000FF"/>
              </w:rPr>
              <w:t>Oxley Act of 2002</w:t>
            </w:r>
          </w:p>
        </w:tc>
        <w:tc>
          <w:tcPr>
            <w:tcW w:w="140" w:type="dxa"/>
            <w:vAlign w:val="bottom"/>
            <w:gridSpan w:val="3"/>
          </w:tcPr>
          <w:p>
            <w:pPr>
              <w:spacing w:after="0"/>
              <w:rPr>
                <w:sz w:val="11"/>
                <w:szCs w:val="11"/>
                <w:color w:val="auto"/>
              </w:rPr>
            </w:pPr>
          </w:p>
        </w:tc>
        <w:tc>
          <w:tcPr>
            <w:tcW w:w="10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100" w:type="dxa"/>
            <w:vAlign w:val="bottom"/>
            <w:tcBorders>
              <w:left w:val="single" w:sz="8" w:color="0000EE"/>
            </w:tcBorders>
            <w:gridSpan w:val="8"/>
            <w:shd w:val="clear" w:color="auto" w:fill="0000FF"/>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1240" w:type="dxa"/>
            <w:vAlign w:val="bottom"/>
            <w:gridSpan w:val="10"/>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20" w:type="dxa"/>
            <w:vAlign w:val="bottom"/>
          </w:tcPr>
          <w:p>
            <w:pPr>
              <w:spacing w:after="0"/>
              <w:rPr>
                <w:sz w:val="24"/>
                <w:szCs w:val="24"/>
                <w:color w:val="auto"/>
              </w:rPr>
            </w:pPr>
          </w:p>
        </w:tc>
        <w:tc>
          <w:tcPr>
            <w:tcW w:w="5780" w:type="dxa"/>
            <w:vAlign w:val="bottom"/>
            <w:gridSpan w:val="35"/>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and Principal Financial Officer pursuant to Rules 13a-</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520" w:type="dxa"/>
            <w:vAlign w:val="bottom"/>
            <w:tcBorders>
              <w:left w:val="single" w:sz="8" w:color="0000EE"/>
              <w:right w:val="single" w:sz="8" w:color="0000FF"/>
            </w:tcBorders>
            <w:gridSpan w:val="14"/>
            <w:shd w:val="clear" w:color="auto" w:fill="0000FF"/>
          </w:tcPr>
          <w:p>
            <w:pPr>
              <w:spacing w:after="0" w:line="20" w:lineRule="exact"/>
              <w:rPr>
                <w:sz w:val="1"/>
                <w:szCs w:val="1"/>
                <w:color w:val="auto"/>
              </w:rPr>
            </w:pPr>
          </w:p>
        </w:tc>
        <w:tc>
          <w:tcPr>
            <w:tcW w:w="1920" w:type="dxa"/>
            <w:vAlign w:val="bottom"/>
            <w:tcBorders>
              <w:left w:val="single" w:sz="8" w:color="0000FF"/>
            </w:tcBorders>
            <w:gridSpan w:val="7"/>
            <w:shd w:val="clear" w:color="auto" w:fill="0000FF"/>
          </w:tcPr>
          <w:p>
            <w:pPr>
              <w:spacing w:after="0" w:line="20" w:lineRule="exact"/>
              <w:rPr>
                <w:sz w:val="1"/>
                <w:szCs w:val="1"/>
                <w:color w:val="auto"/>
              </w:rPr>
            </w:pPr>
          </w:p>
        </w:tc>
        <w:tc>
          <w:tcPr>
            <w:tcW w:w="1240" w:type="dxa"/>
            <w:vAlign w:val="bottom"/>
            <w:tcBorders>
              <w:right w:val="single" w:sz="8" w:color="0000EE"/>
            </w:tcBorders>
            <w:gridSpan w:val="10"/>
            <w:shd w:val="clear" w:color="auto" w:fill="0000FF"/>
          </w:tcPr>
          <w:p>
            <w:pPr>
              <w:spacing w:after="0" w:line="20" w:lineRule="exact"/>
              <w:rPr>
                <w:sz w:val="1"/>
                <w:szCs w:val="1"/>
                <w:color w:val="auto"/>
              </w:rPr>
            </w:pPr>
          </w:p>
        </w:tc>
        <w:tc>
          <w:tcPr>
            <w:tcW w:w="10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20" w:type="dxa"/>
            <w:vAlign w:val="bottom"/>
            <w:vMerge w:val="restart"/>
          </w:tcPr>
          <w:p>
            <w:pPr>
              <w:jc w:val="center"/>
              <w:ind w:right="268"/>
              <w:spacing w:after="0"/>
              <w:rPr>
                <w:sz w:val="20"/>
                <w:szCs w:val="20"/>
                <w:color w:val="auto"/>
              </w:rPr>
            </w:pPr>
            <w:r>
              <w:rPr>
                <w:rFonts w:ascii="Times New Roman" w:cs="Times New Roman" w:eastAsia="Times New Roman" w:hAnsi="Times New Roman"/>
                <w:sz w:val="14"/>
                <w:szCs w:val="14"/>
                <w:color w:val="auto"/>
                <w:w w:val="98"/>
              </w:rPr>
              <w:t>32.1</w:t>
            </w:r>
            <w:r>
              <w:rPr>
                <w:rFonts w:ascii="Times New Roman" w:cs="Times New Roman" w:eastAsia="Times New Roman" w:hAnsi="Times New Roman"/>
                <w:sz w:val="19"/>
                <w:szCs w:val="19"/>
                <w:color w:val="auto"/>
                <w:w w:val="98"/>
                <w:vertAlign w:val="superscript"/>
              </w:rPr>
              <w:t>^</w:t>
            </w:r>
          </w:p>
        </w:tc>
        <w:tc>
          <w:tcPr>
            <w:tcW w:w="5680" w:type="dxa"/>
            <w:vAlign w:val="bottom"/>
            <w:gridSpan w:val="31"/>
          </w:tcPr>
          <w:p>
            <w:pPr>
              <w:spacing w:after="0" w:line="129" w:lineRule="exact"/>
              <w:rPr>
                <w:sz w:val="20"/>
                <w:szCs w:val="20"/>
                <w:color w:val="auto"/>
              </w:rPr>
            </w:pPr>
            <w:r>
              <w:rPr>
                <w:rFonts w:ascii="Times New Roman" w:cs="Times New Roman" w:eastAsia="Times New Roman" w:hAnsi="Times New Roman"/>
                <w:sz w:val="14"/>
                <w:szCs w:val="14"/>
                <w:color w:val="0000FF"/>
              </w:rPr>
              <w:t>14(b) and 15d-14(b) promulgated under the Securities Exchange Act of 1934 and 18 U.S.C. Section</w:t>
            </w:r>
          </w:p>
        </w:tc>
        <w:tc>
          <w:tcPr>
            <w:tcW w:w="1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vMerge w:val="continue"/>
          </w:tcPr>
          <w:p>
            <w:pPr>
              <w:spacing w:after="0" w:line="20" w:lineRule="exact"/>
              <w:rPr>
                <w:sz w:val="1"/>
                <w:szCs w:val="1"/>
                <w:color w:val="auto"/>
              </w:rPr>
            </w:pPr>
          </w:p>
        </w:tc>
        <w:tc>
          <w:tcPr>
            <w:tcW w:w="2520" w:type="dxa"/>
            <w:vAlign w:val="bottom"/>
            <w:tcBorders>
              <w:left w:val="single" w:sz="8" w:color="0000EE"/>
              <w:right w:val="single" w:sz="8" w:color="0000FF"/>
            </w:tcBorders>
            <w:gridSpan w:val="14"/>
            <w:shd w:val="clear" w:color="auto" w:fill="0000FF"/>
          </w:tcPr>
          <w:p>
            <w:pPr>
              <w:spacing w:after="0" w:line="20" w:lineRule="exact"/>
              <w:rPr>
                <w:sz w:val="1"/>
                <w:szCs w:val="1"/>
                <w:color w:val="auto"/>
              </w:rPr>
            </w:pPr>
          </w:p>
        </w:tc>
        <w:tc>
          <w:tcPr>
            <w:tcW w:w="1920" w:type="dxa"/>
            <w:vAlign w:val="bottom"/>
            <w:tcBorders>
              <w:left w:val="single" w:sz="8" w:color="0000FF"/>
            </w:tcBorders>
            <w:gridSpan w:val="7"/>
            <w:shd w:val="clear" w:color="auto" w:fill="0000FF"/>
          </w:tcPr>
          <w:p>
            <w:pPr>
              <w:spacing w:after="0" w:line="20" w:lineRule="exact"/>
              <w:rPr>
                <w:sz w:val="1"/>
                <w:szCs w:val="1"/>
                <w:color w:val="auto"/>
              </w:rPr>
            </w:pPr>
          </w:p>
        </w:tc>
        <w:tc>
          <w:tcPr>
            <w:tcW w:w="1340" w:type="dxa"/>
            <w:vAlign w:val="bottom"/>
            <w:gridSpan w:val="14"/>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720" w:type="dxa"/>
            <w:vAlign w:val="bottom"/>
            <w:vMerge w:val="continue"/>
          </w:tcPr>
          <w:p>
            <w:pPr>
              <w:spacing w:after="0"/>
              <w:rPr>
                <w:sz w:val="11"/>
                <w:szCs w:val="11"/>
                <w:color w:val="auto"/>
              </w:rPr>
            </w:pPr>
          </w:p>
        </w:tc>
        <w:tc>
          <w:tcPr>
            <w:tcW w:w="5780" w:type="dxa"/>
            <w:vAlign w:val="bottom"/>
            <w:gridSpan w:val="35"/>
          </w:tcPr>
          <w:p>
            <w:pPr>
              <w:spacing w:after="0" w:line="129" w:lineRule="exact"/>
              <w:rPr>
                <w:sz w:val="20"/>
                <w:szCs w:val="20"/>
                <w:color w:val="auto"/>
              </w:rPr>
            </w:pPr>
            <w:r>
              <w:rPr>
                <w:rFonts w:ascii="Times New Roman" w:cs="Times New Roman" w:eastAsia="Times New Roman" w:hAnsi="Times New Roman"/>
                <w:sz w:val="14"/>
                <w:szCs w:val="14"/>
                <w:color w:val="0000FF"/>
              </w:rPr>
              <w:t>1350, as adopted pursuant to section 906 of The Sarbanes-Oxley Act of 2002</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520" w:type="dxa"/>
            <w:vAlign w:val="bottom"/>
            <w:tcBorders>
              <w:left w:val="single" w:sz="8" w:color="0000EE"/>
              <w:right w:val="single" w:sz="8" w:color="0000FF"/>
            </w:tcBorders>
            <w:gridSpan w:val="14"/>
            <w:shd w:val="clear" w:color="auto" w:fill="0000FF"/>
          </w:tcPr>
          <w:p>
            <w:pPr>
              <w:spacing w:after="0" w:line="20" w:lineRule="exact"/>
              <w:rPr>
                <w:sz w:val="1"/>
                <w:szCs w:val="1"/>
                <w:color w:val="auto"/>
              </w:rPr>
            </w:pPr>
          </w:p>
        </w:tc>
        <w:tc>
          <w:tcPr>
            <w:tcW w:w="1920" w:type="dxa"/>
            <w:vAlign w:val="bottom"/>
            <w:tcBorders>
              <w:left w:val="single" w:sz="8" w:color="0000FF"/>
            </w:tcBorders>
            <w:gridSpan w:val="7"/>
            <w:shd w:val="clear" w:color="auto" w:fill="0000FF"/>
          </w:tcPr>
          <w:p>
            <w:pPr>
              <w:spacing w:after="0" w:line="20" w:lineRule="exact"/>
              <w:rPr>
                <w:sz w:val="1"/>
                <w:szCs w:val="1"/>
                <w:color w:val="auto"/>
              </w:rPr>
            </w:pPr>
          </w:p>
        </w:tc>
        <w:tc>
          <w:tcPr>
            <w:tcW w:w="134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rPr>
              <w:t>97.1+</w:t>
            </w:r>
          </w:p>
        </w:tc>
        <w:tc>
          <w:tcPr>
            <w:tcW w:w="5780" w:type="dxa"/>
            <w:vAlign w:val="bottom"/>
            <w:gridSpan w:val="35"/>
          </w:tcPr>
          <w:p>
            <w:pPr>
              <w:spacing w:after="0"/>
              <w:rPr>
                <w:rFonts w:ascii="Times New Roman" w:cs="Times New Roman" w:eastAsia="Times New Roman" w:hAnsi="Times New Roman"/>
                <w:sz w:val="14"/>
                <w:szCs w:val="14"/>
                <w:color w:val="0000FF"/>
              </w:rPr>
            </w:pPr>
            <w:hyperlink r:id="rId329">
              <w:r>
                <w:rPr>
                  <w:rFonts w:ascii="Times New Roman" w:cs="Times New Roman" w:eastAsia="Times New Roman" w:hAnsi="Times New Roman"/>
                  <w:sz w:val="14"/>
                  <w:szCs w:val="14"/>
                  <w:color w:val="0000FF"/>
                </w:rPr>
                <w:t>Incentive Compensation Recoupment Policy</w:t>
              </w:r>
            </w:hyperlink>
          </w:p>
        </w:tc>
        <w:tc>
          <w:tcPr>
            <w:tcW w:w="0" w:type="dxa"/>
            <w:vAlign w:val="bottom"/>
          </w:tcPr>
          <w:p>
            <w:pPr>
              <w:spacing w:after="0"/>
              <w:rPr>
                <w:sz w:val="1"/>
                <w:szCs w:val="1"/>
                <w:color w:val="auto"/>
              </w:rPr>
            </w:pPr>
          </w:p>
        </w:tc>
      </w:tr>
      <w:tr>
        <w:trPr>
          <w:trHeight w:val="344"/>
        </w:trPr>
        <w:tc>
          <w:tcPr>
            <w:tcW w:w="720" w:type="dxa"/>
            <w:vAlign w:val="bottom"/>
          </w:tcPr>
          <w:p>
            <w:pPr>
              <w:spacing w:after="0"/>
              <w:rPr>
                <w:sz w:val="24"/>
                <w:szCs w:val="24"/>
                <w:color w:val="auto"/>
              </w:rPr>
            </w:pPr>
          </w:p>
        </w:tc>
        <w:tc>
          <w:tcPr>
            <w:tcW w:w="2520" w:type="dxa"/>
            <w:vAlign w:val="bottom"/>
            <w:tcBorders>
              <w:top w:val="single" w:sz="8" w:color="0000FF"/>
            </w:tcBorders>
            <w:gridSpan w:val="14"/>
          </w:tcPr>
          <w:p>
            <w:pPr>
              <w:spacing w:after="0"/>
              <w:rPr>
                <w:sz w:val="24"/>
                <w:szCs w:val="24"/>
                <w:color w:val="auto"/>
              </w:rPr>
            </w:pPr>
          </w:p>
        </w:tc>
        <w:tc>
          <w:tcPr>
            <w:tcW w:w="2460" w:type="dxa"/>
            <w:vAlign w:val="bottom"/>
            <w:gridSpan w:val="9"/>
          </w:tcPr>
          <w:p>
            <w:pPr>
              <w:jc w:val="right"/>
              <w:ind w:right="240"/>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467360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80" w:type="dxa"/>
        <w:tblCellMar>
          <w:top w:w="0" w:type="dxa"/>
          <w:left w:w="0" w:type="dxa"/>
          <w:bottom w:w="0" w:type="dxa"/>
          <w:right w:w="0" w:type="dxa"/>
        </w:tblCellMar>
      </w:tblPr>
      <w:tr>
        <w:trPr>
          <w:trHeight w:val="188"/>
        </w:trPr>
        <w:tc>
          <w:tcPr>
            <w:tcW w:w="52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S-8</w:t>
            </w: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333-257727</w:t>
            </w: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10.1</w:t>
            </w:r>
          </w:p>
        </w:tc>
        <w:tc>
          <w:tcPr>
            <w:tcW w:w="148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7/7/2021</w:t>
            </w:r>
          </w:p>
        </w:tc>
      </w:tr>
      <w:tr>
        <w:trPr>
          <w:trHeight w:val="243"/>
        </w:trPr>
        <w:tc>
          <w:tcPr>
            <w:tcW w:w="5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10-K</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001-35890</w:t>
            </w: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10.3</w:t>
            </w:r>
          </w:p>
        </w:tc>
        <w:tc>
          <w:tcPr>
            <w:tcW w:w="14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3/29/2022</w:t>
            </w:r>
          </w:p>
        </w:tc>
      </w:tr>
      <w:tr>
        <w:trPr>
          <w:trHeight w:val="243"/>
        </w:trPr>
        <w:tc>
          <w:tcPr>
            <w:tcW w:w="5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001-35890</w:t>
            </w: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10.1</w:t>
            </w:r>
          </w:p>
        </w:tc>
        <w:tc>
          <w:tcPr>
            <w:tcW w:w="148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6/21/2022</w:t>
            </w:r>
          </w:p>
        </w:tc>
      </w:tr>
      <w:tr>
        <w:trPr>
          <w:trHeight w:val="243"/>
        </w:trPr>
        <w:tc>
          <w:tcPr>
            <w:tcW w:w="5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001-35890</w:t>
            </w: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10.7</w:t>
            </w:r>
          </w:p>
        </w:tc>
        <w:tc>
          <w:tcPr>
            <w:tcW w:w="148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8/12/2019</w:t>
            </w:r>
          </w:p>
        </w:tc>
      </w:tr>
      <w:tr>
        <w:trPr>
          <w:trHeight w:val="392"/>
        </w:trPr>
        <w:tc>
          <w:tcPr>
            <w:tcW w:w="5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10-K</w:t>
            </w: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001-35890</w:t>
            </w:r>
          </w:p>
        </w:tc>
        <w:tc>
          <w:tcPr>
            <w:tcW w:w="6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10.16</w:t>
            </w:r>
          </w:p>
        </w:tc>
        <w:tc>
          <w:tcPr>
            <w:tcW w:w="148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3/11/2020</w:t>
            </w:r>
          </w:p>
        </w:tc>
      </w:tr>
      <w:tr>
        <w:trPr>
          <w:trHeight w:val="392"/>
        </w:trPr>
        <w:tc>
          <w:tcPr>
            <w:tcW w:w="5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10-K</w:t>
            </w: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001-35890</w:t>
            </w:r>
          </w:p>
        </w:tc>
        <w:tc>
          <w:tcPr>
            <w:tcW w:w="6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10.17</w:t>
            </w:r>
          </w:p>
        </w:tc>
        <w:tc>
          <w:tcPr>
            <w:tcW w:w="148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3/11/2020</w:t>
            </w:r>
          </w:p>
        </w:tc>
      </w:tr>
      <w:tr>
        <w:trPr>
          <w:trHeight w:val="243"/>
        </w:trPr>
        <w:tc>
          <w:tcPr>
            <w:tcW w:w="5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001-35890</w:t>
            </w: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10.2</w:t>
            </w:r>
          </w:p>
        </w:tc>
        <w:tc>
          <w:tcPr>
            <w:tcW w:w="148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6/21/2022</w:t>
            </w:r>
          </w:p>
        </w:tc>
      </w:tr>
      <w:tr>
        <w:trPr>
          <w:trHeight w:val="243"/>
        </w:trPr>
        <w:tc>
          <w:tcPr>
            <w:tcW w:w="5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001-35890</w:t>
            </w: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10.1</w:t>
            </w:r>
          </w:p>
        </w:tc>
        <w:tc>
          <w:tcPr>
            <w:tcW w:w="148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7/07/2021</w:t>
            </w:r>
          </w:p>
        </w:tc>
      </w:tr>
      <w:tr>
        <w:trPr>
          <w:trHeight w:val="392"/>
        </w:trPr>
        <w:tc>
          <w:tcPr>
            <w:tcW w:w="5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10-K</w:t>
            </w: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001-35890</w:t>
            </w:r>
          </w:p>
        </w:tc>
        <w:tc>
          <w:tcPr>
            <w:tcW w:w="6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10.24</w:t>
            </w:r>
          </w:p>
        </w:tc>
        <w:tc>
          <w:tcPr>
            <w:tcW w:w="148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03/22/2023</w:t>
            </w:r>
          </w:p>
        </w:tc>
      </w:tr>
      <w:tr>
        <w:trPr>
          <w:trHeight w:val="243"/>
        </w:trPr>
        <w:tc>
          <w:tcPr>
            <w:tcW w:w="5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001-35890</w:t>
            </w: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10.1</w:t>
            </w:r>
          </w:p>
        </w:tc>
        <w:tc>
          <w:tcPr>
            <w:tcW w:w="14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8/10/2023</w:t>
            </w:r>
          </w:p>
        </w:tc>
      </w:tr>
      <w:tr>
        <w:trPr>
          <w:trHeight w:val="297"/>
        </w:trPr>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X</w:t>
            </w:r>
          </w:p>
        </w:tc>
      </w:tr>
      <w:tr>
        <w:trPr>
          <w:trHeight w:val="243"/>
        </w:trPr>
        <w:tc>
          <w:tcPr>
            <w:tcW w:w="5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001-35890</w:t>
            </w: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10.2</w:t>
            </w:r>
          </w:p>
        </w:tc>
        <w:tc>
          <w:tcPr>
            <w:tcW w:w="14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8/10/2023</w:t>
            </w:r>
          </w:p>
        </w:tc>
      </w:tr>
      <w:tr>
        <w:trPr>
          <w:trHeight w:val="243"/>
        </w:trPr>
        <w:tc>
          <w:tcPr>
            <w:tcW w:w="5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001-35890</w:t>
            </w: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10.3</w:t>
            </w:r>
          </w:p>
        </w:tc>
        <w:tc>
          <w:tcPr>
            <w:tcW w:w="14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8/10/2023</w:t>
            </w:r>
          </w:p>
        </w:tc>
      </w:tr>
      <w:tr>
        <w:trPr>
          <w:trHeight w:val="243"/>
        </w:trPr>
        <w:tc>
          <w:tcPr>
            <w:tcW w:w="5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001-35890</w:t>
            </w: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10.4</w:t>
            </w:r>
          </w:p>
        </w:tc>
        <w:tc>
          <w:tcPr>
            <w:tcW w:w="14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8/10/2023</w:t>
            </w:r>
          </w:p>
        </w:tc>
      </w:tr>
      <w:tr>
        <w:trPr>
          <w:trHeight w:val="392"/>
        </w:trPr>
        <w:tc>
          <w:tcPr>
            <w:tcW w:w="5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10-K</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001-35890</w:t>
            </w:r>
          </w:p>
        </w:tc>
        <w:tc>
          <w:tcPr>
            <w:tcW w:w="6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10.32</w:t>
            </w:r>
          </w:p>
        </w:tc>
        <w:tc>
          <w:tcPr>
            <w:tcW w:w="14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3/27/2025</w:t>
            </w:r>
          </w:p>
        </w:tc>
      </w:tr>
      <w:tr>
        <w:trPr>
          <w:trHeight w:val="297"/>
        </w:trPr>
        <w:tc>
          <w:tcPr>
            <w:tcW w:w="5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001-35890</w:t>
            </w: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10.7</w:t>
            </w:r>
          </w:p>
        </w:tc>
        <w:tc>
          <w:tcPr>
            <w:tcW w:w="14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8/11/2025</w:t>
            </w:r>
          </w:p>
        </w:tc>
      </w:tr>
      <w:tr>
        <w:trPr>
          <w:trHeight w:val="297"/>
        </w:trPr>
        <w:tc>
          <w:tcPr>
            <w:tcW w:w="5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001-35890</w:t>
            </w: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10.3</w:t>
            </w:r>
          </w:p>
        </w:tc>
        <w:tc>
          <w:tcPr>
            <w:tcW w:w="14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8/11/2025</w:t>
            </w:r>
          </w:p>
        </w:tc>
      </w:tr>
      <w:tr>
        <w:trPr>
          <w:trHeight w:val="297"/>
        </w:trPr>
        <w:tc>
          <w:tcPr>
            <w:tcW w:w="5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001-35890</w:t>
            </w: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10.4</w:t>
            </w:r>
          </w:p>
        </w:tc>
        <w:tc>
          <w:tcPr>
            <w:tcW w:w="14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8/11/2025</w:t>
            </w:r>
          </w:p>
        </w:tc>
      </w:tr>
      <w:tr>
        <w:trPr>
          <w:trHeight w:val="297"/>
        </w:trPr>
        <w:tc>
          <w:tcPr>
            <w:tcW w:w="5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001-35890</w:t>
            </w: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10.5</w:t>
            </w:r>
          </w:p>
        </w:tc>
        <w:tc>
          <w:tcPr>
            <w:tcW w:w="14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8/11/2025</w:t>
            </w:r>
          </w:p>
        </w:tc>
      </w:tr>
      <w:tr>
        <w:trPr>
          <w:trHeight w:val="243"/>
        </w:trPr>
        <w:tc>
          <w:tcPr>
            <w:tcW w:w="5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001-35890</w:t>
            </w: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10.2</w:t>
            </w:r>
          </w:p>
        </w:tc>
        <w:tc>
          <w:tcPr>
            <w:tcW w:w="14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8/11/2025</w:t>
            </w:r>
          </w:p>
        </w:tc>
      </w:tr>
      <w:tr>
        <w:trPr>
          <w:trHeight w:val="243"/>
        </w:trPr>
        <w:tc>
          <w:tcPr>
            <w:tcW w:w="5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001-35890</w:t>
            </w: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10.6</w:t>
            </w:r>
          </w:p>
        </w:tc>
        <w:tc>
          <w:tcPr>
            <w:tcW w:w="14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8/11/2025</w:t>
            </w:r>
          </w:p>
        </w:tc>
      </w:tr>
      <w:tr>
        <w:trPr>
          <w:trHeight w:val="297"/>
        </w:trPr>
        <w:tc>
          <w:tcPr>
            <w:tcW w:w="5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001-35890</w:t>
            </w: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10.1</w:t>
            </w:r>
          </w:p>
        </w:tc>
        <w:tc>
          <w:tcPr>
            <w:tcW w:w="14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11/19/2025</w:t>
            </w:r>
          </w:p>
        </w:tc>
      </w:tr>
      <w:tr>
        <w:trPr>
          <w:trHeight w:val="297"/>
        </w:trPr>
        <w:tc>
          <w:tcPr>
            <w:tcW w:w="5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001-35890</w:t>
            </w: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10.2</w:t>
            </w:r>
          </w:p>
        </w:tc>
        <w:tc>
          <w:tcPr>
            <w:tcW w:w="14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11/19/2025</w:t>
            </w:r>
          </w:p>
        </w:tc>
      </w:tr>
    </w:tbl>
    <w:p>
      <w:pPr>
        <w:spacing w:after="0" w:line="1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X</w:t>
      </w:r>
    </w:p>
    <w:p>
      <w:pPr>
        <w:spacing w:after="0" w:line="1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X</w:t>
      </w:r>
    </w:p>
    <w:p>
      <w:pPr>
        <w:spacing w:after="0" w:line="1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X</w:t>
      </w:r>
    </w:p>
    <w:p>
      <w:pPr>
        <w:spacing w:after="0" w:line="1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X</w:t>
      </w:r>
    </w:p>
    <w:p>
      <w:pPr>
        <w:spacing w:after="0" w:line="1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X</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10-K</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19.1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3/27/25</w:t>
            </w:r>
          </w:p>
        </w:tc>
      </w:tr>
      <w:tr>
        <w:trPr>
          <w:trHeight w:val="283"/>
        </w:trPr>
        <w:tc>
          <w:tcPr>
            <w:tcW w:w="7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10-K/A</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21.1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4/1/2022</w:t>
            </w:r>
          </w:p>
        </w:tc>
      </w:tr>
    </w:tbl>
    <w:p>
      <w:pPr>
        <w:spacing w:after="0" w:line="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X</w:t>
      </w:r>
    </w:p>
    <w:p>
      <w:pPr>
        <w:spacing w:after="0" w:line="1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X</w:t>
      </w:r>
    </w:p>
    <w:p>
      <w:pPr>
        <w:spacing w:after="0" w:line="3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X</w:t>
      </w:r>
    </w:p>
    <w:p>
      <w:pPr>
        <w:spacing w:after="0" w:line="3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X</w:t>
      </w:r>
    </w:p>
    <w:p>
      <w:pPr>
        <w:spacing w:after="0" w:line="82" w:lineRule="exact"/>
        <w:rPr>
          <w:sz w:val="20"/>
          <w:szCs w:val="20"/>
          <w:color w:val="auto"/>
        </w:rPr>
      </w:pPr>
    </w:p>
    <w:p>
      <w:pPr>
        <w:ind w:left="80"/>
        <w:spacing w:after="0"/>
        <w:tabs>
          <w:tab w:leader="none" w:pos="740" w:val="left"/>
          <w:tab w:leader="none" w:pos="1820" w:val="left"/>
          <w:tab w:leader="none" w:pos="2460" w:val="left"/>
        </w:tabs>
        <w:rPr>
          <w:sz w:val="20"/>
          <w:szCs w:val="20"/>
          <w:color w:val="auto"/>
        </w:rPr>
      </w:pPr>
      <w:r>
        <w:rPr>
          <w:rFonts w:ascii="Times New Roman" w:cs="Times New Roman" w:eastAsia="Times New Roman" w:hAnsi="Times New Roman"/>
          <w:sz w:val="14"/>
          <w:szCs w:val="14"/>
          <w:color w:val="auto"/>
        </w:rPr>
        <w:t>10-K</w:t>
      </w:r>
      <w:r>
        <w:rPr>
          <w:sz w:val="20"/>
          <w:szCs w:val="20"/>
          <w:color w:val="auto"/>
        </w:rPr>
        <w:tab/>
      </w:r>
      <w:r>
        <w:rPr>
          <w:rFonts w:ascii="Times New Roman" w:cs="Times New Roman" w:eastAsia="Times New Roman" w:hAnsi="Times New Roman"/>
          <w:sz w:val="14"/>
          <w:szCs w:val="14"/>
          <w:color w:val="auto"/>
        </w:rPr>
        <w:t>001-35890</w:t>
      </w:r>
      <w:r>
        <w:rPr>
          <w:sz w:val="20"/>
          <w:szCs w:val="20"/>
          <w:color w:val="auto"/>
        </w:rPr>
        <w:tab/>
      </w:r>
      <w:r>
        <w:rPr>
          <w:rFonts w:ascii="Times New Roman" w:cs="Times New Roman" w:eastAsia="Times New Roman" w:hAnsi="Times New Roman"/>
          <w:sz w:val="14"/>
          <w:szCs w:val="14"/>
          <w:color w:val="auto"/>
        </w:rPr>
        <w:t>97.1</w:t>
      </w:r>
      <w:r>
        <w:rPr>
          <w:sz w:val="20"/>
          <w:szCs w:val="20"/>
          <w:color w:val="auto"/>
        </w:rPr>
        <w:tab/>
      </w:r>
      <w:r>
        <w:rPr>
          <w:rFonts w:ascii="Times New Roman" w:cs="Times New Roman" w:eastAsia="Times New Roman" w:hAnsi="Times New Roman"/>
          <w:sz w:val="14"/>
          <w:szCs w:val="14"/>
          <w:color w:val="auto"/>
        </w:rPr>
        <w:t>03/19/2024</w:t>
      </w:r>
    </w:p>
    <w:p>
      <w:pPr>
        <w:sectPr>
          <w:pgSz w:w="11900" w:h="16838" w:orient="portrait"/>
          <w:cols w:equalWidth="0" w:num="2">
            <w:col w:w="6480" w:space="160"/>
            <w:col w:w="3820"/>
          </w:cols>
          <w:pgMar w:left="620" w:top="987" w:right="819" w:bottom="1440" w:gutter="0" w:footer="0" w:header="0"/>
        </w:sectPr>
      </w:pPr>
    </w:p>
    <w:bookmarkStart w:id="148" w:name="page149"/>
    <w:bookmarkEnd w:id="148"/>
    <w:tbl>
      <w:tblPr>
        <w:tblLayout w:type="fixed"/>
        <w:tblInd w:w="220" w:type="dxa"/>
        <w:tblCellMar>
          <w:top w:w="0" w:type="dxa"/>
          <w:left w:w="0" w:type="dxa"/>
          <w:bottom w:w="0" w:type="dxa"/>
          <w:right w:w="0" w:type="dxa"/>
        </w:tblCellMar>
      </w:tblPr>
      <w:tr>
        <w:trPr>
          <w:trHeight w:val="161"/>
        </w:trPr>
        <w:tc>
          <w:tcPr>
            <w:tcW w:w="6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101.INS</w:t>
            </w:r>
          </w:p>
        </w:tc>
        <w:tc>
          <w:tcPr>
            <w:tcW w:w="7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w:t>
            </w:r>
          </w:p>
        </w:tc>
        <w:tc>
          <w:tcPr>
            <w:tcW w:w="2120" w:type="dxa"/>
            <w:vAlign w:val="bottom"/>
            <w:vMerge w:val="restart"/>
          </w:tcPr>
          <w:p>
            <w:pPr>
              <w:ind w:left="202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88"/>
        </w:trPr>
        <w:tc>
          <w:tcPr>
            <w:tcW w:w="680" w:type="dxa"/>
            <w:vAlign w:val="bottom"/>
            <w:vMerge w:val="continue"/>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File as its XBRL tags are embedded within the Inline XBRL document</w:t>
            </w:r>
          </w:p>
        </w:tc>
        <w:tc>
          <w:tcPr>
            <w:tcW w:w="2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6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101.SCH</w:t>
            </w:r>
          </w:p>
        </w:tc>
        <w:tc>
          <w:tcPr>
            <w:tcW w:w="7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Inline XBRL Taxonomy Extension Schema With Embedded Linkbase Document</w:t>
            </w:r>
          </w:p>
        </w:tc>
        <w:tc>
          <w:tcPr>
            <w:tcW w:w="2120" w:type="dxa"/>
            <w:vAlign w:val="bottom"/>
          </w:tcPr>
          <w:p>
            <w:pPr>
              <w:ind w:left="202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243"/>
        </w:trPr>
        <w:tc>
          <w:tcPr>
            <w:tcW w:w="6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104</w:t>
            </w:r>
          </w:p>
        </w:tc>
        <w:tc>
          <w:tcPr>
            <w:tcW w:w="7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Cover Page formatted as Inline XBRL and contained in Exhibit 101</w:t>
            </w: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19" w:lineRule="exact"/>
        <w:rPr>
          <w:sz w:val="20"/>
          <w:szCs w:val="20"/>
          <w:color w:val="auto"/>
        </w:rPr>
      </w:pPr>
    </w:p>
    <w:p>
      <w:pPr>
        <w:ind w:firstLine="8"/>
        <w:spacing w:after="0" w:line="260" w:lineRule="auto"/>
        <w:tabs>
          <w:tab w:leader="none" w:pos="19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and/or schedules have been omitted pursuant to Item 601(a)(5) of Regulation S-K. The registrant hereby undertakes to furnish supplementally copies of any of the omitted exhibits and schedules upon request by the SEC.</w:t>
      </w:r>
    </w:p>
    <w:p>
      <w:pPr>
        <w:spacing w:after="0" w:line="181" w:lineRule="exact"/>
        <w:rPr>
          <w:sz w:val="20"/>
          <w:szCs w:val="20"/>
          <w:color w:val="auto"/>
        </w:rPr>
      </w:pPr>
    </w:p>
    <w:p>
      <w:pPr>
        <w:ind w:left="340" w:hanging="332"/>
        <w:spacing w:after="0"/>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25" w:lineRule="exact"/>
        <w:rPr>
          <w:sz w:val="20"/>
          <w:szCs w:val="20"/>
          <w:color w:val="auto"/>
        </w:rPr>
      </w:pPr>
    </w:p>
    <w:p>
      <w:pPr>
        <w:jc w:val="both"/>
        <w:ind w:firstLine="8"/>
        <w:spacing w:after="0" w:line="266" w:lineRule="auto"/>
        <w:tabs>
          <w:tab w:leader="none" w:pos="41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Annual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76" w:lineRule="exact"/>
        <w:rPr>
          <w:sz w:val="20"/>
          <w:szCs w:val="20"/>
          <w:color w:val="auto"/>
        </w:rPr>
      </w:pPr>
    </w:p>
    <w:p>
      <w:pPr>
        <w:ind w:firstLine="8"/>
        <w:spacing w:after="0" w:line="282" w:lineRule="auto"/>
        <w:tabs>
          <w:tab w:leader="none" w:pos="45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601(b)(10)(iv) of Regulation S-K, certain portions of this exhibit (indicated by ***) have been omitted because the identified information is not material and is the type that the Registrant treats as private or confidential.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149" w:name="page150"/>
    <w:bookmarkEnd w:id="1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25" w:lineRule="exact"/>
        <w:rPr>
          <w:sz w:val="20"/>
          <w:szCs w:val="20"/>
          <w:color w:val="auto"/>
        </w:rPr>
      </w:pPr>
    </w:p>
    <w:p>
      <w:pPr>
        <w:ind w:left="562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Matthew Angel</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Matthew Angel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-127635</wp:posOffset>
            </wp:positionV>
            <wp:extent cx="326580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 &amp; President (Principal Executive Officer)</w:t>
      </w:r>
    </w:p>
    <w:p>
      <w:pPr>
        <w:spacing w:after="0" w:line="200" w:lineRule="exact"/>
        <w:rPr>
          <w:sz w:val="20"/>
          <w:szCs w:val="20"/>
          <w:color w:val="auto"/>
        </w:rPr>
      </w:pPr>
    </w:p>
    <w:p>
      <w:pPr>
        <w:spacing w:after="0" w:line="223" w:lineRule="exact"/>
        <w:rPr>
          <w:sz w:val="20"/>
          <w:szCs w:val="20"/>
          <w:color w:val="auto"/>
        </w:rPr>
      </w:pPr>
    </w:p>
    <w:p>
      <w:pPr>
        <w:ind w:left="562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Nicholas Maestas</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-127635</wp:posOffset>
            </wp:positionV>
            <wp:extent cx="326580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 &amp; Head of Corporate Strategy (Principal Financial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30, 2026</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50" w:name="page151"/>
    <w:bookmarkEnd w:id="150"/>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KNOW ALL PERSONS BY THESE PRESENTS, that each person whose signature appears below constitutes and appoints Matthew Angel </w:t>
      </w:r>
      <w:r>
        <w:rPr>
          <w:rFonts w:ascii="Times New Roman" w:cs="Times New Roman" w:eastAsia="Times New Roman" w:hAnsi="Times New Roman"/>
          <w:sz w:val="18"/>
          <w:szCs w:val="18"/>
          <w:color w:val="231F20"/>
        </w:rPr>
        <w:t>and Nicolas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Maestas</w:t>
      </w:r>
      <w:r>
        <w:rPr>
          <w:rFonts w:ascii="Times New Roman" w:cs="Times New Roman" w:eastAsia="Times New Roman" w:hAnsi="Times New Roman"/>
          <w:sz w:val="18"/>
          <w:szCs w:val="18"/>
          <w:color w:val="000000"/>
        </w:rPr>
        <w:t>, jointly and severally, as his or her true and lawful attorneys-in-fact and agents, with full power of substitution and resubstitution, for him or her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and in his or her name, place and stead, in any and all capacities, to sign this Annual Report on Form 10-K of Tempest Therapeutics, Inc.,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p>
      <w:pPr>
        <w:spacing w:after="0" w:line="2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tabs>
          <w:tab w:leader="none" w:pos="6860" w:val="left"/>
        </w:tabs>
        <w:rPr>
          <w:sz w:val="20"/>
          <w:szCs w:val="20"/>
          <w:color w:val="auto"/>
        </w:rPr>
      </w:pPr>
      <w:r>
        <w:rPr>
          <w:rFonts w:ascii="Times New Roman" w:cs="Times New Roman" w:eastAsia="Times New Roman" w:hAnsi="Times New Roman"/>
          <w:sz w:val="16"/>
          <w:szCs w:val="16"/>
          <w:b w:val="1"/>
          <w:bCs w:val="1"/>
          <w:color w:val="auto"/>
        </w:rPr>
        <w:t>Title</w:t>
      </w:r>
      <w:r>
        <w:rPr>
          <w:sz w:val="20"/>
          <w:szCs w:val="20"/>
          <w:color w:val="auto"/>
        </w:rPr>
        <w:tab/>
      </w: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36830</wp:posOffset>
            </wp:positionV>
            <wp:extent cx="505777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0">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110" w:lineRule="exact"/>
        <w:rPr>
          <w:sz w:val="20"/>
          <w:szCs w:val="20"/>
          <w:color w:val="auto"/>
        </w:rPr>
      </w:pPr>
    </w:p>
    <w:p>
      <w:pPr>
        <w:sectPr>
          <w:pgSz w:w="11900" w:h="16838" w:orient="portrait"/>
          <w:cols w:equalWidth="0" w:num="2">
            <w:col w:w="2720" w:space="720"/>
            <w:col w:w="7800"/>
          </w:cols>
          <w:pgMar w:left="320" w:top="1201" w:right="339" w:bottom="1440" w:gutter="0" w:footer="0" w:header="0"/>
          <w:type w:val="continuous"/>
        </w:sectPr>
      </w:pPr>
    </w:p>
    <w:p>
      <w:pPr>
        <w:jc w:val="center"/>
        <w:ind w:left="580"/>
        <w:spacing w:after="0"/>
        <w:rPr>
          <w:sz w:val="20"/>
          <w:szCs w:val="20"/>
          <w:color w:val="auto"/>
        </w:rPr>
      </w:pPr>
      <w:r>
        <w:rPr>
          <w:rFonts w:ascii="Times New Roman" w:cs="Times New Roman" w:eastAsia="Times New Roman" w:hAnsi="Times New Roman"/>
          <w:sz w:val="16"/>
          <w:szCs w:val="16"/>
          <w:i w:val="1"/>
          <w:iCs w:val="1"/>
          <w:color w:val="auto"/>
        </w:rPr>
        <w:t>/s/ Matthew Angel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207454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1">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9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6"/>
          <w:szCs w:val="16"/>
          <w:color w:val="auto"/>
        </w:rPr>
        <w:t>Matthew Angel</w:t>
      </w:r>
    </w:p>
    <w:p>
      <w:pPr>
        <w:spacing w:after="0" w:line="34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6"/>
          <w:szCs w:val="16"/>
          <w:i w:val="1"/>
          <w:iCs w:val="1"/>
          <w:color w:val="auto"/>
        </w:rPr>
        <w:t>/s/ 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207454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2">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9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6"/>
          <w:szCs w:val="16"/>
          <w:color w:val="auto"/>
        </w:rPr>
        <w:t>Nicholas Maestas</w:t>
      </w:r>
    </w:p>
    <w:p>
      <w:pPr>
        <w:spacing w:after="0" w:line="34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6"/>
          <w:szCs w:val="16"/>
          <w:i w:val="1"/>
          <w:iCs w:val="1"/>
          <w:color w:val="auto"/>
        </w:rPr>
        <w:t>/s/ Justin Trojanowski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207454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3">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9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6"/>
          <w:szCs w:val="16"/>
          <w:color w:val="auto"/>
        </w:rPr>
        <w:t>Justin Trojanowski</w:t>
      </w:r>
    </w:p>
    <w:p>
      <w:pPr>
        <w:spacing w:after="0" w:line="34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6"/>
          <w:szCs w:val="16"/>
          <w:i w:val="1"/>
          <w:iCs w:val="1"/>
          <w:color w:val="auto"/>
        </w:rPr>
        <w:t>/s/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207454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4">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9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6"/>
          <w:szCs w:val="16"/>
          <w:color w:val="auto"/>
        </w:rPr>
        <w:t>Stephen Brady</w:t>
      </w:r>
    </w:p>
    <w:p>
      <w:pPr>
        <w:spacing w:after="0" w:line="34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6"/>
          <w:szCs w:val="16"/>
          <w:i w:val="1"/>
          <w:iCs w:val="1"/>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207454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5">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9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6"/>
          <w:szCs w:val="16"/>
          <w:color w:val="auto"/>
        </w:rPr>
        <w:t>Michael Raab</w:t>
      </w:r>
    </w:p>
    <w:p>
      <w:pPr>
        <w:spacing w:after="0" w:line="34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6"/>
          <w:szCs w:val="16"/>
          <w:i w:val="1"/>
          <w:iCs w:val="1"/>
          <w:color w:val="auto"/>
        </w:rPr>
        <w:t>/s/ Christine Pellizzari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207454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6">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9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6"/>
          <w:szCs w:val="16"/>
          <w:color w:val="auto"/>
        </w:rPr>
        <w:t>Christine Pellizzari</w:t>
      </w:r>
    </w:p>
    <w:p>
      <w:pPr>
        <w:spacing w:after="0" w:line="34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6"/>
          <w:szCs w:val="16"/>
          <w:i w:val="1"/>
          <w:iCs w:val="1"/>
          <w:color w:val="auto"/>
        </w:rPr>
        <w:t>/s/ Ronit Simantov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207454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7">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9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6"/>
          <w:szCs w:val="16"/>
          <w:color w:val="auto"/>
        </w:rPr>
        <w:t>Ronit Simantov, M.D.</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Chief Executive Officer, President and Director </w:t>
      </w:r>
      <w:r>
        <w:rPr>
          <w:rFonts w:ascii="Times New Roman" w:cs="Times New Roman" w:eastAsia="Times New Roman" w:hAnsi="Times New Roman"/>
          <w:sz w:val="16"/>
          <w:szCs w:val="16"/>
          <w:i w:val="1"/>
          <w:iCs w:val="1"/>
          <w:color w:val="auto"/>
        </w:rPr>
        <w:t>(Principal Executive Officer)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Chief Financial Officer &amp; Head of Corporate Strategy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Corporate Controller, Treasurer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(Principal Accounting Officer)</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March 30, 2026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30, 2026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30, 2026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30, 2026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30, 2026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30, 2026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30, 2026</w:t>
      </w:r>
    </w:p>
    <w:p>
      <w:pPr>
        <w:spacing w:after="0" w:line="483" w:lineRule="exact"/>
        <w:rPr>
          <w:sz w:val="20"/>
          <w:szCs w:val="20"/>
          <w:color w:val="auto"/>
        </w:rPr>
      </w:pPr>
    </w:p>
    <w:p>
      <w:pPr>
        <w:sectPr>
          <w:pgSz w:w="11900" w:h="16838" w:orient="portrait"/>
          <w:cols w:equalWidth="0" w:num="3">
            <w:col w:w="2720" w:space="720"/>
            <w:col w:w="5660" w:space="720"/>
            <w:col w:w="1420"/>
          </w:cols>
          <w:pgMar w:left="320" w:top="1201" w:right="339" w:bottom="1440" w:gutter="0" w:footer="0" w:header="0"/>
          <w:type w:val="continuous"/>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0" w:lineRule="exact"/>
        <w:rPr>
          <w:sz w:val="20"/>
          <w:szCs w:val="20"/>
          <w:color w:val="auto"/>
        </w:rPr>
      </w:pPr>
    </w:p>
    <w:p>
      <w:pPr>
        <w:spacing w:after="0" w:line="223"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Tempest Therapeutics, Inc. (the “Company,” or “we,” “us,” and “our”) has two classes of securities registered under Section 12 of the Securities Exchange Act of 1934, as amended: (a) our common stock and (b) Series A junior participating preferred purchase rights (“Series A Preferred Shares”).</w:t>
      </w:r>
    </w:p>
    <w:p>
      <w:pPr>
        <w:spacing w:after="0" w:line="16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following descriptions of our capital stock, provisions of our restated certificate of incorporation, as amended (the “Restated Certificate”), amended and restated bylaws (the “Bylaws”), certificate of designation of rights, preferences and privileges of Series A Preferred Shares (the “Certificate of Designations”), the Rights Agreement (as defined below), and certain provisions of Delaware law are summaries and do not purport to be complete. You should also refer to the Restated Certificate, the Bylaws, the Certificate of Designations, and the Rights Agreement which are incorporated by reference as exhibits to the Annual Report on Form 10-K of which this Exhibit 4.1 is a part. We encourage you to read these documents for additional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Restated Certificate authorizes us to issue up to 100,000,000 shares of common stock, $0.001 par value per share, and 5,000,000 shares of preferred stock, $0.001 par value per share, of which 100,000 shares are designated as Series A Preferred Shares. All other shares of preferred stock are undesignated. For a description of the rights of our Series A Preferred Shares, see below under the heading “Preferred Stock Purchase Rights.”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w:t>
      </w:r>
    </w:p>
    <w:p>
      <w:pPr>
        <w:spacing w:after="0" w:line="17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Subject to preferences that may apply to any outstanding preferred stock, holders of common stock are entitled to receive proportionately any dividends as may be declared by our board of directors.</w:t>
      </w:r>
    </w:p>
    <w:p>
      <w:pPr>
        <w:spacing w:after="0" w:line="16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Preferred Shares, upon issuance of any such shares, and of any other series of preferred stock that we may designate and issue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Pursuant to our Restated Certificate, our board of directors has the authority to determine the number, rights, preferences, privileges and restrictions of each series of preferred stock that it may, from time to time, issue,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2" w:name="page153"/>
    <w:bookmarkEnd w:id="152"/>
    <w:p>
      <w:pPr>
        <w:spacing w:after="0" w:line="19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General Corporation Law of the State of Delaware (“DGCL”), the state of our incorporation, provides that the holders of preferred stock will have the right to vote separately as a class (or, in some 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 Purchase Rights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 October 10, 2023, our board of directors declared a dividend of one preferred share purchase right (“Right”) to purchase one-thousandth of one share of Series A Preferred Shares for each outstanding share of our common stock to the stockholders of record as of the close of business on October 23, 2023 (the “Record Date”), and adopted a limited duration stockholder rights plan (the “Rights Plan”), as set forth in the Rights Agreement, dated as of October 10, 2023, as amended by Amendment No. 1 to Rights Agreement, dated as of October 9, 2024, and as further amended by Amendment No. 2 to Rights Agreement, dated as of December 5, 2024 (collectively, the “Rights Agreement”), by and between the Company and Computershare Trust Company, N.A., as Rights Agent. The Rights Agent currently serves as our transfer agent with respect to our common stock and also has been appointed transfer agent with respect to the Series A Preferred Shares, if any, that may be issued pursuant to the exercise of rights under the Rights Agreement. The Rights will expire immediately following our 2025 Annual Meeting of Stockholders, or, if our stockholders approve the Rights Plan at or prior to such meeting, on October 10, 2026 (“Final Expiration Date”), unless the rights are earlier redeemed or exchanged by the Company. We do not have any obligation under the Rights Agreement to seek stockholder approval for the Rights Plan.</w:t>
      </w:r>
    </w:p>
    <w:p>
      <w:pPr>
        <w:spacing w:after="0" w:line="194"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In general terms, the Rights Agreement works by imposing a significant penalty upon any person or group that acquires beneficial ownership of 10% (15% in the case of a passive institutional investor) or more of the outstanding shares of our common stock without the approval of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Rights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Rights will not be exercisable and will trade with shares of our common stock until the earlier to occur of (a) the tenth calendar day (or such later date as may be determined by our board of directors) after a person or group acquires beneficial ownership of 10% (15% in the case of a passive institutional investor) or more of our outstanding common stock (an “Acquiring Person”) or (b) the tenth business day (or such later date as may be determined by action of our board of directors prior to such time as any person or entity becomes an Acquiring Person) following the date of commencement of, or the first announcement of, an intention to commence, a tender offer or exchange offer, the consummation of which would result in any person or entity or group of persons or entities acting in concert becoming an Acquiring Person; provided, however, the term “Acquiring Person” is subject to certain customary exceptions whereby certain stockholders that would have otherwise been an Acquiring Person are excluded from the definition of “Acquiring Person.” Any Rights held by an Acquiring Person are null and void and may not be exercised. Any stockholders with beneficial ownership of our common stock above the applicable threshold as of the time of this announcement are grandfathered at their current ownership levels but are not permitted to increase their ownership without triggering the Rights. Prior to exercise, the Right does not give its holder any dividend, voting or liquidation rights.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Price</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date when the Rights separate from our common stock and become exercisable is referred to herein as the “Distribution Date.” After the Distribution Date, each Right will entitle the holder to purchase one-thousandth (1/1000</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of a Preferred Share for $25.00, subject to adjustment (the “Exercise Price”). Each one-thousandth (1/1000</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of a Series A Preferred Share has economic terms similar to that of one share of our common stock. The Exercise Price payable, and the number of Series A Preferred Shares or other securities or other property issuable upon exercise of the Rights will be subject to adjustment from time to time to prevent dilution in the event of a stock dividend on, or a subdivision, combination or reclassification of, the Series A Preferred Shares. The exercise of Rights to purchase Series A Preferred Shares will at all times be subject to the availability of a sufficient number of authorized but unissued Series A Preferred Shares. Notwithstanding the foregoing, with certain exceptions, no adjustment in the Exercise Price will be required until cumulative adjustments require an adjustment of at least 1% in such Exercise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Price. No fractional shares will be issued (other than fractions which are integral multiples of the number of one one-hundredth (1/100</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of a Series A Preferred Share issuable upon the exercise of one Right, which may, at our election, be evidenced by depositary receipts), and in lieu thereof, an adjustment in cash will be made based on the market price of the Series A Preferred Shares on the last trading day prior to the date of exercise.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Consequences of a Person or Group Becoming an Acquiring Person</w:t>
      </w:r>
    </w:p>
    <w:p>
      <w:pPr>
        <w:spacing w:after="0" w:line="227" w:lineRule="exact"/>
        <w:rPr>
          <w:sz w:val="20"/>
          <w:szCs w:val="20"/>
          <w:color w:val="auto"/>
        </w:rPr>
      </w:pPr>
    </w:p>
    <w:p>
      <w:pPr>
        <w:ind w:left="760" w:right="600" w:hanging="378"/>
        <w:spacing w:after="0" w:line="284" w:lineRule="auto"/>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Flip-In</w:t>
      </w:r>
      <w:r>
        <w:rPr>
          <w:rFonts w:ascii="Times New Roman" w:cs="Times New Roman" w:eastAsia="Times New Roman" w:hAnsi="Times New Roman"/>
          <w:sz w:val="18"/>
          <w:szCs w:val="18"/>
          <w:color w:val="auto"/>
        </w:rPr>
        <w:t>. If a person or group becomes an Acquiring Person, all holders of Rights except the Acquiring Person or its affiliates may,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Price, purchase shares of our common stock with a market value of twice the Exercise Price.</w:t>
      </w:r>
    </w:p>
    <w:p>
      <w:pPr>
        <w:spacing w:after="0" w:line="117" w:lineRule="exact"/>
        <w:rPr>
          <w:rFonts w:ascii="Times New Roman" w:cs="Times New Roman" w:eastAsia="Times New Roman" w:hAnsi="Times New Roman"/>
          <w:sz w:val="18"/>
          <w:szCs w:val="18"/>
          <w:color w:val="auto"/>
        </w:rPr>
      </w:pPr>
    </w:p>
    <w:p>
      <w:pPr>
        <w:ind w:left="760" w:right="160" w:hanging="378"/>
        <w:spacing w:after="0" w:line="267" w:lineRule="auto"/>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In lieu of “flip-in” feature described above, our board of directors may, at its option at any time after a person or group becomes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Acquiring Person, exchange the Rights (other than Rights owned by the Acquiring Person or its affiliates), in whole or in part, for shares of our common stock at an exchange ratio of one share of our common stock per Right (subject to adjustment).</w:t>
      </w:r>
    </w:p>
    <w:p>
      <w:pPr>
        <w:spacing w:after="0" w:line="146" w:lineRule="exact"/>
        <w:rPr>
          <w:rFonts w:ascii="Times New Roman" w:cs="Times New Roman" w:eastAsia="Times New Roman" w:hAnsi="Times New Roman"/>
          <w:sz w:val="18"/>
          <w:szCs w:val="18"/>
          <w:color w:val="auto"/>
        </w:rPr>
      </w:pPr>
    </w:p>
    <w:p>
      <w:pPr>
        <w:ind w:left="760" w:right="220" w:hanging="378"/>
        <w:spacing w:after="0" w:line="267" w:lineRule="auto"/>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Flip-Over</w:t>
      </w:r>
      <w:r>
        <w:rPr>
          <w:rFonts w:ascii="Times New Roman" w:cs="Times New Roman" w:eastAsia="Times New Roman" w:hAnsi="Times New Roman"/>
          <w:sz w:val="18"/>
          <w:szCs w:val="18"/>
          <w:color w:val="auto"/>
        </w:rPr>
        <w:t>. If we are later acquired in a merger or similar transaction after the Distribution Date, all holders of Rights except the Acquiring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or its affiliates may purchase, for the Exercise Price, a number of shares of our common stock of the person engaging in the transaction having a market value of twice the Exercise Price.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of the Series A Preferred Shares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Each Series A Preferred Share, if issued:</w:t>
      </w:r>
    </w:p>
    <w:p>
      <w:pPr>
        <w:spacing w:after="0" w:line="225" w:lineRule="exact"/>
        <w:rPr>
          <w:sz w:val="20"/>
          <w:szCs w:val="20"/>
          <w:color w:val="auto"/>
        </w:rPr>
      </w:pPr>
    </w:p>
    <w:p>
      <w:pPr>
        <w:ind w:left="760" w:hanging="378"/>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redeemable;</w:t>
      </w:r>
    </w:p>
    <w:p>
      <w:pPr>
        <w:spacing w:after="0" w:line="184"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and if any dividend is declared on our common stock, entitle the holder to a preferential quarterly dividend payment equal to 1,000 times the aggregate per share price of all cash and non-cash dividends declared per share of our common stock;</w:t>
      </w:r>
    </w:p>
    <w:p>
      <w:pPr>
        <w:spacing w:after="0" w:line="134" w:lineRule="exact"/>
        <w:rPr>
          <w:rFonts w:ascii="Times New Roman" w:cs="Times New Roman" w:eastAsia="Times New Roman" w:hAnsi="Times New Roman"/>
          <w:sz w:val="18"/>
          <w:szCs w:val="18"/>
          <w:color w:val="auto"/>
        </w:rPr>
      </w:pPr>
    </w:p>
    <w:p>
      <w:pPr>
        <w:ind w:left="760" w:right="180" w:hanging="378"/>
        <w:spacing w:after="0" w:line="312" w:lineRule="auto"/>
        <w:tabs>
          <w:tab w:leader="none" w:pos="7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 entitle the holder upon liquidation either to receive $1,000 plus an amount equal to accrued and unpaid dividends and distributions thereon or an aggregate amount per share equal to 1,000 times the aggregate amount to be distributed per share to holders of our common stock;</w:t>
      </w:r>
    </w:p>
    <w:p>
      <w:pPr>
        <w:spacing w:after="0" w:line="99"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have 1,000 votes, voting together with our common stock;</w:t>
      </w:r>
    </w:p>
    <w:p>
      <w:pPr>
        <w:spacing w:after="0" w:line="184" w:lineRule="exact"/>
        <w:rPr>
          <w:rFonts w:ascii="Times New Roman" w:cs="Times New Roman" w:eastAsia="Times New Roman" w:hAnsi="Times New Roman"/>
          <w:sz w:val="18"/>
          <w:szCs w:val="18"/>
          <w:color w:val="auto"/>
        </w:rPr>
      </w:pPr>
    </w:p>
    <w:p>
      <w:pPr>
        <w:ind w:left="760" w:right="300" w:hanging="378"/>
        <w:spacing w:after="0" w:line="282" w:lineRule="auto"/>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of our common stock are exchanged via merger, consolidation, or a similar transaction, will entitle the holder to a per share payment equal to 1,000 times the amount of consideration received per share of our common stock; and</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A Preferred Shares would rank junior to any other series of the Company’s preferred stock.</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value of one-thousandth interest in a Preferred Share is intended to approximate the value of one share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Expiration; Amendments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Rights will expire on the Final Expiration Date. The terms of the Rights Agreement may be amended by our board of directors without the consent of the holders of the Rights. After a person or group becomes an Acquiring Person, our board of directors may not amend the Rights Agreement in a way that adversely affects holders of the Rights.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board of directors may redeem the Rights for $0.001 per Right at any time prior to the earlier of (A) such time as any person or group becomes an Acquiring Person or (B) the close of business on the Final Expiration Date. Following the expiration of the above periods, the Rights become nonredeemable. If our board of directors redeems any Rights, it must redeem all of the Rights. Once the Rights are redeemed, the only right of the holders of Rights will be to receive the redemption price of $0.001 per Right. The redemption price will be adjusted if the Company effects a stock split or stock dividend of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Rights will have the benefit of certain customary anti-dilution provisions.</w:t>
      </w:r>
    </w:p>
    <w:p>
      <w:pPr>
        <w:spacing w:after="0" w:line="22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Rights Agreement does not contain any dead-hand, slow-hand, no-hand or similar feature that limits the ability of a future board of directors to redeem the Rights. Until a Right is exercised, the holder thereof, as such, will have no rights as a stockholder of the Company, including, without limitation, the right to vote or to receive dividends.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Extraordinary Warrants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2021 Common Stock Warrants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 January 15, 2021, TempestTx, Inc. (formerly Tempest Therapeutics, Inc., “Legacy Tempest”) issued warrants for the purchase of shares of preferred stock of TempestTx, Inc. to Oxford Finance LLC (the “2021 Warrants”). Upon the closing of Legacy Tempest’s business combination with the Company, in accordance with the terms of the Agreement and Plan of Merger, dated as of March 29, 2021, by and among the Company, Legacy Tempest and Mars Merger Corp., a Delaware corporation and a wholly owned subsidiary of the Company (“Merger Sub”), pursuant to which, among other matters, Merger Sub merged with and into Legacy Tempest, with Legacy Tempest continuing as a wholly owned subsidiary of the Company and the surviving corporation of the merger (the ”Merger”), the Company assumed all of the outstanding 2021 Warrants. Following the Merger, the 2021 Warrants were restated and become exercisable for shares of the Company’s common stock. As of December 31, 2025, 2021 Warrants exercisable into 464 shares of common stock remained outstanding. The 2021 Warrants are exercisable at any time and from time to time, in whole or in part, until their expiration on January 15, 2031, at an exercise price of $322.92 per share (subject to customary adjustments), and may also be exercised on a cashless basis. The issuance of common stock upon exercise of the warrants is not covered by an effective registration statement.</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2026 Dividend Warrants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 February 3, 2026, pursuant to the terms and conditions described in the Warrant Agreement, dated February 3, 2026, between the Company, Computershare Inc., and its affiliate, Computershare Trust Company, N.A., as Warrant Agent, the Company issued, as a dividend, warrants to purchase an aggregate of 6,784,989 shares of common stock (the “Dividend Warrants”). As of February 28, 2026, Dividend Warrants exercisable into 6,784,989 shares of common stock remained outstanding. The Dividend Warrants cannot be exercised until there is an effective registration statement covering the sale of shares of common stock upon exercise of the Dividend Warrants. The Company intends to file a registration statement registering up to 6,784,989 shares of common stock issuable upon exercise of the Dividend Warrants under the Securities Act of 1933, as amended, following the effectiveness of which the Dividend Warrants will be exercisable at any time and from time to time, in whole or in part, until their expiration on February 3, 2031, at an exercise price of $18.48 per share. The Dividend Warrants are not eligible to be exercised on a cashless basis. The exercise price and the number of shares issuable upon exercise of the Dividend Warrants are subject to customary adjustments in the case of stock dividends, stock splits, pro rata distributions, and similar events in respect of our common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Issuable Upon Exercise of Warrants</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currently have Series A warrants to purchase shares of common stock (the “Series A Warrants”), Series B warrants to purchase shares of common stock (the “Series B Warrants”) and pre-funded warrants (“Pre-Funded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Warrants”) to purchase shares of common stock issued and outstanding. The Series A Warrants and the Series B warrants are collectively referred to as the “Common Warrants,” and together with the Pre-Funded Warrants, the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Fractional Shares</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No fractional shares shall be issued upon the exercise of any Warrant. In lieu of any fractional shares that would otherwise be issuable, the number of shares of common stock to be issued shall be rounded down to the next whole number and we shall pay the holder in cash the fair market value (based on the closing sale price) for any such fractional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Limitations</w:t>
      </w:r>
    </w:p>
    <w:p>
      <w:pPr>
        <w:spacing w:after="0" w:line="11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Under the terms of the Warrants, we may not give effect to the exercise of any such Warrant, and a holder will not be entitled to exercise any portion of any such Warrant, if, upon giving effect to such exercise, the aggregate number of shares of common stock beneficially owned by the holder (together with its affiliates, any other persons acting as a group together with the holder or any of the holder’s affiliates, and any other persons whose beneficial ownership of common stock would or could be aggregated with the holder’s for purposes of Section 13(d) or Section 16 of the Exchange Act) would exceed a percentage set at the discretion of each Holder between 4.99% and 9.99%, of the number of shares of common stock outstanding immediately after giving effect to such exercise, which percentage may be increased or decreased at the holder’s election upon notice to us, up to 9.99% upon at least 61 days’ prior notice from the holder to us.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Transferability</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Subject to applicable laws, the Warrants may be offered for sale, sold, transferred or assigned without our consent.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Listing</w:t>
      </w:r>
    </w:p>
    <w:p>
      <w:pPr>
        <w:spacing w:after="0" w:line="11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There is no established trading market for the Warrants, and we do not expect a market to develop. We do not intend to apply for the listing of Warrants on the Nasdaq Stock Market, any other national securities exchange or any other nationally recognized trading system.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Rights as a Stockholder</w:t>
      </w:r>
    </w:p>
    <w:p>
      <w:pPr>
        <w:spacing w:after="0" w:line="11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Except by virtue of such holder’s ownership of shares of our common stock, the holder of a Warrant does not have the rights or privileges of a holder of our common stock, including any voting rights, until such holder exercises the Warrant.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Price</w:t>
      </w:r>
    </w:p>
    <w:p>
      <w:pPr>
        <w:spacing w:after="0" w:line="2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Common Warrants have an exercise price of $2.16 per share.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w:t>
      </w:r>
    </w:p>
    <w:p>
      <w:pPr>
        <w:spacing w:after="0" w:line="22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Series A Warrants will become exercisable on the effective date of approval from our stockholders for the issuance of the shares issuable upon exercise of the Common Warrants (the “Stockholder Approval Date”) and have a term of five years from the later of the Stockholder Approval Date and the effectiveness date of a registration statements covering the resale of the shares of common stock underlying the Common Warrants (the “Effectiveness Date”). The Series B Warrants will become exercisable on the Stockholder Approval Date and have a term of twenty-four months from the later of the Stockholder Approval Date and the Effectiveness Date.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Fundamental Transactions</w:t>
      </w:r>
    </w:p>
    <w:p>
      <w:pPr>
        <w:spacing w:after="0" w:line="227" w:lineRule="exact"/>
        <w:rPr>
          <w:sz w:val="20"/>
          <w:szCs w:val="20"/>
          <w:color w:val="auto"/>
        </w:rPr>
      </w:pPr>
    </w:p>
    <w:p>
      <w:pPr>
        <w:jc w:val="both"/>
        <w:ind w:firstLine="374"/>
        <w:spacing w:after="0" w:line="251" w:lineRule="auto"/>
        <w:rPr>
          <w:sz w:val="20"/>
          <w:szCs w:val="20"/>
          <w:color w:val="auto"/>
        </w:rPr>
      </w:pPr>
      <w:r>
        <w:rPr>
          <w:rFonts w:ascii="Times New Roman" w:cs="Times New Roman" w:eastAsia="Times New Roman" w:hAnsi="Times New Roman"/>
          <w:sz w:val="18"/>
          <w:szCs w:val="18"/>
          <w:color w:val="auto"/>
        </w:rPr>
        <w:t>If, at any time while the Common Warrants are outstanding (i) we effect any merger or consolidation of the Company with or into another person, in which we are not the surviving entity or in which our stockholders immediately prior to such merger or consolidation do not own, directly or indirectly, at least 50% of the voting power of the surviving entity immediately after such merger or consolidation, (ii) we, directly or indirectly, effect any sale, lease, license, assignment, transfer, conveyance or other disposition of all or substantially all of our assets in one or a series of related transactions, (iii) any, direct or indirect, purchase offer, tender offer or exchange offer (whether by us or another person) is completed pursuant to which holders of our common stock are permitted to sell, tender or exchange their shares for other securities, cash or property and has been accepted by the holders of greater than 50% of the outstanding our common stock or greater than 50% of the voting power of the common equity of the Company, (iv) we, directly or indirectly, in one or more related transactions effects any reclassification, reorganization or recapitalization of our common stock or any compulsory share exchange pursuant to which our common stock is effectively converted into or exchanged for other securities, cash or property (except for any such transaction in which our stockholders immediately prior to such transaction maintain, in substantially the same proportions, the voting power of such person immediately after the transaction), or (v) we,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our outstanding shares of common stock or greater than 50% of the voting power of our common equity (in any such case, a “Fundamental Transaction”), then following such Fundamental Transaction the holder shall have the right to receive, upon exercise of the Common Warrants,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the Common Warrants (including any Distributions or Purchase Rights then held in abeyance without regard to any limitations on exercise contained herein (the “Alternate Consideration”)). We shall not effect any Fundamental Transaction in which we are not the surviving entity or the Alternate Consideration includes securities of another person unless prior to or simultaneously with the consummation thereof, any successor to us, surviving entity or other person (including any purchaser of assets of us) shall assume the obligation to deliver to the holder such Alternate Consideration as, in accordance with the foregoing provisions, the holder may be entitled to receive, and the other obligations under the Common Warrants.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Price</w:t>
      </w:r>
    </w:p>
    <w:p>
      <w:pPr>
        <w:spacing w:after="0" w:line="22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Each Pre-Funded Warrant will have an exercise price of $0.001 per share. In lieu of making the cash payment otherwise contemplated to be made to us upon exercise of a Pre-Funded Warrant in payment of the aggregate exercise price, the holder may elect instead to receive upon such exercise (either in whole or in part) the net number of shares of common stock determined according to a formula set forth in the Pre-Funded Warrants.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w:t>
      </w:r>
    </w:p>
    <w:p>
      <w:pPr>
        <w:spacing w:after="0" w:line="22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Each Pre-Funded Warrant will be exercisable immediately upon the Original Issue Date (as defined in the Pre-Funded Warrant) until the Pre-Funded Warrant is exercised in full.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Fundamental Transactions</w:t>
      </w:r>
    </w:p>
    <w:p>
      <w:pPr>
        <w:spacing w:after="0" w:line="22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If, at any time while the Pre-Funded Warrants are outstanding (i) we effect any merger or consolidation of the Company with or into another person, in which we are not the surviving entity or in which our stockholders immediately prior to such merger or consolidation do not own, directly or indirectly, at least 50% of the voting power of the surviving entity immediately after such merger or consolidation, (ii) we, directly or indirectly, effect any sale, lease, license, assignment, transfer, conveyance or other disposition of all or substantially all of our assets in one or a series of related transactions, (iii) any, direct or indirect, purchase offer, tender offer or exchange offer (whether by us or another person) is completed pursuant to which holders of our common stock are permitted to sell, tender or exchange their shares for other securities, cash or property and has been accepted by the holders of greater than 50% of the outstanding our common stock or greater than 50% of the voting power of the common equity of the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94" w:lineRule="exact"/>
        <w:rPr>
          <w:sz w:val="20"/>
          <w:szCs w:val="20"/>
          <w:color w:val="auto"/>
        </w:rPr>
      </w:pPr>
    </w:p>
    <w:p>
      <w:pPr>
        <w:jc w:val="both"/>
        <w:ind w:firstLine="8"/>
        <w:spacing w:after="0" w:line="252" w:lineRule="auto"/>
        <w:tabs>
          <w:tab w:leader="none" w:pos="30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directly or indirectly, in one or more related transactions effects any reclassification, reorganization or recapitalization of our common stock or any compulsory share exchange pursuant to which our common stock is effectively converted into or exchanged for other securities, cash or property (except for any such transaction in which our stockholders immediately prior to such transaction maintain, in substantially the same proportions, the voting power of such person immediately after the transaction), or (v) we,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our outstanding shares of common stock or greater than 50% of the voting power of our common equity (in any such case, a “Fundamental Transaction”), then following such Fundamental Transaction the holder shall have the right to receive, upon exercise of the Pre-Funded Warrants,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the Pre-Funded Warrants (including any Distributions or Purchase Rights then held in abeyance without regard to any limitations on exercise contained herein (the “Alternate Consideration”)). We shall not effect any Fundamental Transaction in which we are not the surviving entity or the Alternate Consideration includes securities of another person unless prior to or simultaneously with the consummation thereof, any successor to us, surviving entity or other person (including any purchaser of assets of us) shall assume the obligation to deliver to the holder such Alternate Consideration as, in accordance with the foregoing provisions, the holder may be entitled to receive, and the other obligations under the Pre-Funded Warrants.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229"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62" w:lineRule="exact"/>
        <w:rPr>
          <w:sz w:val="20"/>
          <w:szCs w:val="20"/>
          <w:color w:val="auto"/>
        </w:rPr>
      </w:pPr>
    </w:p>
    <w:p>
      <w:pPr>
        <w:ind w:left="760" w:right="640" w:hanging="378"/>
        <w:spacing w:after="0" w:line="282" w:lineRule="auto"/>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121" w:lineRule="exact"/>
        <w:rPr>
          <w:rFonts w:ascii="Times New Roman" w:cs="Times New Roman" w:eastAsia="Times New Roman" w:hAnsi="Times New Roman"/>
          <w:sz w:val="18"/>
          <w:szCs w:val="18"/>
          <w:color w:val="auto"/>
        </w:rPr>
      </w:pPr>
    </w:p>
    <w:p>
      <w:pPr>
        <w:ind w:left="760" w:right="100" w:hanging="378"/>
        <w:spacing w:after="0" w:line="258" w:lineRule="auto"/>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56" w:lineRule="exact"/>
        <w:rPr>
          <w:rFonts w:ascii="Times New Roman" w:cs="Times New Roman" w:eastAsia="Times New Roman" w:hAnsi="Times New Roman"/>
          <w:sz w:val="18"/>
          <w:szCs w:val="18"/>
          <w:color w:val="auto"/>
        </w:rPr>
      </w:pPr>
    </w:p>
    <w:p>
      <w:pPr>
        <w:ind w:left="760" w:right="440" w:hanging="378"/>
        <w:spacing w:after="0" w:line="266" w:lineRule="auto"/>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662/3% of the outstanding voting stock that is not owned by the interested stockholder.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185" w:lineRule="exact"/>
        <w:rPr>
          <w:sz w:val="20"/>
          <w:szCs w:val="20"/>
          <w:color w:val="auto"/>
        </w:rPr>
      </w:pPr>
    </w:p>
    <w:p>
      <w:pPr>
        <w:ind w:left="760" w:hanging="378"/>
        <w:spacing w:after="0"/>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184" w:lineRule="exact"/>
        <w:rPr>
          <w:rFonts w:ascii="Times New Roman" w:cs="Times New Roman" w:eastAsia="Times New Roman" w:hAnsi="Times New Roman"/>
          <w:sz w:val="18"/>
          <w:szCs w:val="18"/>
          <w:color w:val="auto"/>
        </w:rPr>
      </w:pPr>
    </w:p>
    <w:p>
      <w:pPr>
        <w:ind w:left="760" w:right="460" w:hanging="378"/>
        <w:spacing w:after="0" w:line="282" w:lineRule="auto"/>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121" w:lineRule="exact"/>
        <w:rPr>
          <w:rFonts w:ascii="Times New Roman" w:cs="Times New Roman" w:eastAsia="Times New Roman" w:hAnsi="Times New Roman"/>
          <w:sz w:val="18"/>
          <w:szCs w:val="18"/>
          <w:color w:val="auto"/>
        </w:rPr>
      </w:pPr>
    </w:p>
    <w:p>
      <w:pPr>
        <w:ind w:left="760" w:right="620" w:hanging="378"/>
        <w:spacing w:after="0" w:line="282" w:lineRule="auto"/>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53" w:lineRule="exact"/>
        <w:rPr>
          <w:sz w:val="20"/>
          <w:szCs w:val="20"/>
          <w:color w:val="auto"/>
        </w:rPr>
      </w:pPr>
    </w:p>
    <w:p>
      <w:pPr>
        <w:ind w:left="760" w:right="240" w:hanging="378"/>
        <w:spacing w:after="0" w:line="282" w:lineRule="auto"/>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13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Our Restated Certificate and Bylaws divide our board of directors into three classes with staggered three year terms. In addition, our Restated Certificate and Bylaws provide that directors may be removed only for cause and only by the affirmative vote of the holders of 75% of our shares of capital stock present in person or by proxy and entitled to vote. Under our Restated Certificate and Bylaws, any vacancy on our board of directors, including a vacancy resulting from an enlargement of our board of directors, may be filled only by vote of a majority of our directors then in office. Furthermore, our Restated Certificate provides that the authorized number of directors may be changed only by the resolution of our board of directors, subject to the rights of any holders of preferred stock to elect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authorized but unissued shares of common stock and preferred stock are available for future issuance without stockholder approval, subject to any limitations imposed by the listing standards of any exchange on which our shares are listed.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 of Stockholders; Advance Notice Requirements for Stockholder Proposals and Director Nominations; Stockholder Action</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Our Restated Certificate and Bylaws provide that only our board of directors, the chairman of the board or our chief executive officer may call special meetings of stockholders, and the business transacted at a special meeting of stockholders shall be limited to matters relating to the purpose or purposes stated in the notice of meeting. 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of the preceding year’s annual meeting. Our Bylaws specify the requirements as to form and content of all stockholders’ notices. These requirements may preclude stockholders from bringing matters before the stockholders at an annual or special meeting. Our Restated Certificate and Bylaws provide that our stockholders may not take any action by written consent in lieu of a meeting.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 Majority Voting</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 a greater percentage. Our bylaws may be amended or repealed by a majority vote of our board of directors or the affirmative vote of the holders of at least 75% of the votes that all of our stockholders would be entitled to cast in any election of directors. In addition, the affirmative vote of the holders of at least 75% of the votes that all of our stockholders would be entitled to cast in any election of directors is required to amend or repeal or to adopt any provisions inconsistent with certain of the provisions of our Restated Certificate.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Court of Chancery of the State of Delaware shall, to the fullest extent permitted by applicable law, be the sole and exclusive forum for (A) any derivative action or proceeding brought on behalf of the Company; (B) any action asserting a claim of breach of a fiduciary duty owed by any director, officer or other employee of the Company to the Company or the Company’s stockholders; (C) any action asserting a claim against the Company or any director or officer or other employee of the Company arising pursuant to any provision of the DGCL, our Restated Certificate or our Bylaws; or (D) any action asserting a claim against the Company or any director or officer or other employee of the Company governed by the internal affairs doctrine.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Our Restated Certificate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22"/>
          <w:szCs w:val="22"/>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b w:val="1"/>
          <w:bCs w:val="1"/>
          <w:color w:val="auto"/>
        </w:rPr>
        <w:t>AMENDMENT NO. 1 TO TEMPEST THERAPEUTICS, INC.</w:t>
      </w:r>
    </w:p>
    <w:p>
      <w:pPr>
        <w:spacing w:after="0" w:line="1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b w:val="1"/>
          <w:bCs w:val="1"/>
          <w:color w:val="auto"/>
        </w:rPr>
        <w:t>AMENDED AND RESTATED 2023 EQUITY INCENTIVE PLAN</w:t>
      </w:r>
    </w:p>
    <w:p>
      <w:pPr>
        <w:spacing w:after="0" w:line="29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In accordance with Section 2(b)(vii) of Tempest Therapeutics, Inc.’s (the “Company”) Amended and Restated 2023 Equity Incentive Plan (the “Plan”), the Plan is hereby amended as follows, subject to approval of the Company’s shareholders:</w:t>
      </w:r>
    </w:p>
    <w:p>
      <w:pPr>
        <w:spacing w:after="0" w:line="13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1"/>
          <w:szCs w:val="21"/>
          <w:color w:val="auto"/>
        </w:rPr>
        <w:t>Section 3(a) of the Plan is hereby deleted and replaced as follows:</w:t>
      </w:r>
    </w:p>
    <w:p>
      <w:pPr>
        <w:spacing w:after="0" w:line="14" w:lineRule="exact"/>
        <w:rPr>
          <w:sz w:val="20"/>
          <w:szCs w:val="20"/>
          <w:color w:val="auto"/>
        </w:rPr>
      </w:pPr>
    </w:p>
    <w:p>
      <w:pPr>
        <w:ind w:left="760" w:right="20"/>
        <w:spacing w:after="0" w:line="230" w:lineRule="auto"/>
        <w:rPr>
          <w:sz w:val="20"/>
          <w:szCs w:val="20"/>
          <w:color w:val="auto"/>
        </w:rPr>
      </w:pPr>
      <w:r>
        <w:rPr>
          <w:rFonts w:ascii="Times New Roman" w:cs="Times New Roman" w:eastAsia="Times New Roman" w:hAnsi="Times New Roman"/>
          <w:sz w:val="22"/>
          <w:szCs w:val="22"/>
          <w:b w:val="1"/>
          <w:bCs w:val="1"/>
          <w:color w:val="auto"/>
        </w:rPr>
        <w:t>Share Reserve</w:t>
      </w:r>
      <w:r>
        <w:rPr>
          <w:rFonts w:ascii="Times New Roman" w:cs="Times New Roman" w:eastAsia="Times New Roman" w:hAnsi="Times New Roman"/>
          <w:sz w:val="22"/>
          <w:szCs w:val="22"/>
          <w:color w:val="auto"/>
        </w:rPr>
        <w:t>. Subject to Section 9(a) relating to Capitalization Adjustments, and the following sentence regarding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annual increase, the aggregate number of shares of Common Stock that may be issued pursuant to Stock Awards from and after the Effective Date will not exceed 1,907,849 shares (the “Share Reserve”), which number includes (1) the Prior Available Reserve, plus (2) an additional 176,923 shares of Common Stock that were approved by the Company’s stockholders at the 2023 Annual Meeting of Stockholders, plus (3) an additional 1,410,000 shares of Common Stock that were approved by the Company’s stockholders at the 2025 Annual Meeting of Stockholders, plus (4) Returning Shares, if any, as such shares become available from time to time.</w:t>
      </w:r>
    </w:p>
    <w:p>
      <w:pPr>
        <w:spacing w:after="0" w:line="4" w:lineRule="exact"/>
        <w:rPr>
          <w:sz w:val="20"/>
          <w:szCs w:val="20"/>
          <w:color w:val="auto"/>
        </w:rPr>
      </w:pPr>
    </w:p>
    <w:p>
      <w:pPr>
        <w:ind w:left="760" w:right="160"/>
        <w:spacing w:after="0" w:line="230" w:lineRule="auto"/>
        <w:rPr>
          <w:sz w:val="20"/>
          <w:szCs w:val="20"/>
          <w:color w:val="auto"/>
        </w:rPr>
      </w:pPr>
      <w:r>
        <w:rPr>
          <w:rFonts w:ascii="Times New Roman" w:cs="Times New Roman" w:eastAsia="Times New Roman" w:hAnsi="Times New Roman"/>
          <w:sz w:val="22"/>
          <w:szCs w:val="22"/>
          <w:color w:val="auto"/>
        </w:rPr>
        <w:t>In addition, the Share Reserve will automatically increase on January 1st of each year, for a period commencing on January 1st of the year following the Effective Date and ending on (and including) January 1, 2033, in an amount equal to 4% of the total number of shares of Capital Stock outstanding on December 31st of the preceding calendar year. Notwithstanding the foregoing, the Board may act prior to January 1st of a given year to provide that there will be no January 1st increase in the Share Reserve for such year or that the increase in the Share Reserve for such year will be a lesser number of shares of Common Stock than would otherwise occur pursuant to the preceding sentence.</w:t>
      </w:r>
    </w:p>
    <w:p>
      <w:pPr>
        <w:spacing w:after="0" w:line="3" w:lineRule="exact"/>
        <w:rPr>
          <w:sz w:val="20"/>
          <w:szCs w:val="20"/>
          <w:color w:val="auto"/>
        </w:rPr>
      </w:pPr>
    </w:p>
    <w:p>
      <w:pPr>
        <w:ind w:left="760" w:right="60"/>
        <w:spacing w:after="0" w:line="232" w:lineRule="auto"/>
        <w:rPr>
          <w:sz w:val="20"/>
          <w:szCs w:val="20"/>
          <w:color w:val="auto"/>
        </w:rPr>
      </w:pPr>
      <w:r>
        <w:rPr>
          <w:rFonts w:ascii="Times New Roman" w:cs="Times New Roman" w:eastAsia="Times New Roman" w:hAnsi="Times New Roman"/>
          <w:sz w:val="22"/>
          <w:szCs w:val="22"/>
          <w:color w:val="auto"/>
        </w:rPr>
        <w:t>For clarity, the Share Reserve in this Section 3(a) is a limitation on the number of shares of Common Stock that may be issued pursuant to the Plan. Accordingly, this Section 3(a) does not limit the granting of Stock Awards except as provided in Section 7(a). Shares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w:t>
      </w:r>
    </w:p>
    <w:p>
      <w:pPr>
        <w:spacing w:after="0" w:line="18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color w:val="auto"/>
        </w:rPr>
        <w:t>2.</w:t>
      </w:r>
      <w:r>
        <w:rPr>
          <w:sz w:val="20"/>
          <w:szCs w:val="20"/>
          <w:color w:val="auto"/>
        </w:rPr>
        <w:tab/>
      </w:r>
      <w:r>
        <w:rPr>
          <w:rFonts w:ascii="Times New Roman" w:cs="Times New Roman" w:eastAsia="Times New Roman" w:hAnsi="Times New Roman"/>
          <w:sz w:val="21"/>
          <w:szCs w:val="21"/>
          <w:color w:val="auto"/>
        </w:rPr>
        <w:t>Section 3(c) of the Plan is hereby deleted and replaced as follows:</w:t>
      </w:r>
    </w:p>
    <w:p>
      <w:pPr>
        <w:spacing w:after="0" w:line="14" w:lineRule="exact"/>
        <w:rPr>
          <w:sz w:val="20"/>
          <w:szCs w:val="20"/>
          <w:color w:val="auto"/>
        </w:rPr>
      </w:pPr>
    </w:p>
    <w:p>
      <w:pPr>
        <w:ind w:left="760" w:right="140"/>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Incentive Stock Option Limit. </w:t>
      </w:r>
      <w:r>
        <w:rPr>
          <w:rFonts w:ascii="Times New Roman" w:cs="Times New Roman" w:eastAsia="Times New Roman" w:hAnsi="Times New Roman"/>
          <w:sz w:val="22"/>
          <w:szCs w:val="22"/>
          <w:color w:val="auto"/>
        </w:rPr>
        <w:t>Subject to the provisions of Section 9(a) relating to Capitalization Adjustments,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aggregate maximum number of shares of Common Stock that may be issued pursuant to the exercise of Incentive Stock Options will be 7,000,000 shares of Common Stock.</w:t>
      </w:r>
    </w:p>
    <w:p>
      <w:pPr>
        <w:spacing w:after="0" w:line="178"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This Amendment to the Plan (this “Amendment”) constitutes an integral part of the Plan. For all purposes of this Amendment, capitalized terms used herein without definition shall have the meanings specified in the Plan, as the Plan shall be in effect on the date hereof after giving effect to the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61" w:name="page162"/>
    <w:bookmarkEnd w:id="161"/>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Except as set forth herein, all of the terms and conditions of the Plan, as in effect prior to the effectiveness of this Amendment, shall continue to remain in full force and effect as originally stated therein.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Adopted by Board of Directors: November 30, 2025</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Approved by the Stockholders: January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1148715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440" w:right="61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20"/>
          <w:szCs w:val="20"/>
          <w:b w:val="1"/>
          <w:bCs w:val="1"/>
          <w:color w:val="auto"/>
        </w:rPr>
        <w:t>Exhibit 10.25</w:t>
      </w:r>
    </w:p>
    <w:p>
      <w:pPr>
        <w:spacing w:after="0" w:line="378" w:lineRule="exact"/>
        <w:rPr>
          <w:sz w:val="20"/>
          <w:szCs w:val="20"/>
          <w:color w:val="auto"/>
        </w:rPr>
      </w:pPr>
    </w:p>
    <w:p>
      <w:pPr>
        <w:jc w:val="center"/>
        <w:ind w:right="20"/>
        <w:spacing w:after="0" w:line="256" w:lineRule="auto"/>
        <w:rPr>
          <w:sz w:val="20"/>
          <w:szCs w:val="20"/>
          <w:color w:val="auto"/>
        </w:rPr>
      </w:pPr>
      <w:r>
        <w:rPr>
          <w:rFonts w:ascii="Times New Roman" w:cs="Times New Roman" w:eastAsia="Times New Roman" w:hAnsi="Times New Roman"/>
          <w:sz w:val="20"/>
          <w:szCs w:val="20"/>
          <w:b w:val="1"/>
          <w:bCs w:val="1"/>
          <w:color w:val="auto"/>
        </w:rPr>
        <w:t>CERTAIN CONFIDENTIAL INFORMATION CONTAINED IN THIS DOCUMENT, MARKED BY [***], HAS BEEN OMITTED BECAUSE IT IS BOTH (I) NOT MATERIAL AND (II) IS THE TYPE THAT TEMPEST THERAPEUTICS, INC. TREATS AS PRIVATE AND CONFIDENTIAL</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EXCLUSIVE LICENSE AND COLLABORATION AGREEMENT</w:t>
      </w:r>
    </w:p>
    <w:p>
      <w:pPr>
        <w:spacing w:after="0" w:line="229"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0"/>
          <w:szCs w:val="20"/>
          <w:color w:val="231F20"/>
        </w:rPr>
        <w:t>THIS EXCLUSIVE LICENSE AND COLLABORATION AGREEMENT (this “</w:t>
      </w:r>
      <w:r>
        <w:rPr>
          <w:rFonts w:ascii="Times New Roman" w:cs="Times New Roman" w:eastAsia="Times New Roman" w:hAnsi="Times New Roman"/>
          <w:sz w:val="20"/>
          <w:szCs w:val="20"/>
          <w:i w:val="1"/>
          <w:iCs w:val="1"/>
          <w:u w:val="single" w:color="auto"/>
          <w:color w:val="231F20"/>
        </w:rPr>
        <w:t>Agreement</w:t>
      </w:r>
      <w:r>
        <w:rPr>
          <w:rFonts w:ascii="Times New Roman" w:cs="Times New Roman" w:eastAsia="Times New Roman" w:hAnsi="Times New Roman"/>
          <w:sz w:val="20"/>
          <w:szCs w:val="20"/>
          <w:color w:val="231F20"/>
        </w:rPr>
        <w:t>”) is entered into as of this 18</w:t>
      </w:r>
      <w:r>
        <w:rPr>
          <w:rFonts w:ascii="Times New Roman" w:cs="Times New Roman" w:eastAsia="Times New Roman" w:hAnsi="Times New Roman"/>
          <w:sz w:val="26"/>
          <w:szCs w:val="26"/>
          <w:color w:val="231F20"/>
          <w:vertAlign w:val="superscript"/>
        </w:rPr>
        <w:t>th</w:t>
      </w:r>
      <w:r>
        <w:rPr>
          <w:rFonts w:ascii="Times New Roman" w:cs="Times New Roman" w:eastAsia="Times New Roman" w:hAnsi="Times New Roman"/>
          <w:sz w:val="20"/>
          <w:szCs w:val="20"/>
          <w:color w:val="231F20"/>
        </w:rPr>
        <w:t xml:space="preserve"> day of July 2025 (the “</w:t>
      </w:r>
      <w:r>
        <w:rPr>
          <w:rFonts w:ascii="Times New Roman" w:cs="Times New Roman" w:eastAsia="Times New Roman" w:hAnsi="Times New Roman"/>
          <w:sz w:val="20"/>
          <w:szCs w:val="20"/>
          <w:i w:val="1"/>
          <w:iCs w:val="1"/>
          <w:u w:val="single" w:color="auto"/>
          <w:color w:val="231F20"/>
        </w:rPr>
        <w:t>Effective Date</w:t>
      </w:r>
      <w:r>
        <w:rPr>
          <w:rFonts w:ascii="Times New Roman" w:cs="Times New Roman" w:eastAsia="Times New Roman" w:hAnsi="Times New Roman"/>
          <w:sz w:val="20"/>
          <w:szCs w:val="20"/>
          <w:color w:val="231F20"/>
        </w:rPr>
        <w:t>”), by and between NOVATIM IMMUNE THERAPEUTICS (ZHEJIANG) CO., LTD., a company organized and existing under the laws of the People’s Republic of China (“</w:t>
      </w:r>
      <w:r>
        <w:rPr>
          <w:rFonts w:ascii="Times New Roman" w:cs="Times New Roman" w:eastAsia="Times New Roman" w:hAnsi="Times New Roman"/>
          <w:sz w:val="20"/>
          <w:szCs w:val="20"/>
          <w:i w:val="1"/>
          <w:iCs w:val="1"/>
          <w:u w:val="single" w:color="auto"/>
          <w:color w:val="231F20"/>
        </w:rPr>
        <w:t>Licensor</w:t>
      </w:r>
      <w:r>
        <w:rPr>
          <w:rFonts w:ascii="Times New Roman" w:cs="Times New Roman" w:eastAsia="Times New Roman" w:hAnsi="Times New Roman"/>
          <w:sz w:val="20"/>
          <w:szCs w:val="20"/>
          <w:color w:val="231F20"/>
        </w:rPr>
        <w:t>”), and ERIGEN LLC, a limited liability company organized and existing under the laws of the State of Delaware (“</w:t>
      </w:r>
      <w:r>
        <w:rPr>
          <w:rFonts w:ascii="Times New Roman" w:cs="Times New Roman" w:eastAsia="Times New Roman" w:hAnsi="Times New Roman"/>
          <w:sz w:val="20"/>
          <w:szCs w:val="20"/>
          <w:i w:val="1"/>
          <w:iCs w:val="1"/>
          <w:u w:val="single" w:color="auto"/>
          <w:color w:val="231F20"/>
        </w:rPr>
        <w:t>Licensee</w:t>
      </w:r>
      <w:r>
        <w:rPr>
          <w:rFonts w:ascii="Times New Roman" w:cs="Times New Roman" w:eastAsia="Times New Roman" w:hAnsi="Times New Roman"/>
          <w:sz w:val="20"/>
          <w:szCs w:val="20"/>
          <w:color w:val="231F20"/>
        </w:rPr>
        <w:t>”). Licensor and Licensee may each be referred to in this Agreement individually as a “</w:t>
      </w:r>
      <w:r>
        <w:rPr>
          <w:rFonts w:ascii="Times New Roman" w:cs="Times New Roman" w:eastAsia="Times New Roman" w:hAnsi="Times New Roman"/>
          <w:sz w:val="20"/>
          <w:szCs w:val="20"/>
          <w:i w:val="1"/>
          <w:iCs w:val="1"/>
          <w:u w:val="single" w:color="auto"/>
          <w:color w:val="231F20"/>
        </w:rPr>
        <w:t>Party</w:t>
      </w:r>
      <w:r>
        <w:rPr>
          <w:rFonts w:ascii="Times New Roman" w:cs="Times New Roman" w:eastAsia="Times New Roman" w:hAnsi="Times New Roman"/>
          <w:sz w:val="20"/>
          <w:szCs w:val="20"/>
          <w:color w:val="231F20"/>
        </w:rPr>
        <w:t>” and collectively as the “</w:t>
      </w:r>
      <w:r>
        <w:rPr>
          <w:rFonts w:ascii="Times New Roman" w:cs="Times New Roman" w:eastAsia="Times New Roman" w:hAnsi="Times New Roman"/>
          <w:sz w:val="20"/>
          <w:szCs w:val="20"/>
          <w:i w:val="1"/>
          <w:iCs w:val="1"/>
          <w:u w:val="single" w:color="auto"/>
          <w:color w:val="231F20"/>
        </w:rPr>
        <w:t>Parties</w:t>
      </w:r>
      <w:r>
        <w:rPr>
          <w:rFonts w:ascii="Times New Roman" w:cs="Times New Roman" w:eastAsia="Times New Roman" w:hAnsi="Times New Roman"/>
          <w:sz w:val="20"/>
          <w:szCs w:val="20"/>
          <w:color w:val="231F20"/>
        </w:rPr>
        <w:t>.”</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231F20"/>
        </w:rPr>
        <w:t>WHEREAS, Licensor owns or controls certain Licensed Technology (as defined herein);</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231F20"/>
        </w:rPr>
        <w:t>WHEREAS, Licensee desires to receive from Licensor certain rights to the Licensed Technology in order that Licensee may develop and commercialize Licensed Products in the Licensed Territory (as such terms are defined herein); and</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231F20"/>
        </w:rPr>
        <w:t>WHEREAS, in furtherance of the foregoing, Licensor agrees to grant such rights to Licensee, and Licensee agrees to use its Commercially Reasonable Efforts (as defined herein) to develop and make commercially available one or more Licensed Products in accordance with this Agreement for commercial exploitation in the Field and in the Licensed Territory (as such terms are defined herein).</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231F20"/>
        </w:rPr>
        <w:t>NOW, THEREFORE, in consideration of the mutual covenants contained in this Agreement, and other good and valuable consideration, the receipt and sufficiency of which are hereby acknowledged, the Parties agree as follows:</w:t>
      </w:r>
    </w:p>
    <w:p>
      <w:pPr>
        <w:spacing w:after="0" w:line="1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231F20"/>
        </w:rPr>
        <w:t>Section 1</w:t>
      </w:r>
    </w:p>
    <w:p>
      <w:pPr>
        <w:spacing w:after="0" w:line="2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i w:val="1"/>
          <w:iCs w:val="1"/>
          <w:u w:val="single" w:color="auto"/>
          <w:color w:val="231F20"/>
        </w:rPr>
        <w:t>Definitions</w:t>
      </w:r>
    </w:p>
    <w:p>
      <w:pPr>
        <w:spacing w:after="0" w:line="19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231F20"/>
        </w:rPr>
        <w:t>Unless otherwise specifically provided herein, the following terms, when used with a capital letter at the beginning, will have the following meanings:</w:t>
      </w:r>
    </w:p>
    <w:p>
      <w:pPr>
        <w:spacing w:after="0" w:line="15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231F20"/>
        </w:rPr>
        <w:t>1.1.“</w:t>
      </w:r>
      <w:r>
        <w:rPr>
          <w:rFonts w:ascii="Times New Roman" w:cs="Times New Roman" w:eastAsia="Times New Roman" w:hAnsi="Times New Roman"/>
          <w:sz w:val="20"/>
          <w:szCs w:val="20"/>
          <w:i w:val="1"/>
          <w:iCs w:val="1"/>
          <w:u w:val="single" w:color="auto"/>
          <w:color w:val="231F20"/>
        </w:rPr>
        <w:t>Affiliate</w:t>
      </w:r>
      <w:r>
        <w:rPr>
          <w:rFonts w:ascii="Times New Roman" w:cs="Times New Roman" w:eastAsia="Times New Roman" w:hAnsi="Times New Roman"/>
          <w:sz w:val="20"/>
          <w:szCs w:val="20"/>
          <w:color w:val="231F20"/>
        </w:rPr>
        <w:t>” means, with respect to a Party, a person, corporation, partnership, or other entity that controls, is controlled by or is under common control with such Party. For the purposes of this definition, the word “control” (including, with correlative meaning, the terms “controlled by” or “under common control with”) means the actual power, either directly or indirectly through one or more intermediaries, to direct or cause the direction of the management and policies of such entity, whether by the ownership of more than fifty percent (50%) of the voting stock of such entity, or by contract or otherwise.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231F20"/>
        </w:rPr>
        <w:t>1.2.“</w:t>
      </w:r>
      <w:r>
        <w:rPr>
          <w:rFonts w:ascii="Times New Roman" w:cs="Times New Roman" w:eastAsia="Times New Roman" w:hAnsi="Times New Roman"/>
          <w:sz w:val="20"/>
          <w:szCs w:val="20"/>
          <w:i w:val="1"/>
          <w:iCs w:val="1"/>
          <w:u w:val="single" w:color="auto"/>
          <w:color w:val="231F20"/>
        </w:rPr>
        <w:t>Agreement</w:t>
      </w:r>
      <w:r>
        <w:rPr>
          <w:rFonts w:ascii="Times New Roman" w:cs="Times New Roman" w:eastAsia="Times New Roman" w:hAnsi="Times New Roman"/>
          <w:sz w:val="20"/>
          <w:szCs w:val="20"/>
          <w:color w:val="231F20"/>
        </w:rPr>
        <w:t>” has the meaning set forth in the Preamble.</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231F20"/>
        </w:rPr>
        <w:t>1.3.“</w:t>
      </w:r>
      <w:r>
        <w:rPr>
          <w:rFonts w:ascii="Times New Roman" w:cs="Times New Roman" w:eastAsia="Times New Roman" w:hAnsi="Times New Roman"/>
          <w:sz w:val="20"/>
          <w:szCs w:val="20"/>
          <w:i w:val="1"/>
          <w:iCs w:val="1"/>
          <w:u w:val="single" w:color="auto"/>
          <w:color w:val="231F20"/>
        </w:rPr>
        <w:t>Applicable Law</w:t>
      </w:r>
      <w:r>
        <w:rPr>
          <w:rFonts w:ascii="Times New Roman" w:cs="Times New Roman" w:eastAsia="Times New Roman" w:hAnsi="Times New Roman"/>
          <w:sz w:val="20"/>
          <w:szCs w:val="20"/>
          <w:color w:val="231F20"/>
        </w:rPr>
        <w:t>” means all statutes, ordinances, regulations, rules or orders of any kind whatsoever of any agency, bureau, branch, office, court, commission, authority, department, ministry, official or other instrumentality of, or being vested with public authority under any law of, any country, state or local authority or any political subdivision thereof, or any association of countries that may be in effect from time to time and applicable to a Party’s obligations or exercise of its rights under this Agreement.</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231F20"/>
        </w:rPr>
        <w:t>1.4.“</w:t>
      </w:r>
      <w:r>
        <w:rPr>
          <w:rFonts w:ascii="Times New Roman" w:cs="Times New Roman" w:eastAsia="Times New Roman" w:hAnsi="Times New Roman"/>
          <w:sz w:val="20"/>
          <w:szCs w:val="20"/>
          <w:i w:val="1"/>
          <w:iCs w:val="1"/>
          <w:u w:val="single" w:color="auto"/>
          <w:color w:val="231F20"/>
        </w:rPr>
        <w:t>Allogeneic Products</w:t>
      </w:r>
      <w:r>
        <w:rPr>
          <w:rFonts w:ascii="Times New Roman" w:cs="Times New Roman" w:eastAsia="Times New Roman" w:hAnsi="Times New Roman"/>
          <w:sz w:val="20"/>
          <w:szCs w:val="20"/>
          <w:color w:val="231F20"/>
        </w:rPr>
        <w:t>” means allogeneic CAR-T therapies derived from Licensor’s proprietary platforms, including technologies based on KQ-2003 and KQ-2206.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829310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63" w:name="page164"/>
    <w:bookmarkEnd w:id="163"/>
    <w:p>
      <w:pPr>
        <w:ind w:left="760"/>
        <w:spacing w:after="0"/>
        <w:rPr>
          <w:sz w:val="20"/>
          <w:szCs w:val="20"/>
          <w:color w:val="auto"/>
        </w:rPr>
      </w:pPr>
      <w:r>
        <w:rPr>
          <w:rFonts w:ascii="Times New Roman" w:cs="Times New Roman" w:eastAsia="Times New Roman" w:hAnsi="Times New Roman"/>
          <w:sz w:val="20"/>
          <w:szCs w:val="20"/>
          <w:color w:val="231F20"/>
        </w:rPr>
        <w:t>1.5.“</w:t>
      </w:r>
      <w:r>
        <w:rPr>
          <w:rFonts w:ascii="Times New Roman" w:cs="Times New Roman" w:eastAsia="Times New Roman" w:hAnsi="Times New Roman"/>
          <w:sz w:val="20"/>
          <w:szCs w:val="20"/>
          <w:i w:val="1"/>
          <w:iCs w:val="1"/>
          <w:u w:val="single" w:color="auto"/>
          <w:color w:val="231F20"/>
        </w:rPr>
        <w:t>Autologous Products</w:t>
      </w:r>
      <w:r>
        <w:rPr>
          <w:rFonts w:ascii="Times New Roman" w:cs="Times New Roman" w:eastAsia="Times New Roman" w:hAnsi="Times New Roman"/>
          <w:sz w:val="20"/>
          <w:szCs w:val="20"/>
          <w:color w:val="231F20"/>
        </w:rPr>
        <w:t>” means all Licensed Products comprising autologous CAR-T cells, including, without limitation, KQ-</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2003 (autologous BCMA/CD19 dual-targeting CAR-T) and KQ-2206 (autologous CD70/CD70 dual-targeting CAR-T).</w:t>
      </w:r>
    </w:p>
    <w:p>
      <w:pPr>
        <w:spacing w:after="0" w:line="19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231F20"/>
        </w:rPr>
        <w:t>1.6.“</w:t>
      </w:r>
      <w:r>
        <w:rPr>
          <w:rFonts w:ascii="Times New Roman" w:cs="Times New Roman" w:eastAsia="Times New Roman" w:hAnsi="Times New Roman"/>
          <w:sz w:val="20"/>
          <w:szCs w:val="20"/>
          <w:i w:val="1"/>
          <w:iCs w:val="1"/>
          <w:u w:val="single" w:color="auto"/>
          <w:color w:val="231F20"/>
        </w:rPr>
        <w:t>BLA</w:t>
      </w:r>
      <w:r>
        <w:rPr>
          <w:rFonts w:ascii="Times New Roman" w:cs="Times New Roman" w:eastAsia="Times New Roman" w:hAnsi="Times New Roman"/>
          <w:sz w:val="20"/>
          <w:szCs w:val="20"/>
          <w:color w:val="231F20"/>
        </w:rPr>
        <w:t>” means a Biologic License Application (as more fully described in U.S. 21 C.F.R. Part 601.20 or its successor regulation), as may be amended from time to time, or any analogous application or submission with any Regulatory Authority outside of the United States.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231F20"/>
        </w:rPr>
        <w:t>1.7.“</w:t>
      </w:r>
      <w:r>
        <w:rPr>
          <w:rFonts w:ascii="Times New Roman" w:cs="Times New Roman" w:eastAsia="Times New Roman" w:hAnsi="Times New Roman"/>
          <w:sz w:val="20"/>
          <w:szCs w:val="20"/>
          <w:i w:val="1"/>
          <w:iCs w:val="1"/>
          <w:u w:val="single" w:color="auto"/>
          <w:color w:val="231F20"/>
        </w:rPr>
        <w:t>Calendar Quarter</w:t>
      </w:r>
      <w:r>
        <w:rPr>
          <w:rFonts w:ascii="Times New Roman" w:cs="Times New Roman" w:eastAsia="Times New Roman" w:hAnsi="Times New Roman"/>
          <w:sz w:val="20"/>
          <w:szCs w:val="20"/>
          <w:color w:val="231F20"/>
        </w:rPr>
        <w:t>” means each of the following three (3) month periods during each year: January 1 through March 31; April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1 through June 30; July 1 through September 30; and October 1 through December 31.</w:t>
      </w:r>
    </w:p>
    <w:p>
      <w:pPr>
        <w:spacing w:after="0" w:line="19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231F20"/>
        </w:rPr>
        <w:t>1.8.“</w:t>
      </w:r>
      <w:r>
        <w:rPr>
          <w:rFonts w:ascii="Times New Roman" w:cs="Times New Roman" w:eastAsia="Times New Roman" w:hAnsi="Times New Roman"/>
          <w:sz w:val="20"/>
          <w:szCs w:val="20"/>
          <w:i w:val="1"/>
          <w:iCs w:val="1"/>
          <w:u w:val="single" w:color="auto"/>
          <w:color w:val="231F20"/>
        </w:rPr>
        <w:t>Combination Product</w:t>
      </w:r>
      <w:r>
        <w:rPr>
          <w:rFonts w:ascii="Times New Roman" w:cs="Times New Roman" w:eastAsia="Times New Roman" w:hAnsi="Times New Roman"/>
          <w:sz w:val="20"/>
          <w:szCs w:val="20"/>
          <w:color w:val="231F20"/>
        </w:rPr>
        <w:t xml:space="preserve">” means any product comprising a combination of (a) a Licensed Product and (b) any active ingredient(s) (other than a Licensed Product) for which rights are not included in the licenses granted under this Agreement but, with respect to the item(s) in (b) of this </w:t>
      </w:r>
      <w:r>
        <w:rPr>
          <w:rFonts w:ascii="Times New Roman" w:cs="Times New Roman" w:eastAsia="Times New Roman" w:hAnsi="Times New Roman"/>
          <w:sz w:val="20"/>
          <w:szCs w:val="20"/>
          <w:u w:val="single" w:color="auto"/>
          <w:color w:val="231F20"/>
        </w:rPr>
        <w:t>Section 1.8</w:t>
      </w:r>
      <w:r>
        <w:rPr>
          <w:rFonts w:ascii="Times New Roman" w:cs="Times New Roman" w:eastAsia="Times New Roman" w:hAnsi="Times New Roman"/>
          <w:sz w:val="20"/>
          <w:szCs w:val="20"/>
          <w:color w:val="231F20"/>
        </w:rPr>
        <w:t>, which may each or collectively [***] (an “</w:t>
      </w:r>
      <w:r>
        <w:rPr>
          <w:rFonts w:ascii="Times New Roman" w:cs="Times New Roman" w:eastAsia="Times New Roman" w:hAnsi="Times New Roman"/>
          <w:sz w:val="20"/>
          <w:szCs w:val="20"/>
          <w:i w:val="1"/>
          <w:iCs w:val="1"/>
          <w:u w:val="single" w:color="auto"/>
          <w:color w:val="231F20"/>
        </w:rPr>
        <w:t>Other Product</w:t>
      </w:r>
      <w:r>
        <w:rPr>
          <w:rFonts w:ascii="Times New Roman" w:cs="Times New Roman" w:eastAsia="Times New Roman" w:hAnsi="Times New Roman"/>
          <w:sz w:val="20"/>
          <w:szCs w:val="20"/>
          <w:color w:val="231F20"/>
        </w:rPr>
        <w:t>”).</w:t>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231F20"/>
        </w:rPr>
        <w:t>1.9.“</w:t>
      </w:r>
      <w:r>
        <w:rPr>
          <w:rFonts w:ascii="Times New Roman" w:cs="Times New Roman" w:eastAsia="Times New Roman" w:hAnsi="Times New Roman"/>
          <w:sz w:val="20"/>
          <w:szCs w:val="20"/>
          <w:i w:val="1"/>
          <w:iCs w:val="1"/>
          <w:u w:val="single" w:color="auto"/>
          <w:color w:val="231F20"/>
        </w:rPr>
        <w:t>Commercially Reasonable Efforts</w:t>
      </w:r>
      <w:r>
        <w:rPr>
          <w:rFonts w:ascii="Times New Roman" w:cs="Times New Roman" w:eastAsia="Times New Roman" w:hAnsi="Times New Roman"/>
          <w:sz w:val="20"/>
          <w:szCs w:val="20"/>
          <w:color w:val="231F20"/>
        </w:rPr>
        <w:t>” means, with respect to the performance of activities hereunder by or on behalf of a Party, the carrying out of such activities using commercial and business efforts and resources [***] in the development, manufacture and commercialization of products similar to the Licensed Products would typically devote to such activities, [***].</w:t>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231F20"/>
        </w:rPr>
        <w:t>1.10.“</w:t>
      </w:r>
      <w:r>
        <w:rPr>
          <w:rFonts w:ascii="Times New Roman" w:cs="Times New Roman" w:eastAsia="Times New Roman" w:hAnsi="Times New Roman"/>
          <w:sz w:val="20"/>
          <w:szCs w:val="20"/>
          <w:i w:val="1"/>
          <w:iCs w:val="1"/>
          <w:u w:val="single" w:color="auto"/>
          <w:color w:val="231F20"/>
        </w:rPr>
        <w:t>Competitive Infringement</w:t>
      </w:r>
      <w:r>
        <w:rPr>
          <w:rFonts w:ascii="Times New Roman" w:cs="Times New Roman" w:eastAsia="Times New Roman" w:hAnsi="Times New Roman"/>
          <w:sz w:val="20"/>
          <w:szCs w:val="20"/>
          <w:color w:val="231F20"/>
        </w:rPr>
        <w:t>” means, on a Licensed Product-by-Licensed Product and country-by-country basis, where the making, using, selling, offering for sale, or importing, by any third party (other than any Sublicensee or authorized purchaser or other authorized transferee of a Party with respect to such Licensed Product), of such Licensed Product is Covered by at least one Valid Claim.</w:t>
      </w:r>
    </w:p>
    <w:p>
      <w:pPr>
        <w:spacing w:after="0" w:line="16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231F20"/>
        </w:rPr>
        <w:t>1.11.“</w:t>
      </w:r>
      <w:r>
        <w:rPr>
          <w:rFonts w:ascii="Times New Roman" w:cs="Times New Roman" w:eastAsia="Times New Roman" w:hAnsi="Times New Roman"/>
          <w:sz w:val="20"/>
          <w:szCs w:val="20"/>
          <w:i w:val="1"/>
          <w:iCs w:val="1"/>
          <w:u w:val="single" w:color="auto"/>
          <w:color w:val="231F20"/>
        </w:rPr>
        <w:t>Confidential Information</w:t>
      </w:r>
      <w:r>
        <w:rPr>
          <w:rFonts w:ascii="Times New Roman" w:cs="Times New Roman" w:eastAsia="Times New Roman" w:hAnsi="Times New Roman"/>
          <w:sz w:val="20"/>
          <w:szCs w:val="20"/>
          <w:color w:val="231F20"/>
        </w:rPr>
        <w:t>” means all Information disclosed by or on behalf of one Party to the other during the negotiation of or under this Agreement in any manner, whether orally, visually, electronically, in writing or in other tangible or intangible form, that relates to Licensed Technology, Licensed Products, or this Agreement. Notwithstanding the foregoing, the following information shall not constitute “Confidential Information”: (a) information lawfully in the receiving Party’s possession or control prior to the time it received the information from the disclosing Party; (b) information developed by the receiving Party independently of, and without reference to, the Confidential Information of the disclosing Party; (c) information that was, at the time it was disclosed to or obtained by the receiving Party, or thereafter became, available to the public through no act or omission of the receiving Party; and (d) information lawfully obtained by the receiving Party from a third party with the right to disclose such information free of any obligations of confidentiality.</w:t>
      </w:r>
    </w:p>
    <w:p>
      <w:pPr>
        <w:spacing w:after="0" w:line="18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231F20"/>
        </w:rPr>
        <w:t>1.12.“</w:t>
      </w:r>
      <w:r>
        <w:rPr>
          <w:rFonts w:ascii="Times New Roman" w:cs="Times New Roman" w:eastAsia="Times New Roman" w:hAnsi="Times New Roman"/>
          <w:sz w:val="20"/>
          <w:szCs w:val="20"/>
          <w:i w:val="1"/>
          <w:iCs w:val="1"/>
          <w:u w:val="single" w:color="auto"/>
          <w:color w:val="231F20"/>
        </w:rPr>
        <w:t>Control</w:t>
      </w:r>
      <w:r>
        <w:rPr>
          <w:rFonts w:ascii="Times New Roman" w:cs="Times New Roman" w:eastAsia="Times New Roman" w:hAnsi="Times New Roman"/>
          <w:sz w:val="20"/>
          <w:szCs w:val="20"/>
          <w:color w:val="231F20"/>
        </w:rPr>
        <w:t>” or “</w:t>
      </w:r>
      <w:r>
        <w:rPr>
          <w:rFonts w:ascii="Times New Roman" w:cs="Times New Roman" w:eastAsia="Times New Roman" w:hAnsi="Times New Roman"/>
          <w:sz w:val="20"/>
          <w:szCs w:val="20"/>
          <w:i w:val="1"/>
          <w:iCs w:val="1"/>
          <w:u w:val="single" w:color="auto"/>
          <w:color w:val="231F20"/>
        </w:rPr>
        <w:t>Controlled by</w:t>
      </w:r>
      <w:r>
        <w:rPr>
          <w:rFonts w:ascii="Times New Roman" w:cs="Times New Roman" w:eastAsia="Times New Roman" w:hAnsi="Times New Roman"/>
          <w:sz w:val="20"/>
          <w:szCs w:val="20"/>
          <w:color w:val="231F20"/>
        </w:rPr>
        <w:t>” means, in the context of a license to or ownership of Intellectual Property, the ability on the part of a Party to grant access to or a license or sublicense of such Intellectual Property as provided for herein without violating the terms of any agreement or other arrangement between such Party and any Third Party existing at the time such Party would be required hereunder to grant such access or license or sublicense.</w:t>
      </w:r>
    </w:p>
    <w:p>
      <w:pPr>
        <w:spacing w:after="0" w:line="176" w:lineRule="exact"/>
        <w:rPr>
          <w:sz w:val="20"/>
          <w:szCs w:val="20"/>
          <w:color w:val="auto"/>
        </w:rPr>
      </w:pPr>
    </w:p>
    <w:p>
      <w:pPr>
        <w:jc w:val="both"/>
        <w:ind w:right="20" w:firstLine="749"/>
        <w:spacing w:after="0" w:line="256" w:lineRule="auto"/>
        <w:rPr>
          <w:sz w:val="20"/>
          <w:szCs w:val="20"/>
          <w:color w:val="auto"/>
        </w:rPr>
      </w:pPr>
      <w:r>
        <w:rPr>
          <w:rFonts w:ascii="Times New Roman" w:cs="Times New Roman" w:eastAsia="Times New Roman" w:hAnsi="Times New Roman"/>
          <w:sz w:val="20"/>
          <w:szCs w:val="20"/>
          <w:color w:val="231F20"/>
        </w:rPr>
        <w:t>1.13.“</w:t>
      </w:r>
      <w:r>
        <w:rPr>
          <w:rFonts w:ascii="Times New Roman" w:cs="Times New Roman" w:eastAsia="Times New Roman" w:hAnsi="Times New Roman"/>
          <w:sz w:val="20"/>
          <w:szCs w:val="20"/>
          <w:i w:val="1"/>
          <w:iCs w:val="1"/>
          <w:u w:val="single" w:color="auto"/>
          <w:color w:val="231F20"/>
        </w:rPr>
        <w:t>Cover</w:t>
      </w:r>
      <w:r>
        <w:rPr>
          <w:rFonts w:ascii="Times New Roman" w:cs="Times New Roman" w:eastAsia="Times New Roman" w:hAnsi="Times New Roman"/>
          <w:sz w:val="20"/>
          <w:szCs w:val="20"/>
          <w:color w:val="231F20"/>
        </w:rPr>
        <w:t>” or “</w:t>
      </w:r>
      <w:r>
        <w:rPr>
          <w:rFonts w:ascii="Times New Roman" w:cs="Times New Roman" w:eastAsia="Times New Roman" w:hAnsi="Times New Roman"/>
          <w:sz w:val="20"/>
          <w:szCs w:val="20"/>
          <w:i w:val="1"/>
          <w:iCs w:val="1"/>
          <w:u w:val="single" w:color="auto"/>
          <w:color w:val="231F20"/>
        </w:rPr>
        <w:t>Covered</w:t>
      </w:r>
      <w:r>
        <w:rPr>
          <w:rFonts w:ascii="Times New Roman" w:cs="Times New Roman" w:eastAsia="Times New Roman" w:hAnsi="Times New Roman"/>
          <w:sz w:val="20"/>
          <w:szCs w:val="20"/>
          <w:color w:val="231F20"/>
        </w:rPr>
        <w:t>” means that the use, manufacture, sale, offer for sale, research, development, commercialization, or importation of the subject matter in question (including a chemical or biologic agent, or a process) by an unlicensed entity would infringe a granted Valid Claim (or, in the case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- 2 -</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4926-6413-5580,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64" w:name="page165"/>
    <w:bookmarkEnd w:id="164"/>
    <w:p>
      <w:pPr>
        <w:jc w:val="both"/>
        <w:spacing w:after="0" w:line="269" w:lineRule="auto"/>
        <w:rPr>
          <w:sz w:val="20"/>
          <w:szCs w:val="20"/>
          <w:color w:val="auto"/>
        </w:rPr>
      </w:pPr>
      <w:r>
        <w:rPr>
          <w:rFonts w:ascii="Times New Roman" w:cs="Times New Roman" w:eastAsia="Times New Roman" w:hAnsi="Times New Roman"/>
          <w:sz w:val="20"/>
          <w:szCs w:val="20"/>
          <w:color w:val="231F20"/>
        </w:rPr>
        <w:t>of a pending Valid Claim that has not yet been granted, would infringe such Valid Claim if it were to be granted in its then-current form) of a Licensed Patent.</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231F20"/>
        </w:rPr>
        <w:t>1.14.“</w:t>
      </w:r>
      <w:r>
        <w:rPr>
          <w:rFonts w:ascii="Times New Roman" w:cs="Times New Roman" w:eastAsia="Times New Roman" w:hAnsi="Times New Roman"/>
          <w:sz w:val="20"/>
          <w:szCs w:val="20"/>
          <w:i w:val="1"/>
          <w:iCs w:val="1"/>
          <w:u w:val="single" w:color="auto"/>
          <w:color w:val="231F20"/>
        </w:rPr>
        <w:t>Effective Date</w:t>
      </w:r>
      <w:r>
        <w:rPr>
          <w:rFonts w:ascii="Times New Roman" w:cs="Times New Roman" w:eastAsia="Times New Roman" w:hAnsi="Times New Roman"/>
          <w:sz w:val="20"/>
          <w:szCs w:val="20"/>
          <w:color w:val="231F20"/>
        </w:rPr>
        <w:t>” has the meaning set forth in the Preamble.</w:t>
      </w:r>
    </w:p>
    <w:p>
      <w:pPr>
        <w:spacing w:after="0" w:line="216"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231F20"/>
        </w:rPr>
        <w:t>1.15.“</w:t>
      </w:r>
      <w:r>
        <w:rPr>
          <w:rFonts w:ascii="Times New Roman" w:cs="Times New Roman" w:eastAsia="Times New Roman" w:hAnsi="Times New Roman"/>
          <w:sz w:val="20"/>
          <w:szCs w:val="20"/>
          <w:i w:val="1"/>
          <w:iCs w:val="1"/>
          <w:u w:val="single" w:color="auto"/>
          <w:color w:val="231F20"/>
        </w:rPr>
        <w:t>Exploit</w:t>
      </w:r>
      <w:r>
        <w:rPr>
          <w:rFonts w:ascii="Times New Roman" w:cs="Times New Roman" w:eastAsia="Times New Roman" w:hAnsi="Times New Roman"/>
          <w:sz w:val="20"/>
          <w:szCs w:val="20"/>
          <w:color w:val="231F20"/>
        </w:rPr>
        <w:t>” and “</w:t>
      </w:r>
      <w:r>
        <w:rPr>
          <w:rFonts w:ascii="Times New Roman" w:cs="Times New Roman" w:eastAsia="Times New Roman" w:hAnsi="Times New Roman"/>
          <w:sz w:val="20"/>
          <w:szCs w:val="20"/>
          <w:i w:val="1"/>
          <w:iCs w:val="1"/>
          <w:u w:val="single" w:color="auto"/>
          <w:color w:val="231F20"/>
        </w:rPr>
        <w:t>Exploitation</w:t>
      </w:r>
      <w:r>
        <w:rPr>
          <w:rFonts w:ascii="Times New Roman" w:cs="Times New Roman" w:eastAsia="Times New Roman" w:hAnsi="Times New Roman"/>
          <w:sz w:val="20"/>
          <w:szCs w:val="20"/>
          <w:color w:val="231F20"/>
        </w:rPr>
        <w:t>” mean to make, have made, research, develop, manufacture, use, sell, have sold, offer for sale, commercialize, distribute, import and/or export.</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231F20"/>
        </w:rPr>
        <w:t>1.16.“</w:t>
      </w:r>
      <w:r>
        <w:rPr>
          <w:rFonts w:ascii="Times New Roman" w:cs="Times New Roman" w:eastAsia="Times New Roman" w:hAnsi="Times New Roman"/>
          <w:sz w:val="20"/>
          <w:szCs w:val="20"/>
          <w:i w:val="1"/>
          <w:iCs w:val="1"/>
          <w:u w:val="single" w:color="auto"/>
          <w:color w:val="231F20"/>
        </w:rPr>
        <w:t>FDA</w:t>
      </w:r>
      <w:r>
        <w:rPr>
          <w:rFonts w:ascii="Times New Roman" w:cs="Times New Roman" w:eastAsia="Times New Roman" w:hAnsi="Times New Roman"/>
          <w:sz w:val="20"/>
          <w:szCs w:val="20"/>
          <w:color w:val="231F20"/>
        </w:rPr>
        <w:t>” means the United States Food and Drug Administration or any successor agency thereto.</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231F20"/>
        </w:rPr>
        <w:t>1.17.“</w:t>
      </w:r>
      <w:r>
        <w:rPr>
          <w:rFonts w:ascii="Times New Roman" w:cs="Times New Roman" w:eastAsia="Times New Roman" w:hAnsi="Times New Roman"/>
          <w:sz w:val="20"/>
          <w:szCs w:val="20"/>
          <w:i w:val="1"/>
          <w:iCs w:val="1"/>
          <w:u w:val="single" w:color="auto"/>
          <w:color w:val="231F20"/>
        </w:rPr>
        <w:t>Field</w:t>
      </w:r>
      <w:r>
        <w:rPr>
          <w:rFonts w:ascii="Times New Roman" w:cs="Times New Roman" w:eastAsia="Times New Roman" w:hAnsi="Times New Roman"/>
          <w:sz w:val="20"/>
          <w:szCs w:val="20"/>
          <w:color w:val="231F20"/>
        </w:rPr>
        <w:t>” means all fields.</w:t>
      </w:r>
    </w:p>
    <w:p>
      <w:pPr>
        <w:spacing w:after="0" w:line="216" w:lineRule="exact"/>
        <w:rPr>
          <w:sz w:val="20"/>
          <w:szCs w:val="20"/>
          <w:color w:val="auto"/>
        </w:rPr>
      </w:pPr>
    </w:p>
    <w:p>
      <w:pPr>
        <w:jc w:val="both"/>
        <w:ind w:right="20" w:firstLine="749"/>
        <w:spacing w:after="0" w:line="256" w:lineRule="auto"/>
        <w:rPr>
          <w:sz w:val="20"/>
          <w:szCs w:val="20"/>
          <w:color w:val="auto"/>
        </w:rPr>
      </w:pPr>
      <w:r>
        <w:rPr>
          <w:rFonts w:ascii="Times New Roman" w:cs="Times New Roman" w:eastAsia="Times New Roman" w:hAnsi="Times New Roman"/>
          <w:sz w:val="20"/>
          <w:szCs w:val="20"/>
          <w:color w:val="231F20"/>
        </w:rPr>
        <w:t>1.18.“</w:t>
      </w:r>
      <w:r>
        <w:rPr>
          <w:rFonts w:ascii="Times New Roman" w:cs="Times New Roman" w:eastAsia="Times New Roman" w:hAnsi="Times New Roman"/>
          <w:sz w:val="20"/>
          <w:szCs w:val="20"/>
          <w:i w:val="1"/>
          <w:iCs w:val="1"/>
          <w:u w:val="single" w:color="auto"/>
          <w:color w:val="231F20"/>
        </w:rPr>
        <w:t>First Commercial Sale</w:t>
      </w:r>
      <w:r>
        <w:rPr>
          <w:rFonts w:ascii="Times New Roman" w:cs="Times New Roman" w:eastAsia="Times New Roman" w:hAnsi="Times New Roman"/>
          <w:sz w:val="20"/>
          <w:szCs w:val="20"/>
          <w:color w:val="231F20"/>
        </w:rPr>
        <w:t>” means, following Regulatory Approval in a particular jurisdiction, the first arm’s-length sale or other transfer for value of a Licensed Product by or on behalf of Licensee, or an Affiliate or Sublicensee, to an unrelated third party in such jurisdiction.</w:t>
      </w:r>
    </w:p>
    <w:p>
      <w:pPr>
        <w:spacing w:after="0" w:line="169"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231F20"/>
        </w:rPr>
        <w:t>1.19.“</w:t>
      </w:r>
      <w:r>
        <w:rPr>
          <w:rFonts w:ascii="Times New Roman" w:cs="Times New Roman" w:eastAsia="Times New Roman" w:hAnsi="Times New Roman"/>
          <w:sz w:val="20"/>
          <w:szCs w:val="20"/>
          <w:i w:val="1"/>
          <w:iCs w:val="1"/>
          <w:u w:val="single" w:color="auto"/>
          <w:color w:val="231F20"/>
        </w:rPr>
        <w:t>IND</w:t>
      </w:r>
      <w:r>
        <w:rPr>
          <w:rFonts w:ascii="Times New Roman" w:cs="Times New Roman" w:eastAsia="Times New Roman" w:hAnsi="Times New Roman"/>
          <w:sz w:val="20"/>
          <w:szCs w:val="20"/>
          <w:color w:val="231F20"/>
        </w:rPr>
        <w:t>” means an Investigational New Drug Application (or the foreign equivalent thereof) filed with the FDA required for the initiation of clinical trials in humans for the applicable Licensed Product in the United States.</w:t>
      </w:r>
    </w:p>
    <w:p>
      <w:pPr>
        <w:spacing w:after="0" w:line="15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231F20"/>
        </w:rPr>
        <w:t>1.20.“</w:t>
      </w:r>
      <w:r>
        <w:rPr>
          <w:rFonts w:ascii="Times New Roman" w:cs="Times New Roman" w:eastAsia="Times New Roman" w:hAnsi="Times New Roman"/>
          <w:sz w:val="20"/>
          <w:szCs w:val="20"/>
          <w:i w:val="1"/>
          <w:iCs w:val="1"/>
          <w:u w:val="single" w:color="auto"/>
          <w:color w:val="231F20"/>
        </w:rPr>
        <w:t>Information</w:t>
      </w:r>
      <w:r>
        <w:rPr>
          <w:rFonts w:ascii="Times New Roman" w:cs="Times New Roman" w:eastAsia="Times New Roman" w:hAnsi="Times New Roman"/>
          <w:sz w:val="20"/>
          <w:szCs w:val="20"/>
          <w:color w:val="231F20"/>
        </w:rPr>
        <w:t>” means all information, know-how, data, results, technology, materials, scientific, business or financial information of any type whatsoever, in any tangible or intangible form, provided by or on behalf of one Party to the other Party, either in connection with the discussions and negotiations pertaining to this Agreement or in the course of performing this Agreement, or that otherwise relates to the Licensed Technology or the Licensed Products, whether disclosed orally, visually, electronically, in writing or in other tangible or intangible form, and which may include data, knowledge, practices, processes, ideas, research plans, antibodies, small molecules, compounds, targets, biological and chemical formulations, structures and designs, laboratory notebooks, proof of concept and pre-clinical studies, formulation or manufacturing processes and techniques, scientific, manufacturing, marketing and business plans, and financial and personnel matters relating to the disclosing Party or to its present or future products, sales, suppliers, customers, employees, investors or business.</w:t>
      </w:r>
    </w:p>
    <w:p>
      <w:pPr>
        <w:spacing w:after="0" w:line="18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231F20"/>
        </w:rPr>
        <w:t>1.21.“</w:t>
      </w:r>
      <w:r>
        <w:rPr>
          <w:rFonts w:ascii="Times New Roman" w:cs="Times New Roman" w:eastAsia="Times New Roman" w:hAnsi="Times New Roman"/>
          <w:sz w:val="20"/>
          <w:szCs w:val="20"/>
          <w:i w:val="1"/>
          <w:iCs w:val="1"/>
          <w:u w:val="single" w:color="auto"/>
          <w:color w:val="231F20"/>
        </w:rPr>
        <w:t>Improvement(s)</w:t>
      </w:r>
      <w:r>
        <w:rPr>
          <w:rFonts w:ascii="Times New Roman" w:cs="Times New Roman" w:eastAsia="Times New Roman" w:hAnsi="Times New Roman"/>
          <w:sz w:val="20"/>
          <w:szCs w:val="20"/>
          <w:color w:val="231F20"/>
        </w:rPr>
        <w:t>” means any invention, discovery, advancement, development, or creation which is invented, developed, authored, created, or reduced to practice by or on behalf of Licensor or its Affiliates (or any of their respective personnel or agents, including any employee, officer, advisor, or independent contractor employed or engaged by (or otherwise having an obligation to assign inventions to) them) that is an improvement, modification or enhancement to the Licensed Technology or Licensed Products.</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231F20"/>
        </w:rPr>
        <w:t>1.22.“</w:t>
      </w:r>
      <w:r>
        <w:rPr>
          <w:rFonts w:ascii="Times New Roman" w:cs="Times New Roman" w:eastAsia="Times New Roman" w:hAnsi="Times New Roman"/>
          <w:sz w:val="20"/>
          <w:szCs w:val="20"/>
          <w:i w:val="1"/>
          <w:iCs w:val="1"/>
          <w:u w:val="single" w:color="auto"/>
          <w:color w:val="231F20"/>
        </w:rPr>
        <w:t>Improvement Patents</w:t>
      </w:r>
      <w:r>
        <w:rPr>
          <w:rFonts w:ascii="Times New Roman" w:cs="Times New Roman" w:eastAsia="Times New Roman" w:hAnsi="Times New Roman"/>
          <w:sz w:val="20"/>
          <w:szCs w:val="20"/>
          <w:color w:val="231F20"/>
        </w:rPr>
        <w:t xml:space="preserve">” means the Patents claiming any of the Improvements, and any reissue, divisional, continuation, continuation-in-part or reexamination certificate thereof. During the Term, all Improvement Patents shall be set forth in </w:t>
      </w:r>
      <w:r>
        <w:rPr>
          <w:rFonts w:ascii="Times New Roman" w:cs="Times New Roman" w:eastAsia="Times New Roman" w:hAnsi="Times New Roman"/>
          <w:sz w:val="20"/>
          <w:szCs w:val="20"/>
          <w:u w:val="single" w:color="auto"/>
          <w:color w:val="231F20"/>
        </w:rPr>
        <w:t>Exhibit C</w:t>
      </w:r>
      <w:r>
        <w:rPr>
          <w:rFonts w:ascii="Times New Roman" w:cs="Times New Roman" w:eastAsia="Times New Roman" w:hAnsi="Times New Roman"/>
          <w:sz w:val="20"/>
          <w:szCs w:val="20"/>
          <w:color w:val="231F20"/>
        </w:rPr>
        <w:t>.</w:t>
      </w:r>
    </w:p>
    <w:p>
      <w:pPr>
        <w:spacing w:after="0" w:line="15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231F20"/>
        </w:rPr>
        <w:t>1.23.“</w:t>
      </w:r>
      <w:r>
        <w:rPr>
          <w:rFonts w:ascii="Times New Roman" w:cs="Times New Roman" w:eastAsia="Times New Roman" w:hAnsi="Times New Roman"/>
          <w:sz w:val="20"/>
          <w:szCs w:val="20"/>
          <w:i w:val="1"/>
          <w:iCs w:val="1"/>
          <w:u w:val="single" w:color="auto"/>
          <w:color w:val="231F20"/>
        </w:rPr>
        <w:t>Intellectual Property</w:t>
      </w:r>
      <w:r>
        <w:rPr>
          <w:rFonts w:ascii="Times New Roman" w:cs="Times New Roman" w:eastAsia="Times New Roman" w:hAnsi="Times New Roman"/>
          <w:sz w:val="20"/>
          <w:szCs w:val="20"/>
          <w:color w:val="231F20"/>
        </w:rPr>
        <w:t>” means all (A) patents, patent applications, patent disclosures and all related continuation, continuation-in-part, divisional, reissue, reexamination, post-grant proceeding, utility model, certificate of invention and design patents, applications, registrations and applications for registration, and any equivalent in any jurisdiction; (B) trademarks, service marks, trade dress, Internet domain names, logos, trade names and corporate names and registrations and applications for registration thereof; (C) copyrights and registrations and applications for registration thereof, including all moral rights; (D) Information, inventions, trade secrets and confidential information, whether patentable or non-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- 3 -</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4926-6413-5580,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65" w:name="page166"/>
    <w:bookmarkEnd w:id="165"/>
    <w:p>
      <w:pPr>
        <w:jc w:val="both"/>
        <w:spacing w:after="0" w:line="246" w:lineRule="auto"/>
        <w:rPr>
          <w:sz w:val="20"/>
          <w:szCs w:val="20"/>
          <w:color w:val="auto"/>
        </w:rPr>
      </w:pPr>
      <w:r>
        <w:rPr>
          <w:rFonts w:ascii="Times New Roman" w:cs="Times New Roman" w:eastAsia="Times New Roman" w:hAnsi="Times New Roman"/>
          <w:sz w:val="20"/>
          <w:szCs w:val="20"/>
          <w:color w:val="231F20"/>
        </w:rPr>
        <w:t>patentable and whether or not reduced to practice, Know-How, show-how, manufacturing and product processes and techniques, batch records, bills of materials, material and process risk assessments and other quality documentation, research and development information, notebooks, formulae, diagrams, technical and engineering specifications, business and marketing plans and customer and supplier lists and other information; (E) other proprietary rights relating to any of the foregoing (including remedies against infringement thereof and rights of protection of interest therein under the laws of all jurisdictions); and (F) copies and tangible embodiments thereof.</w:t>
      </w:r>
    </w:p>
    <w:p>
      <w:pPr>
        <w:spacing w:after="0" w:line="18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231F20"/>
        </w:rPr>
        <w:t>1.24.“</w:t>
      </w:r>
      <w:r>
        <w:rPr>
          <w:rFonts w:ascii="Times New Roman" w:cs="Times New Roman" w:eastAsia="Times New Roman" w:hAnsi="Times New Roman"/>
          <w:sz w:val="20"/>
          <w:szCs w:val="20"/>
          <w:i w:val="1"/>
          <w:iCs w:val="1"/>
          <w:u w:val="single" w:color="auto"/>
          <w:color w:val="231F20"/>
        </w:rPr>
        <w:t>Know-How</w:t>
      </w:r>
      <w:r>
        <w:rPr>
          <w:rFonts w:ascii="Times New Roman" w:cs="Times New Roman" w:eastAsia="Times New Roman" w:hAnsi="Times New Roman"/>
          <w:sz w:val="20"/>
          <w:szCs w:val="20"/>
          <w:color w:val="231F20"/>
        </w:rPr>
        <w:t>” means all unpatented inventions, technology, methods, materials (including biological and pharmaceutical materials), know-how, studies, pre-clinical and clinical data (including toxicology and safety data), tests and assays, reports, manufacturing processes (including quality documentation), regulatory filings (including drafts) and regulatory approvals.</w:t>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231F20"/>
        </w:rPr>
        <w:t>1.25.“</w:t>
      </w:r>
      <w:r>
        <w:rPr>
          <w:rFonts w:ascii="Times New Roman" w:cs="Times New Roman" w:eastAsia="Times New Roman" w:hAnsi="Times New Roman"/>
          <w:sz w:val="20"/>
          <w:szCs w:val="20"/>
          <w:i w:val="1"/>
          <w:iCs w:val="1"/>
          <w:u w:val="single" w:color="auto"/>
          <w:color w:val="231F20"/>
        </w:rPr>
        <w:t>Licensed Know-How</w:t>
      </w:r>
      <w:r>
        <w:rPr>
          <w:rFonts w:ascii="Times New Roman" w:cs="Times New Roman" w:eastAsia="Times New Roman" w:hAnsi="Times New Roman"/>
          <w:sz w:val="20"/>
          <w:szCs w:val="20"/>
          <w:color w:val="231F20"/>
        </w:rPr>
        <w:t>” means all Know-How and other Information Controlled by Licensor or its Affiliates as of the Effective Date and/or that may become Controlled by Licensor or its Affiliates during the Term, in each case that are necessary or useful to Exploit Licensed Products in the Field in the Licensed Territory.</w:t>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231F20"/>
        </w:rPr>
        <w:t>1.26.“</w:t>
      </w:r>
      <w:r>
        <w:rPr>
          <w:rFonts w:ascii="Times New Roman" w:cs="Times New Roman" w:eastAsia="Times New Roman" w:hAnsi="Times New Roman"/>
          <w:sz w:val="20"/>
          <w:szCs w:val="20"/>
          <w:i w:val="1"/>
          <w:iCs w:val="1"/>
          <w:u w:val="single" w:color="auto"/>
          <w:color w:val="231F20"/>
        </w:rPr>
        <w:t>Licensed Patents</w:t>
      </w:r>
      <w:r>
        <w:rPr>
          <w:rFonts w:ascii="Times New Roman" w:cs="Times New Roman" w:eastAsia="Times New Roman" w:hAnsi="Times New Roman"/>
          <w:sz w:val="20"/>
          <w:szCs w:val="20"/>
          <w:color w:val="231F20"/>
        </w:rPr>
        <w:t xml:space="preserve">” means all Patents Controlled by Licensor and/or its Affiliates as of the Effective Date and during the Term, and that are necessary or useful for Exploiting Licensed Products in the Field and in the Licensed Territory, including those Patents set forth on </w:t>
      </w:r>
      <w:r>
        <w:rPr>
          <w:rFonts w:ascii="Times New Roman" w:cs="Times New Roman" w:eastAsia="Times New Roman" w:hAnsi="Times New Roman"/>
          <w:sz w:val="20"/>
          <w:szCs w:val="20"/>
          <w:u w:val="single" w:color="auto"/>
          <w:color w:val="231F20"/>
        </w:rPr>
        <w:t>Exhibit B</w:t>
      </w:r>
      <w:r>
        <w:rPr>
          <w:rFonts w:ascii="Times New Roman" w:cs="Times New Roman" w:eastAsia="Times New Roman" w:hAnsi="Times New Roman"/>
          <w:sz w:val="20"/>
          <w:szCs w:val="20"/>
          <w:color w:val="231F20"/>
        </w:rPr>
        <w:t xml:space="preserve"> and any Improvement Patents.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231F20"/>
        </w:rPr>
        <w:t>1.27.“</w:t>
      </w:r>
      <w:r>
        <w:rPr>
          <w:rFonts w:ascii="Times New Roman" w:cs="Times New Roman" w:eastAsia="Times New Roman" w:hAnsi="Times New Roman"/>
          <w:sz w:val="20"/>
          <w:szCs w:val="20"/>
          <w:i w:val="1"/>
          <w:iCs w:val="1"/>
          <w:u w:val="single" w:color="auto"/>
          <w:color w:val="231F20"/>
        </w:rPr>
        <w:t>Licensed Product</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color w:val="231F20"/>
        </w:rPr>
        <w:t xml:space="preserve"> means any product incorporating, derived from or made using the Licensed Technology.</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231F20"/>
        </w:rPr>
        <w:t>1.28.“</w:t>
      </w:r>
      <w:r>
        <w:rPr>
          <w:rFonts w:ascii="Times New Roman" w:cs="Times New Roman" w:eastAsia="Times New Roman" w:hAnsi="Times New Roman"/>
          <w:sz w:val="20"/>
          <w:szCs w:val="20"/>
          <w:i w:val="1"/>
          <w:iCs w:val="1"/>
          <w:u w:val="single" w:color="auto"/>
          <w:color w:val="231F20"/>
        </w:rPr>
        <w:t>Licensed Technology</w:t>
      </w:r>
      <w:r>
        <w:rPr>
          <w:rFonts w:ascii="Times New Roman" w:cs="Times New Roman" w:eastAsia="Times New Roman" w:hAnsi="Times New Roman"/>
          <w:sz w:val="20"/>
          <w:szCs w:val="20"/>
          <w:color w:val="231F20"/>
        </w:rPr>
        <w:t>” means the Licensed Patents and Licensed Know-How, collectively.</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231F20"/>
        </w:rPr>
        <w:t>1.29.“</w:t>
      </w:r>
      <w:r>
        <w:rPr>
          <w:rFonts w:ascii="Times New Roman" w:cs="Times New Roman" w:eastAsia="Times New Roman" w:hAnsi="Times New Roman"/>
          <w:sz w:val="20"/>
          <w:szCs w:val="20"/>
          <w:i w:val="1"/>
          <w:iCs w:val="1"/>
          <w:u w:val="single" w:color="auto"/>
          <w:color w:val="231F20"/>
        </w:rPr>
        <w:t>Licensed Territory</w:t>
      </w:r>
      <w:r>
        <w:rPr>
          <w:rFonts w:ascii="Times New Roman" w:cs="Times New Roman" w:eastAsia="Times New Roman" w:hAnsi="Times New Roman"/>
          <w:sz w:val="20"/>
          <w:szCs w:val="20"/>
          <w:color w:val="231F20"/>
        </w:rPr>
        <w:t>” means the entire world, excluding Greater China, India, Turkey, and Russia.</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231F20"/>
        </w:rPr>
        <w:t>1.30.“</w:t>
      </w:r>
      <w:r>
        <w:rPr>
          <w:rFonts w:ascii="Times New Roman" w:cs="Times New Roman" w:eastAsia="Times New Roman" w:hAnsi="Times New Roman"/>
          <w:sz w:val="20"/>
          <w:szCs w:val="20"/>
          <w:i w:val="1"/>
          <w:iCs w:val="1"/>
          <w:u w:val="single" w:color="auto"/>
          <w:color w:val="231F20"/>
        </w:rPr>
        <w:t>Licensee</w:t>
      </w:r>
      <w:r>
        <w:rPr>
          <w:rFonts w:ascii="Times New Roman" w:cs="Times New Roman" w:eastAsia="Times New Roman" w:hAnsi="Times New Roman"/>
          <w:sz w:val="20"/>
          <w:szCs w:val="20"/>
          <w:color w:val="231F20"/>
        </w:rPr>
        <w:t>” means Erigen LLC.</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231F20"/>
        </w:rPr>
        <w:t>1.31.“</w:t>
      </w:r>
      <w:r>
        <w:rPr>
          <w:rFonts w:ascii="Times New Roman" w:cs="Times New Roman" w:eastAsia="Times New Roman" w:hAnsi="Times New Roman"/>
          <w:sz w:val="20"/>
          <w:szCs w:val="20"/>
          <w:i w:val="1"/>
          <w:iCs w:val="1"/>
          <w:u w:val="single" w:color="auto"/>
          <w:color w:val="231F20"/>
        </w:rPr>
        <w:t>Licensor</w:t>
      </w:r>
      <w:r>
        <w:rPr>
          <w:rFonts w:ascii="Times New Roman" w:cs="Times New Roman" w:eastAsia="Times New Roman" w:hAnsi="Times New Roman"/>
          <w:sz w:val="20"/>
          <w:szCs w:val="20"/>
          <w:color w:val="231F20"/>
        </w:rPr>
        <w:t>” means Novatim Immune Therapeutics (Zhejiang) Co., Ltd.</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231F20"/>
        </w:rPr>
        <w:t>1.32.“</w:t>
      </w:r>
      <w:r>
        <w:rPr>
          <w:rFonts w:ascii="Times New Roman" w:cs="Times New Roman" w:eastAsia="Times New Roman" w:hAnsi="Times New Roman"/>
          <w:sz w:val="20"/>
          <w:szCs w:val="20"/>
          <w:i w:val="1"/>
          <w:iCs w:val="1"/>
          <w:u w:val="single" w:color="auto"/>
          <w:color w:val="231F20"/>
        </w:rPr>
        <w:t>Licensor Territory</w:t>
      </w:r>
      <w:r>
        <w:rPr>
          <w:rFonts w:ascii="Times New Roman" w:cs="Times New Roman" w:eastAsia="Times New Roman" w:hAnsi="Times New Roman"/>
          <w:sz w:val="20"/>
          <w:szCs w:val="20"/>
          <w:color w:val="231F20"/>
        </w:rPr>
        <w:t>” means Greater China.</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231F20"/>
        </w:rPr>
        <w:t>1.33.“</w:t>
      </w:r>
      <w:r>
        <w:rPr>
          <w:rFonts w:ascii="Times New Roman" w:cs="Times New Roman" w:eastAsia="Times New Roman" w:hAnsi="Times New Roman"/>
          <w:sz w:val="20"/>
          <w:szCs w:val="20"/>
          <w:i w:val="1"/>
          <w:iCs w:val="1"/>
          <w:u w:val="single" w:color="auto"/>
          <w:color w:val="231F20"/>
        </w:rPr>
        <w:t>MAA</w:t>
      </w:r>
      <w:r>
        <w:rPr>
          <w:rFonts w:ascii="Times New Roman" w:cs="Times New Roman" w:eastAsia="Times New Roman" w:hAnsi="Times New Roman"/>
          <w:sz w:val="20"/>
          <w:szCs w:val="20"/>
          <w:color w:val="231F20"/>
        </w:rPr>
        <w:t>” means any new drug application or other marketing authorization application, in each case, filed with the applicable Regulatory Authority in a country or other regulatory jurisdiction, which application is required to commercially market or sell a pharmaceutical product (including a biopharmaceutical product) in such country or jurisdiction (and any amendments thereto), including all New Drug Applications (NDA) or equivalent submitted to the FDA in the United States in accordance with the PHSA, BLA submitted to the FDA in the United States in accordance with the United States Food Drug and Cosmetics Act, or any analogous application or submission with any Regulatory Authority outside of the United States.</w:t>
      </w:r>
    </w:p>
    <w:p>
      <w:pPr>
        <w:spacing w:after="0" w:line="17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231F20"/>
        </w:rPr>
        <w:t>1.34.“</w:t>
      </w:r>
      <w:r>
        <w:rPr>
          <w:rFonts w:ascii="Times New Roman" w:cs="Times New Roman" w:eastAsia="Times New Roman" w:hAnsi="Times New Roman"/>
          <w:sz w:val="20"/>
          <w:szCs w:val="20"/>
          <w:i w:val="1"/>
          <w:iCs w:val="1"/>
          <w:u w:val="single" w:color="auto"/>
          <w:color w:val="231F20"/>
        </w:rPr>
        <w:t>Net Sales</w:t>
      </w:r>
      <w:r>
        <w:rPr>
          <w:rFonts w:ascii="Times New Roman" w:cs="Times New Roman" w:eastAsia="Times New Roman" w:hAnsi="Times New Roman"/>
          <w:sz w:val="20"/>
          <w:szCs w:val="20"/>
          <w:color w:val="231F20"/>
        </w:rPr>
        <w:t>” means gross amounts invoiced or otherwise received for Licensee’s, its Affiliates’, or Sublicensees’ sales of Licensed Products, less the sum of the following: [***].</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 xml:space="preserve">The sale of a Licensed Product by a selling party to another selling party for resale by such selling party to a third party shall not be deemed a sale for the purposes of this definition of “Net Sales,” </w:t>
      </w:r>
      <w:r>
        <w:rPr>
          <w:rFonts w:ascii="Times New Roman" w:cs="Times New Roman" w:eastAsia="Times New Roman" w:hAnsi="Times New Roman"/>
          <w:sz w:val="20"/>
          <w:szCs w:val="20"/>
          <w:i w:val="1"/>
          <w:iCs w:val="1"/>
          <w:u w:val="single" w:color="auto"/>
          <w:color w:val="231F20"/>
        </w:rPr>
        <w:t>provided, however</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color w:val="231F20"/>
        </w:rPr>
        <w:t xml:space="preserve"> that the final resale in any such chain is included in the computation of “Net Sales” by the last selling party that resells such Licensed Product. Failure by the last selling party to report final resale for Licensor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- 4 -</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4926-6413-5580,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66" w:name="page167"/>
    <w:bookmarkEnd w:id="166"/>
    <w:p>
      <w:pPr>
        <w:jc w:val="both"/>
        <w:spacing w:after="0" w:line="249" w:lineRule="auto"/>
        <w:rPr>
          <w:sz w:val="20"/>
          <w:szCs w:val="20"/>
          <w:color w:val="auto"/>
        </w:rPr>
      </w:pPr>
      <w:r>
        <w:rPr>
          <w:rFonts w:ascii="Times New Roman" w:cs="Times New Roman" w:eastAsia="Times New Roman" w:hAnsi="Times New Roman"/>
          <w:sz w:val="20"/>
          <w:szCs w:val="20"/>
          <w:color w:val="231F20"/>
        </w:rPr>
        <w:t xml:space="preserve">calculate the royalties, within [***] shall entitle Licensor to [***]. [***].The gross amounts invoiced and all permitted deductions shall be determined in accordance with the selling party’s usual and customary accounting methods, which are in accordance with U.S. generally accepted accounting principles (GAAP) or international financial reporting standards, in either case, consistently applied, provided that Licensor shall have the right to audit and verify such records upon reasonable prior notice in accordance with </w:t>
      </w:r>
      <w:r>
        <w:rPr>
          <w:rFonts w:ascii="Times New Roman" w:cs="Times New Roman" w:eastAsia="Times New Roman" w:hAnsi="Times New Roman"/>
          <w:sz w:val="20"/>
          <w:szCs w:val="20"/>
          <w:u w:val="single" w:color="auto"/>
          <w:color w:val="231F20"/>
        </w:rPr>
        <w:t>Section 5.4</w:t>
      </w:r>
      <w:r>
        <w:rPr>
          <w:rFonts w:ascii="Times New Roman" w:cs="Times New Roman" w:eastAsia="Times New Roman" w:hAnsi="Times New Roman"/>
          <w:sz w:val="20"/>
          <w:szCs w:val="20"/>
          <w:color w:val="231F20"/>
        </w:rPr>
        <w: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231F20"/>
        </w:rPr>
        <w:t>On a country-by-country basis, if a Licensed Product is sold in a country as part of a Combination Product, Net Sales of such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Licensed Product for the purpose of determining royalties due hereunder shall be calculated as follows:</w:t>
      </w:r>
    </w:p>
    <w:p>
      <w:pPr>
        <w:spacing w:after="0" w:line="194" w:lineRule="exact"/>
        <w:rPr>
          <w:sz w:val="20"/>
          <w:szCs w:val="20"/>
          <w:color w:val="auto"/>
        </w:rPr>
      </w:pPr>
    </w:p>
    <w:p>
      <w:pPr>
        <w:ind w:left="1020" w:hanging="263"/>
        <w:spacing w:after="0"/>
        <w:tabs>
          <w:tab w:leader="none" w:pos="1020" w:val="left"/>
        </w:tabs>
        <w:numPr>
          <w:ilvl w:val="1"/>
          <w:numId w:val="8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 the event that both (x) the Licensed Product is sold separately in finished form in such country during a Calendar Quarter and</w:t>
      </w:r>
    </w:p>
    <w:p>
      <w:pPr>
        <w:spacing w:after="0" w:line="33" w:lineRule="exact"/>
        <w:rPr>
          <w:rFonts w:ascii="Times New Roman" w:cs="Times New Roman" w:eastAsia="Times New Roman" w:hAnsi="Times New Roman"/>
          <w:sz w:val="19"/>
          <w:szCs w:val="19"/>
          <w:color w:val="231F20"/>
        </w:rPr>
      </w:pPr>
    </w:p>
    <w:p>
      <w:pPr>
        <w:ind w:firstLine="8"/>
        <w:spacing w:after="0" w:line="246" w:lineRule="auto"/>
        <w:tabs>
          <w:tab w:leader="none" w:pos="281" w:val="left"/>
        </w:tabs>
        <w:numPr>
          <w:ilvl w:val="0"/>
          <w:numId w:val="8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Other Product(s) in such Combination Product are sold separately in finished form in such country during such Calendar Quarter, then Net Sales of such Licensed Product shall be determined by [***].</w:t>
      </w:r>
    </w:p>
    <w:p>
      <w:pPr>
        <w:spacing w:after="0" w:line="181" w:lineRule="exact"/>
        <w:rPr>
          <w:rFonts w:ascii="Times New Roman" w:cs="Times New Roman" w:eastAsia="Times New Roman" w:hAnsi="Times New Roman"/>
          <w:sz w:val="20"/>
          <w:szCs w:val="20"/>
          <w:color w:val="231F20"/>
        </w:rPr>
      </w:pPr>
    </w:p>
    <w:p>
      <w:pPr>
        <w:jc w:val="both"/>
        <w:ind w:firstLine="757"/>
        <w:spacing w:after="0" w:line="254" w:lineRule="auto"/>
        <w:tabs>
          <w:tab w:leader="none" w:pos="1018" w:val="left"/>
        </w:tabs>
        <w:numPr>
          <w:ilvl w:val="1"/>
          <w:numId w:val="8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 the event that the Licensed Product in such Combination Product is sold separately in finished form in such country during a Calendar Quarter, but the Other Product(s) in such Combination Product are not sold separately in finished form in such country during such Calendar Quarter, then Net Sales of such Licensed Product shall be calculated by [***].</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231F20"/>
        </w:rPr>
        <w:t>(iii)In the event that the Licensed Product in such Combination Product is not sold separately in finished form in such country during a Calendar Quarter, but the Other Product(s) in such Combination Product are sold separately in finished form in such country during such Calendar Quarter, Net Sales of such Licensed Product shall be calculated by [***].</w:t>
      </w:r>
    </w:p>
    <w:p>
      <w:pPr>
        <w:spacing w:after="0" w:line="200" w:lineRule="exact"/>
        <w:rPr>
          <w:sz w:val="20"/>
          <w:szCs w:val="20"/>
          <w:color w:val="auto"/>
        </w:rPr>
      </w:pPr>
    </w:p>
    <w:p>
      <w:pPr>
        <w:spacing w:after="0" w:line="20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231F20"/>
        </w:rPr>
        <w:t>(iv)In the event that neither the Licensed Product in such Combination Product is sold separately in finished form in such country during a Calendar Quarter, nor the Other Product(s) in such Combination Product are sold separately in finished form in such country during such Calendar Quarter, then the fair market value of the Licensed Product and such Other Product(s) shall be [***].</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231F20"/>
        </w:rPr>
        <w:t>1.35.“</w:t>
      </w:r>
      <w:r>
        <w:rPr>
          <w:rFonts w:ascii="Times New Roman" w:cs="Times New Roman" w:eastAsia="Times New Roman" w:hAnsi="Times New Roman"/>
          <w:sz w:val="20"/>
          <w:szCs w:val="20"/>
          <w:i w:val="1"/>
          <w:iCs w:val="1"/>
          <w:u w:val="single" w:color="auto"/>
          <w:color w:val="231F20"/>
        </w:rPr>
        <w:t>Other Product</w:t>
      </w:r>
      <w:r>
        <w:rPr>
          <w:rFonts w:ascii="Times New Roman" w:cs="Times New Roman" w:eastAsia="Times New Roman" w:hAnsi="Times New Roman"/>
          <w:sz w:val="20"/>
          <w:szCs w:val="20"/>
          <w:color w:val="231F20"/>
        </w:rPr>
        <w:t xml:space="preserve">” has the meaning set forth in </w:t>
      </w:r>
      <w:r>
        <w:rPr>
          <w:rFonts w:ascii="Times New Roman" w:cs="Times New Roman" w:eastAsia="Times New Roman" w:hAnsi="Times New Roman"/>
          <w:sz w:val="20"/>
          <w:szCs w:val="20"/>
          <w:u w:val="single" w:color="auto"/>
          <w:color w:val="231F20"/>
        </w:rPr>
        <w:t>Section 1.6</w:t>
      </w:r>
      <w:r>
        <w:rPr>
          <w:rFonts w:ascii="Times New Roman" w:cs="Times New Roman" w:eastAsia="Times New Roman" w:hAnsi="Times New Roman"/>
          <w:sz w:val="20"/>
          <w:szCs w:val="20"/>
          <w:color w:val="231F20"/>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231F20"/>
        </w:rPr>
        <w:t>1.36.“</w:t>
      </w:r>
      <w:r>
        <w:rPr>
          <w:rFonts w:ascii="Times New Roman" w:cs="Times New Roman" w:eastAsia="Times New Roman" w:hAnsi="Times New Roman"/>
          <w:sz w:val="20"/>
          <w:szCs w:val="20"/>
          <w:i w:val="1"/>
          <w:iCs w:val="1"/>
          <w:u w:val="single" w:color="auto"/>
          <w:color w:val="231F20"/>
        </w:rPr>
        <w:t>Party</w:t>
      </w:r>
      <w:r>
        <w:rPr>
          <w:rFonts w:ascii="Times New Roman" w:cs="Times New Roman" w:eastAsia="Times New Roman" w:hAnsi="Times New Roman"/>
          <w:sz w:val="20"/>
          <w:szCs w:val="20"/>
          <w:color w:val="231F20"/>
        </w:rPr>
        <w:t>” or “</w:t>
      </w:r>
      <w:r>
        <w:rPr>
          <w:rFonts w:ascii="Times New Roman" w:cs="Times New Roman" w:eastAsia="Times New Roman" w:hAnsi="Times New Roman"/>
          <w:sz w:val="20"/>
          <w:szCs w:val="20"/>
          <w:i w:val="1"/>
          <w:iCs w:val="1"/>
          <w:u w:val="single" w:color="auto"/>
          <w:color w:val="231F20"/>
        </w:rPr>
        <w:t>Parties</w:t>
      </w:r>
      <w:r>
        <w:rPr>
          <w:rFonts w:ascii="Times New Roman" w:cs="Times New Roman" w:eastAsia="Times New Roman" w:hAnsi="Times New Roman"/>
          <w:sz w:val="20"/>
          <w:szCs w:val="20"/>
          <w:color w:val="231F20"/>
        </w:rPr>
        <w:t>” has the meaning set forth in the Preamble.</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231F20"/>
        </w:rPr>
        <w:t>1.37.“</w:t>
      </w:r>
      <w:r>
        <w:rPr>
          <w:rFonts w:ascii="Times New Roman" w:cs="Times New Roman" w:eastAsia="Times New Roman" w:hAnsi="Times New Roman"/>
          <w:sz w:val="20"/>
          <w:szCs w:val="20"/>
          <w:i w:val="1"/>
          <w:iCs w:val="1"/>
          <w:u w:val="single" w:color="auto"/>
          <w:color w:val="231F20"/>
        </w:rPr>
        <w:t>Patent</w:t>
      </w:r>
      <w:r>
        <w:rPr>
          <w:rFonts w:ascii="Times New Roman" w:cs="Times New Roman" w:eastAsia="Times New Roman" w:hAnsi="Times New Roman"/>
          <w:sz w:val="20"/>
          <w:szCs w:val="20"/>
          <w:color w:val="231F20"/>
        </w:rPr>
        <w:t>” means all patents and patent applications and all substitutions, divisions, continuations, continuations-in-part, any patent issued with respect to any such patent applications, any reissue, reexamination, utility models or designs, renewal or extension (including any supplementary protection certificate) of any such patent, and any confirmation patent or registration patent or patent of addition based on any such patent, and all counterparts and equivalents of any of the foregoing in any country or jurisdiction.</w:t>
      </w:r>
    </w:p>
    <w:p>
      <w:pPr>
        <w:spacing w:after="0" w:line="176" w:lineRule="exact"/>
        <w:rPr>
          <w:sz w:val="20"/>
          <w:szCs w:val="20"/>
          <w:color w:val="auto"/>
        </w:rPr>
      </w:pPr>
    </w:p>
    <w:p>
      <w:pPr>
        <w:jc w:val="both"/>
        <w:ind w:right="20" w:firstLine="749"/>
        <w:spacing w:after="0" w:line="250" w:lineRule="auto"/>
        <w:rPr>
          <w:sz w:val="20"/>
          <w:szCs w:val="20"/>
          <w:color w:val="auto"/>
        </w:rPr>
      </w:pPr>
      <w:r>
        <w:rPr>
          <w:rFonts w:ascii="Times New Roman" w:cs="Times New Roman" w:eastAsia="Times New Roman" w:hAnsi="Times New Roman"/>
          <w:sz w:val="20"/>
          <w:szCs w:val="20"/>
          <w:color w:val="231F20"/>
        </w:rPr>
        <w:t>1.38.“</w:t>
      </w:r>
      <w:r>
        <w:rPr>
          <w:rFonts w:ascii="Times New Roman" w:cs="Times New Roman" w:eastAsia="Times New Roman" w:hAnsi="Times New Roman"/>
          <w:sz w:val="20"/>
          <w:szCs w:val="20"/>
          <w:i w:val="1"/>
          <w:iCs w:val="1"/>
          <w:u w:val="single" w:color="auto"/>
          <w:color w:val="231F20"/>
        </w:rPr>
        <w:t>Phase 1 Clinical Trial</w:t>
      </w:r>
      <w:r>
        <w:rPr>
          <w:rFonts w:ascii="Times New Roman" w:cs="Times New Roman" w:eastAsia="Times New Roman" w:hAnsi="Times New Roman"/>
          <w:sz w:val="20"/>
          <w:szCs w:val="20"/>
          <w:color w:val="231F20"/>
        </w:rPr>
        <w:t>” means a clinical trial of a pharmaceutical product (including a biopharmaceutical product) with the primary endpoint of determining initial tolerance, safety, metabolism, pharmacokinetic, or pharmacodynamic information in single dose, single ascending dose, multiple dose, or multiple ascending dose regimens, that satisfies the requirements of U.S. federal regulation 21 C.F.R. § 312.21(a) and its successor regulation or equivalents in other jurisdictions.</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231F20"/>
        </w:rPr>
        <w:t>1.39.“</w:t>
      </w:r>
      <w:r>
        <w:rPr>
          <w:rFonts w:ascii="Times New Roman" w:cs="Times New Roman" w:eastAsia="Times New Roman" w:hAnsi="Times New Roman"/>
          <w:sz w:val="20"/>
          <w:szCs w:val="20"/>
          <w:i w:val="1"/>
          <w:iCs w:val="1"/>
          <w:u w:val="single" w:color="auto"/>
          <w:color w:val="231F20"/>
        </w:rPr>
        <w:t>Phase 2 Clinical Trial</w:t>
      </w:r>
      <w:r>
        <w:rPr>
          <w:rFonts w:ascii="Times New Roman" w:cs="Times New Roman" w:eastAsia="Times New Roman" w:hAnsi="Times New Roman"/>
          <w:sz w:val="20"/>
          <w:szCs w:val="20"/>
          <w:color w:val="231F20"/>
        </w:rPr>
        <w:t>” or “</w:t>
      </w:r>
      <w:r>
        <w:rPr>
          <w:rFonts w:ascii="Times New Roman" w:cs="Times New Roman" w:eastAsia="Times New Roman" w:hAnsi="Times New Roman"/>
          <w:sz w:val="20"/>
          <w:szCs w:val="20"/>
          <w:i w:val="1"/>
          <w:iCs w:val="1"/>
          <w:u w:val="single" w:color="auto"/>
          <w:color w:val="231F20"/>
        </w:rPr>
        <w:t>Phase 2b Clinical Trial</w:t>
      </w:r>
      <w:r>
        <w:rPr>
          <w:rFonts w:ascii="Times New Roman" w:cs="Times New Roman" w:eastAsia="Times New Roman" w:hAnsi="Times New Roman"/>
          <w:sz w:val="20"/>
          <w:szCs w:val="20"/>
          <w:color w:val="231F20"/>
        </w:rPr>
        <w:t>” means a clinical trial of a pharmaceutical product (including a biopharmaceutical product) the principal purpose of which is to evaluate the effectiveness of such product in a human population and that satisfies the requirements of U.S. federal regulation 21 C.F.R. § 312.21(b) and its successor regulation or equivalents in other jurisdictions.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- 5 -</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4926-6413-5580,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67" w:name="page168"/>
    <w:bookmarkEnd w:id="167"/>
    <w:p>
      <w:pPr>
        <w:jc w:val="both"/>
        <w:ind w:firstLine="749"/>
        <w:spacing w:after="0" w:line="261" w:lineRule="auto"/>
        <w:rPr>
          <w:sz w:val="20"/>
          <w:szCs w:val="20"/>
          <w:color w:val="auto"/>
        </w:rPr>
      </w:pPr>
      <w:r>
        <w:rPr>
          <w:rFonts w:ascii="Times New Roman" w:cs="Times New Roman" w:eastAsia="Times New Roman" w:hAnsi="Times New Roman"/>
          <w:sz w:val="19"/>
          <w:szCs w:val="19"/>
          <w:color w:val="231F20"/>
        </w:rPr>
        <w:t>1.40.“</w:t>
      </w:r>
      <w:r>
        <w:rPr>
          <w:rFonts w:ascii="Times New Roman" w:cs="Times New Roman" w:eastAsia="Times New Roman" w:hAnsi="Times New Roman"/>
          <w:sz w:val="19"/>
          <w:szCs w:val="19"/>
          <w:i w:val="1"/>
          <w:iCs w:val="1"/>
          <w:u w:val="single" w:color="auto"/>
          <w:color w:val="231F20"/>
        </w:rPr>
        <w:t>Phase 3 Clinical Trial</w:t>
      </w:r>
      <w:r>
        <w:rPr>
          <w:rFonts w:ascii="Times New Roman" w:cs="Times New Roman" w:eastAsia="Times New Roman" w:hAnsi="Times New Roman"/>
          <w:sz w:val="19"/>
          <w:szCs w:val="19"/>
          <w:color w:val="231F20"/>
        </w:rPr>
        <w:t>” means a clinical trial (or any arm thereof) of a pharmaceutical product (including a biopharmaceutical product) on a sufficient number of patients, which trial the FDA or equivalent Regulatory Authority in other jurisdictions permits to be conducted under an open IND and is designed to: (a) establish that such pharmaceutical product is safe and efficacious for its intended use;</w:t>
      </w:r>
    </w:p>
    <w:p>
      <w:pPr>
        <w:spacing w:after="0" w:line="2" w:lineRule="exact"/>
        <w:rPr>
          <w:sz w:val="20"/>
          <w:szCs w:val="20"/>
          <w:color w:val="auto"/>
        </w:rPr>
      </w:pPr>
    </w:p>
    <w:p>
      <w:pPr>
        <w:jc w:val="both"/>
        <w:ind w:firstLine="8"/>
        <w:spacing w:after="0" w:line="242" w:lineRule="auto"/>
        <w:tabs>
          <w:tab w:leader="none" w:pos="315" w:val="left"/>
        </w:tabs>
        <w:numPr>
          <w:ilvl w:val="0"/>
          <w:numId w:val="8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define warnings, precautions and adverse reactions that are associated with such pharmaceutical product in the dosage range to be prescribed; and (c) support the filing of an MAA with a Regulatory Authority for such pharmaceutical product, and that satisfies the requirements of U.S. federal regulation 21 C.F.R. § 312.21(c) and its successor regulation or equivalents in other jurisdictions.</w:t>
      </w:r>
    </w:p>
    <w:p>
      <w:pPr>
        <w:spacing w:after="0" w:line="18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231F20"/>
        </w:rPr>
        <w:t>1.41.“</w:t>
      </w:r>
      <w:r>
        <w:rPr>
          <w:rFonts w:ascii="Times New Roman" w:cs="Times New Roman" w:eastAsia="Times New Roman" w:hAnsi="Times New Roman"/>
          <w:sz w:val="20"/>
          <w:szCs w:val="20"/>
          <w:i w:val="1"/>
          <w:iCs w:val="1"/>
          <w:u w:val="single" w:color="auto"/>
          <w:color w:val="231F20"/>
        </w:rPr>
        <w:t>Regulatory Approval</w:t>
      </w:r>
      <w:r>
        <w:rPr>
          <w:rFonts w:ascii="Times New Roman" w:cs="Times New Roman" w:eastAsia="Times New Roman" w:hAnsi="Times New Roman"/>
          <w:sz w:val="20"/>
          <w:szCs w:val="20"/>
          <w:color w:val="231F20"/>
        </w:rPr>
        <w:t>” means all technical, medical and scientific licenses, registrations, authorizations and approvals (including approvals of new drug applications, supplements and amendments, pre- and post- approvals, pricing and third-party reimbursement approvals, and labeling approvals) of any Regulatory Authority that are necessary for the use, development, manufacture, and commercialization of a pharmaceutical product in a regulatory jurisdiction.</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231F20"/>
        </w:rPr>
        <w:t>1.42.“</w:t>
      </w:r>
      <w:r>
        <w:rPr>
          <w:rFonts w:ascii="Times New Roman" w:cs="Times New Roman" w:eastAsia="Times New Roman" w:hAnsi="Times New Roman"/>
          <w:sz w:val="20"/>
          <w:szCs w:val="20"/>
          <w:i w:val="1"/>
          <w:iCs w:val="1"/>
          <w:u w:val="single" w:color="auto"/>
          <w:color w:val="231F20"/>
        </w:rPr>
        <w:t>Regulatory Authority</w:t>
      </w:r>
      <w:r>
        <w:rPr>
          <w:rFonts w:ascii="Times New Roman" w:cs="Times New Roman" w:eastAsia="Times New Roman" w:hAnsi="Times New Roman"/>
          <w:sz w:val="20"/>
          <w:szCs w:val="20"/>
          <w:color w:val="231F20"/>
        </w:rPr>
        <w:t>” means, with respect to a given country, any national (e.g., the FDA), supra-national (e.g., the European Commission, the Council of the European Union, or the European Medicines Agency), regional, state or local regulatory agency, department, bureau, commission, council or other governmental authority involved in the granting of a Regulatory Approval.</w:t>
      </w:r>
    </w:p>
    <w:p>
      <w:pPr>
        <w:spacing w:after="0" w:line="16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231F20"/>
        </w:rPr>
        <w:t>1.43.“</w:t>
      </w:r>
      <w:r>
        <w:rPr>
          <w:rFonts w:ascii="Times New Roman" w:cs="Times New Roman" w:eastAsia="Times New Roman" w:hAnsi="Times New Roman"/>
          <w:sz w:val="20"/>
          <w:szCs w:val="20"/>
          <w:i w:val="1"/>
          <w:iCs w:val="1"/>
          <w:u w:val="single" w:color="auto"/>
          <w:color w:val="231F20"/>
        </w:rPr>
        <w:t>Royalty Term</w:t>
      </w:r>
      <w:r>
        <w:rPr>
          <w:rFonts w:ascii="Times New Roman" w:cs="Times New Roman" w:eastAsia="Times New Roman" w:hAnsi="Times New Roman"/>
          <w:sz w:val="20"/>
          <w:szCs w:val="20"/>
          <w:color w:val="231F20"/>
        </w:rPr>
        <w:t>” means, on a Licensed Product-by-Licensed Product and country-by-country basis, the period commencing on the First Commercial Sale of a Licensed Product in a country of the Licensed Territory, and ending on the date that the cumulative Royalty on Net Sales payable hereunder equals Eight Hundred Million USD ($800,000,000). Notwithstanding the foregoing, if at any time after the First Commercial Sale in a particular country, sales of the Licensed Product in such country are permanently prohibited due to the Licensed Product’s infringement of a third party’s patent, then the Royalty Term with respect to such Licensed Product in that country shall terminate immediately and no further Royalty on Net Sales shall be payable with respect to Net Sales in such country from the date of such prohibition or restriction. However, Licensor shall be entitled to all Royalties on Net Sales accrued prior to that date.</w:t>
      </w:r>
    </w:p>
    <w:p>
      <w:pPr>
        <w:spacing w:after="0" w:line="17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231F20"/>
        </w:rPr>
        <w:t>1.44.“</w:t>
      </w:r>
      <w:r>
        <w:rPr>
          <w:rFonts w:ascii="Times New Roman" w:cs="Times New Roman" w:eastAsia="Times New Roman" w:hAnsi="Times New Roman"/>
          <w:sz w:val="20"/>
          <w:szCs w:val="20"/>
          <w:i w:val="1"/>
          <w:iCs w:val="1"/>
          <w:u w:val="single" w:color="auto"/>
          <w:color w:val="231F20"/>
        </w:rPr>
        <w:t>Sublicensee</w:t>
      </w:r>
      <w:r>
        <w:rPr>
          <w:rFonts w:ascii="Times New Roman" w:cs="Times New Roman" w:eastAsia="Times New Roman" w:hAnsi="Times New Roman"/>
          <w:sz w:val="20"/>
          <w:szCs w:val="20"/>
          <w:color w:val="231F20"/>
        </w:rPr>
        <w:t xml:space="preserve">” means a third party granted a sublicense to any of the rights granted to Licensee under </w:t>
      </w:r>
      <w:r>
        <w:rPr>
          <w:rFonts w:ascii="Times New Roman" w:cs="Times New Roman" w:eastAsia="Times New Roman" w:hAnsi="Times New Roman"/>
          <w:sz w:val="20"/>
          <w:szCs w:val="20"/>
          <w:u w:val="single" w:color="auto"/>
          <w:color w:val="231F20"/>
        </w:rPr>
        <w:t>Section 2.1</w:t>
      </w:r>
      <w:r>
        <w:rPr>
          <w:rFonts w:ascii="Times New Roman" w:cs="Times New Roman" w:eastAsia="Times New Roman" w:hAnsi="Times New Roman"/>
          <w:sz w:val="20"/>
          <w:szCs w:val="20"/>
          <w:color w:val="231F20"/>
        </w:rPr>
        <w:t xml:space="preserve"> of this Agreement.</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231F20"/>
        </w:rPr>
        <w:t>1.45.“</w:t>
      </w:r>
      <w:r>
        <w:rPr>
          <w:rFonts w:ascii="Times New Roman" w:cs="Times New Roman" w:eastAsia="Times New Roman" w:hAnsi="Times New Roman"/>
          <w:sz w:val="20"/>
          <w:szCs w:val="20"/>
          <w:i w:val="1"/>
          <w:iCs w:val="1"/>
          <w:u w:val="single" w:color="auto"/>
          <w:color w:val="231F20"/>
        </w:rPr>
        <w:t>Term</w:t>
      </w:r>
      <w:r>
        <w:rPr>
          <w:rFonts w:ascii="Times New Roman" w:cs="Times New Roman" w:eastAsia="Times New Roman" w:hAnsi="Times New Roman"/>
          <w:sz w:val="20"/>
          <w:szCs w:val="20"/>
          <w:color w:val="231F20"/>
        </w:rPr>
        <w:t xml:space="preserve">” has the meaning set forth in </w:t>
      </w:r>
      <w:r>
        <w:rPr>
          <w:rFonts w:ascii="Times New Roman" w:cs="Times New Roman" w:eastAsia="Times New Roman" w:hAnsi="Times New Roman"/>
          <w:sz w:val="20"/>
          <w:szCs w:val="20"/>
          <w:u w:val="single" w:color="auto"/>
          <w:color w:val="231F20"/>
        </w:rPr>
        <w:t>Section 7.1</w:t>
      </w:r>
      <w:r>
        <w:rPr>
          <w:rFonts w:ascii="Times New Roman" w:cs="Times New Roman" w:eastAsia="Times New Roman" w:hAnsi="Times New Roman"/>
          <w:sz w:val="20"/>
          <w:szCs w:val="20"/>
          <w:color w:val="231F20"/>
        </w:rPr>
        <w:t>.</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231F20"/>
        </w:rPr>
        <w:t>1.46.“</w:t>
      </w:r>
      <w:r>
        <w:rPr>
          <w:rFonts w:ascii="Times New Roman" w:cs="Times New Roman" w:eastAsia="Times New Roman" w:hAnsi="Times New Roman"/>
          <w:sz w:val="20"/>
          <w:szCs w:val="20"/>
          <w:i w:val="1"/>
          <w:iCs w:val="1"/>
          <w:u w:val="single" w:color="auto"/>
          <w:color w:val="231F20"/>
        </w:rPr>
        <w:t>Valid Claim</w:t>
      </w:r>
      <w:r>
        <w:rPr>
          <w:rFonts w:ascii="Times New Roman" w:cs="Times New Roman" w:eastAsia="Times New Roman" w:hAnsi="Times New Roman"/>
          <w:sz w:val="20"/>
          <w:szCs w:val="20"/>
          <w:color w:val="231F20"/>
        </w:rPr>
        <w:t>” means (a) a claim of a granted and unexpired Licensed Patent that (i) has not been rejected, revoked, or held to be invalid or unenforceable by a court or other authority of competent jurisdiction, from which decision no appeal is or can be taken or (ii) has not been finally abandoned, disclaimed or admitted to be invalid or unenforceable through reissue or disclaimer; or (b) a claim included in a pending patent application which is a Licensed Patent that (i) has not been pending for more than [***] (provided, however that for purposes of clarity, in the event such pending claim is subsequently granted, then such claim shall again be a Valid Claim as of the date of grant of such claim) or (ii) has not been finally determined to be unallowable by the applicable governmental authority (from which no appeal is or can be taken).</w:t>
      </w:r>
    </w:p>
    <w:p>
      <w:pPr>
        <w:spacing w:after="0" w:line="1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231F20"/>
        </w:rPr>
        <w:t>Section 2</w:t>
      </w:r>
    </w:p>
    <w:p>
      <w:pPr>
        <w:spacing w:after="0" w:line="2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i w:val="1"/>
          <w:iCs w:val="1"/>
          <w:u w:val="single" w:color="auto"/>
          <w:color w:val="231F20"/>
        </w:rPr>
        <w:t>Licenses</w:t>
      </w:r>
    </w:p>
    <w:p>
      <w:pPr>
        <w:spacing w:after="0" w:line="19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231F20"/>
        </w:rPr>
        <w:t>2.1.</w:t>
      </w:r>
      <w:r>
        <w:rPr>
          <w:rFonts w:ascii="Times New Roman" w:cs="Times New Roman" w:eastAsia="Times New Roman" w:hAnsi="Times New Roman"/>
          <w:sz w:val="20"/>
          <w:szCs w:val="20"/>
          <w:i w:val="1"/>
          <w:iCs w:val="1"/>
          <w:u w:val="single" w:color="auto"/>
          <w:color w:val="231F20"/>
        </w:rPr>
        <w:t>License Grant</w:t>
      </w:r>
      <w:r>
        <w:rPr>
          <w:rFonts w:ascii="Times New Roman" w:cs="Times New Roman" w:eastAsia="Times New Roman" w:hAnsi="Times New Roman"/>
          <w:sz w:val="20"/>
          <w:szCs w:val="20"/>
          <w:color w:val="231F20"/>
        </w:rPr>
        <w:t xml:space="preserve">. Subject to the terms and conditions of this Agreement, Licensor, on behalf of itself and any successors and/or assigns, hereby grants to Licensee an exclusive (even as to Licensor and its Affiliates), royalty-bearing (subject to </w:t>
      </w:r>
      <w:r>
        <w:rPr>
          <w:rFonts w:ascii="Times New Roman" w:cs="Times New Roman" w:eastAsia="Times New Roman" w:hAnsi="Times New Roman"/>
          <w:sz w:val="20"/>
          <w:szCs w:val="20"/>
          <w:u w:val="single" w:color="auto"/>
          <w:color w:val="231F20"/>
        </w:rPr>
        <w:t>Section 5.1.2</w:t>
      </w:r>
      <w:r>
        <w:rPr>
          <w:rFonts w:ascii="Times New Roman" w:cs="Times New Roman" w:eastAsia="Times New Roman" w:hAnsi="Times New Roman"/>
          <w:sz w:val="20"/>
          <w:szCs w:val="20"/>
          <w:color w:val="231F20"/>
        </w:rPr>
        <w:t xml:space="preserve">), non-transferrable (except in accordance with </w:t>
      </w:r>
      <w:r>
        <w:rPr>
          <w:rFonts w:ascii="Times New Roman" w:cs="Times New Roman" w:eastAsia="Times New Roman" w:hAnsi="Times New Roman"/>
          <w:sz w:val="20"/>
          <w:szCs w:val="20"/>
          <w:u w:val="single" w:color="auto"/>
          <w:color w:val="231F20"/>
        </w:rPr>
        <w:t>Section 11.2</w:t>
      </w:r>
      <w:r>
        <w:rPr>
          <w:rFonts w:ascii="Times New Roman" w:cs="Times New Roman" w:eastAsia="Times New Roman" w:hAnsi="Times New Roman"/>
          <w:sz w:val="20"/>
          <w:szCs w:val="20"/>
          <w:color w:val="231F20"/>
        </w:rPr>
        <w:t xml:space="preserve">) license, with the right to grant sublicenses pursuant to </w:t>
      </w:r>
      <w:r>
        <w:rPr>
          <w:rFonts w:ascii="Times New Roman" w:cs="Times New Roman" w:eastAsia="Times New Roman" w:hAnsi="Times New Roman"/>
          <w:sz w:val="20"/>
          <w:szCs w:val="20"/>
          <w:u w:val="single" w:color="auto"/>
          <w:color w:val="231F20"/>
        </w:rPr>
        <w:t>Section 2.2</w:t>
      </w:r>
      <w:r>
        <w:rPr>
          <w:rFonts w:ascii="Times New Roman" w:cs="Times New Roman" w:eastAsia="Times New Roman" w:hAnsi="Times New Roman"/>
          <w:sz w:val="20"/>
          <w:szCs w:val="20"/>
          <w:color w:val="231F20"/>
        </w:rPr>
        <w:t>, under the Licensed Technology to Exploit Licensed Products in the Field and in the Licensed Territory.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- 6 -</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4926-6413-5580,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68" w:name="page169"/>
    <w:bookmarkEnd w:id="168"/>
    <w:p>
      <w:pPr>
        <w:jc w:val="both"/>
        <w:ind w:firstLine="749"/>
        <w:spacing w:after="0" w:line="243" w:lineRule="auto"/>
        <w:rPr>
          <w:sz w:val="20"/>
          <w:szCs w:val="20"/>
          <w:color w:val="auto"/>
        </w:rPr>
      </w:pPr>
      <w:r>
        <w:rPr>
          <w:rFonts w:ascii="Times New Roman" w:cs="Times New Roman" w:eastAsia="Times New Roman" w:hAnsi="Times New Roman"/>
          <w:sz w:val="20"/>
          <w:szCs w:val="20"/>
          <w:color w:val="231F20"/>
        </w:rPr>
        <w:t>2.2.</w:t>
      </w:r>
      <w:r>
        <w:rPr>
          <w:rFonts w:ascii="Times New Roman" w:cs="Times New Roman" w:eastAsia="Times New Roman" w:hAnsi="Times New Roman"/>
          <w:sz w:val="20"/>
          <w:szCs w:val="20"/>
          <w:i w:val="1"/>
          <w:iCs w:val="1"/>
          <w:u w:val="single" w:color="auto"/>
          <w:color w:val="231F20"/>
        </w:rPr>
        <w:t>Sublicensing</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color w:val="231F20"/>
        </w:rPr>
        <w:t xml:space="preserve"> Licensee may sublicense the rights granted to it under </w:t>
      </w:r>
      <w:r>
        <w:rPr>
          <w:rFonts w:ascii="Times New Roman" w:cs="Times New Roman" w:eastAsia="Times New Roman" w:hAnsi="Times New Roman"/>
          <w:sz w:val="20"/>
          <w:szCs w:val="20"/>
          <w:u w:val="single" w:color="auto"/>
          <w:color w:val="231F20"/>
        </w:rPr>
        <w:t>Section 2.1</w:t>
      </w:r>
      <w:r>
        <w:rPr>
          <w:rFonts w:ascii="Times New Roman" w:cs="Times New Roman" w:eastAsia="Times New Roman" w:hAnsi="Times New Roman"/>
          <w:sz w:val="20"/>
          <w:szCs w:val="20"/>
          <w:color w:val="231F20"/>
        </w:rPr>
        <w:t xml:space="preserve"> through multiple tiers [***]. Each such sublicense shall be in writing and contain terms not inconsistent with the terms and conditions of this Agreement applicable to the licenses granted to Licensee hereunder. In each case, Licensee will be responsible for the performance of its Sublicensees relevant to this Agreement, including, without limitation, making full amount of any payments due hereunder in a timely manner in accordance with the terms and conditions provided for hereunder. For the avoidance of doubt, contract research organizations, contract manufacturing organizations, distribution partners and similar third parties to which Licensee or Sublicensees delegate development, manufacturing or commercialization activities relating to Licensed Products may perform such development, manufacturing or commercialization activities on behalf of Licensee or such Sublicensees without a sublicense of the rights granted to Licensee hereunder. Licensor shall have the right to [***] and following which [***] Licensee shall [***].</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231F20"/>
        </w:rPr>
        <w:t>2.3.</w:t>
      </w:r>
      <w:r>
        <w:rPr>
          <w:rFonts w:ascii="Times New Roman" w:cs="Times New Roman" w:eastAsia="Times New Roman" w:hAnsi="Times New Roman"/>
          <w:sz w:val="20"/>
          <w:szCs w:val="20"/>
          <w:i w:val="1"/>
          <w:iCs w:val="1"/>
          <w:u w:val="single" w:color="auto"/>
          <w:color w:val="231F20"/>
        </w:rPr>
        <w:t>No Additional Rights</w:t>
      </w:r>
      <w:r>
        <w:rPr>
          <w:rFonts w:ascii="Times New Roman" w:cs="Times New Roman" w:eastAsia="Times New Roman" w:hAnsi="Times New Roman"/>
          <w:sz w:val="20"/>
          <w:szCs w:val="20"/>
          <w:color w:val="231F20"/>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231F20"/>
        </w:rPr>
        <w:t xml:space="preserve">2.3.1. </w:t>
      </w:r>
      <w:r>
        <w:rPr>
          <w:rFonts w:ascii="Times New Roman" w:cs="Times New Roman" w:eastAsia="Times New Roman" w:hAnsi="Times New Roman"/>
          <w:sz w:val="20"/>
          <w:szCs w:val="20"/>
          <w:i w:val="1"/>
          <w:iCs w:val="1"/>
          <w:u w:val="single" w:color="auto"/>
          <w:color w:val="231F20"/>
        </w:rPr>
        <w:t>No Grant of Other Technology or Patent Rights</w:t>
      </w:r>
      <w:r>
        <w:rPr>
          <w:rFonts w:ascii="Times New Roman" w:cs="Times New Roman" w:eastAsia="Times New Roman" w:hAnsi="Times New Roman"/>
          <w:sz w:val="20"/>
          <w:szCs w:val="20"/>
          <w:color w:val="231F20"/>
        </w:rPr>
        <w:t>.</w:t>
      </w:r>
    </w:p>
    <w:p>
      <w:pPr>
        <w:spacing w:after="0" w:line="22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231F20"/>
        </w:rPr>
        <w:t>Each Party understands and acknowledges that the other Party owns its own Intellectual Property and all rights therein. Except as otherwise expressly provided in this Agreement, under no circumstances shall a Party hereto, as a result of this Agreement, obtain any ownership interest or license, or be deemed to obtain any ownership interest or license, in or to any Intellectual Property of the other Party, including, but not limited to, items Controlled or developed by the other Party, at any time pursuant to this Agreement. This Agreement does not create, and shall under no circumstances be construed or interpreted as creating, an obligation on the part of either Party to grant any license to the other Party other than as expressly set forth herein. Any further contract or license agreement between the Parties shall be in writing. No licenses are implied by Licensor to Licensee, except as specifically stated in this Agreement. Except as explicitly set forth in this Agreement, Licensor shall not be deemed by estoppel or implication to have granted Licensee any license or other right to any Intellectual Property of Licensor or its Affiliates.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231F20"/>
        </w:rPr>
        <w:t>2.4.</w:t>
      </w:r>
      <w:r>
        <w:rPr>
          <w:rFonts w:ascii="Times New Roman" w:cs="Times New Roman" w:eastAsia="Times New Roman" w:hAnsi="Times New Roman"/>
          <w:sz w:val="20"/>
          <w:szCs w:val="20"/>
          <w:i w:val="1"/>
          <w:iCs w:val="1"/>
          <w:u w:val="single" w:color="auto"/>
          <w:color w:val="231F20"/>
        </w:rPr>
        <w:t>Right of First Negotiation</w:t>
      </w:r>
      <w:r>
        <w:rPr>
          <w:rFonts w:ascii="Times New Roman" w:cs="Times New Roman" w:eastAsia="Times New Roman" w:hAnsi="Times New Roman"/>
          <w:sz w:val="20"/>
          <w:szCs w:val="20"/>
          <w:color w:val="231F20"/>
        </w:rPr>
        <w:t>.</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231F20"/>
        </w:rPr>
        <w:t xml:space="preserve">Licensor is willing to explore potential collaboration with Licensee to Exploit Allogeneic Products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CAR-T Licensed Products in the Field and in the Licensor Territory, particularly in connection with [***]. In furtherance of the foregoing, Licensor, on behalf of itself and any successors and/or assigns, hereby grants to Licensee a right of first negotiation to negotiate with Licensor for a license to Exploit such Allogeneic Products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CAR-T Licensed Products in the Field and in the Licensor Territory (the “</w:t>
      </w:r>
      <w:r>
        <w:rPr>
          <w:rFonts w:ascii="Times New Roman" w:cs="Times New Roman" w:eastAsia="Times New Roman" w:hAnsi="Times New Roman"/>
          <w:sz w:val="20"/>
          <w:szCs w:val="20"/>
          <w:i w:val="1"/>
          <w:iCs w:val="1"/>
          <w:u w:val="single" w:color="auto"/>
          <w:color w:val="231F20"/>
        </w:rPr>
        <w:t>ROFN</w:t>
      </w:r>
      <w:r>
        <w:rPr>
          <w:rFonts w:ascii="Times New Roman" w:cs="Times New Roman" w:eastAsia="Times New Roman" w:hAnsi="Times New Roman"/>
          <w:sz w:val="20"/>
          <w:szCs w:val="20"/>
          <w:color w:val="231F20"/>
        </w:rPr>
        <w:t xml:space="preserve">”). If Licensor intends to license the right to Exploit Allogeneic Products and/or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CAR-T Licensed Products in the Field and in the Licensor Territory to a third party, Licensor will first provide Licensee with prompt written notice of such intent and information necessary or useful to evaluate such an opportunity (the “</w:t>
      </w:r>
      <w:r>
        <w:rPr>
          <w:rFonts w:ascii="Times New Roman" w:cs="Times New Roman" w:eastAsia="Times New Roman" w:hAnsi="Times New Roman"/>
          <w:sz w:val="20"/>
          <w:szCs w:val="20"/>
          <w:i w:val="1"/>
          <w:iCs w:val="1"/>
          <w:u w:val="single" w:color="auto"/>
          <w:color w:val="231F20"/>
        </w:rPr>
        <w:t>ROFN Notice</w:t>
      </w:r>
      <w:r>
        <w:rPr>
          <w:rFonts w:ascii="Times New Roman" w:cs="Times New Roman" w:eastAsia="Times New Roman" w:hAnsi="Times New Roman"/>
          <w:sz w:val="20"/>
          <w:szCs w:val="20"/>
          <w:color w:val="231F20"/>
        </w:rPr>
        <w:t xml:space="preserve">”). Licensee will have [***] after receiving the ROFN Notice to review such information and provide Licensor written notice that it wishes to exercise the ROFN. If Licensee timely exercises the ROFN, then Licensor and Licensee will negotiate in good faith, for a period [***], commercially reasonable terms and conditions of a license to Exploit such Allogeneic Products and </w:t>
      </w:r>
      <w:r>
        <w:rPr>
          <w:rFonts w:ascii="Times New Roman" w:cs="Times New Roman" w:eastAsia="Times New Roman" w:hAnsi="Times New Roman"/>
          <w:sz w:val="20"/>
          <w:szCs w:val="20"/>
          <w:i w:val="1"/>
          <w:iCs w:val="1"/>
          <w:color w:val="231F20"/>
        </w:rPr>
        <w:t>in vivo</w:t>
      </w:r>
      <w:r>
        <w:rPr>
          <w:rFonts w:ascii="Times New Roman" w:cs="Times New Roman" w:eastAsia="Times New Roman" w:hAnsi="Times New Roman"/>
          <w:sz w:val="20"/>
          <w:szCs w:val="20"/>
          <w:color w:val="231F20"/>
        </w:rPr>
        <w:t xml:space="preserve"> CAR-T Licensed Products in the Field and in the Licensor Territory.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Section 3</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u w:val="single" w:color="auto"/>
          <w:color w:val="231F20"/>
        </w:rPr>
        <w:t>Governance</w:t>
      </w:r>
    </w:p>
    <w:p>
      <w:pPr>
        <w:spacing w:after="0" w:line="19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231F20"/>
        </w:rPr>
        <w:t>3.1.</w:t>
      </w:r>
      <w:r>
        <w:rPr>
          <w:rFonts w:ascii="Times New Roman" w:cs="Times New Roman" w:eastAsia="Times New Roman" w:hAnsi="Times New Roman"/>
          <w:sz w:val="20"/>
          <w:szCs w:val="20"/>
          <w:i w:val="1"/>
          <w:iCs w:val="1"/>
          <w:u w:val="single" w:color="auto"/>
          <w:color w:val="231F20"/>
        </w:rPr>
        <w:t>Joint Steering Committee</w:t>
      </w:r>
      <w:r>
        <w:rPr>
          <w:rFonts w:ascii="Times New Roman" w:cs="Times New Roman" w:eastAsia="Times New Roman" w:hAnsi="Times New Roman"/>
          <w:sz w:val="20"/>
          <w:szCs w:val="20"/>
          <w:color w:val="231F20"/>
        </w:rPr>
        <w:t>. Within [***], the Parties shall establish a joint steering committee (the “</w:t>
      </w:r>
      <w:r>
        <w:rPr>
          <w:rFonts w:ascii="Times New Roman" w:cs="Times New Roman" w:eastAsia="Times New Roman" w:hAnsi="Times New Roman"/>
          <w:sz w:val="20"/>
          <w:szCs w:val="20"/>
          <w:i w:val="1"/>
          <w:iCs w:val="1"/>
          <w:u w:val="single" w:color="auto"/>
          <w:color w:val="231F20"/>
        </w:rPr>
        <w:t>Joint Steering Committee</w:t>
      </w:r>
      <w:r>
        <w:rPr>
          <w:rFonts w:ascii="Times New Roman" w:cs="Times New Roman" w:eastAsia="Times New Roman" w:hAnsi="Times New Roman"/>
          <w:sz w:val="20"/>
          <w:szCs w:val="20"/>
          <w:color w:val="231F20"/>
        </w:rPr>
        <w:t>” or “</w:t>
      </w:r>
      <w:r>
        <w:rPr>
          <w:rFonts w:ascii="Times New Roman" w:cs="Times New Roman" w:eastAsia="Times New Roman" w:hAnsi="Times New Roman"/>
          <w:sz w:val="20"/>
          <w:szCs w:val="20"/>
          <w:i w:val="1"/>
          <w:iCs w:val="1"/>
          <w:u w:val="single" w:color="auto"/>
          <w:color w:val="231F20"/>
        </w:rPr>
        <w:t>JSC</w:t>
      </w:r>
      <w:r>
        <w:rPr>
          <w:rFonts w:ascii="Times New Roman" w:cs="Times New Roman" w:eastAsia="Times New Roman" w:hAnsi="Times New Roman"/>
          <w:sz w:val="20"/>
          <w:szCs w:val="20"/>
          <w:color w:val="231F20"/>
        </w:rPr>
        <w:t>”) for the purposes of (a) overseeing and effectuating the Technology Transfer to Licensee; (b) discussing and coordinating potential collaboration opportunities between the Parties, including the provision of potential support by Licensor to Licensee for the clinical and commercial development of the Licensed Products, including, without limitation, [***]; and (c) serving as a forum for information sharing and to facilitate communications between the Parties with respect to</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- 7 -</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4926-6413-5580,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69" w:name="page170"/>
    <w:bookmarkEnd w:id="169"/>
    <w:p>
      <w:pPr>
        <w:jc w:val="both"/>
        <w:spacing w:after="0" w:line="249" w:lineRule="auto"/>
        <w:rPr>
          <w:sz w:val="20"/>
          <w:szCs w:val="20"/>
          <w:color w:val="auto"/>
        </w:rPr>
      </w:pPr>
      <w:r>
        <w:rPr>
          <w:rFonts w:ascii="Times New Roman" w:cs="Times New Roman" w:eastAsia="Times New Roman" w:hAnsi="Times New Roman"/>
          <w:sz w:val="20"/>
          <w:szCs w:val="20"/>
          <w:color w:val="231F20"/>
        </w:rPr>
        <w:t>research, development and other Exploitation of Licensed Products. The JSC shall be composed of [***] representatives from each Party. Each representative shall have the requisite technical experience and seniority to enable such person to make decisions on behalf of the applicable Party with respect to the issues falling within the decision-making authority of the JSC. From time to time, each Party may substitute [***] representatives to the JSC on written notice to the other Party.</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231F20"/>
        </w:rPr>
        <w:t>3.2.</w:t>
      </w:r>
      <w:r>
        <w:rPr>
          <w:rFonts w:ascii="Times New Roman" w:cs="Times New Roman" w:eastAsia="Times New Roman" w:hAnsi="Times New Roman"/>
          <w:sz w:val="20"/>
          <w:szCs w:val="20"/>
          <w:u w:val="single" w:color="auto"/>
          <w:color w:val="231F20"/>
        </w:rPr>
        <w:t>Responsibilities of the JSC</w:t>
      </w:r>
      <w:r>
        <w:rPr>
          <w:rFonts w:ascii="Times New Roman" w:cs="Times New Roman" w:eastAsia="Times New Roman" w:hAnsi="Times New Roman"/>
          <w:sz w:val="20"/>
          <w:szCs w:val="20"/>
          <w:color w:val="231F20"/>
        </w:rPr>
        <w:t>. The JSC shall perform the following functions: (a) review and serve as a forum for discussing and coordinating activities related to the development of Licensed Products; (b) review and discuss regulatory filings, applications and submissions related to Licensed Products to any Regulatory Authority, including any material regulatory correspondence; and (c) perform such other functions as are set forth herein or as the Parties may mutually agree in writing, except where in conflict with any provision of this Agreement.</w:t>
      </w:r>
    </w:p>
    <w:p>
      <w:pPr>
        <w:spacing w:after="0" w:line="18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231F20"/>
        </w:rPr>
        <w:t>3.3.</w:t>
      </w:r>
      <w:r>
        <w:rPr>
          <w:rFonts w:ascii="Times New Roman" w:cs="Times New Roman" w:eastAsia="Times New Roman" w:hAnsi="Times New Roman"/>
          <w:sz w:val="20"/>
          <w:szCs w:val="20"/>
          <w:u w:val="single" w:color="auto"/>
          <w:color w:val="231F20"/>
        </w:rPr>
        <w:t>JSC Meetings and Minutes</w:t>
      </w:r>
      <w:r>
        <w:rPr>
          <w:rFonts w:ascii="Times New Roman" w:cs="Times New Roman" w:eastAsia="Times New Roman" w:hAnsi="Times New Roman"/>
          <w:sz w:val="20"/>
          <w:szCs w:val="20"/>
          <w:color w:val="231F20"/>
        </w:rPr>
        <w:t>. The JSC shall meet at least [***], or at such frequency as otherwise agreed to by the Parties, either in person or by teleconference or videoconference, with the venue of the in-person meetings alternating between locations designated by Licensor and locations designated by Licensee. Each Party shall make all proposals for agenda items and shall provide all appropriate information with respect to such proposed items [***].Licensee shall prepare and circulate to Licensor draft minutes of each meeting within</w:t>
      </w:r>
    </w:p>
    <w:p>
      <w:pPr>
        <w:spacing w:after="0" w:line="1" w:lineRule="exact"/>
        <w:rPr>
          <w:sz w:val="20"/>
          <w:szCs w:val="20"/>
          <w:color w:val="auto"/>
        </w:rPr>
      </w:pPr>
    </w:p>
    <w:p>
      <w:pPr>
        <w:jc w:val="both"/>
        <w:ind w:firstLine="8"/>
        <w:spacing w:after="0" w:line="241" w:lineRule="auto"/>
        <w:tabs>
          <w:tab w:leader="none" w:pos="489" w:val="left"/>
        </w:tabs>
        <w:numPr>
          <w:ilvl w:val="0"/>
          <w:numId w:val="8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for the Parties’ review and approval. The Parties shall agree on the minutes of each JSC meeting promptly, but in no event later than [***]. Each Party will [***]. Each Party may, with the consent of the other Party, which consent shall not be unreasonably withheld, invite a reasonable number of non-voting employees, consultants or scientific advisors to attend the meetings of the JSC, provided such invitees are bound by appropriate confidentiality obligations.</w:t>
      </w:r>
    </w:p>
    <w:p>
      <w:pPr>
        <w:spacing w:after="0" w:line="188"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231F20"/>
        </w:rPr>
        <w:t>3.4.</w:t>
      </w:r>
      <w:r>
        <w:rPr>
          <w:rFonts w:ascii="Times New Roman" w:cs="Times New Roman" w:eastAsia="Times New Roman" w:hAnsi="Times New Roman"/>
          <w:sz w:val="20"/>
          <w:szCs w:val="20"/>
          <w:u w:val="single" w:color="auto"/>
          <w:color w:val="231F20"/>
        </w:rPr>
        <w:t>JSC Decision-Making</w:t>
      </w:r>
      <w:r>
        <w:rPr>
          <w:rFonts w:ascii="Times New Roman" w:cs="Times New Roman" w:eastAsia="Times New Roman" w:hAnsi="Times New Roman"/>
          <w:sz w:val="20"/>
          <w:szCs w:val="20"/>
          <w:color w:val="231F20"/>
        </w:rPr>
        <w:t xml:space="preserve">. All JSC decisions shall be made by [***]. The presence of [***] constitutes a quorum for the conduct of business at any JSC meeting, and no vote of the JSC may be taken without a quorum present. If, after reasonable discussion and good faith consideration of each Party’s view on a particular matter, the JSC representatives of the Parties cannot reach an agreement as to such matter within [***], then either Party may, by written notice to the other Party, have such issue referred to the executive officers for resolution. The Parties’ respective Executive Officers shall discuss within [***] after such matter is referred to them, and shall negotiate in good faith to resolve the matter. If the Executive Officers are unable to resolve the matter within [***], [***] on research, manufacturing, development (including conduct of clinical studies and regulatory activities), commercialization and Exploitation of Licensed Products in the Licensed Territory. Without limiting the foregoing, neither Party shall exercise its final decision-making authority to (A) determine any matter or make any decision that is outside of the authority expressly granted to the JSC under this Agreement; or (B) amend the terms and conditions of this Agreement. The Parties intend and agree that all matters within the scope of the JSC’s decision-making authority shall be resolved in accordance with this </w:t>
      </w:r>
      <w:r>
        <w:rPr>
          <w:rFonts w:ascii="Times New Roman" w:cs="Times New Roman" w:eastAsia="Times New Roman" w:hAnsi="Times New Roman"/>
          <w:sz w:val="20"/>
          <w:szCs w:val="20"/>
          <w:u w:val="single" w:color="auto"/>
          <w:color w:val="231F20"/>
        </w:rPr>
        <w:t>Section 3.4</w:t>
      </w:r>
      <w:r>
        <w:rPr>
          <w:rFonts w:ascii="Times New Roman" w:cs="Times New Roman" w:eastAsia="Times New Roman" w:hAnsi="Times New Roman"/>
          <w:sz w:val="20"/>
          <w:szCs w:val="20"/>
          <w:color w:val="231F20"/>
        </w:rPr>
        <w:t xml:space="preserve">, and no matter within the scope of the JSC’s authority shall be subject to the dispute resolution mechanisms set forth in </w:t>
      </w:r>
      <w:r>
        <w:rPr>
          <w:rFonts w:ascii="Times New Roman" w:cs="Times New Roman" w:eastAsia="Times New Roman" w:hAnsi="Times New Roman"/>
          <w:sz w:val="20"/>
          <w:szCs w:val="20"/>
          <w:u w:val="single" w:color="auto"/>
          <w:color w:val="231F20"/>
        </w:rPr>
        <w:t>Section 10</w:t>
      </w:r>
      <w:r>
        <w:rPr>
          <w:rFonts w:ascii="Times New Roman" w:cs="Times New Roman" w:eastAsia="Times New Roman" w:hAnsi="Times New Roman"/>
          <w:sz w:val="20"/>
          <w:szCs w:val="20"/>
          <w:color w:val="231F20"/>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Section 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u w:val="single" w:color="auto"/>
          <w:color w:val="231F20"/>
        </w:rPr>
        <w:t>Due Diligence</w:t>
      </w:r>
    </w:p>
    <w:p>
      <w:pPr>
        <w:spacing w:after="0" w:line="190" w:lineRule="exact"/>
        <w:rPr>
          <w:sz w:val="20"/>
          <w:szCs w:val="20"/>
          <w:color w:val="auto"/>
        </w:rPr>
      </w:pPr>
    </w:p>
    <w:p>
      <w:pPr>
        <w:jc w:val="both"/>
        <w:ind w:right="20" w:firstLine="749"/>
        <w:spacing w:after="0" w:line="300" w:lineRule="auto"/>
        <w:rPr>
          <w:sz w:val="20"/>
          <w:szCs w:val="20"/>
          <w:color w:val="auto"/>
        </w:rPr>
      </w:pPr>
      <w:r>
        <w:rPr>
          <w:rFonts w:ascii="Times New Roman" w:cs="Times New Roman" w:eastAsia="Times New Roman" w:hAnsi="Times New Roman"/>
          <w:sz w:val="19"/>
          <w:szCs w:val="19"/>
          <w:color w:val="231F20"/>
        </w:rPr>
        <w:t>4.1.</w:t>
      </w:r>
      <w:r>
        <w:rPr>
          <w:rFonts w:ascii="Times New Roman" w:cs="Times New Roman" w:eastAsia="Times New Roman" w:hAnsi="Times New Roman"/>
          <w:sz w:val="19"/>
          <w:szCs w:val="19"/>
          <w:i w:val="1"/>
          <w:iCs w:val="1"/>
          <w:u w:val="single" w:color="auto"/>
          <w:color w:val="231F20"/>
        </w:rPr>
        <w:t>Regulatory Approval</w:t>
      </w:r>
      <w:r>
        <w:rPr>
          <w:rFonts w:ascii="Times New Roman" w:cs="Times New Roman" w:eastAsia="Times New Roman" w:hAnsi="Times New Roman"/>
          <w:sz w:val="19"/>
          <w:szCs w:val="19"/>
          <w:color w:val="231F20"/>
        </w:rPr>
        <w:t>. Licensee will be solely responsible, at Licensee’s expense, for securing any federal, state, or local Regulatory Approval from Regulatory Authorities necessary for commercial sale of Licensed Products in the Field in the Licensed Territory.</w:t>
      </w:r>
    </w:p>
    <w:p>
      <w:pPr>
        <w:spacing w:after="0" w:line="1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231F20"/>
        </w:rPr>
        <w:t>4.2.</w:t>
      </w:r>
      <w:r>
        <w:rPr>
          <w:rFonts w:ascii="Times New Roman" w:cs="Times New Roman" w:eastAsia="Times New Roman" w:hAnsi="Times New Roman"/>
          <w:sz w:val="20"/>
          <w:szCs w:val="20"/>
          <w:i w:val="1"/>
          <w:iCs w:val="1"/>
          <w:u w:val="single" w:color="auto"/>
          <w:color w:val="231F20"/>
        </w:rPr>
        <w:t>Licensor Responsibilities</w:t>
      </w:r>
      <w:r>
        <w:rPr>
          <w:rFonts w:ascii="Times New Roman" w:cs="Times New Roman" w:eastAsia="Times New Roman" w:hAnsi="Times New Roman"/>
          <w:sz w:val="20"/>
          <w:szCs w:val="20"/>
          <w:i w:val="1"/>
          <w:iCs w:val="1"/>
          <w:color w:val="231F20"/>
        </w:rPr>
        <w:t>.</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231F20"/>
        </w:rPr>
        <w:t>4.2.1. Licensor shall [***] and Licensor will [***].</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231F20"/>
        </w:rPr>
        <w:t>4.2.2. Licensor shall [***] on [***].</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- 8 -</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4926-6413-5580,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70" w:name="page171"/>
    <w:bookmarkEnd w:id="170"/>
    <w:p>
      <w:pPr>
        <w:ind w:left="1500"/>
        <w:spacing w:after="0"/>
        <w:rPr>
          <w:sz w:val="20"/>
          <w:szCs w:val="20"/>
          <w:color w:val="auto"/>
        </w:rPr>
      </w:pPr>
      <w:r>
        <w:rPr>
          <w:rFonts w:ascii="Times New Roman" w:cs="Times New Roman" w:eastAsia="Times New Roman" w:hAnsi="Times New Roman"/>
          <w:sz w:val="20"/>
          <w:szCs w:val="20"/>
          <w:color w:val="231F20"/>
        </w:rPr>
        <w:t>4.2.3. Licensor shall, [***]. It shall [***]</w:t>
      </w:r>
    </w:p>
    <w:p>
      <w:pPr>
        <w:spacing w:after="0" w:line="21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231F20"/>
        </w:rPr>
        <w:t>4.2.4. [***], Licensor agrees to effectuate the transfer to Licensee of all Licensed Know-How, including all tangible embodiments or manifestations thereof, and provide such technical assistance and support as reasonably requested by Licensee, [***], to enable Licensee to completely and independently practice the Licensed Technology within the Field (the “</w:t>
      </w:r>
      <w:r>
        <w:rPr>
          <w:rFonts w:ascii="Times New Roman" w:cs="Times New Roman" w:eastAsia="Times New Roman" w:hAnsi="Times New Roman"/>
          <w:sz w:val="20"/>
          <w:szCs w:val="20"/>
          <w:i w:val="1"/>
          <w:iCs w:val="1"/>
          <w:u w:val="single" w:color="auto"/>
          <w:color w:val="231F20"/>
        </w:rPr>
        <w:t>Technology Transfer</w:t>
      </w:r>
      <w:r>
        <w:rPr>
          <w:rFonts w:ascii="Times New Roman" w:cs="Times New Roman" w:eastAsia="Times New Roman" w:hAnsi="Times New Roman"/>
          <w:sz w:val="20"/>
          <w:szCs w:val="20"/>
          <w:color w:val="231F20"/>
        </w:rPr>
        <w:t>”), [***].</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231F20"/>
        </w:rPr>
        <w:t>4.3.</w:t>
      </w:r>
      <w:r>
        <w:rPr>
          <w:rFonts w:ascii="Times New Roman" w:cs="Times New Roman" w:eastAsia="Times New Roman" w:hAnsi="Times New Roman"/>
          <w:sz w:val="20"/>
          <w:szCs w:val="20"/>
          <w:i w:val="1"/>
          <w:iCs w:val="1"/>
          <w:u w:val="single" w:color="auto"/>
          <w:color w:val="231F20"/>
        </w:rPr>
        <w:t>Licensee Responsibilities</w:t>
      </w:r>
      <w:r>
        <w:rPr>
          <w:rFonts w:ascii="Times New Roman" w:cs="Times New Roman" w:eastAsia="Times New Roman" w:hAnsi="Times New Roman"/>
          <w:sz w:val="20"/>
          <w:szCs w:val="20"/>
          <w:color w:val="231F20"/>
        </w:rPr>
        <w:t>.</w:t>
      </w:r>
    </w:p>
    <w:p>
      <w:pPr>
        <w:spacing w:after="0" w:line="220"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231F20"/>
        </w:rPr>
        <w:t>4.3.1. Licensee shall be solely responsible, at its expense, for the commercialization of Licensed Products in the Licensed Territory and Licensee will use Commercially Reasonable Efforts to make commercially available at least one Licensed Product in the Licensed Territory during the Term.</w:t>
      </w:r>
    </w:p>
    <w:p>
      <w:pPr>
        <w:spacing w:after="0" w:line="174" w:lineRule="exact"/>
        <w:rPr>
          <w:sz w:val="20"/>
          <w:szCs w:val="20"/>
          <w:color w:val="auto"/>
        </w:rPr>
      </w:pPr>
    </w:p>
    <w:p>
      <w:pPr>
        <w:jc w:val="both"/>
        <w:ind w:right="20" w:firstLine="1497"/>
        <w:spacing w:after="0" w:line="269" w:lineRule="auto"/>
        <w:rPr>
          <w:sz w:val="20"/>
          <w:szCs w:val="20"/>
          <w:color w:val="auto"/>
        </w:rPr>
      </w:pPr>
      <w:r>
        <w:rPr>
          <w:rFonts w:ascii="Times New Roman" w:cs="Times New Roman" w:eastAsia="Times New Roman" w:hAnsi="Times New Roman"/>
          <w:sz w:val="20"/>
          <w:szCs w:val="20"/>
          <w:color w:val="231F20"/>
        </w:rPr>
        <w:t>4.3.2. Licensee shall provide periodic updates on Licensee’s Licensed Product development and commercialization activities in the Licensed Territory to Licensor through the JSC.</w:t>
      </w:r>
    </w:p>
    <w:p>
      <w:pPr>
        <w:spacing w:after="0" w:line="159"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231F20"/>
        </w:rPr>
        <w:t>4.3.3. Licensee shall achieve the following milestones specifically for [***]: (a) within [***], Licensee [***]; (b) within [***], Licensee shall [***]; and (c) within [***], Licensee shall [***]. It shall be deemed a material breach of this Agreement and Licensor may elect to terminate this Agreement, but solely with respect to [***], in the event that Licensee’s achievement of the foregoing milestones is delayed by [***], unless the delay is caused by Licensor’s material breach of this Agreement.</w:t>
      </w:r>
    </w:p>
    <w:p>
      <w:pPr>
        <w:spacing w:after="0" w:line="180"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231F20"/>
        </w:rPr>
        <w:t>4.3.4. Licensee shall achieve the following milestones specifically for [***]: (a) within [***], Licensee shall [***] for [***]; and (b) within [***], Licensee shall [***]. It shall be deemed a material breach of this Agreement and Licensor may elect to terminate this Agreement, but solely with respect to [***], in the event that Licensee’s achievement of the foregoing milestones is delayed by [***], unless the delay is caused by Licensor’s material breach of this Agreement.</w:t>
      </w:r>
    </w:p>
    <w:p>
      <w:pPr>
        <w:spacing w:after="0" w:line="17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231F20"/>
        </w:rPr>
        <w:t>4.4.</w:t>
      </w:r>
      <w:r>
        <w:rPr>
          <w:rFonts w:ascii="Times New Roman" w:cs="Times New Roman" w:eastAsia="Times New Roman" w:hAnsi="Times New Roman"/>
          <w:sz w:val="20"/>
          <w:szCs w:val="20"/>
          <w:i w:val="1"/>
          <w:iCs w:val="1"/>
          <w:u w:val="single" w:color="auto"/>
          <w:color w:val="231F20"/>
        </w:rPr>
        <w:t>Clinical Data Sharing</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color w:val="231F20"/>
        </w:rPr>
        <w:t xml:space="preserve"> The Parties agree that all data generated during a Phase 1 Clinical Trial, a Phase 2 Clinical Trial and/or a Phase 3 Clinical Trial of the Licensed Products, including raw clinical data, lab data, and reports (collectively, “</w:t>
      </w:r>
      <w:r>
        <w:rPr>
          <w:rFonts w:ascii="Times New Roman" w:cs="Times New Roman" w:eastAsia="Times New Roman" w:hAnsi="Times New Roman"/>
          <w:sz w:val="20"/>
          <w:szCs w:val="20"/>
          <w:i w:val="1"/>
          <w:iCs w:val="1"/>
          <w:u w:val="single" w:color="auto"/>
          <w:color w:val="231F20"/>
        </w:rPr>
        <w:t>Clinical Data</w:t>
      </w:r>
      <w:r>
        <w:rPr>
          <w:rFonts w:ascii="Times New Roman" w:cs="Times New Roman" w:eastAsia="Times New Roman" w:hAnsi="Times New Roman"/>
          <w:sz w:val="20"/>
          <w:szCs w:val="20"/>
          <w:color w:val="231F20"/>
        </w:rPr>
        <w:t>”) shall, subject to the obligations of confidentiality set forth herein, be shared upon reasonable written request by the other Party, as follows: (i) the Licensor shall, upon reasonable written request by the Licensee, provide the Licensee with Clinical Data from clinical trials conducted in Greater China or by its affiliates or collaborators outside the Licensed Territory, provided that such Clinical Data is reasonably available and accessible to Licensor, and subject to any third-party confidentiality or cooperation limitations; and (ii) the Licensee shall, upon reasonable written request by the Licensor, provide the Licensor with Clinical Data Controlled by Licensee and resulting from clinical trials conducted or sponsored by Licensee or its Affiliates or collaborators in the Licensed Territory . In each case, the shared Clinical Data shall include, where available, raw datasets (anonymized patient-level data), statistical analysis reports, clinical study protocols, and adverse event reports. Such shared Clinical Data may only be used by Licensor in the Licensor Territory, and by Licensee in the Licensed Territory for the following purposes: (a) regulatory submissions to Regulatory Authorities (e.g., NMPA, FDA, EMA); (b) Licensed Product safety monitoring and pharmacovigilance activities; (c) Licensed Product efficacy assessment and related internal analysis; or (d) joint publications, subject to the mutual written agreement of the Parties.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Section 5</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Consideration; Records &amp;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2693670</wp:posOffset>
            </wp:positionH>
            <wp:positionV relativeFrom="paragraph">
              <wp:posOffset>-24765</wp:posOffset>
            </wp:positionV>
            <wp:extent cx="175514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8">
                      <a:extLst>
                        <a:ext uri="{28A0092B-C50C-407E-A947-70E740481C1C}"/>
                      </a:extLst>
                    </a:blip>
                    <a:srcRect/>
                    <a:stretch>
                      <a:fillRect/>
                    </a:stretch>
                  </pic:blipFill>
                  <pic:spPr bwMode="auto">
                    <a:xfrm>
                      <a:off x="0" y="0"/>
                      <a:ext cx="1755140" cy="8890"/>
                    </a:xfrm>
                    <a:prstGeom prst="rect">
                      <a:avLst/>
                    </a:prstGeom>
                    <a:noFill/>
                  </pic:spPr>
                </pic:pic>
              </a:graphicData>
            </a:graphic>
          </wp:anchor>
        </w:drawing>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231F20"/>
        </w:rPr>
        <w:t>5.1.</w:t>
      </w:r>
      <w:r>
        <w:rPr>
          <w:rFonts w:ascii="Times New Roman" w:cs="Times New Roman" w:eastAsia="Times New Roman" w:hAnsi="Times New Roman"/>
          <w:sz w:val="20"/>
          <w:szCs w:val="20"/>
          <w:i w:val="1"/>
          <w:iCs w:val="1"/>
          <w:u w:val="single" w:color="auto"/>
          <w:color w:val="231F20"/>
        </w:rPr>
        <w:t>Continuing Payments</w:t>
      </w:r>
      <w:r>
        <w:rPr>
          <w:rFonts w:ascii="Times New Roman" w:cs="Times New Roman" w:eastAsia="Times New Roman" w:hAnsi="Times New Roman"/>
          <w:sz w:val="20"/>
          <w:szCs w:val="20"/>
          <w:color w:val="231F20"/>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231F20"/>
        </w:rPr>
        <w:t xml:space="preserve">5.1.1  [***] </w:t>
      </w:r>
      <w:r>
        <w:rPr>
          <w:rFonts w:ascii="Times New Roman" w:cs="Times New Roman" w:eastAsia="Times New Roman" w:hAnsi="Times New Roman"/>
          <w:sz w:val="20"/>
          <w:szCs w:val="20"/>
          <w:i w:val="1"/>
          <w:iCs w:val="1"/>
          <w:u w:val="single" w:color="auto"/>
          <w:color w:val="231F20"/>
        </w:rPr>
        <w:t>Payments</w:t>
      </w:r>
      <w:r>
        <w:rPr>
          <w:rFonts w:ascii="Times New Roman" w:cs="Times New Roman" w:eastAsia="Times New Roman" w:hAnsi="Times New Roman"/>
          <w:sz w:val="20"/>
          <w:szCs w:val="20"/>
          <w:color w:val="231F20"/>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231F20"/>
        </w:rPr>
        <w:t xml:space="preserve">[***] development or commercial milestones set forth in </w:t>
      </w:r>
      <w:r>
        <w:rPr>
          <w:rFonts w:ascii="Times New Roman" w:cs="Times New Roman" w:eastAsia="Times New Roman" w:hAnsi="Times New Roman"/>
          <w:sz w:val="20"/>
          <w:szCs w:val="20"/>
          <w:u w:val="single" w:color="auto"/>
          <w:color w:val="231F20"/>
        </w:rPr>
        <w:t>Section 5.1.1</w:t>
      </w:r>
      <w:r>
        <w:rPr>
          <w:rFonts w:ascii="Times New Roman" w:cs="Times New Roman" w:eastAsia="Times New Roman" w:hAnsi="Times New Roman"/>
          <w:sz w:val="20"/>
          <w:szCs w:val="20"/>
          <w:color w:val="231F20"/>
        </w:rPr>
        <w:t xml:space="preserve"> of </w:t>
      </w:r>
      <w:r>
        <w:rPr>
          <w:rFonts w:ascii="Times New Roman" w:cs="Times New Roman" w:eastAsia="Times New Roman" w:hAnsi="Times New Roman"/>
          <w:sz w:val="20"/>
          <w:szCs w:val="20"/>
          <w:u w:val="single" w:color="auto"/>
          <w:color w:val="231F20"/>
        </w:rPr>
        <w:t>Exhibit A</w:t>
      </w:r>
      <w:r>
        <w:rPr>
          <w:rFonts w:ascii="Times New Roman" w:cs="Times New Roman" w:eastAsia="Times New Roman" w:hAnsi="Times New Roman"/>
          <w:sz w:val="20"/>
          <w:szCs w:val="20"/>
          <w:color w:val="231F20"/>
        </w:rPr>
        <w:t xml:space="preserve"> [***], Licensee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- 9 -</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4926-6413-5580,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71" w:name="page172"/>
    <w:bookmarkEnd w:id="171"/>
    <w:p>
      <w:pPr>
        <w:jc w:val="both"/>
        <w:spacing w:after="0" w:line="256" w:lineRule="auto"/>
        <w:rPr>
          <w:sz w:val="20"/>
          <w:szCs w:val="20"/>
          <w:color w:val="auto"/>
        </w:rPr>
      </w:pPr>
      <w:r>
        <w:rPr>
          <w:rFonts w:ascii="Times New Roman" w:cs="Times New Roman" w:eastAsia="Times New Roman" w:hAnsi="Times New Roman"/>
          <w:sz w:val="20"/>
          <w:szCs w:val="20"/>
          <w:color w:val="231F20"/>
        </w:rPr>
        <w:t xml:space="preserve">shall pay to Licensor the corresponding [***] payment set forth in </w:t>
      </w:r>
      <w:r>
        <w:rPr>
          <w:rFonts w:ascii="Times New Roman" w:cs="Times New Roman" w:eastAsia="Times New Roman" w:hAnsi="Times New Roman"/>
          <w:sz w:val="20"/>
          <w:szCs w:val="20"/>
          <w:u w:val="single" w:color="auto"/>
          <w:color w:val="231F20"/>
        </w:rPr>
        <w:t>Section 5.1.1</w:t>
      </w:r>
      <w:r>
        <w:rPr>
          <w:rFonts w:ascii="Times New Roman" w:cs="Times New Roman" w:eastAsia="Times New Roman" w:hAnsi="Times New Roman"/>
          <w:sz w:val="20"/>
          <w:szCs w:val="20"/>
          <w:color w:val="231F20"/>
        </w:rPr>
        <w:t xml:space="preserve"> of </w:t>
      </w:r>
      <w:r>
        <w:rPr>
          <w:rFonts w:ascii="Times New Roman" w:cs="Times New Roman" w:eastAsia="Times New Roman" w:hAnsi="Times New Roman"/>
          <w:sz w:val="20"/>
          <w:szCs w:val="20"/>
          <w:u w:val="single" w:color="auto"/>
          <w:color w:val="231F20"/>
        </w:rPr>
        <w:t>Exhibit A</w:t>
      </w:r>
      <w:r>
        <w:rPr>
          <w:rFonts w:ascii="Times New Roman" w:cs="Times New Roman" w:eastAsia="Times New Roman" w:hAnsi="Times New Roman"/>
          <w:sz w:val="20"/>
          <w:szCs w:val="20"/>
          <w:color w:val="231F20"/>
        </w:rPr>
        <w:t xml:space="preserve"> (each, a “[***] </w:t>
      </w:r>
      <w:r>
        <w:rPr>
          <w:rFonts w:ascii="Times New Roman" w:cs="Times New Roman" w:eastAsia="Times New Roman" w:hAnsi="Times New Roman"/>
          <w:sz w:val="20"/>
          <w:szCs w:val="20"/>
          <w:i w:val="1"/>
          <w:iCs w:val="1"/>
          <w:u w:val="single" w:color="auto"/>
          <w:color w:val="231F20"/>
        </w:rPr>
        <w:t>Payment</w:t>
      </w:r>
      <w:r>
        <w:rPr>
          <w:rFonts w:ascii="Times New Roman" w:cs="Times New Roman" w:eastAsia="Times New Roman" w:hAnsi="Times New Roman"/>
          <w:sz w:val="20"/>
          <w:szCs w:val="20"/>
          <w:color w:val="231F20"/>
        </w:rPr>
        <w:t>”), such [***] Payment to be made within [***]. For the avoidance of doubt, in the event that the achievement of [***], then Licensee shall [***]. No [***] Payment [***].</w:t>
      </w:r>
    </w:p>
    <w:p>
      <w:pPr>
        <w:spacing w:after="0" w:line="16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231F20"/>
        </w:rPr>
        <w:t xml:space="preserve">5.1.2  </w:t>
      </w:r>
      <w:r>
        <w:rPr>
          <w:rFonts w:ascii="Times New Roman" w:cs="Times New Roman" w:eastAsia="Times New Roman" w:hAnsi="Times New Roman"/>
          <w:sz w:val="20"/>
          <w:szCs w:val="20"/>
          <w:i w:val="1"/>
          <w:iCs w:val="1"/>
          <w:u w:val="single" w:color="auto"/>
          <w:color w:val="231F20"/>
        </w:rPr>
        <w:t>Royalties on Net Sales</w:t>
      </w:r>
      <w:r>
        <w:rPr>
          <w:rFonts w:ascii="Times New Roman" w:cs="Times New Roman" w:eastAsia="Times New Roman" w:hAnsi="Times New Roman"/>
          <w:sz w:val="20"/>
          <w:szCs w:val="20"/>
          <w:color w:val="231F20"/>
        </w:rPr>
        <w:t>.</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231F20"/>
        </w:rPr>
        <w:t xml:space="preserve">During the applicable Royalty Term, on a [***] basis, Licensee shall pay to Licensor a royalty equal to the percentage of Net Sales set forth in </w:t>
      </w:r>
      <w:r>
        <w:rPr>
          <w:rFonts w:ascii="Times New Roman" w:cs="Times New Roman" w:eastAsia="Times New Roman" w:hAnsi="Times New Roman"/>
          <w:sz w:val="20"/>
          <w:szCs w:val="20"/>
          <w:u w:val="single" w:color="auto"/>
          <w:color w:val="231F20"/>
        </w:rPr>
        <w:t>Section 02</w:t>
      </w:r>
      <w:r>
        <w:rPr>
          <w:rFonts w:ascii="Times New Roman" w:cs="Times New Roman" w:eastAsia="Times New Roman" w:hAnsi="Times New Roman"/>
          <w:sz w:val="20"/>
          <w:szCs w:val="20"/>
          <w:color w:val="231F20"/>
        </w:rPr>
        <w:t xml:space="preserve"> of </w:t>
      </w:r>
      <w:r>
        <w:rPr>
          <w:rFonts w:ascii="Times New Roman" w:cs="Times New Roman" w:eastAsia="Times New Roman" w:hAnsi="Times New Roman"/>
          <w:sz w:val="20"/>
          <w:szCs w:val="20"/>
          <w:u w:val="single" w:color="auto"/>
          <w:color w:val="231F20"/>
        </w:rPr>
        <w:t>Exhibit A</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u w:val="single" w:color="auto"/>
          <w:color w:val="231F20"/>
        </w:rPr>
        <w:t>Royalty on Net Sales</w:t>
      </w:r>
      <w:r>
        <w:rPr>
          <w:rFonts w:ascii="Times New Roman" w:cs="Times New Roman" w:eastAsia="Times New Roman" w:hAnsi="Times New Roman"/>
          <w:sz w:val="20"/>
          <w:szCs w:val="20"/>
          <w:color w:val="231F20"/>
        </w:rPr>
        <w:t xml:space="preserve">”), until such time as Licensee has paid a total Royalty on Net Sales of Eight Hundred Million Dollars ($800,000,000), following which no further Royalty on Net Sales shall be payable hereunder and Licensee shall have a fully paid, royalty-free, [***] license under the Licensed Technology to Exploit Licensed Products in the Field and in the Licensed Territory. Payments under this </w:t>
      </w:r>
      <w:r>
        <w:rPr>
          <w:rFonts w:ascii="Times New Roman" w:cs="Times New Roman" w:eastAsia="Times New Roman" w:hAnsi="Times New Roman"/>
          <w:sz w:val="20"/>
          <w:szCs w:val="20"/>
          <w:u w:val="single" w:color="auto"/>
          <w:color w:val="231F20"/>
        </w:rPr>
        <w:t>Section 5.1.2</w:t>
      </w:r>
      <w:r>
        <w:rPr>
          <w:rFonts w:ascii="Times New Roman" w:cs="Times New Roman" w:eastAsia="Times New Roman" w:hAnsi="Times New Roman"/>
          <w:sz w:val="20"/>
          <w:szCs w:val="20"/>
          <w:color w:val="231F20"/>
        </w:rPr>
        <w:t xml:space="preserve"> shall be due within [***] of the end of [***].</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231F20"/>
        </w:rPr>
        <w:t xml:space="preserve">5.1.3  </w:t>
      </w:r>
      <w:r>
        <w:rPr>
          <w:rFonts w:ascii="Times New Roman" w:cs="Times New Roman" w:eastAsia="Times New Roman" w:hAnsi="Times New Roman"/>
          <w:sz w:val="20"/>
          <w:szCs w:val="20"/>
          <w:i w:val="1"/>
          <w:iCs w:val="1"/>
          <w:u w:val="single" w:color="auto"/>
          <w:color w:val="231F20"/>
        </w:rPr>
        <w:t>Offset for Third Party [***].</w:t>
      </w:r>
    </w:p>
    <w:p>
      <w:pPr>
        <w:spacing w:after="0" w:line="22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231F20"/>
        </w:rPr>
        <w:t xml:space="preserve">On a Licensed Product-by-Licensed Product and country-by-country basis, in the event that Licensee is required to pay royalties to a third party for licenses to intellectual property rights entered into by Licensee to avoid infringement of such rights by the Exploitation of a Licensed Product in a country, then Licensee may deduct the amount of any such third party [***] from any Royalty on Net Sales due to Licensor under </w:t>
      </w:r>
      <w:r>
        <w:rPr>
          <w:rFonts w:ascii="Times New Roman" w:cs="Times New Roman" w:eastAsia="Times New Roman" w:hAnsi="Times New Roman"/>
          <w:sz w:val="20"/>
          <w:szCs w:val="20"/>
          <w:u w:val="single" w:color="auto"/>
          <w:color w:val="231F20"/>
        </w:rPr>
        <w:t>Section 5.1.2</w:t>
      </w:r>
      <w:r>
        <w:rPr>
          <w:rFonts w:ascii="Times New Roman" w:cs="Times New Roman" w:eastAsia="Times New Roman" w:hAnsi="Times New Roman"/>
          <w:sz w:val="20"/>
          <w:szCs w:val="20"/>
          <w:color w:val="231F20"/>
        </w:rPr>
        <w:t xml:space="preserve"> in such country, provided that notwithstanding anything set forth in this Agreement to the contrary, in no event shall the Royalty on Net Sales under </w:t>
      </w:r>
      <w:r>
        <w:rPr>
          <w:rFonts w:ascii="Times New Roman" w:cs="Times New Roman" w:eastAsia="Times New Roman" w:hAnsi="Times New Roman"/>
          <w:sz w:val="20"/>
          <w:szCs w:val="20"/>
          <w:u w:val="single" w:color="auto"/>
          <w:color w:val="231F20"/>
        </w:rPr>
        <w:t>Section 5.1.2</w:t>
      </w:r>
      <w:r>
        <w:rPr>
          <w:rFonts w:ascii="Times New Roman" w:cs="Times New Roman" w:eastAsia="Times New Roman" w:hAnsi="Times New Roman"/>
          <w:sz w:val="20"/>
          <w:szCs w:val="20"/>
          <w:color w:val="231F20"/>
        </w:rPr>
        <w:t xml:space="preserve"> otherwise due to Licensor for such Licensed Product in such country be less than [***] of the percentage set forth in </w:t>
      </w:r>
      <w:r>
        <w:rPr>
          <w:rFonts w:ascii="Times New Roman" w:cs="Times New Roman" w:eastAsia="Times New Roman" w:hAnsi="Times New Roman"/>
          <w:sz w:val="20"/>
          <w:szCs w:val="20"/>
          <w:u w:val="single" w:color="auto"/>
          <w:color w:val="231F20"/>
        </w:rPr>
        <w:t>Section 5.1.2</w:t>
      </w:r>
      <w:r>
        <w:rPr>
          <w:rFonts w:ascii="Times New Roman" w:cs="Times New Roman" w:eastAsia="Times New Roman" w:hAnsi="Times New Roman"/>
          <w:sz w:val="20"/>
          <w:szCs w:val="20"/>
          <w:color w:val="231F20"/>
        </w:rPr>
        <w:t xml:space="preserve"> of </w:t>
      </w:r>
      <w:r>
        <w:rPr>
          <w:rFonts w:ascii="Times New Roman" w:cs="Times New Roman" w:eastAsia="Times New Roman" w:hAnsi="Times New Roman"/>
          <w:sz w:val="20"/>
          <w:szCs w:val="20"/>
          <w:u w:val="single" w:color="auto"/>
          <w:color w:val="231F20"/>
        </w:rPr>
        <w:t>Exhibit A</w:t>
      </w:r>
      <w:r>
        <w:rPr>
          <w:rFonts w:ascii="Times New Roman" w:cs="Times New Roman" w:eastAsia="Times New Roman" w:hAnsi="Times New Roman"/>
          <w:sz w:val="20"/>
          <w:szCs w:val="20"/>
          <w:color w:val="231F20"/>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231F20"/>
        </w:rPr>
        <w:t xml:space="preserve">5.1.4  </w:t>
      </w:r>
      <w:r>
        <w:rPr>
          <w:rFonts w:ascii="Times New Roman" w:cs="Times New Roman" w:eastAsia="Times New Roman" w:hAnsi="Times New Roman"/>
          <w:sz w:val="20"/>
          <w:szCs w:val="20"/>
          <w:i w:val="1"/>
          <w:iCs w:val="1"/>
          <w:u w:val="single" w:color="auto"/>
          <w:color w:val="231F20"/>
        </w:rPr>
        <w:t>No Multiple Royalties.</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231F20"/>
        </w:rPr>
        <w:t>For the avoidance of doubt, no multiple Royalties on Net Sales will be required to be paid because a Licensed Product or its manufacture, use, sale or importation is covered by more than one (1) Valid Claim.</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231F20"/>
        </w:rPr>
        <w:t>5.2.</w:t>
      </w:r>
      <w:r>
        <w:rPr>
          <w:rFonts w:ascii="Times New Roman" w:cs="Times New Roman" w:eastAsia="Times New Roman" w:hAnsi="Times New Roman"/>
          <w:sz w:val="20"/>
          <w:szCs w:val="20"/>
          <w:u w:val="single" w:color="auto"/>
          <w:color w:val="231F20"/>
        </w:rPr>
        <w:t>Late Payments</w:t>
      </w:r>
      <w:r>
        <w:rPr>
          <w:rFonts w:ascii="Times New Roman" w:cs="Times New Roman" w:eastAsia="Times New Roman" w:hAnsi="Times New Roman"/>
          <w:sz w:val="20"/>
          <w:szCs w:val="20"/>
          <w:color w:val="231F20"/>
        </w:rPr>
        <w:t xml:space="preserve">. Any payments by Licensee that are not paid on or before the due date under this Agreement shall bear interest, to the extent permitted by law, at [***]. If any such late payment is not remedied within [***], such failure shall be deemed a material breach of this Agreement. In such case, Licensor shall have the right to pursue available remedies, including the right to terminate this Agreement. This </w:t>
      </w:r>
      <w:r>
        <w:rPr>
          <w:rFonts w:ascii="Times New Roman" w:cs="Times New Roman" w:eastAsia="Times New Roman" w:hAnsi="Times New Roman"/>
          <w:sz w:val="20"/>
          <w:szCs w:val="20"/>
          <w:u w:val="single" w:color="auto"/>
          <w:color w:val="231F20"/>
        </w:rPr>
        <w:t>Section 5.2</w:t>
      </w:r>
      <w:r>
        <w:rPr>
          <w:rFonts w:ascii="Times New Roman" w:cs="Times New Roman" w:eastAsia="Times New Roman" w:hAnsi="Times New Roman"/>
          <w:sz w:val="20"/>
          <w:szCs w:val="20"/>
          <w:color w:val="231F20"/>
        </w:rPr>
        <w:t xml:space="preserve"> shall not limit any other remedies available to either Party under this Agreement or at law or in equity.</w:t>
      </w:r>
    </w:p>
    <w:p>
      <w:pPr>
        <w:spacing w:after="0" w:line="17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231F20"/>
        </w:rPr>
        <w:t>5.3.</w:t>
      </w:r>
      <w:r>
        <w:rPr>
          <w:rFonts w:ascii="Times New Roman" w:cs="Times New Roman" w:eastAsia="Times New Roman" w:hAnsi="Times New Roman"/>
          <w:sz w:val="20"/>
          <w:szCs w:val="20"/>
          <w:i w:val="1"/>
          <w:iCs w:val="1"/>
          <w:u w:val="single" w:color="auto"/>
          <w:color w:val="231F20"/>
        </w:rPr>
        <w:t>Records and Reports</w:t>
      </w:r>
      <w:r>
        <w:rPr>
          <w:rFonts w:ascii="Times New Roman" w:cs="Times New Roman" w:eastAsia="Times New Roman" w:hAnsi="Times New Roman"/>
          <w:sz w:val="20"/>
          <w:szCs w:val="20"/>
          <w:color w:val="231F20"/>
        </w:rPr>
        <w:t>. Within [***] commencing with the [***] in which the First Commercial Sale of any Licensed Product is made anywhere in the Licensed Territory, Licensee shall provide Licensor with a report containing the following information for the applicable [***], on a Licensed Product basis: (a) the amount of Net Sales in the Territory; (b) calculation of Net Sales in the Licensed Territory showing deductions provided for in the definition of “Net Sales”; (c) a calculation of the royalty payment due on such Net Sales; and (iv) the exchange rate for such country. For the purpose of converting any local currency into U.S. dollars to determine any amounts payable under this Agreement, the rate of exchange to be applied shall be [***]. Concurrent with the delivery of the applicable quarterly report, Licensee shall pay in U.S. dollars all amounts due to Licensor pursuant to this Agreement with respect to Net Sales by Licensee and its Affiliates and Sublicensees for such [***]. All payments due to Licensor hereunder shall be made in U.S. dollars by wire transfer of immediately available funds into an account designated by Licensor.</w:t>
      </w:r>
    </w:p>
    <w:p>
      <w:pPr>
        <w:spacing w:after="0" w:line="18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231F20"/>
        </w:rPr>
        <w:t>5.4.</w:t>
      </w:r>
      <w:r>
        <w:rPr>
          <w:rFonts w:ascii="Times New Roman" w:cs="Times New Roman" w:eastAsia="Times New Roman" w:hAnsi="Times New Roman"/>
          <w:sz w:val="20"/>
          <w:szCs w:val="20"/>
          <w:i w:val="1"/>
          <w:iCs w:val="1"/>
          <w:u w:val="single" w:color="auto"/>
          <w:color w:val="231F20"/>
        </w:rPr>
        <w:t>Audit and Inspection Rights</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color w:val="231F20"/>
        </w:rPr>
        <w:t xml:space="preserve"> Licensee and its Affiliates and Sublicensees will maintain records in sufficient detail to permit Licensor to confirm the accuracy of the calculation of royalty payments made by Licensee under this Agreement. Upon reasonable prior notice, the records of Licensee and its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- 10 -</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4926-6413-5580,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20"/>
          <w:szCs w:val="20"/>
          <w:color w:val="231F20"/>
        </w:rPr>
        <w:t>Affiliates shall be available during regular business hours (without undue disruption of Licensee’s or its Affiliate’s business) for a period of</w:t>
      </w:r>
    </w:p>
    <w:p>
      <w:pPr>
        <w:spacing w:after="0" w:line="22" w:lineRule="exact"/>
        <w:rPr>
          <w:sz w:val="20"/>
          <w:szCs w:val="20"/>
          <w:color w:val="auto"/>
        </w:rPr>
      </w:pPr>
    </w:p>
    <w:p>
      <w:pPr>
        <w:jc w:val="both"/>
        <w:ind w:firstLine="8"/>
        <w:spacing w:after="0"/>
        <w:tabs>
          <w:tab w:leader="none" w:pos="483" w:val="left"/>
        </w:tabs>
        <w:numPr>
          <w:ilvl w:val="0"/>
          <w:numId w:val="8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from the end of the calendar year to which they pertain for examination by a nationally recognized independent accountant selected by Licensor and reasonably acceptable to Licensee or its Affiliate, for the sole purpose of verifying the accuracy of the reports and payments furnished by Licensee pursuant to this Agreement. Any such auditor shall not disclose Licensee’s Confidential Information, except to the extent such disclosure is necessary to verify the accuracy of the reports furnished by Licensee or the amount of payments due by Licensee to Licensor under this Agreement. Licensor shall provide Licensee with a copy of the accountant’s report. Licensor shall have the right, [***] per [***], to request that Licensee exercise its audit rights with respect to any Sublicensee. If Licensee has already exercised its audit rights with respect to the subject Sublicensee for the relevant calendar year, then Licensor shall have the right to request that Licensee share the results of such audit with Licensor. Licensor shall bear the full cost of any such audit.</w:t>
      </w:r>
    </w:p>
    <w:p>
      <w:pPr>
        <w:spacing w:after="0" w:line="18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231F20"/>
        </w:rPr>
        <w:t>5.5.</w:t>
      </w:r>
      <w:r>
        <w:rPr>
          <w:rFonts w:ascii="Times New Roman" w:cs="Times New Roman" w:eastAsia="Times New Roman" w:hAnsi="Times New Roman"/>
          <w:sz w:val="20"/>
          <w:szCs w:val="20"/>
          <w:i w:val="1"/>
          <w:iCs w:val="1"/>
          <w:u w:val="single" w:color="auto"/>
          <w:color w:val="231F20"/>
        </w:rPr>
        <w:t>Taxes</w:t>
      </w:r>
      <w:r>
        <w:rPr>
          <w:rFonts w:ascii="Times New Roman" w:cs="Times New Roman" w:eastAsia="Times New Roman" w:hAnsi="Times New Roman"/>
          <w:sz w:val="20"/>
          <w:szCs w:val="20"/>
          <w:color w:val="231F20"/>
        </w:rPr>
        <w:t>. Each Party shall be solely responsible for the payment of all taxes imposed on its share of income arising directly or indirectly from the efforts of the Parties under this Agreement. The Parties agree to cooperate with one another and use reasonable efforts to reduce or eliminate tax withholding or similar obligations in respect of payments made by a Party to the other Party under this Agreement. To the extent either Party is required to deduct and withhold taxes on any payment to the other Party, such Party shall pay the amounts of such taxes to the proper governmental authority in a timely manner and promptly transmit to the other Party an official tax certificate or other evidence of such withholding sufficient to enable the other Party to claim such payment of taxes. Each Party shall use reasonable efforts to provide the other Party with any tax forms that may be reasonably necessary in order for the other Party to not withhold tax or to withhold tax at a reduced rate under an applicable bilateral income tax treaty. Each Party shall provide the other with reasonable assistance to enable the recovery, as permitted by Applicable Laws, of withholding taxes, value added taxes, or similar obligations resulting from payments made under this Agreement, such recovery to be for the benefit of the Party bearing such withholding tax or value added tax.</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Section 6</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Representations, Warranties and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2461260</wp:posOffset>
            </wp:positionH>
            <wp:positionV relativeFrom="paragraph">
              <wp:posOffset>-24765</wp:posOffset>
            </wp:positionV>
            <wp:extent cx="22193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1">
                      <a:extLst>
                        <a:ext uri="{28A0092B-C50C-407E-A947-70E740481C1C}"/>
                      </a:extLst>
                    </a:blip>
                    <a:srcRect/>
                    <a:stretch>
                      <a:fillRect/>
                    </a:stretch>
                  </pic:blipFill>
                  <pic:spPr bwMode="auto">
                    <a:xfrm>
                      <a:off x="0" y="0"/>
                      <a:ext cx="2219325" cy="8255"/>
                    </a:xfrm>
                    <a:prstGeom prst="rect">
                      <a:avLst/>
                    </a:prstGeom>
                    <a:noFill/>
                  </pic:spPr>
                </pic:pic>
              </a:graphicData>
            </a:graphic>
          </wp:anchor>
        </w:drawing>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231F20"/>
        </w:rPr>
        <w:t>6.1.</w:t>
      </w:r>
      <w:r>
        <w:rPr>
          <w:rFonts w:ascii="Times New Roman" w:cs="Times New Roman" w:eastAsia="Times New Roman" w:hAnsi="Times New Roman"/>
          <w:sz w:val="19"/>
          <w:szCs w:val="19"/>
          <w:i w:val="1"/>
          <w:iCs w:val="1"/>
          <w:u w:val="single" w:color="auto"/>
          <w:color w:val="231F20"/>
        </w:rPr>
        <w:t>Representations and Warranties of Licensor</w:t>
      </w:r>
      <w:r>
        <w:rPr>
          <w:rFonts w:ascii="Times New Roman" w:cs="Times New Roman" w:eastAsia="Times New Roman" w:hAnsi="Times New Roman"/>
          <w:sz w:val="19"/>
          <w:szCs w:val="19"/>
          <w:color w:val="231F20"/>
        </w:rPr>
        <w:t>. Licensor hereby represents and warrants to Licensee that, as of the Effective Date:</w:t>
      </w:r>
    </w:p>
    <w:p>
      <w:pPr>
        <w:spacing w:after="0" w:line="231"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231F20"/>
        </w:rPr>
        <w:t>6.1.1. Licensor is duly organized, validly existing and in good standing under the laws of its jurisdiction of organization, with full power and authority to operate its properties and to carry on its business as presently conducted.</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231F20"/>
        </w:rPr>
        <w:t>6.1.2. Licensor is the sole and exclusive owner of the Licensed Technology.</w:t>
      </w:r>
    </w:p>
    <w:p>
      <w:pPr>
        <w:spacing w:after="0" w:line="21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231F20"/>
        </w:rPr>
        <w:t>6.1.3. The execution of this Agreement and performance of Licensor’s obligations under this Agreement do not conflict with, cause a default under, or violate any existing contractual obligation that may be owed by Licensor or any Affiliate of Licensor to any third party.</w:t>
      </w:r>
    </w:p>
    <w:p>
      <w:pPr>
        <w:spacing w:after="0" w:line="174"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231F20"/>
        </w:rPr>
        <w:t>6.1.4. There is no action, suit, proceeding or investigation pending or, to Licensor’s and its Affiliates’ knowledge, currently threatened orally or in writing against or affecting Licensor or any Affiliate thereof that questions the validity of this Agreement or the right of Licensor to enter into this Agreement or consummate the transactions contemplated hereby and, to Licensor’s and its Affiliates’ knowledge, there is no basis for the foregoing.</w:t>
      </w:r>
    </w:p>
    <w:p>
      <w:pPr>
        <w:spacing w:after="0" w:line="180"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231F20"/>
        </w:rPr>
        <w:t>6.1.5. No consent, approval, order or authorization of, or registration, qualification, designation, declaration or filing with, any governmental authority, or any third party, on the part of Licensor or any Affiliate thereof is required in connection with its execution, delivery and performance of</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- 11 -</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4926-6413-5580,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20"/>
          <w:szCs w:val="20"/>
          <w:color w:val="231F20"/>
        </w:rPr>
        <w:t>this Agreement.</w:t>
      </w:r>
    </w:p>
    <w:p>
      <w:pPr>
        <w:spacing w:after="0" w:line="21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231F20"/>
        </w:rPr>
        <w:t>6.1.6. Licensor has the right to grant the licenses and rights that it purports to grant under this Agreement and has not granted to any third party any license or other right that conflicts with the licenses and rights granted under this Agreement.</w:t>
      </w:r>
    </w:p>
    <w:p>
      <w:pPr>
        <w:spacing w:after="0" w:line="159"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231F20"/>
        </w:rPr>
        <w:t>6.1.7. To the best of Licensor’s and its Affiliates’ knowledge, the issued and unexpired claims included in the Licensed Patents existing as of the Effective Date are valid and enforceable.</w:t>
      </w:r>
    </w:p>
    <w:p>
      <w:pPr>
        <w:spacing w:after="0" w:line="159"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231F20"/>
        </w:rPr>
        <w:t>6.1.8. No reexamination, interference, invalidity, opposition, nullity or similar claim or proceeding is pending or, to the best of Licensor’s and its Affiliates’ knowledge, threatened with respect to any Licensed Patent as of the Effective Date.</w:t>
      </w:r>
    </w:p>
    <w:p>
      <w:pPr>
        <w:spacing w:after="0" w:line="159"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231F20"/>
        </w:rPr>
        <w:t xml:space="preserve">6.1.9. Other than the Licensed Patents set forth on </w:t>
      </w:r>
      <w:r>
        <w:rPr>
          <w:rFonts w:ascii="Times New Roman" w:cs="Times New Roman" w:eastAsia="Times New Roman" w:hAnsi="Times New Roman"/>
          <w:sz w:val="20"/>
          <w:szCs w:val="20"/>
          <w:u w:val="single" w:color="auto"/>
          <w:color w:val="231F20"/>
        </w:rPr>
        <w:t>Exhibit B</w:t>
      </w:r>
      <w:r>
        <w:rPr>
          <w:rFonts w:ascii="Times New Roman" w:cs="Times New Roman" w:eastAsia="Times New Roman" w:hAnsi="Times New Roman"/>
          <w:sz w:val="20"/>
          <w:szCs w:val="20"/>
          <w:color w:val="231F20"/>
        </w:rPr>
        <w:t>, neither Licensor nor any of its Affiliates owns or controls any Patents necessary or useful for or that would be infringed by, the manufacture, use, sale, offering for sale or import of Licensed Products in the Licensed Territory.</w:t>
      </w:r>
    </w:p>
    <w:p>
      <w:pPr>
        <w:spacing w:after="0" w:line="17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231F20"/>
        </w:rPr>
        <w:t>6.1.10.None of Licensor or any of its Affiliates has received written notice from any third party claiming that the manufacture, use, sale, offer for sale or import of any Licensed Product infringes, misappropriates or violates, or would infringe, misappropriate or violate the patent or other intellectual property rights of any third party as of the Effective Date.</w:t>
      </w:r>
    </w:p>
    <w:p>
      <w:pPr>
        <w:spacing w:after="0" w:line="17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231F20"/>
        </w:rPr>
        <w:t>6.1.11.There are no claims, judgments, liens, encumbrances, or settlements against Licensor or any of its Affiliates with respect to the Licensed Technology, and none of Licensor or any of its Affiliates is a party to any legal action, suit or proceeding relating to the Licensed Technology as of the Effective Date.</w:t>
      </w:r>
    </w:p>
    <w:p>
      <w:pPr>
        <w:spacing w:after="0" w:line="174"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231F20"/>
        </w:rPr>
        <w:t>6.1.12.None of Licensor or its Affiliates has received any communication from any third party, including any Regulatory Authority or other governmental authority, threatening any action, suit or proceeding which would be reasonably expected to adversely affect or restrict the ability of Licensor to consummate the transactions or perform its obligations contemplated under this Agreement as of the Effective Date.</w:t>
      </w:r>
    </w:p>
    <w:p>
      <w:pPr>
        <w:spacing w:after="0" w:line="180"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231F20"/>
        </w:rPr>
        <w:t>6.1.13.None of Licensor or its Affiliates has employed, or otherwise used in any capacity, the services of any individual or entity debarred or disqualified under Applicable Laws.</w:t>
      </w:r>
    </w:p>
    <w:p>
      <w:pPr>
        <w:spacing w:after="0" w:line="159"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231F20"/>
        </w:rPr>
        <w:t>6.1.14.None of Licensor’s or its Affiliates’ research or development of the Licensed Technology, manufacture of Licensed Products, or research leading to the inventions Covered by a Valid Claim of the Licensed Patents was supported in whole or part by funding or grants by any governmental agency or philanthropic or charitable organization.</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231F20"/>
        </w:rPr>
        <w:t>6.2.</w:t>
      </w:r>
      <w:r>
        <w:rPr>
          <w:rFonts w:ascii="Times New Roman" w:cs="Times New Roman" w:eastAsia="Times New Roman" w:hAnsi="Times New Roman"/>
          <w:sz w:val="19"/>
          <w:szCs w:val="19"/>
          <w:i w:val="1"/>
          <w:iCs w:val="1"/>
          <w:u w:val="single" w:color="auto"/>
          <w:color w:val="231F20"/>
        </w:rPr>
        <w:t>Representations and Warranties of Licensee</w:t>
      </w:r>
      <w:r>
        <w:rPr>
          <w:rFonts w:ascii="Times New Roman" w:cs="Times New Roman" w:eastAsia="Times New Roman" w:hAnsi="Times New Roman"/>
          <w:sz w:val="19"/>
          <w:szCs w:val="19"/>
          <w:color w:val="231F20"/>
        </w:rPr>
        <w:t>. Licensee hereby represents and warrants to Licensor that, as of the Effective Date:</w:t>
      </w:r>
    </w:p>
    <w:p>
      <w:pPr>
        <w:spacing w:after="0" w:line="231" w:lineRule="exact"/>
        <w:rPr>
          <w:sz w:val="20"/>
          <w:szCs w:val="20"/>
          <w:color w:val="auto"/>
        </w:rPr>
      </w:pPr>
    </w:p>
    <w:p>
      <w:pPr>
        <w:jc w:val="both"/>
        <w:ind w:right="20" w:firstLine="1497"/>
        <w:spacing w:after="0" w:line="269" w:lineRule="auto"/>
        <w:rPr>
          <w:sz w:val="20"/>
          <w:szCs w:val="20"/>
          <w:color w:val="auto"/>
        </w:rPr>
      </w:pPr>
      <w:r>
        <w:rPr>
          <w:rFonts w:ascii="Times New Roman" w:cs="Times New Roman" w:eastAsia="Times New Roman" w:hAnsi="Times New Roman"/>
          <w:sz w:val="20"/>
          <w:szCs w:val="20"/>
          <w:color w:val="231F20"/>
        </w:rPr>
        <w:t>6.2.1. Licensee is duly organized, validly existing and in good standing under the laws of its jurisdiction of organization, with full power and authority to operate its properties and to carry on its business as presently conducted.</w:t>
      </w:r>
    </w:p>
    <w:p>
      <w:pPr>
        <w:spacing w:after="0" w:line="159"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231F20"/>
        </w:rPr>
        <w:t>6.2.2. The execution and performance of Licensee’s obligations under this Agreement do not conflict with, cause a default under, or violate any existing contractual obligation that may be owed by Licensee to any third party.</w:t>
      </w:r>
    </w:p>
    <w:p>
      <w:pPr>
        <w:spacing w:after="0" w:line="159"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231F20"/>
        </w:rPr>
        <w:t>6.2.3. None of Licensee or its Affiliates have employed, or otherwise used in any capacity, the services of any individual or entity debarred or disqualified under Applicable Laws.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- 12 -</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4926-6413-5580,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74" w:name="page175"/>
    <w:bookmarkEnd w:id="174"/>
    <w:p>
      <w:pPr>
        <w:jc w:val="both"/>
        <w:ind w:right="20" w:firstLine="1497"/>
        <w:spacing w:after="0" w:line="254" w:lineRule="auto"/>
        <w:rPr>
          <w:sz w:val="20"/>
          <w:szCs w:val="20"/>
          <w:color w:val="auto"/>
        </w:rPr>
      </w:pPr>
      <w:r>
        <w:rPr>
          <w:rFonts w:ascii="Times New Roman" w:cs="Times New Roman" w:eastAsia="Times New Roman" w:hAnsi="Times New Roman"/>
          <w:sz w:val="20"/>
          <w:szCs w:val="20"/>
          <w:color w:val="231F20"/>
        </w:rPr>
        <w:t>6.2.4. No consent, approval, order or authorization of, or registration, qualification, designation, declaration or filing with, any governmental authority, or any third party, on the part of Licensee or any Affiliate thereof is required in connection with its execution and delivery of this Agreement.</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231F20"/>
        </w:rPr>
        <w:t>6.3.</w:t>
      </w:r>
      <w:r>
        <w:rPr>
          <w:rFonts w:ascii="Times New Roman" w:cs="Times New Roman" w:eastAsia="Times New Roman" w:hAnsi="Times New Roman"/>
          <w:sz w:val="20"/>
          <w:szCs w:val="20"/>
          <w:i w:val="1"/>
          <w:iCs w:val="1"/>
          <w:u w:val="single" w:color="auto"/>
          <w:color w:val="231F20"/>
        </w:rPr>
        <w:t>Disclaimer</w:t>
      </w:r>
      <w:r>
        <w:rPr>
          <w:rFonts w:ascii="Times New Roman" w:cs="Times New Roman" w:eastAsia="Times New Roman" w:hAnsi="Times New Roman"/>
          <w:sz w:val="20"/>
          <w:szCs w:val="20"/>
          <w:color w:val="231F20"/>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231F20"/>
        </w:rPr>
        <w:t xml:space="preserve">Except as expressly provided in </w:t>
      </w:r>
      <w:r>
        <w:rPr>
          <w:rFonts w:ascii="Times New Roman" w:cs="Times New Roman" w:eastAsia="Times New Roman" w:hAnsi="Times New Roman"/>
          <w:sz w:val="20"/>
          <w:szCs w:val="20"/>
          <w:u w:val="single" w:color="auto"/>
          <w:color w:val="231F20"/>
        </w:rPr>
        <w:t>Section 6.1</w:t>
      </w:r>
      <w:r>
        <w:rPr>
          <w:rFonts w:ascii="Times New Roman" w:cs="Times New Roman" w:eastAsia="Times New Roman" w:hAnsi="Times New Roman"/>
          <w:sz w:val="20"/>
          <w:szCs w:val="20"/>
          <w:color w:val="231F20"/>
        </w:rPr>
        <w:t>, nothing in this Agreement will be construed as:</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231F20"/>
        </w:rPr>
        <w:t>6.3.1. a warranty or representation by Licensor as to the validity or scope of any of the Licensed Technology;</w:t>
      </w:r>
    </w:p>
    <w:p>
      <w:pPr>
        <w:spacing w:after="0" w:line="21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231F20"/>
        </w:rPr>
        <w:t>6.3.2. a warranty or representation by Licensor that anything made, used, sold or otherwise disposed of under the licenses granted in this Agreement, or the practice of the Licensed Technology, will or will not infringe patents of third parties; or</w:t>
      </w:r>
    </w:p>
    <w:p>
      <w:pPr>
        <w:spacing w:after="0" w:line="159"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231F20"/>
        </w:rPr>
        <w:t>6.3.3. an obligation of Licensor to bring or prosecute actions or suits against third parties for infringement of Licensed Patents or misappropriation of Licensed Know-How.</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Section 7</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u w:val="single" w:color="auto"/>
          <w:color w:val="231F20"/>
        </w:rPr>
        <w:t>Term and Termination</w:t>
      </w:r>
    </w:p>
    <w:p>
      <w:pPr>
        <w:spacing w:after="0" w:line="19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231F20"/>
        </w:rPr>
        <w:t>7.1.</w:t>
      </w:r>
      <w:r>
        <w:rPr>
          <w:rFonts w:ascii="Times New Roman" w:cs="Times New Roman" w:eastAsia="Times New Roman" w:hAnsi="Times New Roman"/>
          <w:sz w:val="20"/>
          <w:szCs w:val="20"/>
          <w:i w:val="1"/>
          <w:iCs w:val="1"/>
          <w:u w:val="single" w:color="auto"/>
          <w:color w:val="231F20"/>
        </w:rPr>
        <w:t>Term</w:t>
      </w:r>
      <w:r>
        <w:rPr>
          <w:rFonts w:ascii="Times New Roman" w:cs="Times New Roman" w:eastAsia="Times New Roman" w:hAnsi="Times New Roman"/>
          <w:sz w:val="20"/>
          <w:szCs w:val="20"/>
          <w:color w:val="231F20"/>
        </w:rPr>
        <w:t xml:space="preserve">. The term of this Agreement will commence on the Effective Date, and will continue until the date that this Agreement is terminated in its entirety under the provisions of this </w:t>
      </w:r>
      <w:r>
        <w:rPr>
          <w:rFonts w:ascii="Times New Roman" w:cs="Times New Roman" w:eastAsia="Times New Roman" w:hAnsi="Times New Roman"/>
          <w:sz w:val="20"/>
          <w:szCs w:val="20"/>
          <w:u w:val="single" w:color="auto"/>
          <w:color w:val="231F20"/>
        </w:rPr>
        <w:t>Section 7</w:t>
      </w:r>
      <w:r>
        <w:rPr>
          <w:rFonts w:ascii="Times New Roman" w:cs="Times New Roman" w:eastAsia="Times New Roman" w:hAnsi="Times New Roman"/>
          <w:sz w:val="20"/>
          <w:szCs w:val="20"/>
          <w:color w:val="231F20"/>
        </w:rPr>
        <w:t xml:space="preserve"> or by the mutual written agreement of the Parties (the period from the Effective Date until such termination, the “</w:t>
      </w:r>
      <w:r>
        <w:rPr>
          <w:rFonts w:ascii="Times New Roman" w:cs="Times New Roman" w:eastAsia="Times New Roman" w:hAnsi="Times New Roman"/>
          <w:sz w:val="20"/>
          <w:szCs w:val="20"/>
          <w:i w:val="1"/>
          <w:iCs w:val="1"/>
          <w:u w:val="single" w:color="auto"/>
          <w:color w:val="231F20"/>
        </w:rPr>
        <w:t>Term</w:t>
      </w:r>
      <w:r>
        <w:rPr>
          <w:rFonts w:ascii="Times New Roman" w:cs="Times New Roman" w:eastAsia="Times New Roman" w:hAnsi="Times New Roman"/>
          <w:sz w:val="20"/>
          <w:szCs w:val="20"/>
          <w:color w:val="231F20"/>
        </w:rPr>
        <w:t>”).</w:t>
      </w:r>
    </w:p>
    <w:p>
      <w:pPr>
        <w:spacing w:after="0" w:line="16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231F20"/>
        </w:rPr>
        <w:t>7.2.</w:t>
      </w:r>
      <w:r>
        <w:rPr>
          <w:rFonts w:ascii="Times New Roman" w:cs="Times New Roman" w:eastAsia="Times New Roman" w:hAnsi="Times New Roman"/>
          <w:sz w:val="20"/>
          <w:szCs w:val="20"/>
          <w:i w:val="1"/>
          <w:iCs w:val="1"/>
          <w:u w:val="single" w:color="auto"/>
          <w:color w:val="231F20"/>
        </w:rPr>
        <w:t>Termination by Either Party</w:t>
      </w:r>
      <w:r>
        <w:rPr>
          <w:rFonts w:ascii="Times New Roman" w:cs="Times New Roman" w:eastAsia="Times New Roman" w:hAnsi="Times New Roman"/>
          <w:sz w:val="20"/>
          <w:szCs w:val="20"/>
          <w:color w:val="231F20"/>
        </w:rPr>
        <w:t>. Either Party may terminate this Agreement at any time upon written notice to the other Party if the other Party is in material default or breach of this Agreement and such material default or breach is not cured within [***] after written notice thereof is delivered to the defaulting or breaching Party, or in the case of a breach (other than a breach of a Party’s payment obligation) that cannot be cured within [***], within a reasonable period not exceeding [***] after written notice thereof is delivered to the defaulting or breaching Party, so long as the breaching Party is making a good faith effort to cure such default or breach of this Agreement.</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231F20"/>
        </w:rPr>
        <w:t>7.3.</w:t>
      </w:r>
      <w:r>
        <w:rPr>
          <w:rFonts w:ascii="Times New Roman" w:cs="Times New Roman" w:eastAsia="Times New Roman" w:hAnsi="Times New Roman"/>
          <w:sz w:val="20"/>
          <w:szCs w:val="20"/>
          <w:i w:val="1"/>
          <w:iCs w:val="1"/>
          <w:u w:val="single" w:color="auto"/>
          <w:color w:val="231F20"/>
        </w:rPr>
        <w:t>Termination by Licensor</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color w:val="231F20"/>
        </w:rPr>
        <w:t xml:space="preserve"> Licensor may, at its option, terminate this Agreement effective upon [***] written notice to Licensee if Licensee (i) files for protection under bankruptcy laws; (ii) makes an assignment for the benefit of creditors; (iii) appoints or suffers appointment of a receiver or trustee over its property; (iv) files a petition under any bankruptcy or insolvency act or has any such petition filed against it, which is not discharged within [***] of the filing thereof; or (v) is unable to pay its debts as they become due in the ordinary course of business. Nothing in this </w:t>
      </w:r>
      <w:r>
        <w:rPr>
          <w:rFonts w:ascii="Times New Roman" w:cs="Times New Roman" w:eastAsia="Times New Roman" w:hAnsi="Times New Roman"/>
          <w:sz w:val="20"/>
          <w:szCs w:val="20"/>
          <w:u w:val="single" w:color="auto"/>
          <w:color w:val="231F20"/>
        </w:rPr>
        <w:t>Section 7.2</w:t>
      </w:r>
      <w:r>
        <w:rPr>
          <w:rFonts w:ascii="Times New Roman" w:cs="Times New Roman" w:eastAsia="Times New Roman" w:hAnsi="Times New Roman"/>
          <w:sz w:val="20"/>
          <w:szCs w:val="20"/>
          <w:color w:val="231F20"/>
        </w:rPr>
        <w:t xml:space="preserve"> shall prohibit Licensor from pursuing any other remedies at law which it may have in connection with Licensee’s uncured material breach.</w:t>
      </w:r>
    </w:p>
    <w:p>
      <w:pPr>
        <w:spacing w:after="0" w:line="17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231F20"/>
        </w:rPr>
        <w:t>7.4.</w:t>
      </w:r>
      <w:r>
        <w:rPr>
          <w:rFonts w:ascii="Times New Roman" w:cs="Times New Roman" w:eastAsia="Times New Roman" w:hAnsi="Times New Roman"/>
          <w:sz w:val="20"/>
          <w:szCs w:val="20"/>
          <w:i w:val="1"/>
          <w:iCs w:val="1"/>
          <w:u w:val="single" w:color="auto"/>
          <w:color w:val="231F20"/>
        </w:rPr>
        <w:t>Termination by Licensee</w:t>
      </w:r>
      <w:r>
        <w:rPr>
          <w:rFonts w:ascii="Times New Roman" w:cs="Times New Roman" w:eastAsia="Times New Roman" w:hAnsi="Times New Roman"/>
          <w:sz w:val="20"/>
          <w:szCs w:val="20"/>
          <w:color w:val="231F20"/>
        </w:rPr>
        <w:t xml:space="preserve">. Licensee may, at its option, terminate this Agreement, effective upon [***] written notice to Licensor if Licensor (i) files for protection under bankruptcy laws; (ii) makes an assignment for the benefit of creditors; (iii) appoints or suffers appointment of a receiver or trustee over its property; (iv) files a petition under any bankruptcy or insolvency act or has any such petition filed against it, which is not discharged within [***] of the filing thereof; or (v) is unable to pay its debts as they become due in the ordinary course of business. Nothing in the foregoing subsections of this </w:t>
      </w:r>
      <w:r>
        <w:rPr>
          <w:rFonts w:ascii="Times New Roman" w:cs="Times New Roman" w:eastAsia="Times New Roman" w:hAnsi="Times New Roman"/>
          <w:sz w:val="20"/>
          <w:szCs w:val="20"/>
          <w:u w:val="single" w:color="auto"/>
          <w:color w:val="231F20"/>
        </w:rPr>
        <w:t>Section 7</w:t>
      </w:r>
      <w:r>
        <w:rPr>
          <w:rFonts w:ascii="Times New Roman" w:cs="Times New Roman" w:eastAsia="Times New Roman" w:hAnsi="Times New Roman"/>
          <w:sz w:val="20"/>
          <w:szCs w:val="20"/>
          <w:color w:val="231F20"/>
        </w:rPr>
        <w:t xml:space="preserve"> shall prohibit Licensee from pursuing any other remedies at law which it may have in connection with Licensor’s uncured material breach.</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231F20"/>
        </w:rPr>
        <w:t>7.5.</w:t>
      </w:r>
      <w:r>
        <w:rPr>
          <w:rFonts w:ascii="Times New Roman" w:cs="Times New Roman" w:eastAsia="Times New Roman" w:hAnsi="Times New Roman"/>
          <w:sz w:val="20"/>
          <w:szCs w:val="20"/>
          <w:i w:val="1"/>
          <w:iCs w:val="1"/>
          <w:u w:val="single" w:color="auto"/>
          <w:color w:val="231F20"/>
        </w:rPr>
        <w:t>Effects of Termination</w:t>
      </w:r>
      <w:r>
        <w:rPr>
          <w:rFonts w:ascii="Times New Roman" w:cs="Times New Roman" w:eastAsia="Times New Roman" w:hAnsi="Times New Roman"/>
          <w:sz w:val="20"/>
          <w:szCs w:val="20"/>
          <w:i w:val="1"/>
          <w:iCs w:val="1"/>
          <w:color w:val="231F20"/>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231F20"/>
        </w:rPr>
        <w:t xml:space="preserve">7.5.1. </w:t>
      </w:r>
      <w:r>
        <w:rPr>
          <w:rFonts w:ascii="Times New Roman" w:cs="Times New Roman" w:eastAsia="Times New Roman" w:hAnsi="Times New Roman"/>
          <w:sz w:val="20"/>
          <w:szCs w:val="20"/>
          <w:i w:val="1"/>
          <w:iCs w:val="1"/>
          <w:u w:val="single" w:color="auto"/>
          <w:color w:val="231F20"/>
        </w:rPr>
        <w:t>Termination of License</w:t>
      </w:r>
      <w:r>
        <w:rPr>
          <w:rFonts w:ascii="Times New Roman" w:cs="Times New Roman" w:eastAsia="Times New Roman" w:hAnsi="Times New Roman"/>
          <w:sz w:val="20"/>
          <w:szCs w:val="20"/>
          <w:color w:val="231F20"/>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- 13 -</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4926-6413-5580,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75" w:name="page176"/>
    <w:bookmarkEnd w:id="175"/>
    <w:p>
      <w:pPr>
        <w:jc w:val="both"/>
        <w:ind w:firstLine="749"/>
        <w:spacing w:after="0" w:line="242" w:lineRule="auto"/>
        <w:rPr>
          <w:sz w:val="20"/>
          <w:szCs w:val="20"/>
          <w:color w:val="auto"/>
        </w:rPr>
      </w:pPr>
      <w:r>
        <w:rPr>
          <w:rFonts w:ascii="Times New Roman" w:cs="Times New Roman" w:eastAsia="Times New Roman" w:hAnsi="Times New Roman"/>
          <w:sz w:val="20"/>
          <w:szCs w:val="20"/>
          <w:color w:val="231F20"/>
        </w:rPr>
        <w:t>Upon a termination (but not upon an expiration) of this Agreement for any reason, Licensee’s rights to the Licensed Technology which have been granted hereunder will terminate, and all rights in the Licensed Technology will revert back to Licensor, and (a) each Party, in its capacity as a receiving Party of the other Party’s Confidential Information, shall promptly return to such other Party or, if requested by such other Party, destroy all Confidential Information, including information and materials related to the Licensed Products, supplied by such other Party, and certify to the destruction in writing within [***] of the termination, and (b) Licensee hereby grants to Licensor an option, exercisable by Licensor upon written notice to Licensee delivered within [***] of such termination, to negotiate in good faith the right and license (with the right to grant sublicense) to use, in and outside of the Licensed Territory, [***]. In addition, any amounts properly owed to Licensor hereunder that Licensee has paid will not be refunded. Subject at all times to Licensee’s continuing compliance with the terms of this Agreement, for a period of [***] following the termination of this Agreement (the “</w:t>
      </w:r>
      <w:r>
        <w:rPr>
          <w:rFonts w:ascii="Times New Roman" w:cs="Times New Roman" w:eastAsia="Times New Roman" w:hAnsi="Times New Roman"/>
          <w:sz w:val="20"/>
          <w:szCs w:val="20"/>
          <w:i w:val="1"/>
          <w:iCs w:val="1"/>
          <w:u w:val="single" w:color="auto"/>
          <w:color w:val="231F20"/>
        </w:rPr>
        <w:t>Sell-Off Period</w:t>
      </w:r>
      <w:r>
        <w:rPr>
          <w:rFonts w:ascii="Times New Roman" w:cs="Times New Roman" w:eastAsia="Times New Roman" w:hAnsi="Times New Roman"/>
          <w:sz w:val="20"/>
          <w:szCs w:val="20"/>
          <w:color w:val="231F20"/>
        </w:rPr>
        <w:t>”), Licensee shall have the right to sell off its inventory of finished Licensed Product then in Licensee’s, its Affiliates’ or Sublicensees’ possession. Following the Sell-Off Period, upon Licensor’s request, Licensee shall promptly destroy all unsold Licensed Products.</w:t>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231F20"/>
        </w:rPr>
        <w:t xml:space="preserve">7.5.2. </w:t>
      </w:r>
      <w:r>
        <w:rPr>
          <w:rFonts w:ascii="Times New Roman" w:cs="Times New Roman" w:eastAsia="Times New Roman" w:hAnsi="Times New Roman"/>
          <w:sz w:val="20"/>
          <w:szCs w:val="20"/>
          <w:i w:val="1"/>
          <w:iCs w:val="1"/>
          <w:u w:val="single" w:color="auto"/>
          <w:color w:val="231F20"/>
        </w:rPr>
        <w:t>Effect on Sublicenses</w:t>
      </w:r>
      <w:r>
        <w:rPr>
          <w:rFonts w:ascii="Times New Roman" w:cs="Times New Roman" w:eastAsia="Times New Roman" w:hAnsi="Times New Roman"/>
          <w:sz w:val="20"/>
          <w:szCs w:val="20"/>
          <w:color w:val="231F20"/>
        </w:rPr>
        <w:t>.</w:t>
      </w:r>
    </w:p>
    <w:p>
      <w:pPr>
        <w:spacing w:after="0" w:line="22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231F20"/>
        </w:rPr>
        <w:t xml:space="preserve">In the event that this Agreement is terminated for any reason by Licensor in accordance with </w:t>
      </w:r>
      <w:r>
        <w:rPr>
          <w:rFonts w:ascii="Times New Roman" w:cs="Times New Roman" w:eastAsia="Times New Roman" w:hAnsi="Times New Roman"/>
          <w:sz w:val="20"/>
          <w:szCs w:val="20"/>
          <w:u w:val="single" w:color="auto"/>
          <w:color w:val="231F20"/>
        </w:rPr>
        <w:t>Sections 7.2</w:t>
      </w:r>
      <w:r>
        <w:rPr>
          <w:rFonts w:ascii="Times New Roman" w:cs="Times New Roman" w:eastAsia="Times New Roman" w:hAnsi="Times New Roman"/>
          <w:sz w:val="20"/>
          <w:szCs w:val="20"/>
          <w:color w:val="231F20"/>
        </w:rPr>
        <w:t xml:space="preserve"> or </w:t>
      </w:r>
      <w:r>
        <w:rPr>
          <w:rFonts w:ascii="Times New Roman" w:cs="Times New Roman" w:eastAsia="Times New Roman" w:hAnsi="Times New Roman"/>
          <w:sz w:val="20"/>
          <w:szCs w:val="20"/>
          <w:u w:val="single" w:color="auto"/>
          <w:color w:val="231F20"/>
        </w:rPr>
        <w:t>7.3</w:t>
      </w:r>
      <w:r>
        <w:rPr>
          <w:rFonts w:ascii="Times New Roman" w:cs="Times New Roman" w:eastAsia="Times New Roman" w:hAnsi="Times New Roman"/>
          <w:sz w:val="20"/>
          <w:szCs w:val="20"/>
          <w:color w:val="231F20"/>
        </w:rPr>
        <w:t xml:space="preserve"> [***], provided that the Licensor is provided a copy of such sublicense agreement and all amendments thereto within a reasonable amount of time following such termination and the Sublicensee agrees in a writing delivered to Licensor within [***] of such termination that (i) Licensor is entitled to enforce all relevant provisions of this Agreement directly against such Sublicensee, and (ii) Licensor shall not assume any obligations to such Sublicensee in excess of those obligations corresponding to, and consistent with, those of Licensor set forth in this Agreement with respect to the applicable rights of such Sublicensee to Licensed Technology. Subject to this </w:t>
      </w:r>
      <w:r>
        <w:rPr>
          <w:rFonts w:ascii="Times New Roman" w:cs="Times New Roman" w:eastAsia="Times New Roman" w:hAnsi="Times New Roman"/>
          <w:sz w:val="20"/>
          <w:szCs w:val="20"/>
          <w:u w:val="single" w:color="auto"/>
          <w:color w:val="231F20"/>
        </w:rPr>
        <w:t>Section 7.5.2</w:t>
      </w:r>
      <w:r>
        <w:rPr>
          <w:rFonts w:ascii="Times New Roman" w:cs="Times New Roman" w:eastAsia="Times New Roman" w:hAnsi="Times New Roman"/>
          <w:sz w:val="20"/>
          <w:szCs w:val="20"/>
          <w:color w:val="231F20"/>
        </w:rPr>
        <w:t>, an expiration of this Agreement shall have no effect on sublicenses.</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231F20"/>
        </w:rPr>
        <w:t xml:space="preserve">7.5.3. </w:t>
      </w:r>
      <w:r>
        <w:rPr>
          <w:rFonts w:ascii="Times New Roman" w:cs="Times New Roman" w:eastAsia="Times New Roman" w:hAnsi="Times New Roman"/>
          <w:sz w:val="20"/>
          <w:szCs w:val="20"/>
          <w:i w:val="1"/>
          <w:iCs w:val="1"/>
          <w:u w:val="single" w:color="auto"/>
          <w:color w:val="231F20"/>
        </w:rPr>
        <w:t>Accrued Obligations</w:t>
      </w:r>
      <w:r>
        <w:rPr>
          <w:rFonts w:ascii="Times New Roman" w:cs="Times New Roman" w:eastAsia="Times New Roman" w:hAnsi="Times New Roman"/>
          <w:sz w:val="20"/>
          <w:szCs w:val="20"/>
          <w:color w:val="231F20"/>
        </w:rPr>
        <w:t>.</w:t>
      </w:r>
    </w:p>
    <w:p>
      <w:pPr>
        <w:spacing w:after="0" w:line="220"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19"/>
          <w:szCs w:val="19"/>
          <w:color w:val="231F20"/>
        </w:rPr>
        <w:t>Expiration or termination of this Agreement will not release either Party from any obligation that matured prior to the effective date of such expiration or termination. Upon expiration or termination of this Agreement for any reason, any unpaid amounts payable to Licensor shall become immediately due, and payment thereof shall remain an ongoing obligation of Licensee until such amount is paid in full.</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231F20"/>
        </w:rPr>
        <w:t xml:space="preserve">7.5.4. </w:t>
      </w:r>
      <w:r>
        <w:rPr>
          <w:rFonts w:ascii="Times New Roman" w:cs="Times New Roman" w:eastAsia="Times New Roman" w:hAnsi="Times New Roman"/>
          <w:sz w:val="20"/>
          <w:szCs w:val="20"/>
          <w:i w:val="1"/>
          <w:iCs w:val="1"/>
          <w:u w:val="single" w:color="auto"/>
          <w:color w:val="231F20"/>
        </w:rPr>
        <w:t>Survival</w:t>
      </w:r>
      <w:r>
        <w:rPr>
          <w:rFonts w:ascii="Times New Roman" w:cs="Times New Roman" w:eastAsia="Times New Roman" w:hAnsi="Times New Roman"/>
          <w:sz w:val="20"/>
          <w:szCs w:val="20"/>
          <w:color w:val="231F20"/>
        </w:rPr>
        <w:t>.</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231F20"/>
        </w:rPr>
        <w:t xml:space="preserve">Upon expiration or termination of this Agreement, </w:t>
      </w:r>
      <w:r>
        <w:rPr>
          <w:rFonts w:ascii="Times New Roman" w:cs="Times New Roman" w:eastAsia="Times New Roman" w:hAnsi="Times New Roman"/>
          <w:sz w:val="20"/>
          <w:szCs w:val="20"/>
          <w:u w:val="single" w:color="auto"/>
          <w:color w:val="231F20"/>
        </w:rPr>
        <w:t>Sections 2.3</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6.3</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231F20"/>
        </w:rPr>
        <w:t>7.5</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u w:val="single" w:color="auto"/>
          <w:color w:val="231F20"/>
        </w:rPr>
        <w:t>8.5</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u w:val="single" w:color="auto"/>
          <w:color w:val="231F20"/>
        </w:rPr>
        <w:t>Section 9</w:t>
      </w:r>
      <w:r>
        <w:rPr>
          <w:rFonts w:ascii="Times New Roman" w:cs="Times New Roman" w:eastAsia="Times New Roman" w:hAnsi="Times New Roman"/>
          <w:sz w:val="20"/>
          <w:szCs w:val="20"/>
          <w:color w:val="231F20"/>
        </w:rPr>
        <w:t xml:space="preserve"> through and including </w:t>
      </w:r>
      <w:r>
        <w:rPr>
          <w:rFonts w:ascii="Times New Roman" w:cs="Times New Roman" w:eastAsia="Times New Roman" w:hAnsi="Times New Roman"/>
          <w:sz w:val="20"/>
          <w:szCs w:val="20"/>
          <w:u w:val="single" w:color="auto"/>
          <w:color w:val="231F20"/>
        </w:rPr>
        <w:t>Section 11</w:t>
      </w:r>
      <w:r>
        <w:rPr>
          <w:rFonts w:ascii="Times New Roman" w:cs="Times New Roman" w:eastAsia="Times New Roman" w:hAnsi="Times New Roman"/>
          <w:sz w:val="20"/>
          <w:szCs w:val="20"/>
          <w:color w:val="231F20"/>
        </w:rPr>
        <w:t xml:space="preserve"> will, with related definitions, survive and remain in full force and effect.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Section 8</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u w:val="single" w:color="auto"/>
          <w:color w:val="231F20"/>
        </w:rPr>
        <w:t>Protection of Intellectual Property Rights</w:t>
      </w:r>
    </w:p>
    <w:p>
      <w:pPr>
        <w:spacing w:after="0" w:line="19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231F20"/>
        </w:rPr>
        <w:t>8.1.</w:t>
      </w:r>
      <w:r>
        <w:rPr>
          <w:rFonts w:ascii="Times New Roman" w:cs="Times New Roman" w:eastAsia="Times New Roman" w:hAnsi="Times New Roman"/>
          <w:sz w:val="20"/>
          <w:szCs w:val="20"/>
          <w:i w:val="1"/>
          <w:iCs w:val="1"/>
          <w:u w:val="single" w:color="auto"/>
          <w:color w:val="231F20"/>
        </w:rPr>
        <w:t>Patent Prosecution</w:t>
      </w:r>
      <w:r>
        <w:rPr>
          <w:rFonts w:ascii="Times New Roman" w:cs="Times New Roman" w:eastAsia="Times New Roman" w:hAnsi="Times New Roman"/>
          <w:sz w:val="20"/>
          <w:szCs w:val="20"/>
          <w:color w:val="231F20"/>
        </w:rPr>
        <w:t>. During the Term, Licensee will be responsible for preparing, filing, prosecuting and maintaining all patent applications and patents included in the Licensed Patents in the Licensed Territory. For the sake of clarity, as used herein the term “prosecution” shall include interference, opposition, derivation, re-examination, ex partes review, inter partes review, or any other administrative proceedings in connection with the Licensed Patents. Licensee shall (a) select patent counsel to conduct such activities regarding the Licensed Patents and (b) provide Licensor with a reasonable opportunity to comment thereon and will reasonably consider in good faith such comments. Should Licensee decide that it is not interested in maintaining a particular Licensed Patent in the Licensed Territory, it will promptly advise Licensor in writing, and Licensor will have the right, but not the obligation, to assume such maintenance responsibilities in the Licensed Territory [***]. If Licensor desires to assume such</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- 14 -</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4926-6413-5580,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76" w:name="page177"/>
    <w:bookmarkEnd w:id="176"/>
    <w:p>
      <w:pPr>
        <w:jc w:val="both"/>
        <w:spacing w:after="0" w:line="249" w:lineRule="auto"/>
        <w:rPr>
          <w:sz w:val="20"/>
          <w:szCs w:val="20"/>
          <w:color w:val="auto"/>
        </w:rPr>
      </w:pPr>
      <w:r>
        <w:rPr>
          <w:rFonts w:ascii="Times New Roman" w:cs="Times New Roman" w:eastAsia="Times New Roman" w:hAnsi="Times New Roman"/>
          <w:sz w:val="20"/>
          <w:szCs w:val="20"/>
          <w:color w:val="231F20"/>
        </w:rPr>
        <w:t>maintenance responsibilities of any such Licensed Patent in the Licensed Territory pursuant to the immediately preceding sentence, then Licensee will not so fail to maintain such Licensed Patents if Licensor advises Licensee, within [***] of Licensor’s receipt of notice of Licensee’s intention not to maintain the applicable Licensed Patents in the Licensed Territory, that Licensor desires to assume maintenance of the applicable Licensed Patents. [***].</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231F20"/>
        </w:rPr>
        <w:t>8.2.</w:t>
      </w:r>
      <w:r>
        <w:rPr>
          <w:rFonts w:ascii="Times New Roman" w:cs="Times New Roman" w:eastAsia="Times New Roman" w:hAnsi="Times New Roman"/>
          <w:sz w:val="20"/>
          <w:szCs w:val="20"/>
          <w:i w:val="1"/>
          <w:iCs w:val="1"/>
          <w:u w:val="single" w:color="auto"/>
          <w:color w:val="231F20"/>
        </w:rPr>
        <w:t>Enforcement of Licensed Patents</w:t>
      </w:r>
      <w:r>
        <w:rPr>
          <w:rFonts w:ascii="Times New Roman" w:cs="Times New Roman" w:eastAsia="Times New Roman" w:hAnsi="Times New Roman"/>
          <w:sz w:val="20"/>
          <w:szCs w:val="20"/>
          <w:color w:val="231F20"/>
        </w:rPr>
        <w:t>.</w:t>
      </w:r>
    </w:p>
    <w:p>
      <w:pPr>
        <w:spacing w:after="0" w:line="216" w:lineRule="exact"/>
        <w:rPr>
          <w:sz w:val="20"/>
          <w:szCs w:val="20"/>
          <w:color w:val="auto"/>
        </w:rPr>
      </w:pPr>
    </w:p>
    <w:p>
      <w:pPr>
        <w:jc w:val="both"/>
        <w:ind w:firstLine="1497"/>
        <w:spacing w:after="0" w:line="273" w:lineRule="auto"/>
        <w:rPr>
          <w:sz w:val="20"/>
          <w:szCs w:val="20"/>
          <w:color w:val="auto"/>
        </w:rPr>
      </w:pPr>
      <w:r>
        <w:rPr>
          <w:rFonts w:ascii="Times New Roman" w:cs="Times New Roman" w:eastAsia="Times New Roman" w:hAnsi="Times New Roman"/>
          <w:sz w:val="20"/>
          <w:szCs w:val="20"/>
          <w:color w:val="231F20"/>
        </w:rPr>
        <w:t xml:space="preserve">8.2.1. </w:t>
      </w:r>
      <w:r>
        <w:rPr>
          <w:rFonts w:ascii="Times New Roman" w:cs="Times New Roman" w:eastAsia="Times New Roman" w:hAnsi="Times New Roman"/>
          <w:sz w:val="20"/>
          <w:szCs w:val="20"/>
          <w:i w:val="1"/>
          <w:iCs w:val="1"/>
          <w:u w:val="single" w:color="auto"/>
          <w:color w:val="231F20"/>
        </w:rPr>
        <w:t>Notice</w:t>
      </w:r>
      <w:r>
        <w:rPr>
          <w:rFonts w:ascii="Times New Roman" w:cs="Times New Roman" w:eastAsia="Times New Roman" w:hAnsi="Times New Roman"/>
          <w:sz w:val="20"/>
          <w:szCs w:val="20"/>
          <w:color w:val="231F20"/>
        </w:rPr>
        <w:t>. Each Party will promptly report in writing to the other Party of any Competitive Infringement of which such Party (or any of its Affiliates or Sublicensees) becomes aware.</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231F20"/>
        </w:rPr>
        <w:t xml:space="preserve">8.2.2. </w:t>
      </w:r>
      <w:r>
        <w:rPr>
          <w:rFonts w:ascii="Times New Roman" w:cs="Times New Roman" w:eastAsia="Times New Roman" w:hAnsi="Times New Roman"/>
          <w:sz w:val="20"/>
          <w:szCs w:val="20"/>
          <w:i w:val="1"/>
          <w:iCs w:val="1"/>
          <w:u w:val="single" w:color="auto"/>
          <w:color w:val="231F20"/>
        </w:rPr>
        <w:t>Competitive Infringement of Licensed Patents by Third Parties</w:t>
      </w:r>
      <w:r>
        <w:rPr>
          <w:rFonts w:ascii="Times New Roman" w:cs="Times New Roman" w:eastAsia="Times New Roman" w:hAnsi="Times New Roman"/>
          <w:sz w:val="20"/>
          <w:szCs w:val="20"/>
          <w:color w:val="231F20"/>
        </w:rPr>
        <w:t>.</w:t>
      </w:r>
    </w:p>
    <w:p>
      <w:pPr>
        <w:spacing w:after="0" w:line="220" w:lineRule="exact"/>
        <w:rPr>
          <w:sz w:val="20"/>
          <w:szCs w:val="20"/>
          <w:color w:val="auto"/>
        </w:rPr>
      </w:pPr>
    </w:p>
    <w:p>
      <w:pPr>
        <w:jc w:val="both"/>
        <w:ind w:firstLine="2246"/>
        <w:spacing w:after="0" w:line="249" w:lineRule="auto"/>
        <w:rPr>
          <w:sz w:val="20"/>
          <w:szCs w:val="20"/>
          <w:color w:val="auto"/>
        </w:rPr>
      </w:pPr>
      <w:r>
        <w:rPr>
          <w:rFonts w:ascii="Times New Roman" w:cs="Times New Roman" w:eastAsia="Times New Roman" w:hAnsi="Times New Roman"/>
          <w:sz w:val="20"/>
          <w:szCs w:val="20"/>
          <w:color w:val="231F20"/>
        </w:rPr>
        <w:t>8.2.2.1.In the case of any Competitive Infringement in the Licensed Territory by any third party, Licensee will have the first right, but not the obligation, to cause such third party to cease infringement and to otherwise enforce such Licensed Patent, or to defend the Licensed Patent in any declaratory judgment action brought by third party(ies) which alleges the invalidity, unenforceability or non-infringement of the Licensed Patent in the Licensed Territory.</w:t>
      </w:r>
    </w:p>
    <w:p>
      <w:pPr>
        <w:spacing w:after="0" w:line="180" w:lineRule="exact"/>
        <w:rPr>
          <w:sz w:val="20"/>
          <w:szCs w:val="20"/>
          <w:color w:val="auto"/>
        </w:rPr>
      </w:pPr>
    </w:p>
    <w:p>
      <w:pPr>
        <w:jc w:val="both"/>
        <w:ind w:firstLine="2246"/>
        <w:spacing w:after="0" w:line="243" w:lineRule="auto"/>
        <w:rPr>
          <w:sz w:val="20"/>
          <w:szCs w:val="20"/>
          <w:color w:val="auto"/>
        </w:rPr>
      </w:pPr>
      <w:r>
        <w:rPr>
          <w:rFonts w:ascii="Times New Roman" w:cs="Times New Roman" w:eastAsia="Times New Roman" w:hAnsi="Times New Roman"/>
          <w:sz w:val="20"/>
          <w:szCs w:val="20"/>
          <w:color w:val="231F20"/>
        </w:rPr>
        <w:t xml:space="preserve">8.2.2.2.If Licensee does not, within a reasonable period after becoming aware of Competitive Infringement of the Licensed Patents in the Licensed Territory, but in any event no less than [***], (i) initiate legal proceedings against such threatened or actual Competitive Infringement, or defend legal proceedings brought by a third party, as provided in </w:t>
      </w:r>
      <w:r>
        <w:rPr>
          <w:rFonts w:ascii="Times New Roman" w:cs="Times New Roman" w:eastAsia="Times New Roman" w:hAnsi="Times New Roman"/>
          <w:sz w:val="20"/>
          <w:szCs w:val="20"/>
          <w:u w:val="single" w:color="auto"/>
          <w:color w:val="231F20"/>
        </w:rPr>
        <w:t>Section 8.2.2.1</w:t>
      </w:r>
      <w:r>
        <w:rPr>
          <w:rFonts w:ascii="Times New Roman" w:cs="Times New Roman" w:eastAsia="Times New Roman" w:hAnsi="Times New Roman"/>
          <w:sz w:val="20"/>
          <w:szCs w:val="20"/>
          <w:color w:val="231F20"/>
        </w:rPr>
        <w:t xml:space="preserve"> above, or (ii) take other reasonable steps to cause such Competitive Infringement to terminate (for example, by initiating licensing discussions), Licensor may deliver written notice to Licensee that it intends to take action to cause such Competitive Infringement to terminate, and Licensor may take such action as it deems reasonably necessary to enforce its rights in the Licensed Patents in the Licensed Territory, including, without limitation, to bring, [***], an infringement action or file any other appropriate action or claim related to such Competitive Infringement against such third party.</w:t>
      </w:r>
    </w:p>
    <w:p>
      <w:pPr>
        <w:spacing w:after="0" w:line="185" w:lineRule="exact"/>
        <w:rPr>
          <w:sz w:val="20"/>
          <w:szCs w:val="20"/>
          <w:color w:val="auto"/>
        </w:rPr>
      </w:pPr>
    </w:p>
    <w:p>
      <w:pPr>
        <w:jc w:val="both"/>
        <w:ind w:firstLine="2246"/>
        <w:spacing w:after="0" w:line="242" w:lineRule="auto"/>
        <w:rPr>
          <w:sz w:val="20"/>
          <w:szCs w:val="20"/>
          <w:color w:val="auto"/>
        </w:rPr>
      </w:pPr>
      <w:r>
        <w:rPr>
          <w:rFonts w:ascii="Times New Roman" w:cs="Times New Roman" w:eastAsia="Times New Roman" w:hAnsi="Times New Roman"/>
          <w:sz w:val="20"/>
          <w:szCs w:val="20"/>
          <w:color w:val="231F20"/>
        </w:rPr>
        <w:t xml:space="preserve">8.2.2.3.For any action or proceeding brought by a Party under this </w:t>
      </w:r>
      <w:r>
        <w:rPr>
          <w:rFonts w:ascii="Times New Roman" w:cs="Times New Roman" w:eastAsia="Times New Roman" w:hAnsi="Times New Roman"/>
          <w:sz w:val="20"/>
          <w:szCs w:val="20"/>
          <w:u w:val="single" w:color="auto"/>
          <w:color w:val="231F20"/>
        </w:rPr>
        <w:t>Section 8.2.2</w:t>
      </w:r>
      <w:r>
        <w:rPr>
          <w:rFonts w:ascii="Times New Roman" w:cs="Times New Roman" w:eastAsia="Times New Roman" w:hAnsi="Times New Roman"/>
          <w:sz w:val="20"/>
          <w:szCs w:val="20"/>
          <w:color w:val="231F20"/>
        </w:rPr>
        <w:t xml:space="preserve"> (the “</w:t>
      </w:r>
      <w:r>
        <w:rPr>
          <w:rFonts w:ascii="Times New Roman" w:cs="Times New Roman" w:eastAsia="Times New Roman" w:hAnsi="Times New Roman"/>
          <w:sz w:val="20"/>
          <w:szCs w:val="20"/>
          <w:i w:val="1"/>
          <w:iCs w:val="1"/>
          <w:u w:val="single" w:color="auto"/>
          <w:color w:val="231F20"/>
        </w:rPr>
        <w:t>Initiating Party</w:t>
      </w:r>
      <w:r>
        <w:rPr>
          <w:rFonts w:ascii="Times New Roman" w:cs="Times New Roman" w:eastAsia="Times New Roman" w:hAnsi="Times New Roman"/>
          <w:sz w:val="20"/>
          <w:szCs w:val="20"/>
          <w:color w:val="231F20"/>
        </w:rPr>
        <w:t>”), regardless of which Party brings such action or proceeding, the other Party (the “</w:t>
      </w:r>
      <w:r>
        <w:rPr>
          <w:rFonts w:ascii="Times New Roman" w:cs="Times New Roman" w:eastAsia="Times New Roman" w:hAnsi="Times New Roman"/>
          <w:sz w:val="20"/>
          <w:szCs w:val="20"/>
          <w:i w:val="1"/>
          <w:iCs w:val="1"/>
          <w:u w:val="single" w:color="auto"/>
          <w:color w:val="231F20"/>
        </w:rPr>
        <w:t>Non-Initiating Party</w:t>
      </w:r>
      <w:r>
        <w:rPr>
          <w:rFonts w:ascii="Times New Roman" w:cs="Times New Roman" w:eastAsia="Times New Roman" w:hAnsi="Times New Roman"/>
          <w:sz w:val="20"/>
          <w:szCs w:val="20"/>
          <w:color w:val="231F20"/>
        </w:rPr>
        <w:t xml:space="preserve">”) shall cooperate reasonably in any such effort, [***], and the Parties shall reasonably cooperate to address new facts or circumstances that come to light during the course of any such action or proceeding that may affect the need for one Party or the other to participate in such action. The Non-Initiating Party agrees to be joined as a party plaintiff, [***], in any such action if needed for the Initiating Party to bring or continue an infringement action hereunder. The Non-Initiating Party shall, [***] with its own counsel, have the right to observe and provide comments with respect to any action brought by the Initiating Party under this </w:t>
      </w:r>
      <w:r>
        <w:rPr>
          <w:rFonts w:ascii="Times New Roman" w:cs="Times New Roman" w:eastAsia="Times New Roman" w:hAnsi="Times New Roman"/>
          <w:sz w:val="20"/>
          <w:szCs w:val="20"/>
          <w:u w:val="single" w:color="auto"/>
          <w:color w:val="231F20"/>
        </w:rPr>
        <w:t>Section 8.2.2</w:t>
      </w:r>
      <w:r>
        <w:rPr>
          <w:rFonts w:ascii="Times New Roman" w:cs="Times New Roman" w:eastAsia="Times New Roman" w:hAnsi="Times New Roman"/>
          <w:sz w:val="20"/>
          <w:szCs w:val="20"/>
          <w:color w:val="231F20"/>
        </w:rPr>
        <w:t xml:space="preserve"> (which comments the Initiating Party shall consider in good faith but be under no obligation to incorporate). Neither Party may settle an action or proceeding brought under this </w:t>
      </w:r>
      <w:r>
        <w:rPr>
          <w:rFonts w:ascii="Times New Roman" w:cs="Times New Roman" w:eastAsia="Times New Roman" w:hAnsi="Times New Roman"/>
          <w:sz w:val="20"/>
          <w:szCs w:val="20"/>
          <w:u w:val="single" w:color="auto"/>
          <w:color w:val="231F20"/>
        </w:rPr>
        <w:t>Section 8.2.2</w:t>
      </w:r>
      <w:r>
        <w:rPr>
          <w:rFonts w:ascii="Times New Roman" w:cs="Times New Roman" w:eastAsia="Times New Roman" w:hAnsi="Times New Roman"/>
          <w:sz w:val="20"/>
          <w:szCs w:val="20"/>
          <w:color w:val="231F20"/>
        </w:rPr>
        <w:t xml:space="preserve"> in a manner that, or knowingly take any other action in the course thereof that, (i) imposes any monetary restriction or obligation on or admits fault of the other Party or (ii) adversely affects the value, scope or validity of, or otherwise adversely affects the other Party’s rights under this Agreement to as applicable, any Patents within the Licensed Patents, without the written consent of the other Party, which consent shall not be unreasonably withheld, conditioned or delayed.</w:t>
      </w:r>
    </w:p>
    <w:p>
      <w:pPr>
        <w:spacing w:after="0" w:line="191" w:lineRule="exact"/>
        <w:rPr>
          <w:sz w:val="20"/>
          <w:szCs w:val="20"/>
          <w:color w:val="auto"/>
        </w:rPr>
      </w:pPr>
    </w:p>
    <w:p>
      <w:pPr>
        <w:jc w:val="both"/>
        <w:ind w:right="20" w:firstLine="2246"/>
        <w:spacing w:after="0" w:line="269" w:lineRule="auto"/>
        <w:rPr>
          <w:sz w:val="20"/>
          <w:szCs w:val="20"/>
          <w:color w:val="auto"/>
        </w:rPr>
      </w:pPr>
      <w:r>
        <w:rPr>
          <w:rFonts w:ascii="Times New Roman" w:cs="Times New Roman" w:eastAsia="Times New Roman" w:hAnsi="Times New Roman"/>
          <w:sz w:val="20"/>
          <w:szCs w:val="20"/>
          <w:color w:val="231F20"/>
        </w:rPr>
        <w:t xml:space="preserve">8.2.2.4.Any recovery realized as a result of any litigation under this </w:t>
      </w:r>
      <w:r>
        <w:rPr>
          <w:rFonts w:ascii="Times New Roman" w:cs="Times New Roman" w:eastAsia="Times New Roman" w:hAnsi="Times New Roman"/>
          <w:sz w:val="20"/>
          <w:szCs w:val="20"/>
          <w:u w:val="single" w:color="auto"/>
          <w:color w:val="231F20"/>
        </w:rPr>
        <w:t>Section 8.2.2</w:t>
      </w:r>
      <w:r>
        <w:rPr>
          <w:rFonts w:ascii="Times New Roman" w:cs="Times New Roman" w:eastAsia="Times New Roman" w:hAnsi="Times New Roman"/>
          <w:sz w:val="20"/>
          <w:szCs w:val="20"/>
          <w:color w:val="231F20"/>
        </w:rPr>
        <w:t xml:space="preserve"> (including, for greater certainty, [***], as applicable, will [***].</w:t>
      </w:r>
    </w:p>
    <w:p>
      <w:pPr>
        <w:spacing w:after="0" w:line="15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231F20"/>
        </w:rPr>
        <w:t>8.3.</w:t>
      </w:r>
      <w:r>
        <w:rPr>
          <w:rFonts w:ascii="Times New Roman" w:cs="Times New Roman" w:eastAsia="Times New Roman" w:hAnsi="Times New Roman"/>
          <w:sz w:val="20"/>
          <w:szCs w:val="20"/>
          <w:i w:val="1"/>
          <w:iCs w:val="1"/>
          <w:u w:val="single" w:color="auto"/>
          <w:color w:val="231F20"/>
        </w:rPr>
        <w:t>Improvement Patents</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color w:val="231F20"/>
        </w:rPr>
        <w:t xml:space="preserve"> Licensor will promptly disclose to Licensee during the Term any material Improvements and related Improvement Patents that are reasonably necessary or useful for the development, manufacture of commercialization of the Licensed Products(s) in the Field and in the Licensed Territory, and Licensee and the Licensor agree to promptly to update </w:t>
      </w:r>
      <w:r>
        <w:rPr>
          <w:rFonts w:ascii="Times New Roman" w:cs="Times New Roman" w:eastAsia="Times New Roman" w:hAnsi="Times New Roman"/>
          <w:sz w:val="20"/>
          <w:szCs w:val="20"/>
          <w:u w:val="single" w:color="auto"/>
          <w:color w:val="231F20"/>
        </w:rPr>
        <w:t>Exhibit C</w:t>
      </w:r>
      <w:r>
        <w:rPr>
          <w:rFonts w:ascii="Times New Roman" w:cs="Times New Roman" w:eastAsia="Times New Roman" w:hAnsi="Times New Roman"/>
          <w:sz w:val="20"/>
          <w:szCs w:val="20"/>
          <w:color w:val="231F20"/>
        </w:rPr>
        <w:t xml:space="preserve"> upon written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- 15 -</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4926-6413-5580,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20"/>
          <w:szCs w:val="20"/>
          <w:color w:val="231F20"/>
        </w:rPr>
        <w:t>request by either Party from time to time, to reflect the inclusion of any Improvement Patents.</w:t>
      </w:r>
    </w:p>
    <w:p>
      <w:pPr>
        <w:spacing w:after="0" w:line="21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231F20"/>
        </w:rPr>
        <w:t>8.4.</w:t>
      </w:r>
      <w:r>
        <w:rPr>
          <w:rFonts w:ascii="Times New Roman" w:cs="Times New Roman" w:eastAsia="Times New Roman" w:hAnsi="Times New Roman"/>
          <w:sz w:val="20"/>
          <w:szCs w:val="20"/>
          <w:i w:val="1"/>
          <w:iCs w:val="1"/>
          <w:u w:val="single" w:color="auto"/>
          <w:color w:val="231F20"/>
        </w:rPr>
        <w:t>Infringement of Third-Party Rights</w:t>
      </w:r>
      <w:r>
        <w:rPr>
          <w:rFonts w:ascii="Times New Roman" w:cs="Times New Roman" w:eastAsia="Times New Roman" w:hAnsi="Times New Roman"/>
          <w:sz w:val="20"/>
          <w:szCs w:val="20"/>
          <w:color w:val="231F20"/>
        </w:rPr>
        <w:t>. Each Party will promptly notify the other Party in writing of any notice or claim of any allegation of infringement or commencement against it of any suit or action for infringement of a third-party patent based upon or arising from actions taken under the licenses granted in this Agreement (“</w:t>
      </w:r>
      <w:r>
        <w:rPr>
          <w:rFonts w:ascii="Times New Roman" w:cs="Times New Roman" w:eastAsia="Times New Roman" w:hAnsi="Times New Roman"/>
          <w:sz w:val="20"/>
          <w:szCs w:val="20"/>
          <w:i w:val="1"/>
          <w:iCs w:val="1"/>
          <w:u w:val="single" w:color="auto"/>
          <w:color w:val="231F20"/>
        </w:rPr>
        <w:t>Third-Party Infringement Claim</w:t>
      </w:r>
      <w:r>
        <w:rPr>
          <w:rFonts w:ascii="Times New Roman" w:cs="Times New Roman" w:eastAsia="Times New Roman" w:hAnsi="Times New Roman"/>
          <w:sz w:val="20"/>
          <w:szCs w:val="20"/>
          <w:color w:val="231F20"/>
        </w:rPr>
        <w:t xml:space="preserve">”). If such Third-Party Infringement Claim is alleged or commenced against Licensee, Licensee will have the sole right to defend and settle such Third-Party Infringement Claim, and Licensee will not be obligated to enter into negotiations with such third party to obtain rights for either Licensee or Licensor under the third-party patent. If such Third-Party Infringement Claim is alleged or commenced against Licensor, Licensee will have the first right, but not the obligation, to defend and settle such Third-Party Infringement Claim, </w:t>
      </w:r>
      <w:r>
        <w:rPr>
          <w:rFonts w:ascii="Times New Roman" w:cs="Times New Roman" w:eastAsia="Times New Roman" w:hAnsi="Times New Roman"/>
          <w:sz w:val="20"/>
          <w:szCs w:val="20"/>
          <w:i w:val="1"/>
          <w:iCs w:val="1"/>
          <w:u w:val="single" w:color="auto"/>
          <w:color w:val="231F20"/>
        </w:rPr>
        <w:t>provided, however</w:t>
      </w:r>
      <w:r>
        <w:rPr>
          <w:rFonts w:ascii="Times New Roman" w:cs="Times New Roman" w:eastAsia="Times New Roman" w:hAnsi="Times New Roman"/>
          <w:sz w:val="20"/>
          <w:szCs w:val="20"/>
          <w:color w:val="231F20"/>
        </w:rPr>
        <w:t>, that Licensee will not be obligated to enter into negotiations with such third party to obtain rights for Licensor under the third-party patent. With respect to any such defense by Licensee of a Third-Party Infringement Claim alleged or commenced against Licensor, Licensee will not make any settlements of such Third-Party Infringement Claim that would materially adversely affect Licensor’s rights or interests in the Licensed Technology without first obtaining Licensor’s prior written consent. If Licensee opts not to defend or settle such Third-Party Infringement Claim alleged or commenced against Licensor, Licensee will notify Licensor of such decision and, [***], Licensor will have the right to undertake the defense or settlement of such Third-Party Infringement Claim. In all cases, the Parties shall cooperate in good faith and provide reasonable assistance in connection with the defense of any such Third-Party Infringement Claim.</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231F20"/>
        </w:rPr>
        <w:t>8.5.</w:t>
      </w:r>
      <w:r>
        <w:rPr>
          <w:rFonts w:ascii="Times New Roman" w:cs="Times New Roman" w:eastAsia="Times New Roman" w:hAnsi="Times New Roman"/>
          <w:sz w:val="20"/>
          <w:szCs w:val="20"/>
          <w:i w:val="1"/>
          <w:iCs w:val="1"/>
          <w:u w:val="single" w:color="auto"/>
          <w:color w:val="231F20"/>
        </w:rPr>
        <w:t>Confidential Information</w:t>
      </w:r>
      <w:r>
        <w:rPr>
          <w:rFonts w:ascii="Times New Roman" w:cs="Times New Roman" w:eastAsia="Times New Roman" w:hAnsi="Times New Roman"/>
          <w:sz w:val="20"/>
          <w:szCs w:val="20"/>
          <w:color w:val="231F20"/>
        </w:rPr>
        <w:t>.</w:t>
      </w:r>
    </w:p>
    <w:p>
      <w:pPr>
        <w:spacing w:after="0" w:line="22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231F20"/>
        </w:rPr>
        <w:t>8.5.1. Each Party will maintain the Confidential Information of the other Party in strict confidence, and will not disclose, divulge or otherwise communicate such Confidential Information to others, or use it for any purpose, except pursuant to, and in order to carry out, the terms and objectives of this Agreement, or with the express written consent of the Party who provided such Confidential Information. Each Party will maintain the confidentiality of the other Party’s confidential information using methods and practices that are substantially similar to those that the receiving Party uses to maintain the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- 16 -</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4926-6413-5580,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78" w:name="page179"/>
    <w:bookmarkEnd w:id="178"/>
    <w:p>
      <w:pPr>
        <w:jc w:val="both"/>
        <w:spacing w:after="0" w:line="246" w:lineRule="auto"/>
        <w:rPr>
          <w:sz w:val="20"/>
          <w:szCs w:val="20"/>
          <w:color w:val="auto"/>
        </w:rPr>
      </w:pPr>
      <w:r>
        <w:rPr>
          <w:rFonts w:ascii="Times New Roman" w:cs="Times New Roman" w:eastAsia="Times New Roman" w:hAnsi="Times New Roman"/>
          <w:sz w:val="20"/>
          <w:szCs w:val="20"/>
          <w:color w:val="231F20"/>
        </w:rPr>
        <w:t xml:space="preserve">confidentiality of its own confidential information, but in no event less than a reasonable degree of care. Except as may be authorized in advance in writing by the disclosing Party, the receiving Party will disclose or grant access to the Confidential Information to only those of its employees and agents as reasonably necessary or useful to exercise its rights or perform its obligations under this Agreement and such employees and agents will have entered into non-disclosure agreements, or be bound by professional obligations of confidentiality, no less protective of the disclosing party’s Confidential Information than those set forth in this </w:t>
      </w:r>
      <w:r>
        <w:rPr>
          <w:rFonts w:ascii="Times New Roman" w:cs="Times New Roman" w:eastAsia="Times New Roman" w:hAnsi="Times New Roman"/>
          <w:sz w:val="20"/>
          <w:szCs w:val="20"/>
          <w:u w:val="single" w:color="auto"/>
          <w:color w:val="231F20"/>
        </w:rPr>
        <w:t>Section 8.5</w:t>
      </w:r>
      <w:r>
        <w:rPr>
          <w:rFonts w:ascii="Times New Roman" w:cs="Times New Roman" w:eastAsia="Times New Roman" w:hAnsi="Times New Roman"/>
          <w:sz w:val="20"/>
          <w:szCs w:val="20"/>
          <w:color w:val="231F20"/>
        </w:rPr>
        <w:t xml:space="preserve"> and the receiving Party shall be liable to the disclosing Party for any breach of such employees and agents</w:t>
      </w:r>
      <w:r>
        <w:rPr>
          <w:rFonts w:ascii="Arial" w:cs="Arial" w:eastAsia="Arial" w:hAnsi="Arial"/>
          <w:sz w:val="20"/>
          <w:szCs w:val="20"/>
          <w:color w:val="231F20"/>
        </w:rPr>
        <w:t>'</w:t>
      </w:r>
      <w:r>
        <w:rPr>
          <w:rFonts w:ascii="Times New Roman" w:cs="Times New Roman" w:eastAsia="Times New Roman" w:hAnsi="Times New Roman"/>
          <w:sz w:val="20"/>
          <w:szCs w:val="20"/>
          <w:color w:val="231F20"/>
        </w:rPr>
        <w:t xml:space="preserve"> confidentiality obligations.</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231F20"/>
        </w:rPr>
        <w:t>8.5.2. Notwithstanding the foregoing, a receiving Party may disclose Confidential Information of the disclosing Party to:</w:t>
      </w:r>
    </w:p>
    <w:p>
      <w:pPr>
        <w:spacing w:after="0" w:line="216" w:lineRule="exact"/>
        <w:rPr>
          <w:sz w:val="20"/>
          <w:szCs w:val="20"/>
          <w:color w:val="auto"/>
        </w:rPr>
      </w:pPr>
    </w:p>
    <w:p>
      <w:pPr>
        <w:jc w:val="both"/>
        <w:ind w:firstLine="2246"/>
        <w:spacing w:after="0" w:line="250" w:lineRule="auto"/>
        <w:rPr>
          <w:sz w:val="20"/>
          <w:szCs w:val="20"/>
          <w:color w:val="auto"/>
        </w:rPr>
      </w:pPr>
      <w:r>
        <w:rPr>
          <w:rFonts w:ascii="Times New Roman" w:cs="Times New Roman" w:eastAsia="Times New Roman" w:hAnsi="Times New Roman"/>
          <w:sz w:val="20"/>
          <w:szCs w:val="20"/>
          <w:color w:val="231F20"/>
        </w:rPr>
        <w:t>8.5.2.1.its Affiliates, and to its and their directors, employees, consultants, contractors, attorneys, advisors and agents, in each case who have a specific need to know such Confidential Information in connection with an activity under or relating to this Agreement and who are bound in writing by obligations of confidentiality and restrictions on use at least as stringent as those herein, and the receiving Party shall be liable to the disclosing Party for any breach of such employees and agents</w:t>
      </w:r>
      <w:r>
        <w:rPr>
          <w:rFonts w:ascii="Arial" w:cs="Arial" w:eastAsia="Arial" w:hAnsi="Arial"/>
          <w:sz w:val="20"/>
          <w:szCs w:val="20"/>
          <w:color w:val="231F20"/>
        </w:rPr>
        <w:t>'</w:t>
      </w:r>
      <w:r>
        <w:rPr>
          <w:rFonts w:ascii="Times New Roman" w:cs="Times New Roman" w:eastAsia="Times New Roman" w:hAnsi="Times New Roman"/>
          <w:sz w:val="20"/>
          <w:szCs w:val="20"/>
          <w:color w:val="231F20"/>
        </w:rPr>
        <w:t xml:space="preserve"> confidentiality obligations;</w:t>
      </w:r>
    </w:p>
    <w:p>
      <w:pPr>
        <w:spacing w:after="0" w:line="175"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0"/>
          <w:szCs w:val="20"/>
          <w:color w:val="231F20"/>
        </w:rPr>
        <w:t>8.5.2.2.any bona fide actual or prospective collaborators who are under written obligations of confidentiality and non-use at least as stringent as those herein, to the extent reasonably necessary to enable such actual or prospective collaborators to (i) determine their interest in collaborating with the receiving Party on the development and/or commercialization of Licensed Products and (ii) engage in such a collaboration, and the receiving Party shall be liable to the disclosing Party for any breach of such employees and agents</w:t>
      </w:r>
      <w:r>
        <w:rPr>
          <w:rFonts w:ascii="Arial" w:cs="Arial" w:eastAsia="Arial" w:hAnsi="Arial"/>
          <w:sz w:val="20"/>
          <w:szCs w:val="20"/>
          <w:color w:val="231F20"/>
        </w:rPr>
        <w:t>'</w:t>
      </w:r>
      <w:r>
        <w:rPr>
          <w:rFonts w:ascii="Times New Roman" w:cs="Times New Roman" w:eastAsia="Times New Roman" w:hAnsi="Times New Roman"/>
          <w:sz w:val="20"/>
          <w:szCs w:val="20"/>
          <w:color w:val="231F20"/>
        </w:rPr>
        <w:t xml:space="preserve"> confidentiality obligations;</w:t>
      </w:r>
    </w:p>
    <w:p>
      <w:pPr>
        <w:spacing w:after="0" w:line="18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9"/>
          <w:szCs w:val="19"/>
          <w:color w:val="231F20"/>
        </w:rPr>
        <w:t>8.5.2.3.governmental authorities in connection with filing, prosecuting, or maintaining patent rights as permitted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by this Agreement;</w:t>
      </w:r>
    </w:p>
    <w:p>
      <w:pPr>
        <w:spacing w:after="0" w:line="194" w:lineRule="exact"/>
        <w:rPr>
          <w:sz w:val="20"/>
          <w:szCs w:val="20"/>
          <w:color w:val="auto"/>
        </w:rPr>
      </w:pPr>
    </w:p>
    <w:p>
      <w:pPr>
        <w:jc w:val="both"/>
        <w:ind w:firstLine="2246"/>
        <w:spacing w:after="0" w:line="269" w:lineRule="auto"/>
        <w:rPr>
          <w:sz w:val="20"/>
          <w:szCs w:val="20"/>
          <w:color w:val="auto"/>
        </w:rPr>
      </w:pPr>
      <w:r>
        <w:rPr>
          <w:rFonts w:ascii="Times New Roman" w:cs="Times New Roman" w:eastAsia="Times New Roman" w:hAnsi="Times New Roman"/>
          <w:sz w:val="20"/>
          <w:szCs w:val="20"/>
          <w:color w:val="231F20"/>
        </w:rPr>
        <w:t>8.5.2.4.Regulatory Authorities in connection with regulatory filings for Products that the receiving Party has a license or right to develop hereunder in a given country or jurisdiction;</w:t>
      </w:r>
    </w:p>
    <w:p>
      <w:pPr>
        <w:spacing w:after="0" w:line="159" w:lineRule="exact"/>
        <w:rPr>
          <w:sz w:val="20"/>
          <w:szCs w:val="20"/>
          <w:color w:val="auto"/>
        </w:rPr>
      </w:pPr>
    </w:p>
    <w:p>
      <w:pPr>
        <w:jc w:val="both"/>
        <w:ind w:firstLine="2246"/>
        <w:spacing w:after="0" w:line="257" w:lineRule="auto"/>
        <w:rPr>
          <w:sz w:val="20"/>
          <w:szCs w:val="20"/>
          <w:color w:val="auto"/>
        </w:rPr>
      </w:pPr>
      <w:r>
        <w:rPr>
          <w:rFonts w:ascii="Times New Roman" w:cs="Times New Roman" w:eastAsia="Times New Roman" w:hAnsi="Times New Roman"/>
          <w:sz w:val="19"/>
          <w:szCs w:val="19"/>
          <w:color w:val="231F20"/>
        </w:rPr>
        <w:t xml:space="preserve">8.5.2.5.the extent required to do so by Applicable Law or a proper legal, governmental or other competent authority, or by the rules of any securities exchange on which any security issued by either Party is traded, or included in any filing or action taken by the receiving Party to obtain or maintain government clearance or approval to market a subject Licensed Product; </w:t>
      </w:r>
      <w:r>
        <w:rPr>
          <w:rFonts w:ascii="Times New Roman" w:cs="Times New Roman" w:eastAsia="Times New Roman" w:hAnsi="Times New Roman"/>
          <w:sz w:val="19"/>
          <w:szCs w:val="19"/>
          <w:i w:val="1"/>
          <w:iCs w:val="1"/>
          <w:u w:val="single" w:color="auto"/>
          <w:color w:val="231F20"/>
        </w:rPr>
        <w:t>provided,</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i w:val="1"/>
          <w:iCs w:val="1"/>
          <w:u w:val="single" w:color="auto"/>
          <w:color w:val="231F20"/>
        </w:rPr>
        <w:t>however</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that, (i) to the extent permissible and practicable, the receiving Party required to make such disclosure shall give the disclosing</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Party reasonable advance notice of such disclosure requirement and shall afford the disclosing Party a reasonable opportunity to oppose, limit or secure confidential treatment for such required disclosure, or, where it is impracticable or illegal to give an advance notice, the Party required to make such disclosure shall give the disclosing Party reasonable notice promptly after such required disclosure; (ii) the Party required to make such disclosure shall disclose only that portion of the Confidential Information legally required to be disclosed; (iii) the Party required to make such disclosure shall use reasonable efforts to secure confidential treatment of such Confidential Information; and</w:t>
      </w:r>
    </w:p>
    <w:p>
      <w:pPr>
        <w:spacing w:after="0" w:line="172" w:lineRule="exact"/>
        <w:rPr>
          <w:sz w:val="20"/>
          <w:szCs w:val="20"/>
          <w:color w:val="auto"/>
        </w:rPr>
      </w:pPr>
    </w:p>
    <w:p>
      <w:pPr>
        <w:jc w:val="both"/>
        <w:ind w:firstLine="2246"/>
        <w:spacing w:after="0" w:line="273" w:lineRule="auto"/>
        <w:rPr>
          <w:sz w:val="20"/>
          <w:szCs w:val="20"/>
          <w:color w:val="auto"/>
        </w:rPr>
      </w:pPr>
      <w:r>
        <w:rPr>
          <w:rFonts w:ascii="Times New Roman" w:cs="Times New Roman" w:eastAsia="Times New Roman" w:hAnsi="Times New Roman"/>
          <w:sz w:val="20"/>
          <w:szCs w:val="20"/>
          <w:color w:val="231F20"/>
        </w:rPr>
        <w:t xml:space="preserve">8.5.2.6.to any [***]; </w:t>
      </w:r>
      <w:r>
        <w:rPr>
          <w:rFonts w:ascii="Times New Roman" w:cs="Times New Roman" w:eastAsia="Times New Roman" w:hAnsi="Times New Roman"/>
          <w:sz w:val="20"/>
          <w:szCs w:val="20"/>
          <w:i w:val="1"/>
          <w:iCs w:val="1"/>
          <w:u w:val="single" w:color="auto"/>
          <w:color w:val="231F20"/>
        </w:rPr>
        <w:t>provided, however</w:t>
      </w:r>
      <w:r>
        <w:rPr>
          <w:rFonts w:ascii="Times New Roman" w:cs="Times New Roman" w:eastAsia="Times New Roman" w:hAnsi="Times New Roman"/>
          <w:sz w:val="20"/>
          <w:szCs w:val="20"/>
          <w:color w:val="231F20"/>
        </w:rPr>
        <w:t xml:space="preserve">, in any such case said Party shall first obtain a written obligation of confidentiality no less stringent than that imposed in this </w:t>
      </w:r>
      <w:r>
        <w:rPr>
          <w:rFonts w:ascii="Times New Roman" w:cs="Times New Roman" w:eastAsia="Times New Roman" w:hAnsi="Times New Roman"/>
          <w:sz w:val="20"/>
          <w:szCs w:val="20"/>
          <w:u w:val="single" w:color="auto"/>
          <w:color w:val="231F20"/>
        </w:rPr>
        <w:t>Section 8.5</w:t>
      </w:r>
      <w:r>
        <w:rPr>
          <w:rFonts w:ascii="Times New Roman" w:cs="Times New Roman" w:eastAsia="Times New Roman" w:hAnsi="Times New Roman"/>
          <w:sz w:val="20"/>
          <w:szCs w:val="20"/>
          <w:color w:val="231F20"/>
        </w:rPr>
        <w:t xml:space="preserve"> from the [***].</w:t>
      </w:r>
    </w:p>
    <w:p>
      <w:pPr>
        <w:spacing w:after="0" w:line="15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231F20"/>
        </w:rPr>
        <w:t xml:space="preserve">8.5.3. Any information disclosed pursuant to </w:t>
      </w:r>
      <w:r>
        <w:rPr>
          <w:rFonts w:ascii="Times New Roman" w:cs="Times New Roman" w:eastAsia="Times New Roman" w:hAnsi="Times New Roman"/>
          <w:sz w:val="20"/>
          <w:szCs w:val="20"/>
          <w:u w:val="single" w:color="auto"/>
          <w:color w:val="231F20"/>
        </w:rPr>
        <w:t>Section 8.5.2</w:t>
      </w:r>
      <w:r>
        <w:rPr>
          <w:rFonts w:ascii="Times New Roman" w:cs="Times New Roman" w:eastAsia="Times New Roman" w:hAnsi="Times New Roman"/>
          <w:sz w:val="20"/>
          <w:szCs w:val="20"/>
          <w:color w:val="231F20"/>
        </w:rPr>
        <w:t xml:space="preserve"> shall remain Confidential Information and subject to the restrictions set forth in this Agreement, including the foregoing provisions of this </w:t>
      </w:r>
      <w:r>
        <w:rPr>
          <w:rFonts w:ascii="Times New Roman" w:cs="Times New Roman" w:eastAsia="Times New Roman" w:hAnsi="Times New Roman"/>
          <w:sz w:val="20"/>
          <w:szCs w:val="20"/>
          <w:u w:val="single" w:color="auto"/>
          <w:color w:val="231F20"/>
        </w:rPr>
        <w:t>Section 8.5.2.3</w:t>
      </w:r>
      <w:r>
        <w:rPr>
          <w:rFonts w:ascii="Times New Roman" w:cs="Times New Roman" w:eastAsia="Times New Roman" w:hAnsi="Times New Roman"/>
          <w:sz w:val="20"/>
          <w:szCs w:val="20"/>
          <w:color w:val="231F20"/>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- 17 -</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4926-6413-5580,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79" w:name="page180"/>
    <w:bookmarkEnd w:id="179"/>
    <w:p>
      <w:pPr>
        <w:jc w:val="both"/>
        <w:ind w:firstLine="749"/>
        <w:spacing w:after="0" w:line="243" w:lineRule="auto"/>
        <w:rPr>
          <w:sz w:val="20"/>
          <w:szCs w:val="20"/>
          <w:color w:val="auto"/>
        </w:rPr>
      </w:pPr>
      <w:r>
        <w:rPr>
          <w:rFonts w:ascii="Times New Roman" w:cs="Times New Roman" w:eastAsia="Times New Roman" w:hAnsi="Times New Roman"/>
          <w:sz w:val="20"/>
          <w:szCs w:val="20"/>
          <w:color w:val="231F20"/>
        </w:rPr>
        <w:t>8.6.</w:t>
      </w:r>
      <w:r>
        <w:rPr>
          <w:rFonts w:ascii="Times New Roman" w:cs="Times New Roman" w:eastAsia="Times New Roman" w:hAnsi="Times New Roman"/>
          <w:sz w:val="20"/>
          <w:szCs w:val="20"/>
          <w:i w:val="1"/>
          <w:iCs w:val="1"/>
          <w:u w:val="single" w:color="auto"/>
          <w:color w:val="231F20"/>
        </w:rPr>
        <w:t>Use of Names</w:t>
      </w:r>
      <w:r>
        <w:rPr>
          <w:rFonts w:ascii="Times New Roman" w:cs="Times New Roman" w:eastAsia="Times New Roman" w:hAnsi="Times New Roman"/>
          <w:sz w:val="20"/>
          <w:szCs w:val="20"/>
          <w:color w:val="231F20"/>
        </w:rPr>
        <w:t xml:space="preserve">. Neither Party may identify the other Party in any promotional advertising or other promotional materials to be disseminated to the public or any portion thereof, or use the name of any staff member or employee of the other Party or any trademark, service mark, trade name, symbol or logo that is associated with the other Party, without the other Party’s prior written consent. Notwithstanding the foregoing, and for the avoidance of doubt, without the consent of the other Party either Party may comply with disclosure requirements of all Applicable Laws relating to its business, including, without limitation, United States and state securities laws. During the Term, and with the prior written consent of the other Party, each Party may include the other Party’s name, logo, and a brief description of such other Party on said Party’s website and such other Party hereby consents to such inclusion of its name, logo, and a brief description on said Party’s website; </w:t>
      </w:r>
      <w:r>
        <w:rPr>
          <w:rFonts w:ascii="Times New Roman" w:cs="Times New Roman" w:eastAsia="Times New Roman" w:hAnsi="Times New Roman"/>
          <w:sz w:val="20"/>
          <w:szCs w:val="20"/>
          <w:i w:val="1"/>
          <w:iCs w:val="1"/>
          <w:u w:val="single" w:color="auto"/>
          <w:color w:val="231F20"/>
        </w:rPr>
        <w:t>provided, however</w:t>
      </w:r>
      <w:r>
        <w:rPr>
          <w:rFonts w:ascii="Times New Roman" w:cs="Times New Roman" w:eastAsia="Times New Roman" w:hAnsi="Times New Roman"/>
          <w:sz w:val="20"/>
          <w:szCs w:val="20"/>
          <w:color w:val="231F20"/>
        </w:rPr>
        <w:t>, that either Party shall have the right to revoke such consent at any time and for any reason, and promptly following written notice of such revocation, and in any event within [***], the posting Party shall remove the other Party’s name, logo, and description from the posting Party’s website.</w:t>
      </w:r>
    </w:p>
    <w:p>
      <w:pPr>
        <w:spacing w:after="0" w:line="18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231F20"/>
        </w:rPr>
        <w:t>8.7.</w:t>
      </w:r>
      <w:r>
        <w:rPr>
          <w:rFonts w:ascii="Times New Roman" w:cs="Times New Roman" w:eastAsia="Times New Roman" w:hAnsi="Times New Roman"/>
          <w:sz w:val="20"/>
          <w:szCs w:val="20"/>
          <w:i w:val="1"/>
          <w:iCs w:val="1"/>
          <w:u w:val="single" w:color="auto"/>
          <w:color w:val="231F20"/>
        </w:rPr>
        <w:t>Press Releases</w:t>
      </w:r>
      <w:r>
        <w:rPr>
          <w:rFonts w:ascii="Times New Roman" w:cs="Times New Roman" w:eastAsia="Times New Roman" w:hAnsi="Times New Roman"/>
          <w:sz w:val="20"/>
          <w:szCs w:val="20"/>
          <w:color w:val="231F20"/>
        </w:rPr>
        <w:t>. The Parties shall mutually agree upon the timing and content of any press releases or other public announcement relating to this Agreement and the transactions and/or activities contemplated herein.</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231F20"/>
        </w:rPr>
        <w:t>8.8.</w:t>
      </w:r>
      <w:r>
        <w:rPr>
          <w:rFonts w:ascii="Times New Roman" w:cs="Times New Roman" w:eastAsia="Times New Roman" w:hAnsi="Times New Roman"/>
          <w:sz w:val="20"/>
          <w:szCs w:val="20"/>
          <w:i w:val="1"/>
          <w:iCs w:val="1"/>
          <w:u w:val="single" w:color="auto"/>
          <w:color w:val="231F20"/>
        </w:rPr>
        <w:t>Affiliates and Sublicensees</w:t>
      </w:r>
      <w:r>
        <w:rPr>
          <w:rFonts w:ascii="Times New Roman" w:cs="Times New Roman" w:eastAsia="Times New Roman" w:hAnsi="Times New Roman"/>
          <w:sz w:val="20"/>
          <w:szCs w:val="20"/>
          <w:color w:val="231F20"/>
        </w:rPr>
        <w:t xml:space="preserve">. For the avoidance of doubt, and notwithstanding anything to the contrary in this Agreement, each Party’s Affiliates and Licensee’s Sublicensees may exercise such Party’s rights under this </w:t>
      </w:r>
      <w:r>
        <w:rPr>
          <w:rFonts w:ascii="Times New Roman" w:cs="Times New Roman" w:eastAsia="Times New Roman" w:hAnsi="Times New Roman"/>
          <w:sz w:val="20"/>
          <w:szCs w:val="20"/>
          <w:u w:val="single" w:color="auto"/>
          <w:color w:val="231F20"/>
        </w:rPr>
        <w:t>Section 8</w:t>
      </w:r>
      <w:r>
        <w:rPr>
          <w:rFonts w:ascii="Times New Roman" w:cs="Times New Roman" w:eastAsia="Times New Roman" w:hAnsi="Times New Roman"/>
          <w:sz w:val="20"/>
          <w:szCs w:val="20"/>
          <w:color w:val="231F20"/>
        </w:rPr>
        <w: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Section 9</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u w:val="single" w:color="auto"/>
          <w:color w:val="231F20"/>
        </w:rPr>
        <w:t>Indemnification; Insurance</w:t>
      </w:r>
    </w:p>
    <w:p>
      <w:pPr>
        <w:spacing w:after="0" w:line="19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231F20"/>
        </w:rPr>
        <w:t>9.1.</w:t>
      </w:r>
      <w:r>
        <w:rPr>
          <w:rFonts w:ascii="Times New Roman" w:cs="Times New Roman" w:eastAsia="Times New Roman" w:hAnsi="Times New Roman"/>
          <w:sz w:val="20"/>
          <w:szCs w:val="20"/>
          <w:i w:val="1"/>
          <w:iCs w:val="1"/>
          <w:u w:val="single" w:color="auto"/>
          <w:color w:val="231F20"/>
        </w:rPr>
        <w:t>Indemnification by Licensee</w:t>
      </w:r>
      <w:r>
        <w:rPr>
          <w:rFonts w:ascii="Times New Roman" w:cs="Times New Roman" w:eastAsia="Times New Roman" w:hAnsi="Times New Roman"/>
          <w:sz w:val="20"/>
          <w:szCs w:val="20"/>
          <w:color w:val="231F20"/>
        </w:rPr>
        <w:t>. Licensee will indemnify, defend and hold harmless Licensor, its Affiliates and their respective directors, officers, employees, consultants, licensors and agents, and their respective successors, heirs, and assigns (each a “</w:t>
      </w:r>
      <w:r>
        <w:rPr>
          <w:rFonts w:ascii="Times New Roman" w:cs="Times New Roman" w:eastAsia="Times New Roman" w:hAnsi="Times New Roman"/>
          <w:sz w:val="20"/>
          <w:szCs w:val="20"/>
          <w:i w:val="1"/>
          <w:iCs w:val="1"/>
          <w:u w:val="single" w:color="auto"/>
          <w:color w:val="231F20"/>
        </w:rPr>
        <w:t>Licensor</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u w:val="single" w:color="auto"/>
          <w:color w:val="231F20"/>
        </w:rPr>
        <w:t>Indemnitee</w:t>
      </w:r>
      <w:r>
        <w:rPr>
          <w:rFonts w:ascii="Times New Roman" w:cs="Times New Roman" w:eastAsia="Times New Roman" w:hAnsi="Times New Roman"/>
          <w:sz w:val="20"/>
          <w:szCs w:val="20"/>
          <w:color w:val="231F20"/>
        </w:rPr>
        <w:t>”), against all suits, actions, claims, proceedings, in each case brought by a third party (each, a “</w:t>
      </w:r>
      <w:r>
        <w:rPr>
          <w:rFonts w:ascii="Times New Roman" w:cs="Times New Roman" w:eastAsia="Times New Roman" w:hAnsi="Times New Roman"/>
          <w:sz w:val="20"/>
          <w:szCs w:val="20"/>
          <w:i w:val="1"/>
          <w:iCs w:val="1"/>
          <w:u w:val="single" w:color="auto"/>
          <w:color w:val="231F20"/>
        </w:rPr>
        <w:t>Claim</w:t>
      </w:r>
      <w:r>
        <w:rPr>
          <w:rFonts w:ascii="Times New Roman" w:cs="Times New Roman" w:eastAsia="Times New Roman" w:hAnsi="Times New Roman"/>
          <w:sz w:val="20"/>
          <w:szCs w:val="20"/>
          <w:color w:val="231F20"/>
        </w:rPr>
        <w:t>”) and the resulting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liabilities, demands, damages, losses, or expenses (including legal expenses, investigative expenses, and attorneys’ fees) (“</w:t>
      </w:r>
      <w:r>
        <w:rPr>
          <w:rFonts w:ascii="Times New Roman" w:cs="Times New Roman" w:eastAsia="Times New Roman" w:hAnsi="Times New Roman"/>
          <w:sz w:val="20"/>
          <w:szCs w:val="20"/>
          <w:i w:val="1"/>
          <w:iCs w:val="1"/>
          <w:u w:val="single" w:color="auto"/>
          <w:color w:val="231F20"/>
        </w:rPr>
        <w:t>Losses</w:t>
      </w:r>
      <w:r>
        <w:rPr>
          <w:rFonts w:ascii="Times New Roman" w:cs="Times New Roman" w:eastAsia="Times New Roman" w:hAnsi="Times New Roman"/>
          <w:sz w:val="20"/>
          <w:szCs w:val="20"/>
          <w:color w:val="231F20"/>
        </w:rPr>
        <w:t>”) to the extent arising out of Licensee’s or, as applicable Licensee’s Affiliate’s or Sublicensee’s:</w:t>
      </w:r>
    </w:p>
    <w:p>
      <w:pPr>
        <w:spacing w:after="0" w:line="184" w:lineRule="exact"/>
        <w:rPr>
          <w:sz w:val="20"/>
          <w:szCs w:val="20"/>
          <w:color w:val="auto"/>
        </w:rPr>
      </w:pPr>
    </w:p>
    <w:p>
      <w:pPr>
        <w:jc w:val="both"/>
        <w:ind w:firstLine="757"/>
        <w:spacing w:after="0" w:line="246" w:lineRule="auto"/>
        <w:tabs>
          <w:tab w:leader="none" w:pos="1045" w:val="left"/>
        </w:tabs>
        <w:numPr>
          <w:ilvl w:val="0"/>
          <w:numId w:val="8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gross negligence or intentional misconduct, (b) failure to comply with Applicable Laws, or (c) Licensee’s, its Affiliates’ or Sublicensee’s Exploitation of Licensed Product in the Licensed Territory or the exercise of the licenses granted under this Agreement, including the production, manufacture, sale, use, lease, consumption, administration, shipping, storage, transfer, advertisement, analysis, measurement, description, or characterization of the Licensed Technology, or Licensed Products, or any activity arising from or in connection with any right or obligation of Licensee hereunder, except in each case (a) through</w:t>
      </w:r>
    </w:p>
    <w:p>
      <w:pPr>
        <w:spacing w:after="0" w:line="185" w:lineRule="exact"/>
        <w:rPr>
          <w:sz w:val="20"/>
          <w:szCs w:val="20"/>
          <w:color w:val="auto"/>
        </w:rPr>
      </w:pPr>
    </w:p>
    <w:p>
      <w:pPr>
        <w:ind w:firstLine="757"/>
        <w:spacing w:after="0" w:line="269" w:lineRule="auto"/>
        <w:tabs>
          <w:tab w:leader="none" w:pos="1031" w:val="left"/>
        </w:tabs>
        <w:numPr>
          <w:ilvl w:val="0"/>
          <w:numId w:val="8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to the extent resulting from a Licensor Indemnitee’s (i) gross negligence or intentional misconduct; (ii) failure to comply with Applicable Law; (iii) Exploitation of the Licensed Technology; or (iv) breach of this Agreement.</w:t>
      </w:r>
    </w:p>
    <w:p>
      <w:pPr>
        <w:spacing w:after="0" w:line="15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231F20"/>
        </w:rPr>
        <w:t>9.2.</w:t>
      </w:r>
      <w:r>
        <w:rPr>
          <w:rFonts w:ascii="Times New Roman" w:cs="Times New Roman" w:eastAsia="Times New Roman" w:hAnsi="Times New Roman"/>
          <w:sz w:val="20"/>
          <w:szCs w:val="20"/>
          <w:i w:val="1"/>
          <w:iCs w:val="1"/>
          <w:u w:val="single" w:color="auto"/>
          <w:color w:val="231F20"/>
        </w:rPr>
        <w:t>Indemnification by Licensor</w:t>
      </w:r>
      <w:r>
        <w:rPr>
          <w:rFonts w:ascii="Times New Roman" w:cs="Times New Roman" w:eastAsia="Times New Roman" w:hAnsi="Times New Roman"/>
          <w:sz w:val="20"/>
          <w:szCs w:val="20"/>
          <w:color w:val="231F20"/>
        </w:rPr>
        <w:t>. Licensor will indemnify, defend and hold harmless Licensee, its Affiliates, Sublicensees, any contractors of the foregoing, and their respective directors, officers, employees, consultants, licensors and agents, and their respective successors, heirs, and assigns (each a</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- 18 -</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4926-6413-5580,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80" w:name="page181"/>
    <w:bookmarkEnd w:id="180"/>
    <w:p>
      <w:pPr>
        <w:jc w:val="both"/>
        <w:spacing w:after="0" w:line="250"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i w:val="1"/>
          <w:iCs w:val="1"/>
          <w:u w:val="single" w:color="auto"/>
          <w:color w:val="231F20"/>
        </w:rPr>
        <w:t>Licensee Indemnitee</w:t>
      </w:r>
      <w:r>
        <w:rPr>
          <w:rFonts w:ascii="Times New Roman" w:cs="Times New Roman" w:eastAsia="Times New Roman" w:hAnsi="Times New Roman"/>
          <w:sz w:val="20"/>
          <w:szCs w:val="20"/>
          <w:color w:val="231F20"/>
        </w:rPr>
        <w:t>”) against any Claims and Losses to the extent arising out of Licensor’s or its Affiliate’s: (a) gross negligence or intentional misconduct; (b) failure to comply with Applicable Laws; or (c) Exploitation of the Licensed Technology; except in each case (a) through (c) to the extent resulting from a Licensee Indemnitee’s (i) gross negligence or intentional misconduct; (ii) failure to comply with Applicable Law; (iii) Exploitation of the Licensed Technology; or (iv) breach of this Agreement.</w:t>
      </w:r>
    </w:p>
    <w:p>
      <w:pPr>
        <w:spacing w:after="0" w:line="17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231F20"/>
        </w:rPr>
        <w:t>9.3.</w:t>
      </w:r>
      <w:r>
        <w:rPr>
          <w:rFonts w:ascii="Times New Roman" w:cs="Times New Roman" w:eastAsia="Times New Roman" w:hAnsi="Times New Roman"/>
          <w:sz w:val="20"/>
          <w:szCs w:val="20"/>
          <w:i w:val="1"/>
          <w:iCs w:val="1"/>
          <w:u w:val="single" w:color="auto"/>
          <w:color w:val="231F20"/>
        </w:rPr>
        <w:t>Indemnification Procedure</w:t>
      </w:r>
      <w:r>
        <w:rPr>
          <w:rFonts w:ascii="Times New Roman" w:cs="Times New Roman" w:eastAsia="Times New Roman" w:hAnsi="Times New Roman"/>
          <w:sz w:val="20"/>
          <w:szCs w:val="20"/>
          <w:color w:val="231F20"/>
        </w:rPr>
        <w:t xml:space="preserve">. Each Party’s agreement to indemnify, defend, and hold harmless under </w:t>
      </w:r>
      <w:r>
        <w:rPr>
          <w:rFonts w:ascii="Times New Roman" w:cs="Times New Roman" w:eastAsia="Times New Roman" w:hAnsi="Times New Roman"/>
          <w:sz w:val="20"/>
          <w:szCs w:val="20"/>
          <w:u w:val="single" w:color="auto"/>
          <w:color w:val="231F20"/>
        </w:rPr>
        <w:t>Section 9.1</w:t>
      </w:r>
      <w:r>
        <w:rPr>
          <w:rFonts w:ascii="Times New Roman" w:cs="Times New Roman" w:eastAsia="Times New Roman" w:hAnsi="Times New Roman"/>
          <w:sz w:val="20"/>
          <w:szCs w:val="20"/>
          <w:color w:val="231F20"/>
        </w:rPr>
        <w:t xml:space="preserve"> or </w:t>
      </w:r>
      <w:r>
        <w:rPr>
          <w:rFonts w:ascii="Times New Roman" w:cs="Times New Roman" w:eastAsia="Times New Roman" w:hAnsi="Times New Roman"/>
          <w:sz w:val="20"/>
          <w:szCs w:val="20"/>
          <w:u w:val="single" w:color="auto"/>
          <w:color w:val="231F20"/>
        </w:rPr>
        <w:t>9.2</w:t>
      </w:r>
      <w:r>
        <w:rPr>
          <w:rFonts w:ascii="Times New Roman" w:cs="Times New Roman" w:eastAsia="Times New Roman" w:hAnsi="Times New Roman"/>
          <w:sz w:val="20"/>
          <w:szCs w:val="20"/>
          <w:color w:val="231F20"/>
        </w:rPr>
        <w:t xml:space="preserve">, as applicable, is conditioned upon the indemnified Party (a) providing written notice to the indemnifying Party of any Claim as soon as reasonably possible, and in any event no later than within [***], (b) permitting the indemnifying Party to assume control over the investigation of, preparation and defense against, and settlement or voluntary disposition of any such Claim, (c) assisting the indemnifying Party, at the indemnifying Party’s reasonable expense, in the investigation, preparation, defense, and settlement or voluntary disposition of any such Claim, and (d) not compromising, settling, or entering into any voluntary disposition of any such Claim without the indemnifying Party’s prior written consent, which consent shall not be unreasonably withheld; </w:t>
      </w:r>
      <w:r>
        <w:rPr>
          <w:rFonts w:ascii="Times New Roman" w:cs="Times New Roman" w:eastAsia="Times New Roman" w:hAnsi="Times New Roman"/>
          <w:sz w:val="20"/>
          <w:szCs w:val="20"/>
          <w:i w:val="1"/>
          <w:iCs w:val="1"/>
          <w:u w:val="single" w:color="auto"/>
          <w:color w:val="231F20"/>
        </w:rPr>
        <w:t>provided, however</w:t>
      </w:r>
      <w:r>
        <w:rPr>
          <w:rFonts w:ascii="Times New Roman" w:cs="Times New Roman" w:eastAsia="Times New Roman" w:hAnsi="Times New Roman"/>
          <w:sz w:val="20"/>
          <w:szCs w:val="20"/>
          <w:color w:val="231F20"/>
        </w:rPr>
        <w:t>, that, if the Party entitled to indemnification fails to promptly notify the indemnifying Party pursuant to the foregoing clause (a), the indemnifying Party will only be relieved of its indemnification obligation to the extent materially prejudiced by such failure. In no event may the indemnifying Party compromise, settle, or enter into any voluntary disposition of any Claim in any manner that admits material fault or wrongdoing on the part of the indemnified Party or incurs non-indemnified liability on the part of the indemnified Party without the prior written consent of the indemnified Party, and in no event may the indemnifying Party settle, compromise, or agree to any voluntary disposition of any matter subject to indemnification hereunder in any manner which (i) imposes any monetary restriction or obligation on or admits fault of the other Party or (ii) adversely affects the other Party’s rights under this Agreement, without such other Party’s prior written consent.</w:t>
      </w:r>
    </w:p>
    <w:p>
      <w:pPr>
        <w:spacing w:after="0" w:line="18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231F20"/>
        </w:rPr>
        <w:t>9.4.</w:t>
      </w:r>
      <w:r>
        <w:rPr>
          <w:rFonts w:ascii="Times New Roman" w:cs="Times New Roman" w:eastAsia="Times New Roman" w:hAnsi="Times New Roman"/>
          <w:sz w:val="20"/>
          <w:szCs w:val="20"/>
          <w:i w:val="1"/>
          <w:iCs w:val="1"/>
          <w:u w:val="single" w:color="auto"/>
          <w:color w:val="231F20"/>
        </w:rPr>
        <w:t>Insurance</w:t>
      </w:r>
      <w:r>
        <w:rPr>
          <w:rFonts w:ascii="Times New Roman" w:cs="Times New Roman" w:eastAsia="Times New Roman" w:hAnsi="Times New Roman"/>
          <w:sz w:val="20"/>
          <w:szCs w:val="20"/>
          <w:color w:val="231F20"/>
        </w:rPr>
        <w:t>. Licensee shall maintain in full force and effect during the Term, worker’s compensation, general liability and professional liability, clinical trial liability, and product liability insurance coverage, all in such amounts as are customary in the life sciences and pharmaceutical industries.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Section 10</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u w:val="single" w:color="auto"/>
          <w:color w:val="231F20"/>
        </w:rPr>
        <w:t>Alternative Dispute Resolution</w:t>
      </w:r>
    </w:p>
    <w:p>
      <w:pPr>
        <w:spacing w:after="0" w:line="19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231F20"/>
        </w:rPr>
        <w:t>10.1.</w:t>
      </w:r>
      <w:r>
        <w:rPr>
          <w:rFonts w:ascii="Times New Roman" w:cs="Times New Roman" w:eastAsia="Times New Roman" w:hAnsi="Times New Roman"/>
          <w:sz w:val="20"/>
          <w:szCs w:val="20"/>
          <w:i w:val="1"/>
          <w:iCs w:val="1"/>
          <w:u w:val="single" w:color="auto"/>
          <w:color w:val="231F20"/>
        </w:rPr>
        <w:t>Negotiation</w:t>
      </w:r>
      <w:r>
        <w:rPr>
          <w:rFonts w:ascii="Times New Roman" w:cs="Times New Roman" w:eastAsia="Times New Roman" w:hAnsi="Times New Roman"/>
          <w:sz w:val="20"/>
          <w:szCs w:val="20"/>
          <w:color w:val="231F20"/>
        </w:rPr>
        <w:t>. In the event of any dispute or disagreement between the Parties as to the interpretation of any provision of this Agreement (or the performance of any obligations hereunder), the matter, upon written request of either Party, shall be referred to representatives of the Parties for decision, each Party being represented by an executive officer (the “</w:t>
      </w:r>
      <w:r>
        <w:rPr>
          <w:rFonts w:ascii="Times New Roman" w:cs="Times New Roman" w:eastAsia="Times New Roman" w:hAnsi="Times New Roman"/>
          <w:sz w:val="20"/>
          <w:szCs w:val="20"/>
          <w:i w:val="1"/>
          <w:iCs w:val="1"/>
          <w:u w:val="single" w:color="auto"/>
          <w:color w:val="231F20"/>
        </w:rPr>
        <w:t>Representatives</w:t>
      </w:r>
      <w:r>
        <w:rPr>
          <w:rFonts w:ascii="Times New Roman" w:cs="Times New Roman" w:eastAsia="Times New Roman" w:hAnsi="Times New Roman"/>
          <w:sz w:val="20"/>
          <w:szCs w:val="20"/>
          <w:color w:val="231F20"/>
        </w:rPr>
        <w:t xml:space="preserve">”). The Representatives shall promptly meet in a good faith effort to resolve the dispute. If the Representatives do not mutually agree upon a decision within [***], each of the Parties shall be free to exercise the remedies available to it under </w:t>
      </w:r>
      <w:r>
        <w:rPr>
          <w:rFonts w:ascii="Times New Roman" w:cs="Times New Roman" w:eastAsia="Times New Roman" w:hAnsi="Times New Roman"/>
          <w:sz w:val="20"/>
          <w:szCs w:val="20"/>
          <w:u w:val="single" w:color="auto"/>
          <w:color w:val="231F20"/>
        </w:rPr>
        <w:t>Section 10.2</w:t>
      </w:r>
      <w:r>
        <w:rPr>
          <w:rFonts w:ascii="Times New Roman" w:cs="Times New Roman" w:eastAsia="Times New Roman" w:hAnsi="Times New Roman"/>
          <w:sz w:val="20"/>
          <w:szCs w:val="20"/>
          <w:color w:val="231F20"/>
        </w:rPr>
        <w:t>. Each Party may extend the period of time for negotiation among the Representatives for an additional period of [***] on [***].</w:t>
      </w:r>
    </w:p>
    <w:p>
      <w:pPr>
        <w:spacing w:after="0" w:line="17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231F20"/>
        </w:rPr>
        <w:t>10.2.</w:t>
      </w:r>
      <w:r>
        <w:rPr>
          <w:rFonts w:ascii="Times New Roman" w:cs="Times New Roman" w:eastAsia="Times New Roman" w:hAnsi="Times New Roman"/>
          <w:sz w:val="20"/>
          <w:szCs w:val="20"/>
          <w:i w:val="1"/>
          <w:iCs w:val="1"/>
          <w:u w:val="single" w:color="auto"/>
          <w:color w:val="231F20"/>
        </w:rPr>
        <w:t>Submission to Arbitration</w:t>
      </w:r>
      <w:r>
        <w:rPr>
          <w:rFonts w:ascii="Times New Roman" w:cs="Times New Roman" w:eastAsia="Times New Roman" w:hAnsi="Times New Roman"/>
          <w:sz w:val="20"/>
          <w:szCs w:val="20"/>
          <w:color w:val="231F20"/>
        </w:rPr>
        <w:t xml:space="preserve">. If the Parties are unable to resolve such dispute pursuant to </w:t>
      </w:r>
      <w:r>
        <w:rPr>
          <w:rFonts w:ascii="Times New Roman" w:cs="Times New Roman" w:eastAsia="Times New Roman" w:hAnsi="Times New Roman"/>
          <w:sz w:val="20"/>
          <w:szCs w:val="20"/>
          <w:u w:val="single" w:color="auto"/>
          <w:color w:val="231F20"/>
        </w:rPr>
        <w:t>Section 10.1</w:t>
      </w:r>
      <w:r>
        <w:rPr>
          <w:rFonts w:ascii="Times New Roman" w:cs="Times New Roman" w:eastAsia="Times New Roman" w:hAnsi="Times New Roman"/>
          <w:sz w:val="20"/>
          <w:szCs w:val="20"/>
          <w:color w:val="231F20"/>
        </w:rPr>
        <w:t>, either Party may submit the dispute to binding arbitration (without any recourse to the federal or state courts except to enforce any arbitral award or, within [***], to appeal such final decision based solely on a claim that the Arbitrator engaged in gross misconduct or made a material error or miscalculation in his or her decision) under the International Chamber of Commerce Rules (with the option to use ICC Expedited Procedures by mutual agreement of the Parties) then in force (except as expressly modified below). The number of arbitrators (“</w:t>
      </w:r>
      <w:r>
        <w:rPr>
          <w:rFonts w:ascii="Times New Roman" w:cs="Times New Roman" w:eastAsia="Times New Roman" w:hAnsi="Times New Roman"/>
          <w:sz w:val="20"/>
          <w:szCs w:val="20"/>
          <w:i w:val="1"/>
          <w:iCs w:val="1"/>
          <w:u w:val="single" w:color="auto"/>
          <w:color w:val="231F20"/>
        </w:rPr>
        <w:t>Arbitrator</w:t>
      </w:r>
      <w:r>
        <w:rPr>
          <w:rFonts w:ascii="Times New Roman" w:cs="Times New Roman" w:eastAsia="Times New Roman" w:hAnsi="Times New Roman"/>
          <w:sz w:val="20"/>
          <w:szCs w:val="20"/>
          <w:color w:val="231F20"/>
        </w:rPr>
        <w:t>”) shall be three (3). Each Party shall name one (1) Arbitrator, and the two (2) Arbitrators so named shall name the third Arbitrator, who shall act as chairman. The seat or legal place of arbitration shall be [***], and the language to be used in the arbitration shall be English. The arbitral result is final and binding to both Parties. The provisions of this paragraph may be enforced by any court of competent jurisdiction, and the Party seeking enforcement of the arbitral result shall be entitled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- 19 -</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4926-6413-5580,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81" w:name="page182"/>
    <w:bookmarkEnd w:id="181"/>
    <w:p>
      <w:pPr>
        <w:jc w:val="both"/>
        <w:spacing w:after="0" w:line="269" w:lineRule="auto"/>
        <w:rPr>
          <w:sz w:val="20"/>
          <w:szCs w:val="20"/>
          <w:color w:val="auto"/>
        </w:rPr>
      </w:pPr>
      <w:r>
        <w:rPr>
          <w:rFonts w:ascii="Times New Roman" w:cs="Times New Roman" w:eastAsia="Times New Roman" w:hAnsi="Times New Roman"/>
          <w:sz w:val="20"/>
          <w:szCs w:val="20"/>
          <w:color w:val="231F20"/>
        </w:rPr>
        <w:t>to an award of all costs, fees, and expenses, including reasonable attorney’s fees, to be paid by the Party against whom enforcement is ordered, including reasonable attorney’s fees.</w:t>
      </w:r>
    </w:p>
    <w:p>
      <w:pPr>
        <w:spacing w:after="0" w:line="15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231F20"/>
        </w:rPr>
        <w:t>10.3.</w:t>
      </w:r>
      <w:r>
        <w:rPr>
          <w:rFonts w:ascii="Times New Roman" w:cs="Times New Roman" w:eastAsia="Times New Roman" w:hAnsi="Times New Roman"/>
          <w:sz w:val="20"/>
          <w:szCs w:val="20"/>
          <w:i w:val="1"/>
          <w:iCs w:val="1"/>
          <w:u w:val="single" w:color="auto"/>
          <w:color w:val="231F20"/>
        </w:rPr>
        <w:t>Conduct of Arbitration</w:t>
      </w:r>
      <w:r>
        <w:rPr>
          <w:rFonts w:ascii="Times New Roman" w:cs="Times New Roman" w:eastAsia="Times New Roman" w:hAnsi="Times New Roman"/>
          <w:sz w:val="20"/>
          <w:szCs w:val="20"/>
          <w:color w:val="231F20"/>
        </w:rPr>
        <w:t xml:space="preserve">. The Arbitrator shall be required to (a) follow the substantive rules of New York State or Federal law, as applicable, (b) require all testimony to be transcribed, and (c) accompany his or her award with findings of fact and a statement of reasons for the decision. The Arbitrator shall have the authority to permit discovery for no more than [***], which may be extended once by mutual agreement of the Parties, to the extent deemed appropriate by the Arbitrator, upon reasonable request of a Party. The Arbitrator shall have no power or authority to (i) add to or detract from the written agreement of the Parties set forth herein, (ii) materially alter the express terms of this Agreement, or (iii) address or resolve any issue not submitted by the Parties. The Arbitrator shall hold proceedings during a period of no longer than [***], and the Arbitrator shall render a final decision within [***]. The Arbitrator shall have the power to reasonably interpret any ambiguous provisions of the Agreement in good faith, and to grant injunctive relief (without the necessity of a Party posting a bond) in the event a Party has violated the confidentiality provisions set forth in this Agreement, but shall have no power to award punitive and/or exemplary damages in the event of a breach, </w:t>
      </w:r>
      <w:r>
        <w:rPr>
          <w:rFonts w:ascii="Times New Roman" w:cs="Times New Roman" w:eastAsia="Times New Roman" w:hAnsi="Times New Roman"/>
          <w:sz w:val="20"/>
          <w:szCs w:val="20"/>
          <w:i w:val="1"/>
          <w:iCs w:val="1"/>
          <w:u w:val="single" w:color="auto"/>
          <w:color w:val="231F20"/>
        </w:rPr>
        <w:t>provided, however</w:t>
      </w:r>
      <w:r>
        <w:rPr>
          <w:rFonts w:ascii="Times New Roman" w:cs="Times New Roman" w:eastAsia="Times New Roman" w:hAnsi="Times New Roman"/>
          <w:sz w:val="20"/>
          <w:szCs w:val="20"/>
          <w:color w:val="231F20"/>
        </w:rPr>
        <w:t>, that nothing in this Agreement will operate to prevent a Party from seeking injunctive relief in a court of competent jurisdiction. In the event of any conflict between the commercial arbitration rules then in effect and the provisions of this Agreement, the provisions of this Agreement shall prevail and be controlling.</w:t>
      </w:r>
    </w:p>
    <w:p>
      <w:pPr>
        <w:spacing w:after="0" w:line="187"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231F20"/>
        </w:rPr>
        <w:t>10.4.</w:t>
      </w:r>
      <w:r>
        <w:rPr>
          <w:rFonts w:ascii="Times New Roman" w:cs="Times New Roman" w:eastAsia="Times New Roman" w:hAnsi="Times New Roman"/>
          <w:sz w:val="20"/>
          <w:szCs w:val="20"/>
          <w:i w:val="1"/>
          <w:iCs w:val="1"/>
          <w:u w:val="single" w:color="auto"/>
          <w:color w:val="231F20"/>
        </w:rPr>
        <w:t>Interim Relief</w:t>
      </w:r>
      <w:r>
        <w:rPr>
          <w:rFonts w:ascii="Times New Roman" w:cs="Times New Roman" w:eastAsia="Times New Roman" w:hAnsi="Times New Roman"/>
          <w:sz w:val="20"/>
          <w:szCs w:val="20"/>
          <w:color w:val="231F20"/>
        </w:rPr>
        <w:t>. Either Party may, without waiving any remedy under this Agreement, apply to the Arbitrator for interim injunctive relief until the arbitration award is rendered or the controversy is otherwise resolved. Either Party also may, without waiving any remedy under this Agreement, seek from any court having jurisdiction any injunctive or provisional relief necessary to protect the rights regarding the Intellectual Property of that Party pending the arbitration award. The Arbitrator shall have no authority to award punitive or any other type of damages not measured by a Party’s compensatory damages.</w:t>
      </w:r>
    </w:p>
    <w:p>
      <w:pPr>
        <w:spacing w:after="0" w:line="18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231F20"/>
        </w:rPr>
        <w:t>10.5.</w:t>
      </w:r>
      <w:r>
        <w:rPr>
          <w:rFonts w:ascii="Times New Roman" w:cs="Times New Roman" w:eastAsia="Times New Roman" w:hAnsi="Times New Roman"/>
          <w:sz w:val="20"/>
          <w:szCs w:val="20"/>
          <w:i w:val="1"/>
          <w:iCs w:val="1"/>
          <w:u w:val="single" w:color="auto"/>
          <w:color w:val="231F20"/>
        </w:rPr>
        <w:t>Cost of Arbitration</w:t>
      </w:r>
      <w:r>
        <w:rPr>
          <w:rFonts w:ascii="Times New Roman" w:cs="Times New Roman" w:eastAsia="Times New Roman" w:hAnsi="Times New Roman"/>
          <w:sz w:val="20"/>
          <w:szCs w:val="20"/>
          <w:color w:val="231F20"/>
        </w:rPr>
        <w:t>. Each Party shall share in the actual and direct costs of the engagement of the Arbitrator, but the prevailing Party in the arbitration shall be reimbursed by the non-prevailing Party for the prevailing Party’s fees and costs of arbitration (e.g., the costs, fees and expenses of outside experts and counsel retained by the prevailing Party). If one Party is not deemed by the Arbitrator to be the primary prevailing Party, then each Party will pay its own costs, fees and expenses (including attorneys’ fees) and an equal share of the Arbitrator’s fees and any administrative fees of arbitration.</w:t>
      </w:r>
    </w:p>
    <w:p>
      <w:pPr>
        <w:spacing w:after="0" w:line="18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231F20"/>
        </w:rPr>
        <w:t>10.6.</w:t>
      </w:r>
      <w:r>
        <w:rPr>
          <w:rFonts w:ascii="Times New Roman" w:cs="Times New Roman" w:eastAsia="Times New Roman" w:hAnsi="Times New Roman"/>
          <w:sz w:val="20"/>
          <w:szCs w:val="20"/>
          <w:i w:val="1"/>
          <w:iCs w:val="1"/>
          <w:u w:val="single" w:color="auto"/>
          <w:color w:val="231F20"/>
        </w:rPr>
        <w:t>Excluded Claims</w:t>
      </w:r>
      <w:r>
        <w:rPr>
          <w:rFonts w:ascii="Times New Roman" w:cs="Times New Roman" w:eastAsia="Times New Roman" w:hAnsi="Times New Roman"/>
          <w:sz w:val="20"/>
          <w:szCs w:val="20"/>
          <w:color w:val="231F20"/>
        </w:rPr>
        <w:t xml:space="preserve">. Notwithstanding anything to the contrary herein, nothing in this </w:t>
      </w:r>
      <w:r>
        <w:rPr>
          <w:rFonts w:ascii="Times New Roman" w:cs="Times New Roman" w:eastAsia="Times New Roman" w:hAnsi="Times New Roman"/>
          <w:sz w:val="20"/>
          <w:szCs w:val="20"/>
          <w:u w:val="single" w:color="auto"/>
          <w:color w:val="231F20"/>
        </w:rPr>
        <w:t>Section 10</w:t>
      </w:r>
      <w:r>
        <w:rPr>
          <w:rFonts w:ascii="Times New Roman" w:cs="Times New Roman" w:eastAsia="Times New Roman" w:hAnsi="Times New Roman"/>
          <w:sz w:val="20"/>
          <w:szCs w:val="20"/>
          <w:color w:val="231F20"/>
        </w:rPr>
        <w:t xml:space="preserve"> shall preclude a Party from seeking injunctive relief or specific performance in a court of competent jurisdiction. Unless otherwise mutually agreed upon by the Parties in writing, any Excluded Claims shall be brought in the federal court for the Southern District of New York, if federal jurisdiction is available, or, alternatively, in the state courts in New York, or, if mutually agreed by the Parties, another mutually acceptable jurisdiction. Each of the Parties hereby submits to the exclusive jurisdiction of such courts for the purpose of any such litigation; </w:t>
      </w:r>
      <w:r>
        <w:rPr>
          <w:rFonts w:ascii="Times New Roman" w:cs="Times New Roman" w:eastAsia="Times New Roman" w:hAnsi="Times New Roman"/>
          <w:sz w:val="20"/>
          <w:szCs w:val="20"/>
          <w:i w:val="1"/>
          <w:iCs w:val="1"/>
          <w:u w:val="single" w:color="auto"/>
          <w:color w:val="231F20"/>
        </w:rPr>
        <w:t>provided, however</w:t>
      </w:r>
      <w:r>
        <w:rPr>
          <w:rFonts w:ascii="Times New Roman" w:cs="Times New Roman" w:eastAsia="Times New Roman" w:hAnsi="Times New Roman"/>
          <w:sz w:val="20"/>
          <w:szCs w:val="20"/>
          <w:color w:val="231F20"/>
        </w:rPr>
        <w:t xml:space="preserve">, that either Party may raise a good faith objection based on forum non conveniens to request a transfer of venue to a more convenient court. A final judgment in any such litigation shall be conclusive and may be enforced in other jurisdictions by suit on the judgment or in any other manner provided by law. Each Party irrevocably and unconditionally agrees not to assert any claim that such court lacks jurisdiction over such litigation, except as provided above. As used in this </w:t>
      </w:r>
      <w:r>
        <w:rPr>
          <w:rFonts w:ascii="Times New Roman" w:cs="Times New Roman" w:eastAsia="Times New Roman" w:hAnsi="Times New Roman"/>
          <w:sz w:val="20"/>
          <w:szCs w:val="20"/>
          <w:u w:val="single" w:color="auto"/>
          <w:color w:val="231F20"/>
        </w:rPr>
        <w:t>Section 10.66</w:t>
      </w:r>
      <w:r>
        <w:rPr>
          <w:rFonts w:ascii="Times New Roman" w:cs="Times New Roman" w:eastAsia="Times New Roman" w:hAnsi="Times New Roman"/>
          <w:sz w:val="20"/>
          <w:szCs w:val="20"/>
          <w:color w:val="231F20"/>
        </w:rPr>
        <w:t>, the term “</w:t>
      </w:r>
      <w:r>
        <w:rPr>
          <w:rFonts w:ascii="Times New Roman" w:cs="Times New Roman" w:eastAsia="Times New Roman" w:hAnsi="Times New Roman"/>
          <w:sz w:val="20"/>
          <w:szCs w:val="20"/>
          <w:i w:val="1"/>
          <w:iCs w:val="1"/>
          <w:u w:val="single" w:color="auto"/>
          <w:color w:val="231F20"/>
        </w:rPr>
        <w:t>Excluded Claim</w:t>
      </w:r>
      <w:r>
        <w:rPr>
          <w:rFonts w:ascii="Times New Roman" w:cs="Times New Roman" w:eastAsia="Times New Roman" w:hAnsi="Times New Roman"/>
          <w:sz w:val="20"/>
          <w:szCs w:val="20"/>
          <w:color w:val="231F20"/>
        </w:rPr>
        <w:t>” means a dispute, controversy or claim that concerns: (w) the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- 20 -</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4926-6413-5580,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82" w:name="page183"/>
    <w:bookmarkEnd w:id="182"/>
    <w:p>
      <w:pPr>
        <w:jc w:val="both"/>
        <w:spacing w:after="0" w:line="269" w:lineRule="auto"/>
        <w:rPr>
          <w:sz w:val="20"/>
          <w:szCs w:val="20"/>
          <w:color w:val="auto"/>
        </w:rPr>
      </w:pPr>
      <w:r>
        <w:rPr>
          <w:rFonts w:ascii="Times New Roman" w:cs="Times New Roman" w:eastAsia="Times New Roman" w:hAnsi="Times New Roman"/>
          <w:sz w:val="20"/>
          <w:szCs w:val="20"/>
          <w:color w:val="231F20"/>
        </w:rPr>
        <w:t>scope, construction, validity or infringement of a patent, trademark or copyright; or (x) any antitrust, anti-monopoly or competition law or regulation, whether or not statutory.</w:t>
      </w:r>
    </w:p>
    <w:p>
      <w:pPr>
        <w:spacing w:after="0" w:line="15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231F20"/>
        </w:rPr>
        <w:t>10.7.</w:t>
      </w:r>
      <w:r>
        <w:rPr>
          <w:rFonts w:ascii="Times New Roman" w:cs="Times New Roman" w:eastAsia="Times New Roman" w:hAnsi="Times New Roman"/>
          <w:sz w:val="20"/>
          <w:szCs w:val="20"/>
          <w:i w:val="1"/>
          <w:iCs w:val="1"/>
          <w:u w:val="single" w:color="auto"/>
          <w:color w:val="231F20"/>
        </w:rPr>
        <w:t>Confidentiality</w:t>
      </w:r>
      <w:r>
        <w:rPr>
          <w:rFonts w:ascii="Times New Roman" w:cs="Times New Roman" w:eastAsia="Times New Roman" w:hAnsi="Times New Roman"/>
          <w:sz w:val="20"/>
          <w:szCs w:val="20"/>
          <w:color w:val="231F20"/>
        </w:rPr>
        <w:t>. Except to the extent necessary to confirm an award or as may be required by law, neither a Party nor an Arbitrator may disclose the existence, content, or results of the arbitration without the prior written consent of both Parties, except to its directors, officers and investors. In no event shall arbitration be initiated after the date when commencement of a legal or equitable proceeding based on the dispute, controversy or claim would be barred by the applicable New York statute of limitations.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Section 11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u w:val="single" w:color="auto"/>
          <w:color w:val="231F20"/>
        </w:rPr>
        <w:t>Miscellaneous</w:t>
      </w:r>
    </w:p>
    <w:p>
      <w:pPr>
        <w:spacing w:after="0" w:line="19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231F20"/>
        </w:rPr>
        <w:t>11.1.</w:t>
      </w:r>
      <w:r>
        <w:rPr>
          <w:rFonts w:ascii="Times New Roman" w:cs="Times New Roman" w:eastAsia="Times New Roman" w:hAnsi="Times New Roman"/>
          <w:sz w:val="20"/>
          <w:szCs w:val="20"/>
          <w:i w:val="1"/>
          <w:iCs w:val="1"/>
          <w:u w:val="single" w:color="auto"/>
          <w:color w:val="231F20"/>
        </w:rPr>
        <w:t>Compliance with Law</w:t>
      </w:r>
      <w:r>
        <w:rPr>
          <w:rFonts w:ascii="Times New Roman" w:cs="Times New Roman" w:eastAsia="Times New Roman" w:hAnsi="Times New Roman"/>
          <w:sz w:val="20"/>
          <w:szCs w:val="20"/>
          <w:color w:val="231F20"/>
        </w:rPr>
        <w:t>. In connection with its Exploitation of Licensed Products, Licensee agrees to comply with all Applicable Laws. Without limiting the foregoing, by entering into this Agreement, the Parties specifically intend to comply with all Applicable Laws pertaining to Licensed Products, including, without limitation (i) the federal anti-kickback statute (42 U.S.C. §1320a-7b) and the related safe harbor regulations; and (ii) the Limitation on Certain Physician Referrals, also referred to as the “</w:t>
      </w:r>
      <w:r>
        <w:rPr>
          <w:rFonts w:ascii="Times New Roman" w:cs="Times New Roman" w:eastAsia="Times New Roman" w:hAnsi="Times New Roman"/>
          <w:sz w:val="20"/>
          <w:szCs w:val="20"/>
          <w:i w:val="1"/>
          <w:iCs w:val="1"/>
          <w:color w:val="231F20"/>
        </w:rPr>
        <w:t>Stark Law</w:t>
      </w:r>
      <w:r>
        <w:rPr>
          <w:rFonts w:ascii="Times New Roman" w:cs="Times New Roman" w:eastAsia="Times New Roman" w:hAnsi="Times New Roman"/>
          <w:sz w:val="20"/>
          <w:szCs w:val="20"/>
          <w:color w:val="231F20"/>
        </w:rPr>
        <w:t>” (42 U.S.C. §1395nn); (iii) foreign trade law, regulations on the administration of technology import and export, export control law; (iv) cybersecurity law, data security law, personal information protection law; (v) GCP, GMP, GSP, their relative rules and regulations, and the revisions thereof. Accordingly, no part of any consideration paid hereunder is a prohibited payment for the recommending or arranging for the referral of business or the ordering of items or services; nor are the payments intended to induce illegal referrals of business.</w:t>
      </w:r>
    </w:p>
    <w:p>
      <w:pPr>
        <w:spacing w:after="0" w:line="18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231F20"/>
        </w:rPr>
        <w:t>11.2.</w:t>
      </w:r>
      <w:r>
        <w:rPr>
          <w:rFonts w:ascii="Times New Roman" w:cs="Times New Roman" w:eastAsia="Times New Roman" w:hAnsi="Times New Roman"/>
          <w:sz w:val="20"/>
          <w:szCs w:val="20"/>
          <w:i w:val="1"/>
          <w:iCs w:val="1"/>
          <w:u w:val="single" w:color="auto"/>
          <w:color w:val="231F20"/>
        </w:rPr>
        <w:t>Assignment</w:t>
      </w:r>
      <w:r>
        <w:rPr>
          <w:rFonts w:ascii="Times New Roman" w:cs="Times New Roman" w:eastAsia="Times New Roman" w:hAnsi="Times New Roman"/>
          <w:sz w:val="20"/>
          <w:szCs w:val="20"/>
          <w:color w:val="231F20"/>
        </w:rPr>
        <w:t>. This Agreement will be binding upon and will inure to the benefit of each Party and each Party’s respective transferees, successors and assigns, pursuant to the provisions set forth below. Licensee may not transfer or assign this Agreement without the prior written consent of Licensor, except that Licensee may transfer or assign this Agreement without the prior written consent of Licensor in the event that a third party (the “</w:t>
      </w:r>
      <w:r>
        <w:rPr>
          <w:rFonts w:ascii="Times New Roman" w:cs="Times New Roman" w:eastAsia="Times New Roman" w:hAnsi="Times New Roman"/>
          <w:sz w:val="20"/>
          <w:szCs w:val="20"/>
          <w:i w:val="1"/>
          <w:iCs w:val="1"/>
          <w:u w:val="single" w:color="auto"/>
          <w:color w:val="231F20"/>
        </w:rPr>
        <w:t>Acquiring Party</w:t>
      </w:r>
      <w:r>
        <w:rPr>
          <w:rFonts w:ascii="Times New Roman" w:cs="Times New Roman" w:eastAsia="Times New Roman" w:hAnsi="Times New Roman"/>
          <w:sz w:val="20"/>
          <w:szCs w:val="20"/>
          <w:color w:val="231F20"/>
        </w:rPr>
        <w:t>”) acquires all or substantially all of Licensee’s business, capital stock or assets, whether by sale, merger, change of control, operation of law or otherwise (an “</w:t>
      </w:r>
      <w:r>
        <w:rPr>
          <w:rFonts w:ascii="Times New Roman" w:cs="Times New Roman" w:eastAsia="Times New Roman" w:hAnsi="Times New Roman"/>
          <w:sz w:val="20"/>
          <w:szCs w:val="20"/>
          <w:i w:val="1"/>
          <w:iCs w:val="1"/>
          <w:u w:val="single" w:color="auto"/>
          <w:color w:val="231F20"/>
        </w:rPr>
        <w:t>Acquisition</w:t>
      </w:r>
      <w:r>
        <w:rPr>
          <w:rFonts w:ascii="Times New Roman" w:cs="Times New Roman" w:eastAsia="Times New Roman" w:hAnsi="Times New Roman"/>
          <w:sz w:val="20"/>
          <w:szCs w:val="20"/>
          <w:color w:val="231F20"/>
        </w:rPr>
        <w:t xml:space="preserve">”). Upon an Acquisition, the rights granted to Licensee under this Agreement pertaining to any and all Licensed Products shall inure to the benefit of the Acquiring Party. For the avoidance of doubt, in the event of an Acquisition, the Acquiring Party will be responsible for all payments and other obligations set forth in this Agreement, including, but not limited to, all payments set forth herein, and any obligations that matured prior to the Acquisition date. Upon an Acquisition, any unpaid portion of any deferred payments payable to Licensor hereunder shall remain an ongoing obligation of the Acquiring Party until such amount is paid in full. For the avoidance of doubt, an Acquisition shall not include any transaction or series of transactions principally for bona fide equity financing purposes in which cash is received by Licensee or any successor, indebtedness of Licensor is cancelled or converted or any combination thereof. Any attempted assignment in contravention of this </w:t>
      </w:r>
      <w:r>
        <w:rPr>
          <w:rFonts w:ascii="Times New Roman" w:cs="Times New Roman" w:eastAsia="Times New Roman" w:hAnsi="Times New Roman"/>
          <w:sz w:val="20"/>
          <w:szCs w:val="20"/>
          <w:u w:val="single" w:color="auto"/>
          <w:color w:val="231F20"/>
        </w:rPr>
        <w:t>Section 11.2</w:t>
      </w:r>
      <w:r>
        <w:rPr>
          <w:rFonts w:ascii="Times New Roman" w:cs="Times New Roman" w:eastAsia="Times New Roman" w:hAnsi="Times New Roman"/>
          <w:sz w:val="20"/>
          <w:szCs w:val="20"/>
          <w:color w:val="231F20"/>
        </w:rPr>
        <w:t xml:space="preserve"> will be null and void.</w:t>
      </w:r>
    </w:p>
    <w:p>
      <w:pPr>
        <w:spacing w:after="0" w:line="18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231F20"/>
        </w:rPr>
        <w:t>11.3.</w:t>
      </w:r>
      <w:r>
        <w:rPr>
          <w:rFonts w:ascii="Times New Roman" w:cs="Times New Roman" w:eastAsia="Times New Roman" w:hAnsi="Times New Roman"/>
          <w:sz w:val="20"/>
          <w:szCs w:val="20"/>
          <w:i w:val="1"/>
          <w:iCs w:val="1"/>
          <w:u w:val="single" w:color="auto"/>
          <w:color w:val="231F20"/>
        </w:rPr>
        <w:t>Entire Agreement</w:t>
      </w:r>
      <w:r>
        <w:rPr>
          <w:rFonts w:ascii="Times New Roman" w:cs="Times New Roman" w:eastAsia="Times New Roman" w:hAnsi="Times New Roman"/>
          <w:sz w:val="20"/>
          <w:szCs w:val="20"/>
          <w:color w:val="231F20"/>
        </w:rPr>
        <w:t>. This Agreement constitutes the entire agreement between the Parties hereto with respect to the subject matter thereof and supersedes all previous agreements, negotiations, commitments, and writings with respect to such subject matter. Neither Party shall be obligated by any undertaking or representation regarding that subject matter other than those expressly stated herein or as may be subsequently agreed to by the Parties hereto in writing. In the event of any conflict or inconsistency between any provision of any Exhibit hereto and any provision of this Agreement, the provisions of this Agreement shall prevail.</w:t>
      </w:r>
    </w:p>
    <w:p>
      <w:pPr>
        <w:spacing w:after="0" w:line="180"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231F20"/>
        </w:rPr>
        <w:t>11.4.</w:t>
      </w:r>
      <w:r>
        <w:rPr>
          <w:rFonts w:ascii="Times New Roman" w:cs="Times New Roman" w:eastAsia="Times New Roman" w:hAnsi="Times New Roman"/>
          <w:sz w:val="20"/>
          <w:szCs w:val="20"/>
          <w:i w:val="1"/>
          <w:iCs w:val="1"/>
          <w:u w:val="single" w:color="auto"/>
          <w:color w:val="231F20"/>
        </w:rPr>
        <w:t>Amendment</w:t>
      </w:r>
      <w:r>
        <w:rPr>
          <w:rFonts w:ascii="Times New Roman" w:cs="Times New Roman" w:eastAsia="Times New Roman" w:hAnsi="Times New Roman"/>
          <w:sz w:val="20"/>
          <w:szCs w:val="20"/>
          <w:color w:val="231F20"/>
        </w:rPr>
        <w:t>. No amendment, modification or supplement of any provision of this Agreement and Exhibit(s) will be valid or effective unless made in writing and signed by a duly authorized officer of each Party.</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- 21 -</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4926-6413-5580,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83" w:name="page184"/>
    <w:bookmarkEnd w:id="183"/>
    <w:p>
      <w:pPr>
        <w:jc w:val="both"/>
        <w:ind w:firstLine="749"/>
        <w:spacing w:after="0" w:line="246" w:lineRule="auto"/>
        <w:rPr>
          <w:sz w:val="20"/>
          <w:szCs w:val="20"/>
          <w:color w:val="auto"/>
        </w:rPr>
      </w:pPr>
      <w:r>
        <w:rPr>
          <w:rFonts w:ascii="Times New Roman" w:cs="Times New Roman" w:eastAsia="Times New Roman" w:hAnsi="Times New Roman"/>
          <w:sz w:val="20"/>
          <w:szCs w:val="20"/>
          <w:color w:val="231F20"/>
        </w:rPr>
        <w:t>11.5.</w:t>
      </w:r>
      <w:r>
        <w:rPr>
          <w:rFonts w:ascii="Times New Roman" w:cs="Times New Roman" w:eastAsia="Times New Roman" w:hAnsi="Times New Roman"/>
          <w:sz w:val="20"/>
          <w:szCs w:val="20"/>
          <w:i w:val="1"/>
          <w:iCs w:val="1"/>
          <w:u w:val="single" w:color="auto"/>
          <w:color w:val="231F20"/>
        </w:rPr>
        <w:t>Notices</w:t>
      </w:r>
      <w:r>
        <w:rPr>
          <w:rFonts w:ascii="Times New Roman" w:cs="Times New Roman" w:eastAsia="Times New Roman" w:hAnsi="Times New Roman"/>
          <w:sz w:val="20"/>
          <w:szCs w:val="20"/>
          <w:color w:val="231F20"/>
        </w:rPr>
        <w:t xml:space="preserve">. Any notice required to be given pursuant to the provisions of this Agreement will be in writing and will be deemed to have been given at the time when actually received as a consequence of any effective method of delivery, including but not limited to hand delivery, transmission by electronic transmission, including PDF (portable document format), delivery by a professional courier service or delivery by first class, certified or registered mail (postage prepaid) addressed to the Party for whom intended at the address below, or at such changed address as the Party will have specified by written notice in accordance with this </w:t>
      </w:r>
      <w:r>
        <w:rPr>
          <w:rFonts w:ascii="Times New Roman" w:cs="Times New Roman" w:eastAsia="Times New Roman" w:hAnsi="Times New Roman"/>
          <w:sz w:val="20"/>
          <w:szCs w:val="20"/>
          <w:u w:val="single" w:color="auto"/>
          <w:color w:val="231F20"/>
        </w:rPr>
        <w:t>Section 11.5</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u w:val="single" w:color="auto"/>
          <w:color w:val="231F20"/>
        </w:rPr>
        <w:t>provided, however</w:t>
      </w:r>
      <w:r>
        <w:rPr>
          <w:rFonts w:ascii="Times New Roman" w:cs="Times New Roman" w:eastAsia="Times New Roman" w:hAnsi="Times New Roman"/>
          <w:sz w:val="20"/>
          <w:szCs w:val="20"/>
          <w:color w:val="231F20"/>
        </w:rPr>
        <w:t>, that any notice of change of address will be effective only upon actual receipt.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- 22 -</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4926-6413-5580,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84" w:name="page185"/>
    <w:bookmarkEnd w:id="184"/>
    <w:p>
      <w:pPr>
        <w:ind w:left="760"/>
        <w:spacing w:after="0"/>
        <w:rPr>
          <w:sz w:val="20"/>
          <w:szCs w:val="20"/>
          <w:color w:val="auto"/>
        </w:rPr>
      </w:pPr>
      <w:r>
        <w:rPr>
          <w:rFonts w:ascii="Times New Roman" w:cs="Times New Roman" w:eastAsia="Times New Roman" w:hAnsi="Times New Roman"/>
          <w:sz w:val="20"/>
          <w:szCs w:val="20"/>
          <w:color w:val="231F20"/>
        </w:rPr>
        <w:t>If to Licensor:</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231F20"/>
        </w:rPr>
        <w:t>Novatim Immune Therapeutics (Zhejiang) Co., Ltd.</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231F20"/>
        </w:rPr>
        <w:t>Building 5, Lane 908, Ziping Road, Pudong New Area,</w:t>
      </w:r>
    </w:p>
    <w:p>
      <w:pPr>
        <w:ind w:left="1500"/>
        <w:spacing w:after="0"/>
        <w:rPr>
          <w:sz w:val="20"/>
          <w:szCs w:val="20"/>
          <w:color w:val="auto"/>
        </w:rPr>
      </w:pPr>
      <w:r>
        <w:rPr>
          <w:rFonts w:ascii="Times New Roman" w:cs="Times New Roman" w:eastAsia="Times New Roman" w:hAnsi="Times New Roman"/>
          <w:sz w:val="20"/>
          <w:szCs w:val="20"/>
          <w:color w:val="231F20"/>
        </w:rPr>
        <w:t>Shanghai 201321, PRC</w:t>
      </w:r>
    </w:p>
    <w:p>
      <w:pPr>
        <w:ind w:left="1500"/>
        <w:spacing w:after="0"/>
        <w:rPr>
          <w:sz w:val="20"/>
          <w:szCs w:val="20"/>
          <w:color w:val="auto"/>
        </w:rPr>
      </w:pPr>
      <w:r>
        <w:rPr>
          <w:rFonts w:ascii="Times New Roman" w:cs="Times New Roman" w:eastAsia="Times New Roman" w:hAnsi="Times New Roman"/>
          <w:sz w:val="20"/>
          <w:szCs w:val="20"/>
          <w:color w:val="231F20"/>
        </w:rPr>
        <w:t>Attn: [***]</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231F20"/>
        </w:rPr>
        <w:t>If to Licensee:</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231F20"/>
        </w:rPr>
        <w:t>Erigen LLC</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231F20"/>
        </w:rPr>
        <w:t>1035 Cambridge Street, Suite 17B</w:t>
      </w:r>
    </w:p>
    <w:p>
      <w:pPr>
        <w:ind w:left="1500"/>
        <w:spacing w:after="0"/>
        <w:rPr>
          <w:sz w:val="20"/>
          <w:szCs w:val="20"/>
          <w:color w:val="auto"/>
        </w:rPr>
      </w:pPr>
      <w:r>
        <w:rPr>
          <w:rFonts w:ascii="Times New Roman" w:cs="Times New Roman" w:eastAsia="Times New Roman" w:hAnsi="Times New Roman"/>
          <w:sz w:val="20"/>
          <w:szCs w:val="20"/>
          <w:color w:val="231F20"/>
        </w:rPr>
        <w:t>Cambridge, MA 02141</w:t>
      </w:r>
    </w:p>
    <w:p>
      <w:pPr>
        <w:ind w:left="1500"/>
        <w:spacing w:after="0"/>
        <w:rPr>
          <w:sz w:val="20"/>
          <w:szCs w:val="20"/>
          <w:color w:val="auto"/>
        </w:rPr>
      </w:pPr>
      <w:r>
        <w:rPr>
          <w:rFonts w:ascii="Times New Roman" w:cs="Times New Roman" w:eastAsia="Times New Roman" w:hAnsi="Times New Roman"/>
          <w:sz w:val="20"/>
          <w:szCs w:val="20"/>
          <w:color w:val="231F20"/>
        </w:rPr>
        <w:t>Attn: [***]</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231F20"/>
        </w:rPr>
        <w:t>with copy (which shall not constitute notice) to:</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231F20"/>
        </w:rPr>
        <w:t>[***]</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231F20"/>
        </w:rPr>
        <w:t>[***]</w:t>
      </w:r>
    </w:p>
    <w:p>
      <w:pPr>
        <w:ind w:left="1500"/>
        <w:spacing w:after="0"/>
        <w:rPr>
          <w:sz w:val="20"/>
          <w:szCs w:val="20"/>
          <w:color w:val="auto"/>
        </w:rPr>
      </w:pPr>
      <w:r>
        <w:rPr>
          <w:rFonts w:ascii="Times New Roman" w:cs="Times New Roman" w:eastAsia="Times New Roman" w:hAnsi="Times New Roman"/>
          <w:sz w:val="20"/>
          <w:szCs w:val="20"/>
          <w:color w:val="231F20"/>
        </w:rPr>
        <w:t>[***]</w:t>
      </w:r>
    </w:p>
    <w:p>
      <w:pPr>
        <w:ind w:left="1500"/>
        <w:spacing w:after="0"/>
        <w:rPr>
          <w:sz w:val="20"/>
          <w:szCs w:val="20"/>
          <w:color w:val="auto"/>
        </w:rPr>
      </w:pPr>
      <w:r>
        <w:rPr>
          <w:rFonts w:ascii="Times New Roman" w:cs="Times New Roman" w:eastAsia="Times New Roman" w:hAnsi="Times New Roman"/>
          <w:sz w:val="20"/>
          <w:szCs w:val="20"/>
          <w:color w:val="231F20"/>
        </w:rPr>
        <w:t>[***]</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231F20"/>
        </w:rPr>
        <w:t>11.6.</w:t>
      </w:r>
      <w:r>
        <w:rPr>
          <w:rFonts w:ascii="Times New Roman" w:cs="Times New Roman" w:eastAsia="Times New Roman" w:hAnsi="Times New Roman"/>
          <w:sz w:val="20"/>
          <w:szCs w:val="20"/>
          <w:i w:val="1"/>
          <w:iCs w:val="1"/>
          <w:u w:val="single" w:color="auto"/>
          <w:color w:val="231F20"/>
        </w:rPr>
        <w:t>Governing Law</w:t>
      </w:r>
      <w:r>
        <w:rPr>
          <w:rFonts w:ascii="Times New Roman" w:cs="Times New Roman" w:eastAsia="Times New Roman" w:hAnsi="Times New Roman"/>
          <w:sz w:val="20"/>
          <w:szCs w:val="20"/>
          <w:color w:val="231F20"/>
        </w:rPr>
        <w:t>.</w:t>
      </w:r>
    </w:p>
    <w:p>
      <w:pPr>
        <w:spacing w:after="0" w:line="220"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231F20"/>
        </w:rPr>
        <w:t>11.6.1.The substantive law governing this Agreement (which shall be applied in the arbitration) shall be, with respect to disputes involving general contract or trade secret matters, the internal laws of the State of New York, and with respect to matters involving patents, the United States Patent Act, as to copyright matters, the United States Copyright Act, and as to trademark matters, the United States Trademark Act, each as amended from time to time. The Parties agree that the arbitration shall be seated in [***] under ICC rules. Any award rendered by the Arbitrators shall be final, conclusive and binding upon the Parties to this Agreement. The Parties agree that the arbitration judgement and award may be entered and enforced in all relevant jurisdictions.</w:t>
      </w:r>
    </w:p>
    <w:p>
      <w:pPr>
        <w:spacing w:after="0" w:line="18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231F20"/>
        </w:rPr>
        <w:t>11.6.2.If any provisions of this Agreement are or will come into conflict with the laws or regulations of any jurisdiction or any governmental entity having jurisdiction over the Parties or this Agreement, those provisions will be deemed automatically deleted, if such deletion is allowed by relevant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- 23 -</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4926-6413-5580,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85" w:name="page186"/>
    <w:bookmarkEnd w:id="185"/>
    <w:p>
      <w:pPr>
        <w:jc w:val="both"/>
        <w:spacing w:after="0" w:line="254" w:lineRule="auto"/>
        <w:rPr>
          <w:sz w:val="20"/>
          <w:szCs w:val="20"/>
          <w:color w:val="auto"/>
        </w:rPr>
      </w:pPr>
      <w:r>
        <w:rPr>
          <w:rFonts w:ascii="Times New Roman" w:cs="Times New Roman" w:eastAsia="Times New Roman" w:hAnsi="Times New Roman"/>
          <w:sz w:val="20"/>
          <w:szCs w:val="20"/>
          <w:color w:val="231F20"/>
        </w:rPr>
        <w:t>law, and the remaining terms and conditions of this Agreement will remain in full force and effect. If such a deletion is not so allowed or if such a deletion leaves terms thereby made clearly illogical or inappropriate in effect, the Parties agree to substitute new terms as similar in effect to the present terms of this Agreement as may be allowed under Applicable Law.</w:t>
      </w:r>
    </w:p>
    <w:p>
      <w:pPr>
        <w:spacing w:after="0" w:line="17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231F20"/>
        </w:rPr>
        <w:t>11.7.</w:t>
      </w:r>
      <w:r>
        <w:rPr>
          <w:rFonts w:ascii="Times New Roman" w:cs="Times New Roman" w:eastAsia="Times New Roman" w:hAnsi="Times New Roman"/>
          <w:sz w:val="20"/>
          <w:szCs w:val="20"/>
          <w:i w:val="1"/>
          <w:iCs w:val="1"/>
          <w:u w:val="single" w:color="auto"/>
          <w:color w:val="231F20"/>
        </w:rPr>
        <w:t>Descriptive Headings</w:t>
      </w:r>
      <w:r>
        <w:rPr>
          <w:rFonts w:ascii="Times New Roman" w:cs="Times New Roman" w:eastAsia="Times New Roman" w:hAnsi="Times New Roman"/>
          <w:sz w:val="20"/>
          <w:szCs w:val="20"/>
          <w:color w:val="231F20"/>
        </w:rPr>
        <w:t>. This Agreement has been prepared jointly by the Parties and shall not be strictly construed against either Party. Ambiguities, if any, in this Agreement shall not be construed against any Party, irrespective of which Party may be deemed to have authored the ambiguous provision. The headings of each Section in this Agreement have been inserted for convenience of reference only and are not intended to limit or expand on the meaning of the language contained in the particular Section. Except where the context otherwise requires, the use of any gender shall be applicable to all genders, and the word “or” is used in the inclusive sense (and/or). The term “including” as used herein means including, without limiting the generality of any description preceding such term.</w:t>
      </w:r>
    </w:p>
    <w:p>
      <w:pPr>
        <w:spacing w:after="0" w:line="17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231F20"/>
        </w:rPr>
        <w:t>11.8.</w:t>
      </w:r>
      <w:r>
        <w:rPr>
          <w:rFonts w:ascii="Times New Roman" w:cs="Times New Roman" w:eastAsia="Times New Roman" w:hAnsi="Times New Roman"/>
          <w:sz w:val="20"/>
          <w:szCs w:val="20"/>
          <w:i w:val="1"/>
          <w:iCs w:val="1"/>
          <w:u w:val="single" w:color="auto"/>
          <w:color w:val="231F20"/>
        </w:rPr>
        <w:t>Independent Contractors</w:t>
      </w:r>
      <w:r>
        <w:rPr>
          <w:rFonts w:ascii="Times New Roman" w:cs="Times New Roman" w:eastAsia="Times New Roman" w:hAnsi="Times New Roman"/>
          <w:sz w:val="20"/>
          <w:szCs w:val="20"/>
          <w:color w:val="231F20"/>
        </w:rPr>
        <w:t>. Both Parties are independent contractors under this Agreement. Nothing contained in this Agreement will be deemed to create an employment, agency, joint venture or partnership relationship between the Parties hereto or any of their agents or employees, or any other legal arrangement that would impose liability upon one Party for the act or failure to act of the other Party. Neither Party will have any express or implied power to enter into any contracts or commitments or to incur any liabilities in the name of, or on behalf of, the other Party, or to bind the other Party in any respect whatsoever. Notwithstanding anything contained herein to the contrary, and for the avoidance of doubt, Licensor shall not be deemed an Affiliate of Licensee, and Licensee shall not be deemed an Affiliate of Licensor.</w:t>
      </w:r>
    </w:p>
    <w:p>
      <w:pPr>
        <w:spacing w:after="0" w:line="179"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9"/>
          <w:szCs w:val="19"/>
          <w:color w:val="231F20"/>
        </w:rPr>
        <w:t>11.9.</w:t>
      </w:r>
      <w:r>
        <w:rPr>
          <w:rFonts w:ascii="Times New Roman" w:cs="Times New Roman" w:eastAsia="Times New Roman" w:hAnsi="Times New Roman"/>
          <w:sz w:val="19"/>
          <w:szCs w:val="19"/>
          <w:i w:val="1"/>
          <w:iCs w:val="1"/>
          <w:u w:val="single" w:color="auto"/>
          <w:color w:val="231F20"/>
        </w:rPr>
        <w:t>Severability</w:t>
      </w:r>
      <w:r>
        <w:rPr>
          <w:rFonts w:ascii="Times New Roman" w:cs="Times New Roman" w:eastAsia="Times New Roman" w:hAnsi="Times New Roman"/>
          <w:sz w:val="19"/>
          <w:szCs w:val="19"/>
          <w:color w:val="231F20"/>
        </w:rPr>
        <w:t>. The illegality or partial illegality of any provision of this Agreement will not affect the validity of the remainder of the Agreement, or any provision thereof, and the illegality or partial illegality of any provision of this Agreement will not affect the validity of the Agreement in any jurisdiction in which such determination of illegality or partial illegality has not been made, except in either case to the extent such illegality or partial illegality causes the Agreement to no longer contain all of the material provisions reasonably expected by the Parties to be contained therein. Moreover, in the event that a court of competent jurisdiction determines that any provision of this Agreement is illegal or partially illegal, then it is the intention of the Parties that such provision be modified to the minimum extent deemed necessary by such court to make such provision enforceable and to give effect to the original intention of the Parties.</w:t>
      </w:r>
    </w:p>
    <w:p>
      <w:pPr>
        <w:spacing w:after="0" w:line="16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231F20"/>
        </w:rPr>
        <w:t>11.10.</w:t>
      </w:r>
      <w:r>
        <w:rPr>
          <w:rFonts w:ascii="Times New Roman" w:cs="Times New Roman" w:eastAsia="Times New Roman" w:hAnsi="Times New Roman"/>
          <w:sz w:val="20"/>
          <w:szCs w:val="20"/>
          <w:i w:val="1"/>
          <w:iCs w:val="1"/>
          <w:u w:val="single" w:color="auto"/>
          <w:color w:val="231F20"/>
        </w:rPr>
        <w:t>Waiver of Compliance</w:t>
      </w:r>
      <w:r>
        <w:rPr>
          <w:rFonts w:ascii="Times New Roman" w:cs="Times New Roman" w:eastAsia="Times New Roman" w:hAnsi="Times New Roman"/>
          <w:sz w:val="20"/>
          <w:szCs w:val="20"/>
          <w:color w:val="231F20"/>
        </w:rPr>
        <w:t>. The failure of either Party to comply with any obligation, covenant, agreement or condition under this Agreement may be waived by the Party entitled to the benefit thereof only by a written instrument signed by the Party on granting such waiver, but such waiver or failure to insist upon strict compliance with such obligation, covenant, agreement or condition will not operate as a waiver of, or estoppel with respect to, any subsequent or other failure. The failure of any Party to enforce at any time any of the provisions of this Agreement will in no way be construed to be a waiver of any such provision, nor in any way to affect the validity of the Agreement or any part thereof or the right of any Party thereafter to enforce each and every such provision. No waiver of any breach of such provisions will be held to be waiver of any other or subsequent breach.</w:t>
      </w:r>
    </w:p>
    <w:p>
      <w:pPr>
        <w:spacing w:after="0" w:line="17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231F20"/>
        </w:rPr>
        <w:t>11.11.</w:t>
      </w:r>
      <w:r>
        <w:rPr>
          <w:rFonts w:ascii="Times New Roman" w:cs="Times New Roman" w:eastAsia="Times New Roman" w:hAnsi="Times New Roman"/>
          <w:sz w:val="20"/>
          <w:szCs w:val="20"/>
          <w:i w:val="1"/>
          <w:iCs w:val="1"/>
          <w:u w:val="single" w:color="auto"/>
          <w:color w:val="231F20"/>
        </w:rPr>
        <w:t>Counterparts</w:t>
      </w:r>
      <w:r>
        <w:rPr>
          <w:rFonts w:ascii="Times New Roman" w:cs="Times New Roman" w:eastAsia="Times New Roman" w:hAnsi="Times New Roman"/>
          <w:sz w:val="20"/>
          <w:szCs w:val="20"/>
          <w:color w:val="231F20"/>
        </w:rPr>
        <w:t>. This Agreement may be executed by original or facsimile signature in any number of counterparts, each of which need not contain the signature of more than one Party but all such counterparts taken together will constitute one and the same agreement.</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231F20"/>
        </w:rPr>
        <w:t>11.12.</w:t>
      </w:r>
      <w:r>
        <w:rPr>
          <w:rFonts w:ascii="Times New Roman" w:cs="Times New Roman" w:eastAsia="Times New Roman" w:hAnsi="Times New Roman"/>
          <w:sz w:val="20"/>
          <w:szCs w:val="20"/>
          <w:i w:val="1"/>
          <w:iCs w:val="1"/>
          <w:u w:val="single" w:color="auto"/>
          <w:color w:val="231F20"/>
        </w:rPr>
        <w:t>Authority</w:t>
      </w:r>
      <w:r>
        <w:rPr>
          <w:rFonts w:ascii="Times New Roman" w:cs="Times New Roman" w:eastAsia="Times New Roman" w:hAnsi="Times New Roman"/>
          <w:sz w:val="20"/>
          <w:szCs w:val="20"/>
          <w:color w:val="231F20"/>
        </w:rPr>
        <w:t>. The persons signing on behalf of Licensor and Licensee hereby warrant and represent that they have authority to execute this Agreement on behalf of the Party for whom they have signed.</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231F20"/>
        </w:rPr>
        <w:t>11.13.</w:t>
      </w:r>
      <w:r>
        <w:rPr>
          <w:rFonts w:ascii="Times New Roman" w:cs="Times New Roman" w:eastAsia="Times New Roman" w:hAnsi="Times New Roman"/>
          <w:sz w:val="20"/>
          <w:szCs w:val="20"/>
          <w:i w:val="1"/>
          <w:iCs w:val="1"/>
          <w:u w:val="single" w:color="auto"/>
          <w:color w:val="231F20"/>
        </w:rPr>
        <w:t>Non-Solicitation</w:t>
      </w:r>
      <w:r>
        <w:rPr>
          <w:rFonts w:ascii="Times New Roman" w:cs="Times New Roman" w:eastAsia="Times New Roman" w:hAnsi="Times New Roman"/>
          <w:sz w:val="20"/>
          <w:szCs w:val="20"/>
          <w:color w:val="231F20"/>
        </w:rPr>
        <w:t>. [***], neither Party shall, without the prior written consent of the other</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- 24 -</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4926-6413-5580,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86" w:name="page187"/>
    <w:bookmarkEnd w:id="186"/>
    <w:p>
      <w:pPr>
        <w:jc w:val="both"/>
        <w:spacing w:after="0" w:line="254" w:lineRule="auto"/>
        <w:rPr>
          <w:sz w:val="20"/>
          <w:szCs w:val="20"/>
          <w:color w:val="auto"/>
        </w:rPr>
      </w:pPr>
      <w:r>
        <w:rPr>
          <w:rFonts w:ascii="Times New Roman" w:cs="Times New Roman" w:eastAsia="Times New Roman" w:hAnsi="Times New Roman"/>
          <w:sz w:val="20"/>
          <w:szCs w:val="20"/>
          <w:color w:val="231F20"/>
        </w:rPr>
        <w:t xml:space="preserve">Party, directly or indirectly solicit for employment any employee of the other Party or any of its Affiliates or subsidiaries, or any person who has terminated his or her employment with the other Party or any of its Affiliates or subsidiaries within the previous [***] prior to any purported solicitation; </w:t>
      </w:r>
      <w:r>
        <w:rPr>
          <w:rFonts w:ascii="Times New Roman" w:cs="Times New Roman" w:eastAsia="Times New Roman" w:hAnsi="Times New Roman"/>
          <w:sz w:val="20"/>
          <w:szCs w:val="20"/>
          <w:i w:val="1"/>
          <w:iCs w:val="1"/>
          <w:u w:val="single" w:color="auto"/>
          <w:color w:val="231F20"/>
        </w:rPr>
        <w:t>provided</w:t>
      </w:r>
      <w:r>
        <w:rPr>
          <w:rFonts w:ascii="Times New Roman" w:cs="Times New Roman" w:eastAsia="Times New Roman" w:hAnsi="Times New Roman"/>
          <w:sz w:val="20"/>
          <w:szCs w:val="20"/>
          <w:u w:val="single" w:color="auto"/>
          <w:color w:val="231F20"/>
        </w:rPr>
        <w: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u w:val="single" w:color="auto"/>
          <w:color w:val="231F20"/>
        </w:rPr>
        <w:t>however</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color w:val="231F20"/>
        </w:rPr>
        <w:t xml:space="preserve"> the foregoing will not [***]. [***].</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- 25 -</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4926-6413-5580,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87" w:name="page188"/>
    <w:bookmarkEnd w:id="187"/>
    <w:p>
      <w:pPr>
        <w:spacing w:after="0" w:line="15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231F20"/>
        </w:rPr>
        <w:t>11.14.</w:t>
      </w:r>
      <w:r>
        <w:rPr>
          <w:rFonts w:ascii="Times New Roman" w:cs="Times New Roman" w:eastAsia="Times New Roman" w:hAnsi="Times New Roman"/>
          <w:sz w:val="20"/>
          <w:szCs w:val="20"/>
          <w:i w:val="1"/>
          <w:iCs w:val="1"/>
          <w:u w:val="single" w:color="auto"/>
          <w:color w:val="231F20"/>
        </w:rPr>
        <w:t>Force Majeure</w:t>
      </w:r>
      <w:r>
        <w:rPr>
          <w:rFonts w:ascii="Times New Roman" w:cs="Times New Roman" w:eastAsia="Times New Roman" w:hAnsi="Times New Roman"/>
          <w:sz w:val="20"/>
          <w:szCs w:val="20"/>
          <w:color w:val="231F20"/>
        </w:rPr>
        <w:t>. Neither Party hereto shall be liable for failures and delays in performance due to strikes, lockouts, fires, acts of God or the public enemy, riots, incendiaries, interference by civil or military authorities, acts of terrorism, endemic, pandemic, and the results related to such acts, compliance with the laws of various states/countries, or with the orders of any governmental authorities, delays in transit or delivery on the part of transportation companies, failures of communication facilities, or any failure of sources of material (“</w:t>
      </w:r>
      <w:r>
        <w:rPr>
          <w:rFonts w:ascii="Times New Roman" w:cs="Times New Roman" w:eastAsia="Times New Roman" w:hAnsi="Times New Roman"/>
          <w:sz w:val="20"/>
          <w:szCs w:val="20"/>
          <w:i w:val="1"/>
          <w:iCs w:val="1"/>
          <w:u w:val="single" w:color="auto"/>
          <w:color w:val="231F20"/>
        </w:rPr>
        <w:t>Force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u w:val="single" w:color="auto"/>
          <w:color w:val="231F20"/>
        </w:rPr>
        <w:t>Majeure Event</w:t>
      </w:r>
      <w:r>
        <w:rPr>
          <w:rFonts w:ascii="Times New Roman" w:cs="Times New Roman" w:eastAsia="Times New Roman" w:hAnsi="Times New Roman"/>
          <w:sz w:val="20"/>
          <w:szCs w:val="20"/>
          <w:color w:val="231F20"/>
        </w:rPr>
        <w:t>”). Notwithstanding the above, should the event of Force Majeure last for more than [***], the other Party shall be entitled to</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terminate this Agreement effective upon giving written notice to the Party affected by the Force Majeure Event.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Remainder of page intentionally left blank.</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- 26 -</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4926-6413-5580,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8" w:name="page189"/>
    <w:bookmarkEnd w:id="188"/>
    <w:p>
      <w:pPr>
        <w:ind w:firstLine="749"/>
        <w:spacing w:after="0" w:line="269" w:lineRule="auto"/>
        <w:rPr>
          <w:sz w:val="20"/>
          <w:szCs w:val="20"/>
          <w:color w:val="auto"/>
        </w:rPr>
      </w:pPr>
      <w:r>
        <w:rPr>
          <w:rFonts w:ascii="Times New Roman" w:cs="Times New Roman" w:eastAsia="Times New Roman" w:hAnsi="Times New Roman"/>
          <w:sz w:val="20"/>
          <w:szCs w:val="20"/>
          <w:color w:val="231F20"/>
        </w:rPr>
        <w:t>IN WITNESS WHEREOF, the Parties hereto have duly executed this Exclusive License and Collaboration Agreement as of the Effective Date.</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NOVATIM IMMUNE THERAPEUTICS (ZHEJIANG) CO., LTD. (LICENSOR)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 xml:space="preserve">By: </w:t>
      </w:r>
      <w:r>
        <w:rPr>
          <w:rFonts w:ascii="Times New Roman" w:cs="Times New Roman" w:eastAsia="Times New Roman" w:hAnsi="Times New Roman"/>
          <w:sz w:val="20"/>
          <w:szCs w:val="20"/>
          <w:u w:val="single" w:color="auto"/>
          <w:color w:val="231F20"/>
        </w:rPr>
        <w:t>/s/ Guoxiang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1107440</wp:posOffset>
            </wp:positionH>
            <wp:positionV relativeFrom="paragraph">
              <wp:posOffset>-10795</wp:posOffset>
            </wp:positionV>
            <wp:extent cx="15367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8">
                      <a:extLst>
                        <a:ext uri="{28A0092B-C50C-407E-A947-70E740481C1C}"/>
                      </a:extLst>
                    </a:blip>
                    <a:srcRect/>
                    <a:stretch>
                      <a:fillRect/>
                    </a:stretch>
                  </pic:blipFill>
                  <pic:spPr bwMode="auto">
                    <a:xfrm>
                      <a:off x="0" y="0"/>
                      <a:ext cx="153670" cy="8255"/>
                    </a:xfrm>
                    <a:prstGeom prst="rect">
                      <a:avLst/>
                    </a:prstGeom>
                    <a:noFill/>
                  </pic:spPr>
                </pic:pic>
              </a:graphicData>
            </a:graphic>
          </wp:anchor>
        </w:drawing>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231F20"/>
        </w:rPr>
        <w:t>Name: Guoxiang Wu</w:t>
      </w:r>
    </w:p>
    <w:p>
      <w:pPr>
        <w:ind w:left="380"/>
        <w:spacing w:after="0"/>
        <w:rPr>
          <w:sz w:val="20"/>
          <w:szCs w:val="20"/>
          <w:color w:val="auto"/>
        </w:rPr>
      </w:pPr>
      <w:r>
        <w:rPr>
          <w:rFonts w:ascii="Times New Roman" w:cs="Times New Roman" w:eastAsia="Times New Roman" w:hAnsi="Times New Roman"/>
          <w:sz w:val="20"/>
          <w:szCs w:val="20"/>
          <w:color w:val="231F20"/>
        </w:rPr>
        <w:t>Title: CEO &amp; Chairman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ERIGEN LLC (LICENSEE)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 xml:space="preserve">By: </w:t>
      </w:r>
      <w:r>
        <w:rPr>
          <w:rFonts w:ascii="Times New Roman" w:cs="Times New Roman" w:eastAsia="Times New Roman" w:hAnsi="Times New Roman"/>
          <w:sz w:val="20"/>
          <w:szCs w:val="20"/>
          <w:u w:val="single" w:color="auto"/>
          <w:color w:val="231F20"/>
        </w:rPr>
        <w:t>/s/ Matthew Angel,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1533525</wp:posOffset>
            </wp:positionH>
            <wp:positionV relativeFrom="paragraph">
              <wp:posOffset>-10795</wp:posOffset>
            </wp:positionV>
            <wp:extent cx="23050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9">
                      <a:extLst>
                        <a:ext uri="{28A0092B-C50C-407E-A947-70E740481C1C}"/>
                      </a:extLst>
                    </a:blip>
                    <a:srcRect/>
                    <a:stretch>
                      <a:fillRect/>
                    </a:stretch>
                  </pic:blipFill>
                  <pic:spPr bwMode="auto">
                    <a:xfrm>
                      <a:off x="0" y="0"/>
                      <a:ext cx="230505" cy="8255"/>
                    </a:xfrm>
                    <a:prstGeom prst="rect">
                      <a:avLst/>
                    </a:prstGeom>
                    <a:noFill/>
                  </pic:spPr>
                </pic:pic>
              </a:graphicData>
            </a:graphic>
          </wp:anchor>
        </w:drawing>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231F20"/>
        </w:rPr>
        <w:t>Name: Matthew Angel, Ph.D.</w:t>
      </w:r>
    </w:p>
    <w:p>
      <w:pPr>
        <w:ind w:left="380"/>
        <w:spacing w:after="0"/>
        <w:rPr>
          <w:sz w:val="20"/>
          <w:szCs w:val="20"/>
          <w:color w:val="auto"/>
        </w:rPr>
      </w:pPr>
      <w:r>
        <w:rPr>
          <w:rFonts w:ascii="Times New Roman" w:cs="Times New Roman" w:eastAsia="Times New Roman" w:hAnsi="Times New Roman"/>
          <w:sz w:val="20"/>
          <w:szCs w:val="20"/>
          <w:color w:val="231F20"/>
        </w:rPr>
        <w:t>Title: Manager</w:t>
      </w:r>
    </w:p>
    <w:p>
      <w:pPr>
        <w:jc w:val="center"/>
        <w:ind w:right="-19"/>
        <w:spacing w:after="0"/>
        <w:rPr>
          <w:sz w:val="20"/>
          <w:szCs w:val="20"/>
          <w:color w:val="auto"/>
        </w:rPr>
      </w:pPr>
      <w:r>
        <w:rPr>
          <w:rFonts w:ascii="Times New Roman" w:cs="Times New Roman" w:eastAsia="Times New Roman" w:hAnsi="Times New Roman"/>
          <w:sz w:val="20"/>
          <w:szCs w:val="20"/>
          <w:color w:val="auto"/>
        </w:rPr>
        <w:t>- 27 -</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4926-6413-5580,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6" w:right="359" w:bottom="1440" w:gutter="0" w:footer="0" w:header="0"/>
        </w:sectPr>
      </w:pPr>
    </w:p>
    <w:bookmarkStart w:id="189" w:name="page190"/>
    <w:bookmarkEnd w:id="189"/>
    <w:p>
      <w:pPr>
        <w:jc w:val="center"/>
        <w:ind w:right="-700"/>
        <w:spacing w:after="0"/>
        <w:rPr>
          <w:sz w:val="20"/>
          <w:szCs w:val="20"/>
          <w:color w:val="auto"/>
        </w:rPr>
      </w:pPr>
      <w:r>
        <w:rPr>
          <w:rFonts w:ascii="Times New Roman" w:cs="Times New Roman" w:eastAsia="Times New Roman" w:hAnsi="Times New Roman"/>
          <w:sz w:val="20"/>
          <w:szCs w:val="20"/>
          <w:u w:val="single" w:color="auto"/>
          <w:color w:val="231F20"/>
        </w:rPr>
        <w:t>Exhibit A</w:t>
      </w:r>
    </w:p>
    <w:p>
      <w:pPr>
        <w:spacing w:after="0" w:line="225"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9"/>
          <w:szCs w:val="19"/>
          <w:i w:val="1"/>
          <w:iCs w:val="1"/>
          <w:color w:val="231F20"/>
        </w:rPr>
        <w:t>Financial Terms</w:t>
      </w:r>
    </w:p>
    <w:p>
      <w:pPr>
        <w:spacing w:after="0" w:line="24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231F20"/>
        </w:rPr>
        <w:t>[***]</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- 28 -</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DOCVARIABLE ndGeneratedStamp \* MERGEFORMAT 4926-6413-5580,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464820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224" w:right="1440" w:bottom="1440" w:gutter="0" w:footer="0" w:header="0"/>
        </w:sectPr>
      </w:pPr>
    </w:p>
    <w:bookmarkStart w:id="190" w:name="page191"/>
    <w:bookmarkEnd w:id="190"/>
    <w:p>
      <w:pPr>
        <w:spacing w:after="0" w:line="230"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0"/>
          <w:szCs w:val="20"/>
          <w:u w:val="single" w:color="auto"/>
          <w:color w:val="231F20"/>
        </w:rPr>
        <w:t>Exhibit B</w:t>
      </w:r>
    </w:p>
    <w:p>
      <w:pPr>
        <w:spacing w:after="0" w:line="225"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9"/>
          <w:szCs w:val="19"/>
          <w:i w:val="1"/>
          <w:iCs w:val="1"/>
          <w:color w:val="231F20"/>
        </w:rPr>
        <w:t>Licensed Patents</w:t>
      </w:r>
    </w:p>
    <w:p>
      <w:pPr>
        <w:spacing w:after="0" w:line="24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- 29 -</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DOCVARIABLE ndGeneratedStamp \* MERGEFORMAT 4926-6413-5580,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464820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440" w:right="1440" w:bottom="1440" w:gutter="0" w:footer="0" w:header="0"/>
        </w:sectPr>
      </w:pPr>
    </w:p>
    <w:bookmarkStart w:id="191" w:name="page192"/>
    <w:bookmarkEnd w:id="191"/>
    <w:p>
      <w:pPr>
        <w:spacing w:after="0" w:line="200" w:lineRule="exact"/>
        <w:rPr>
          <w:sz w:val="20"/>
          <w:szCs w:val="20"/>
          <w:color w:val="auto"/>
        </w:rPr>
      </w:pPr>
    </w:p>
    <w:p>
      <w:pPr>
        <w:spacing w:after="0" w:line="259"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0"/>
          <w:szCs w:val="20"/>
          <w:u w:val="single" w:color="auto"/>
          <w:color w:val="231F20"/>
        </w:rPr>
        <w:t>Exhibit C</w:t>
      </w:r>
    </w:p>
    <w:p>
      <w:pPr>
        <w:spacing w:after="0" w:line="22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i w:val="1"/>
          <w:iCs w:val="1"/>
          <w:color w:val="231F20"/>
        </w:rPr>
        <w:t>Improvement Patents</w:t>
      </w:r>
    </w:p>
    <w:p>
      <w:pPr>
        <w:spacing w:after="0" w:line="200" w:lineRule="exact"/>
        <w:rPr>
          <w:sz w:val="20"/>
          <w:szCs w:val="20"/>
          <w:color w:val="auto"/>
        </w:rPr>
      </w:pPr>
    </w:p>
    <w:p>
      <w:pPr>
        <w:spacing w:after="0" w:line="259"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9"/>
          <w:szCs w:val="19"/>
          <w:i w:val="1"/>
          <w:iCs w:val="1"/>
          <w:color w:val="231F20"/>
        </w:rPr>
        <w:t>[To be added during the Term]</w:t>
      </w:r>
    </w:p>
    <w:p>
      <w:pPr>
        <w:spacing w:after="0" w:line="3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- 30 -</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DOCVARIABLE ndGeneratedStamp \* MERGEFORMAT 4926-6413-5580,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464820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440" w:right="1440" w:bottom="1440" w:gutter="0" w:footer="0" w:header="0"/>
        </w:sectPr>
      </w:pPr>
    </w:p>
    <w:bookmarkStart w:id="192" w:name="page193"/>
    <w:bookmarkEnd w:id="192"/>
    <w:p>
      <w:pPr>
        <w:ind w:left="10120"/>
        <w:spacing w:after="0"/>
        <w:rPr>
          <w:sz w:val="20"/>
          <w:szCs w:val="20"/>
          <w:color w:val="auto"/>
        </w:rPr>
      </w:pPr>
      <w:r>
        <w:rPr>
          <w:rFonts w:ascii="Times New Roman" w:cs="Times New Roman" w:eastAsia="Times New Roman" w:hAnsi="Times New Roman"/>
          <w:sz w:val="19"/>
          <w:szCs w:val="19"/>
          <w:b w:val="1"/>
          <w:bCs w:val="1"/>
          <w:color w:val="auto"/>
        </w:rPr>
        <w:t>Exhibit 10.26</w:t>
      </w:r>
    </w:p>
    <w:p>
      <w:pPr>
        <w:spacing w:after="0" w:line="241" w:lineRule="exact"/>
        <w:rPr>
          <w:sz w:val="20"/>
          <w:szCs w:val="20"/>
          <w:color w:val="auto"/>
        </w:rPr>
      </w:pPr>
    </w:p>
    <w:p>
      <w:pPr>
        <w:jc w:val="center"/>
        <w:ind w:right="4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CERTAIN CONFIDENTIAL INFORMATION CONTAINED IN THIS DOCUMENT, MARKED BY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HAS BEEN OMITTED BECAUSE IT IS BOTH (I) NOT MATERIAL AND (II) IS THE TYPE THAT TEMPEST THERAPEUTICS, INC. TREATS AS PRIVATE AND CONFIDENTIAL</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LICENSE AND COLLABORATION AGREEMENT</w:t>
      </w:r>
    </w:p>
    <w:p>
      <w:pPr>
        <w:spacing w:after="0" w:line="216" w:lineRule="exact"/>
        <w:rPr>
          <w:sz w:val="20"/>
          <w:szCs w:val="20"/>
          <w:color w:val="auto"/>
        </w:rPr>
      </w:pPr>
    </w:p>
    <w:p>
      <w:pPr>
        <w:jc w:val="both"/>
        <w:ind w:firstLine="749"/>
        <w:spacing w:after="0" w:line="227" w:lineRule="auto"/>
        <w:rPr>
          <w:sz w:val="20"/>
          <w:szCs w:val="20"/>
          <w:color w:val="auto"/>
        </w:rPr>
      </w:pPr>
      <w:r>
        <w:rPr>
          <w:rFonts w:ascii="Times New Roman" w:cs="Times New Roman" w:eastAsia="Times New Roman" w:hAnsi="Times New Roman"/>
          <w:sz w:val="20"/>
          <w:szCs w:val="20"/>
          <w:color w:val="auto"/>
        </w:rPr>
        <w:t>THIS AMENDED AND RESTATED LICENSE AND COLLABORATION AGREEMENT (this “</w:t>
      </w:r>
      <w:r>
        <w:rPr>
          <w:rFonts w:ascii="Times New Roman" w:cs="Times New Roman" w:eastAsia="Times New Roman" w:hAnsi="Times New Roman"/>
          <w:sz w:val="20"/>
          <w:szCs w:val="20"/>
          <w:i w:val="1"/>
          <w:iCs w:val="1"/>
          <w:u w:val="single" w:color="auto"/>
          <w:color w:val="auto"/>
        </w:rPr>
        <w:t>Agreement</w:t>
      </w:r>
      <w:r>
        <w:rPr>
          <w:rFonts w:ascii="Times New Roman" w:cs="Times New Roman" w:eastAsia="Times New Roman" w:hAnsi="Times New Roman"/>
          <w:sz w:val="20"/>
          <w:szCs w:val="20"/>
          <w:color w:val="auto"/>
        </w:rPr>
        <w:t>”) is entered into as of this 19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November, 2025 (the “</w:t>
      </w:r>
      <w:r>
        <w:rPr>
          <w:rFonts w:ascii="Times New Roman" w:cs="Times New Roman" w:eastAsia="Times New Roman" w:hAnsi="Times New Roman"/>
          <w:sz w:val="20"/>
          <w:szCs w:val="20"/>
          <w:i w:val="1"/>
          <w:iCs w:val="1"/>
          <w:u w:val="single" w:color="auto"/>
          <w:color w:val="auto"/>
        </w:rPr>
        <w:t>Execution Date</w:t>
      </w:r>
      <w:r>
        <w:rPr>
          <w:rFonts w:ascii="Times New Roman" w:cs="Times New Roman" w:eastAsia="Times New Roman" w:hAnsi="Times New Roman"/>
          <w:sz w:val="20"/>
          <w:szCs w:val="20"/>
          <w:color w:val="auto"/>
        </w:rPr>
        <w:t>”) and completely supersedes, as of the Effective Date, the License and Collaboration Agreement dated as of the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August 2025 (the “</w:t>
      </w:r>
      <w:r>
        <w:rPr>
          <w:rFonts w:ascii="Times New Roman" w:cs="Times New Roman" w:eastAsia="Times New Roman" w:hAnsi="Times New Roman"/>
          <w:sz w:val="20"/>
          <w:szCs w:val="20"/>
          <w:i w:val="1"/>
          <w:iCs w:val="1"/>
          <w:u w:val="single" w:color="auto"/>
          <w:color w:val="auto"/>
        </w:rPr>
        <w:t>Effective Date</w:t>
      </w:r>
      <w:r>
        <w:rPr>
          <w:rFonts w:ascii="Times New Roman" w:cs="Times New Roman" w:eastAsia="Times New Roman" w:hAnsi="Times New Roman"/>
          <w:sz w:val="20"/>
          <w:szCs w:val="20"/>
          <w:color w:val="auto"/>
        </w:rPr>
        <w:t>”), by and between FACTOR BIOSCIENCE LIMITED, a company organized and existing under the laws of Ireland (“</w:t>
      </w:r>
      <w:r>
        <w:rPr>
          <w:rFonts w:ascii="Times New Roman" w:cs="Times New Roman" w:eastAsia="Times New Roman" w:hAnsi="Times New Roman"/>
          <w:sz w:val="20"/>
          <w:szCs w:val="20"/>
          <w:i w:val="1"/>
          <w:iCs w:val="1"/>
          <w:u w:val="single" w:color="auto"/>
          <w:color w:val="auto"/>
        </w:rPr>
        <w:t>Licensor</w:t>
      </w:r>
      <w:r>
        <w:rPr>
          <w:rFonts w:ascii="Times New Roman" w:cs="Times New Roman" w:eastAsia="Times New Roman" w:hAnsi="Times New Roman"/>
          <w:sz w:val="20"/>
          <w:szCs w:val="20"/>
          <w:color w:val="auto"/>
        </w:rPr>
        <w:t>”), and ERIGEN LLC, a limited liability company organized and existing under the laws of the State of Delaware corporation (“</w:t>
      </w:r>
      <w:r>
        <w:rPr>
          <w:rFonts w:ascii="Times New Roman" w:cs="Times New Roman" w:eastAsia="Times New Roman" w:hAnsi="Times New Roman"/>
          <w:sz w:val="20"/>
          <w:szCs w:val="20"/>
          <w:i w:val="1"/>
          <w:iCs w:val="1"/>
          <w:u w:val="single" w:color="auto"/>
          <w:color w:val="auto"/>
        </w:rPr>
        <w:t>Licensee</w:t>
      </w:r>
      <w:r>
        <w:rPr>
          <w:rFonts w:ascii="Times New Roman" w:cs="Times New Roman" w:eastAsia="Times New Roman" w:hAnsi="Times New Roman"/>
          <w:sz w:val="20"/>
          <w:szCs w:val="20"/>
          <w:color w:val="auto"/>
        </w:rPr>
        <w:t>”). Licensor and Licensee may each be referred to in this Agreement individually as a “</w:t>
      </w:r>
      <w:r>
        <w:rPr>
          <w:rFonts w:ascii="Times New Roman" w:cs="Times New Roman" w:eastAsia="Times New Roman" w:hAnsi="Times New Roman"/>
          <w:sz w:val="20"/>
          <w:szCs w:val="20"/>
          <w:i w:val="1"/>
          <w:iCs w:val="1"/>
          <w:color w:val="auto"/>
        </w:rPr>
        <w:t>Pa</w:t>
      </w:r>
      <w:r>
        <w:rPr>
          <w:rFonts w:ascii="Times New Roman" w:cs="Times New Roman" w:eastAsia="Times New Roman" w:hAnsi="Times New Roman"/>
          <w:sz w:val="20"/>
          <w:szCs w:val="20"/>
          <w:i w:val="1"/>
          <w:iCs w:val="1"/>
          <w:u w:val="single" w:color="auto"/>
          <w:color w:val="auto"/>
        </w:rPr>
        <w:t>rty</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0"/>
          <w:szCs w:val="20"/>
          <w:i w:val="1"/>
          <w:iCs w:val="1"/>
          <w:u w:val="single" w:color="auto"/>
          <w:color w:val="auto"/>
        </w:rPr>
        <w:t>Parties</w:t>
      </w:r>
      <w:r>
        <w:rPr>
          <w:rFonts w:ascii="Times New Roman" w:cs="Times New Roman" w:eastAsia="Times New Roman" w:hAnsi="Times New Roman"/>
          <w:sz w:val="20"/>
          <w:szCs w:val="20"/>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-27940</wp:posOffset>
            </wp:positionV>
            <wp:extent cx="13970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4">
                      <a:extLst>
                        <a:ext uri="{28A0092B-C50C-407E-A947-70E740481C1C}"/>
                      </a:extLst>
                    </a:blip>
                    <a:srcRect/>
                    <a:stretch>
                      <a:fillRect/>
                    </a:stretch>
                  </pic:blipFill>
                  <pic:spPr bwMode="auto">
                    <a:xfrm>
                      <a:off x="0" y="0"/>
                      <a:ext cx="139700" cy="8255"/>
                    </a:xfrm>
                    <a:prstGeom prst="rect">
                      <a:avLst/>
                    </a:prstGeom>
                    <a:noFill/>
                  </pic:spPr>
                </pic:pic>
              </a:graphicData>
            </a:graphic>
          </wp:anchor>
        </w:drawing>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WHEREAS, Licensor owns or controls certain Licensed Technology (as defined herein); and</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WHEREAS, Licensee desires to receive from Licensor certain rights to the Licensed Technology in order that Licensee may develop and commercialize Licensed Products in the Licensed Territory (as such terms are defined herein); and</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WHEREAS, in furtherance of the foregoing, Licensor agrees to grant such rights to Licensee, and Licensee agrees to use its Commercially Reasonable Efforts (as defined herein) to develop and make commercially available one or more Licensed Products in accordance with this Agreement for commercial exploitation in the Field and in the Licensed Territory (as such terms are defined herein).</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mutual covenants contained in this Agreement, and other good and valuable consideration, the receipt and sufficiency of which are hereby acknowledged, the Parties agree as follows:</w:t>
      </w:r>
    </w:p>
    <w:p>
      <w:pPr>
        <w:spacing w:after="0" w:line="1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Section 1</w:t>
      </w:r>
    </w:p>
    <w:p>
      <w:pPr>
        <w:spacing w:after="0" w:line="2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i w:val="1"/>
          <w:iCs w:val="1"/>
          <w:u w:val="single" w:color="auto"/>
          <w:color w:val="auto"/>
        </w:rPr>
        <w:t>Definitions</w:t>
      </w:r>
    </w:p>
    <w:p>
      <w:pPr>
        <w:spacing w:after="0" w:line="19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Unless otherwise specifically provided herein, the following terms, when used with a capital letter at the beginning, will have the following meanings:</w:t>
      </w:r>
    </w:p>
    <w:p>
      <w:pPr>
        <w:spacing w:after="0" w:line="15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1.1“</w:t>
      </w:r>
      <w:r>
        <w:rPr>
          <w:rFonts w:ascii="Times New Roman" w:cs="Times New Roman" w:eastAsia="Times New Roman" w:hAnsi="Times New Roman"/>
          <w:sz w:val="20"/>
          <w:szCs w:val="20"/>
          <w:i w:val="1"/>
          <w:iCs w:val="1"/>
          <w:u w:val="single" w:color="auto"/>
          <w:color w:val="auto"/>
        </w:rPr>
        <w:t>Affiliate</w:t>
      </w:r>
      <w:r>
        <w:rPr>
          <w:rFonts w:ascii="Times New Roman" w:cs="Times New Roman" w:eastAsia="Times New Roman" w:hAnsi="Times New Roman"/>
          <w:sz w:val="20"/>
          <w:szCs w:val="20"/>
          <w:color w:val="auto"/>
        </w:rPr>
        <w:t xml:space="preserve">” means, with respect to a Party, a person, corporation, partnership, or other entity that controls, is controlled by or is under common control with such Party. For the purposes of this definition, the word “control” (including, with correlative meaning, the terms “controlled by” or “under common control with”) means the actual power, either directly or indirectly through one or more intermediaries, to direct or cause the direction of the management and policies of such entity, whether by the ownership of more than fifty percent (50%) of the voting stock of such entity, or by contract or otherwise. For the purposes of this definition and this Agreement, and notwithstanding anything set forth in </w:t>
      </w:r>
      <w:r>
        <w:rPr>
          <w:rFonts w:ascii="Times New Roman" w:cs="Times New Roman" w:eastAsia="Times New Roman" w:hAnsi="Times New Roman"/>
          <w:sz w:val="20"/>
          <w:szCs w:val="20"/>
          <w:u w:val="single" w:color="auto"/>
          <w:color w:val="auto"/>
        </w:rPr>
        <w:t>Section 6.1.11</w:t>
      </w:r>
      <w:r>
        <w:rPr>
          <w:rFonts w:ascii="Times New Roman" w:cs="Times New Roman" w:eastAsia="Times New Roman" w:hAnsi="Times New Roman"/>
          <w:sz w:val="20"/>
          <w:szCs w:val="20"/>
          <w:color w:val="auto"/>
        </w:rPr>
        <w:t xml:space="preserve"> to the contrary, for the avoidance of doubt, (a) Licensor, Factor Bioscience Pty Ltd, Factor Bioscience LLC, and Factor Bioscience Inc. (collectively, the “</w:t>
      </w:r>
      <w:r>
        <w:rPr>
          <w:rFonts w:ascii="Times New Roman" w:cs="Times New Roman" w:eastAsia="Times New Roman" w:hAnsi="Times New Roman"/>
          <w:sz w:val="20"/>
          <w:szCs w:val="20"/>
          <w:i w:val="1"/>
          <w:iCs w:val="1"/>
          <w:u w:val="single" w:color="auto"/>
          <w:color w:val="auto"/>
        </w:rPr>
        <w:t>Factor Bio Entities</w:t>
      </w:r>
      <w:r>
        <w:rPr>
          <w:rFonts w:ascii="Times New Roman" w:cs="Times New Roman" w:eastAsia="Times New Roman" w:hAnsi="Times New Roman"/>
          <w:sz w:val="20"/>
          <w:szCs w:val="20"/>
          <w:color w:val="auto"/>
        </w:rPr>
        <w:t>”) are each deemed not to be Affiliates of Licensee, and (b) Licensee is deemed not to be an Affiliate of any of the Factor Bio Entities.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1.2“</w:t>
      </w:r>
      <w:r>
        <w:rPr>
          <w:rFonts w:ascii="Times New Roman" w:cs="Times New Roman" w:eastAsia="Times New Roman" w:hAnsi="Times New Roman"/>
          <w:sz w:val="20"/>
          <w:szCs w:val="20"/>
          <w:i w:val="1"/>
          <w:iCs w:val="1"/>
          <w:u w:val="single" w:color="auto"/>
          <w:color w:val="auto"/>
        </w:rPr>
        <w:t>Agreement</w:t>
      </w:r>
      <w:r>
        <w:rPr>
          <w:rFonts w:ascii="Times New Roman" w:cs="Times New Roman" w:eastAsia="Times New Roman" w:hAnsi="Times New Roman"/>
          <w:sz w:val="20"/>
          <w:szCs w:val="20"/>
          <w:color w:val="auto"/>
        </w:rPr>
        <w:t>” has the meaning set forth in the Preamble.</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1.3“</w:t>
      </w:r>
      <w:r>
        <w:rPr>
          <w:rFonts w:ascii="Times New Roman" w:cs="Times New Roman" w:eastAsia="Times New Roman" w:hAnsi="Times New Roman"/>
          <w:sz w:val="20"/>
          <w:szCs w:val="20"/>
          <w:i w:val="1"/>
          <w:iCs w:val="1"/>
          <w:u w:val="single" w:color="auto"/>
          <w:color w:val="auto"/>
        </w:rPr>
        <w:t>Applicable Law</w:t>
      </w:r>
      <w:r>
        <w:rPr>
          <w:rFonts w:ascii="Times New Roman" w:cs="Times New Roman" w:eastAsia="Times New Roman" w:hAnsi="Times New Roman"/>
          <w:sz w:val="20"/>
          <w:szCs w:val="20"/>
          <w:color w:val="auto"/>
        </w:rPr>
        <w:t>” means all statutes, ordinances, regulations, rules or orders of any kind whatsoever of any agency, bureau, branch, office, court, commission, authority, department, ministry,</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93" w:name="page194"/>
    <w:bookmarkEnd w:id="193"/>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official or other instrumentality of, or being vested with public authority under any law of, any country, state or local authority or any political subdivision thereof, or any association of countries that may be in effect from time to time and applicable to a Party’s obligations or exercise of its rights under this Agreement.</w:t>
      </w:r>
    </w:p>
    <w:p>
      <w:pPr>
        <w:spacing w:after="0" w:line="17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1.4“</w:t>
      </w:r>
      <w:r>
        <w:rPr>
          <w:rFonts w:ascii="Times New Roman" w:cs="Times New Roman" w:eastAsia="Times New Roman" w:hAnsi="Times New Roman"/>
          <w:sz w:val="20"/>
          <w:szCs w:val="20"/>
          <w:i w:val="1"/>
          <w:iCs w:val="1"/>
          <w:color w:val="auto"/>
        </w:rPr>
        <w:t>BL</w:t>
      </w:r>
      <w:r>
        <w:rPr>
          <w:rFonts w:ascii="Times New Roman" w:cs="Times New Roman" w:eastAsia="Times New Roman" w:hAnsi="Times New Roman"/>
          <w:sz w:val="20"/>
          <w:szCs w:val="20"/>
          <w:i w:val="1"/>
          <w:iCs w:val="1"/>
          <w:u w:val="single" w:color="auto"/>
          <w:color w:val="auto"/>
        </w:rPr>
        <w:t>A</w:t>
      </w:r>
      <w:r>
        <w:rPr>
          <w:rFonts w:ascii="Times New Roman" w:cs="Times New Roman" w:eastAsia="Times New Roman" w:hAnsi="Times New Roman"/>
          <w:sz w:val="20"/>
          <w:szCs w:val="20"/>
          <w:color w:val="auto"/>
        </w:rPr>
        <w:t>” means a Biologic License Application (as more fully described in U.S. 21 C.F.R. Part 601.20 or its successor regulation), as may be amended from time to time, or any analogous application or submission with any Regulatory Authority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-329565</wp:posOffset>
            </wp:positionV>
            <wp:extent cx="14668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6">
                      <a:extLst>
                        <a:ext uri="{28A0092B-C50C-407E-A947-70E740481C1C}"/>
                      </a:extLst>
                    </a:blip>
                    <a:srcRect/>
                    <a:stretch>
                      <a:fillRect/>
                    </a:stretch>
                  </pic:blipFill>
                  <pic:spPr bwMode="auto">
                    <a:xfrm>
                      <a:off x="0" y="0"/>
                      <a:ext cx="146685" cy="8255"/>
                    </a:xfrm>
                    <a:prstGeom prst="rect">
                      <a:avLst/>
                    </a:prstGeom>
                    <a:noFill/>
                  </pic:spPr>
                </pic:pic>
              </a:graphicData>
            </a:graphic>
          </wp:anchor>
        </w:drawing>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1.5“</w:t>
      </w:r>
      <w:r>
        <w:rPr>
          <w:rFonts w:ascii="Times New Roman" w:cs="Times New Roman" w:eastAsia="Times New Roman" w:hAnsi="Times New Roman"/>
          <w:sz w:val="19"/>
          <w:szCs w:val="19"/>
          <w:i w:val="1"/>
          <w:iCs w:val="1"/>
          <w:u w:val="single" w:color="auto"/>
          <w:color w:val="auto"/>
        </w:rPr>
        <w:t>Calendar Quarter</w:t>
      </w:r>
      <w:r>
        <w:rPr>
          <w:rFonts w:ascii="Times New Roman" w:cs="Times New Roman" w:eastAsia="Times New Roman" w:hAnsi="Times New Roman"/>
          <w:sz w:val="19"/>
          <w:szCs w:val="19"/>
          <w:color w:val="auto"/>
        </w:rPr>
        <w:t>” means each of the following three- (3)-month periods during each year: January 1 through March 31; April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through June 30; July 1 through September 30; and October 1 through December 31.</w:t>
      </w:r>
    </w:p>
    <w:p>
      <w:pPr>
        <w:spacing w:after="0" w:line="19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1.6“</w:t>
      </w:r>
      <w:r>
        <w:rPr>
          <w:rFonts w:ascii="Times New Roman" w:cs="Times New Roman" w:eastAsia="Times New Roman" w:hAnsi="Times New Roman"/>
          <w:sz w:val="20"/>
          <w:szCs w:val="20"/>
          <w:i w:val="1"/>
          <w:iCs w:val="1"/>
          <w:u w:val="single" w:color="auto"/>
          <w:color w:val="auto"/>
        </w:rPr>
        <w:t>Combination Product</w:t>
      </w:r>
      <w:r>
        <w:rPr>
          <w:rFonts w:ascii="Times New Roman" w:cs="Times New Roman" w:eastAsia="Times New Roman" w:hAnsi="Times New Roman"/>
          <w:sz w:val="20"/>
          <w:szCs w:val="20"/>
          <w:color w:val="auto"/>
        </w:rPr>
        <w:t xml:space="preserve">” means any product comprising a combination of (a) a Licensed Product and (b) any active ingredient(s) (other than a Licensed Product) for which rights are not included in the licenses granted under this Agreement but, with respect to the item(s) in (b) of this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which may each or collectively [***] (an “</w:t>
      </w:r>
      <w:r>
        <w:rPr>
          <w:rFonts w:ascii="Times New Roman" w:cs="Times New Roman" w:eastAsia="Times New Roman" w:hAnsi="Times New Roman"/>
          <w:sz w:val="20"/>
          <w:szCs w:val="20"/>
          <w:i w:val="1"/>
          <w:iCs w:val="1"/>
          <w:u w:val="single" w:color="auto"/>
          <w:color w:val="auto"/>
        </w:rPr>
        <w:t>Other Product</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1.7“</w:t>
      </w:r>
      <w:r>
        <w:rPr>
          <w:rFonts w:ascii="Times New Roman" w:cs="Times New Roman" w:eastAsia="Times New Roman" w:hAnsi="Times New Roman"/>
          <w:sz w:val="20"/>
          <w:szCs w:val="20"/>
          <w:i w:val="1"/>
          <w:iCs w:val="1"/>
          <w:u w:val="single" w:color="auto"/>
          <w:color w:val="auto"/>
        </w:rPr>
        <w:t>Commercially Reasonable Efforts</w:t>
      </w:r>
      <w:r>
        <w:rPr>
          <w:rFonts w:ascii="Times New Roman" w:cs="Times New Roman" w:eastAsia="Times New Roman" w:hAnsi="Times New Roman"/>
          <w:sz w:val="20"/>
          <w:szCs w:val="20"/>
          <w:color w:val="auto"/>
        </w:rPr>
        <w:t>” means, with respect to the performance of activities hereunder by or on behalf of Licensee, the carrying out of such activities using commercial and business efforts and resources [***] in the development, manufacture and commercialization of products similar to the Licensed Products would typically devote to such activities, [***].</w:t>
      </w:r>
    </w:p>
    <w:p>
      <w:pPr>
        <w:spacing w:after="0" w:line="16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1.8“</w:t>
      </w:r>
      <w:r>
        <w:rPr>
          <w:rFonts w:ascii="Times New Roman" w:cs="Times New Roman" w:eastAsia="Times New Roman" w:hAnsi="Times New Roman"/>
          <w:sz w:val="20"/>
          <w:szCs w:val="20"/>
          <w:i w:val="1"/>
          <w:iCs w:val="1"/>
          <w:u w:val="single" w:color="auto"/>
          <w:color w:val="auto"/>
        </w:rPr>
        <w:t>Competitive Infringement</w:t>
      </w:r>
      <w:r>
        <w:rPr>
          <w:rFonts w:ascii="Times New Roman" w:cs="Times New Roman" w:eastAsia="Times New Roman" w:hAnsi="Times New Roman"/>
          <w:sz w:val="20"/>
          <w:szCs w:val="20"/>
          <w:color w:val="auto"/>
        </w:rPr>
        <w:t>” means the infringement of a Foundational Patent, an Improvement Patent or a Licensed Patent by the making, using, selling, offering for sale, or importing, by any third party (other than any Sublicensee or authorized purchaser or other authorized transferee of a Party with respect to such Licensed Product), of a Licensed Product, where such Licensed Product is Covered by at least one Valid Claim.</w:t>
      </w:r>
    </w:p>
    <w:p>
      <w:pPr>
        <w:spacing w:after="0" w:line="17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1.9“</w:t>
      </w:r>
      <w:r>
        <w:rPr>
          <w:rFonts w:ascii="Times New Roman" w:cs="Times New Roman" w:eastAsia="Times New Roman" w:hAnsi="Times New Roman"/>
          <w:sz w:val="20"/>
          <w:szCs w:val="20"/>
          <w:i w:val="1"/>
          <w:iCs w:val="1"/>
          <w:u w:val="single" w:color="auto"/>
          <w:color w:val="auto"/>
        </w:rPr>
        <w:t>Confidential Information</w:t>
      </w:r>
      <w:r>
        <w:rPr>
          <w:rFonts w:ascii="Times New Roman" w:cs="Times New Roman" w:eastAsia="Times New Roman" w:hAnsi="Times New Roman"/>
          <w:sz w:val="20"/>
          <w:szCs w:val="20"/>
          <w:color w:val="auto"/>
        </w:rPr>
        <w:t>” means all Information disclosed by or on behalf of one Party to the other under this Agreement in any manner, whether orally, visually, electronically, in writing or in other tangible or intangible form, that relates to Licensed Technology, Licensed Products, or this Agreement. Notwithstanding the foregoing, the following information shall not constitute “Confidential Information”: (a) information lawfully in the receiving Party’s possession or control prior to the time it received the information from the disclosing Party; (b) information developed by the receiving Party independently of, and without reference to, the Confidential Information of the disclosing Party; (c) information that was, at the time it was disclosed to or obtained by the receiving Party, or thereafter became, available to the public through no act or omission of the receiving Party; and (d) information lawfully obtained by the receiving Party from a third party with the right to disclose such information free of any obligations of confidentiality.</w:t>
      </w:r>
    </w:p>
    <w:p>
      <w:pPr>
        <w:spacing w:after="0" w:line="18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1.10“</w:t>
      </w:r>
      <w:r>
        <w:rPr>
          <w:rFonts w:ascii="Times New Roman" w:cs="Times New Roman" w:eastAsia="Times New Roman" w:hAnsi="Times New Roman"/>
          <w:sz w:val="20"/>
          <w:szCs w:val="20"/>
          <w:i w:val="1"/>
          <w:iCs w:val="1"/>
          <w:u w:val="single" w:color="auto"/>
          <w:color w:val="auto"/>
        </w:rPr>
        <w:t>Control</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i w:val="1"/>
          <w:iCs w:val="1"/>
          <w:u w:val="single" w:color="auto"/>
          <w:color w:val="auto"/>
        </w:rPr>
        <w:t>Controlled by</w:t>
      </w:r>
      <w:r>
        <w:rPr>
          <w:rFonts w:ascii="Times New Roman" w:cs="Times New Roman" w:eastAsia="Times New Roman" w:hAnsi="Times New Roman"/>
          <w:sz w:val="20"/>
          <w:szCs w:val="20"/>
          <w:color w:val="auto"/>
        </w:rPr>
        <w:t>” means, in the context of a license to or ownership of Intellectual Property, the ability on the part of a Party to grant access to or a license or sublicense of such Intellectual Property as provided for herein without violating the terms of any agreement or other arrangement between such Party and any Third Party existing at the time such Party would be required hereunder to grant such access or license or sublicense.</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1.11“</w:t>
      </w:r>
      <w:r>
        <w:rPr>
          <w:rFonts w:ascii="Times New Roman" w:cs="Times New Roman" w:eastAsia="Times New Roman" w:hAnsi="Times New Roman"/>
          <w:sz w:val="20"/>
          <w:szCs w:val="20"/>
          <w:i w:val="1"/>
          <w:iCs w:val="1"/>
          <w:color w:val="auto"/>
        </w:rPr>
        <w:t>Co</w:t>
      </w:r>
      <w:r>
        <w:rPr>
          <w:rFonts w:ascii="Times New Roman" w:cs="Times New Roman" w:eastAsia="Times New Roman" w:hAnsi="Times New Roman"/>
          <w:sz w:val="20"/>
          <w:szCs w:val="20"/>
          <w:i w:val="1"/>
          <w:iCs w:val="1"/>
          <w:u w:val="single" w:color="auto"/>
          <w:color w:val="auto"/>
        </w:rPr>
        <w:t>ver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i w:val="1"/>
          <w:iCs w:val="1"/>
          <w:color w:val="auto"/>
        </w:rPr>
        <w:t>Cov</w:t>
      </w:r>
      <w:r>
        <w:rPr>
          <w:rFonts w:ascii="Times New Roman" w:cs="Times New Roman" w:eastAsia="Times New Roman" w:hAnsi="Times New Roman"/>
          <w:sz w:val="20"/>
          <w:szCs w:val="20"/>
          <w:i w:val="1"/>
          <w:iCs w:val="1"/>
          <w:u w:val="single" w:color="auto"/>
          <w:color w:val="auto"/>
        </w:rPr>
        <w:t>ered</w:t>
      </w:r>
      <w:r>
        <w:rPr>
          <w:rFonts w:ascii="Times New Roman" w:cs="Times New Roman" w:eastAsia="Times New Roman" w:hAnsi="Times New Roman"/>
          <w:sz w:val="20"/>
          <w:szCs w:val="20"/>
          <w:color w:val="auto"/>
        </w:rPr>
        <w:t>” means that the use, manufacture, sale, offer for sale, research, development, commercialization, or importation of the subject matter in question (including a chemical or biologic agent, or a process) by an unlicensed entity would infringe a granted Valid Claim (or, in the case of a pending Valid Claim that has not yet been granted, would infringe such Valid Claim if it were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-329565</wp:posOffset>
            </wp:positionV>
            <wp:extent cx="14668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7">
                      <a:extLst>
                        <a:ext uri="{28A0092B-C50C-407E-A947-70E740481C1C}"/>
                      </a:extLst>
                    </a:blip>
                    <a:srcRect/>
                    <a:stretch>
                      <a:fillRect/>
                    </a:stretch>
                  </pic:blipFill>
                  <pic:spPr bwMode="auto">
                    <a:xfrm>
                      <a:off x="0" y="0"/>
                      <a:ext cx="146685" cy="8890"/>
                    </a:xfrm>
                    <a:prstGeom prst="rect">
                      <a:avLst/>
                    </a:prstGeom>
                    <a:noFill/>
                  </pic:spPr>
                </pic:pic>
              </a:graphicData>
            </a:graphic>
          </wp:anchor>
        </w:drawing>
        <w:drawing>
          <wp:anchor simplePos="0" relativeHeight="251657728" behindDoc="1" locked="0" layoutInCell="0" allowOverlap="1">
            <wp:simplePos x="0" y="0"/>
            <wp:positionH relativeFrom="column">
              <wp:posOffset>1384935</wp:posOffset>
            </wp:positionH>
            <wp:positionV relativeFrom="paragraph">
              <wp:posOffset>-329565</wp:posOffset>
            </wp:positionV>
            <wp:extent cx="20256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8">
                      <a:extLst>
                        <a:ext uri="{28A0092B-C50C-407E-A947-70E740481C1C}"/>
                      </a:extLst>
                    </a:blip>
                    <a:srcRect/>
                    <a:stretch>
                      <a:fillRect/>
                    </a:stretch>
                  </pic:blipFill>
                  <pic:spPr bwMode="auto">
                    <a:xfrm>
                      <a:off x="0" y="0"/>
                      <a:ext cx="202565"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granted in its then-current form) of a Foundational Patent or Licensed Patent included in the Licensed Technology.</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1.12“</w:t>
      </w:r>
      <w:r>
        <w:rPr>
          <w:rFonts w:ascii="Times New Roman" w:cs="Times New Roman" w:eastAsia="Times New Roman" w:hAnsi="Times New Roman"/>
          <w:sz w:val="20"/>
          <w:szCs w:val="20"/>
          <w:i w:val="1"/>
          <w:iCs w:val="1"/>
          <w:u w:val="single" w:color="auto"/>
          <w:color w:val="auto"/>
        </w:rPr>
        <w:t>Effective Date</w:t>
      </w:r>
      <w:r>
        <w:rPr>
          <w:rFonts w:ascii="Times New Roman" w:cs="Times New Roman" w:eastAsia="Times New Roman" w:hAnsi="Times New Roman"/>
          <w:sz w:val="20"/>
          <w:szCs w:val="20"/>
          <w:color w:val="auto"/>
        </w:rPr>
        <w:t>” has the meaning set forth in the Preamble.</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1.13“</w:t>
      </w:r>
      <w:r>
        <w:rPr>
          <w:rFonts w:ascii="Times New Roman" w:cs="Times New Roman" w:eastAsia="Times New Roman" w:hAnsi="Times New Roman"/>
          <w:sz w:val="20"/>
          <w:szCs w:val="20"/>
          <w:i w:val="1"/>
          <w:iCs w:val="1"/>
          <w:u w:val="single" w:color="auto"/>
          <w:color w:val="auto"/>
        </w:rPr>
        <w:t>ERI-3003 Product</w:t>
      </w:r>
      <w:r>
        <w:rPr>
          <w:rFonts w:ascii="Times New Roman" w:cs="Times New Roman" w:eastAsia="Times New Roman" w:hAnsi="Times New Roman"/>
          <w:sz w:val="20"/>
          <w:szCs w:val="20"/>
          <w:color w:val="auto"/>
        </w:rPr>
        <w:t>” means an allogeneic cell therapy product consisting of human T-cells comprising a CD19/BCMA bicistronic dual chimeric antigen receptor and a gene edit in the TRAC locus that inactivates the T-cell receptor. For the avoidance of doubt, the ERI-3003 Product may comprise additional [***], but does not comprise additional [***], such as, by way of nonlimiting­ example, additional [***]</w:t>
      </w:r>
    </w:p>
    <w:p>
      <w:pPr>
        <w:spacing w:after="0" w:line="17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1.14“</w:t>
      </w:r>
      <w:r>
        <w:rPr>
          <w:rFonts w:ascii="Times New Roman" w:cs="Times New Roman" w:eastAsia="Times New Roman" w:hAnsi="Times New Roman"/>
          <w:sz w:val="20"/>
          <w:szCs w:val="20"/>
          <w:i w:val="1"/>
          <w:iCs w:val="1"/>
          <w:u w:val="single" w:color="auto"/>
          <w:color w:val="auto"/>
        </w:rPr>
        <w:t>ERI-3206 Product</w:t>
      </w:r>
      <w:r>
        <w:rPr>
          <w:rFonts w:ascii="Times New Roman" w:cs="Times New Roman" w:eastAsia="Times New Roman" w:hAnsi="Times New Roman"/>
          <w:sz w:val="20"/>
          <w:szCs w:val="20"/>
          <w:color w:val="auto"/>
        </w:rPr>
        <w:t>” means an allogeneic cell therapy product consisting of human T-cells comprising a CD70/CD70 bicistronic dual chimeric antigen receptor and a gene edit in the TRAC locus that inactivates the T-cell receptor.. For the avoidance of doubt, the ERI-3206 Product may comprise additional [***], but does not comprise additional [***], such as, by way of nonlimiting­ example, additional [***].</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1.15“</w:t>
      </w:r>
      <w:r>
        <w:rPr>
          <w:rFonts w:ascii="Times New Roman" w:cs="Times New Roman" w:eastAsia="Times New Roman" w:hAnsi="Times New Roman"/>
          <w:sz w:val="20"/>
          <w:szCs w:val="20"/>
          <w:i w:val="1"/>
          <w:iCs w:val="1"/>
          <w:color w:val="auto"/>
        </w:rPr>
        <w:t>Exp</w:t>
      </w:r>
      <w:r>
        <w:rPr>
          <w:rFonts w:ascii="Times New Roman" w:cs="Times New Roman" w:eastAsia="Times New Roman" w:hAnsi="Times New Roman"/>
          <w:sz w:val="20"/>
          <w:szCs w:val="20"/>
          <w:i w:val="1"/>
          <w:iCs w:val="1"/>
          <w:u w:val="single" w:color="auto"/>
          <w:color w:val="auto"/>
        </w:rPr>
        <w:t>loit</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color w:val="auto"/>
        </w:rPr>
        <w:t>Exploitation</w:t>
      </w:r>
      <w:r>
        <w:rPr>
          <w:rFonts w:ascii="Times New Roman" w:cs="Times New Roman" w:eastAsia="Times New Roman" w:hAnsi="Times New Roman"/>
          <w:sz w:val="20"/>
          <w:szCs w:val="20"/>
          <w:color w:val="auto"/>
        </w:rPr>
        <w:t>” mean to make, have made, research, develop, manufacture, use, sell, have sold, offer for sale, commercialize, distribute, import and/or export.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-194310</wp:posOffset>
            </wp:positionV>
            <wp:extent cx="195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0">
                      <a:extLst>
                        <a:ext uri="{28A0092B-C50C-407E-A947-70E740481C1C}"/>
                      </a:extLst>
                    </a:blip>
                    <a:srcRect/>
                    <a:stretch>
                      <a:fillRect/>
                    </a:stretch>
                  </pic:blipFill>
                  <pic:spPr bwMode="auto">
                    <a:xfrm>
                      <a:off x="0" y="0"/>
                      <a:ext cx="195580" cy="8255"/>
                    </a:xfrm>
                    <a:prstGeom prst="rect">
                      <a:avLst/>
                    </a:prstGeom>
                    <a:noFill/>
                  </pic:spPr>
                </pic:pic>
              </a:graphicData>
            </a:graphic>
          </wp:anchor>
        </w:drawing>
        <w:drawing>
          <wp:anchor simplePos="0" relativeHeight="251657728" behindDoc="1" locked="0" layoutInCell="0" allowOverlap="1">
            <wp:simplePos x="0" y="0"/>
            <wp:positionH relativeFrom="column">
              <wp:posOffset>1500505</wp:posOffset>
            </wp:positionH>
            <wp:positionV relativeFrom="paragraph">
              <wp:posOffset>-194310</wp:posOffset>
            </wp:positionV>
            <wp:extent cx="62103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1">
                      <a:extLst>
                        <a:ext uri="{28A0092B-C50C-407E-A947-70E740481C1C}"/>
                      </a:extLst>
                    </a:blip>
                    <a:srcRect/>
                    <a:stretch>
                      <a:fillRect/>
                    </a:stretch>
                  </pic:blipFill>
                  <pic:spPr bwMode="auto">
                    <a:xfrm>
                      <a:off x="0" y="0"/>
                      <a:ext cx="621030" cy="8255"/>
                    </a:xfrm>
                    <a:prstGeom prst="rect">
                      <a:avLst/>
                    </a:prstGeom>
                    <a:noFill/>
                  </pic:spPr>
                </pic:pic>
              </a:graphicData>
            </a:graphic>
          </wp:anchor>
        </w:drawing>
      </w:r>
    </w:p>
    <w:p>
      <w:pPr>
        <w:spacing w:after="0" w:line="1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1.16“</w:t>
      </w:r>
      <w:r>
        <w:rPr>
          <w:rFonts w:ascii="Times New Roman" w:cs="Times New Roman" w:eastAsia="Times New Roman" w:hAnsi="Times New Roman"/>
          <w:sz w:val="20"/>
          <w:szCs w:val="20"/>
          <w:i w:val="1"/>
          <w:iCs w:val="1"/>
          <w:color w:val="auto"/>
        </w:rPr>
        <w:t>FD</w:t>
      </w:r>
      <w:r>
        <w:rPr>
          <w:rFonts w:ascii="Times New Roman" w:cs="Times New Roman" w:eastAsia="Times New Roman" w:hAnsi="Times New Roman"/>
          <w:sz w:val="20"/>
          <w:szCs w:val="20"/>
          <w:i w:val="1"/>
          <w:iCs w:val="1"/>
          <w:u w:val="single" w:color="auto"/>
          <w:color w:val="auto"/>
        </w:rPr>
        <w:t>A</w:t>
      </w:r>
      <w:r>
        <w:rPr>
          <w:rFonts w:ascii="Times New Roman" w:cs="Times New Roman" w:eastAsia="Times New Roman" w:hAnsi="Times New Roman"/>
          <w:sz w:val="20"/>
          <w:szCs w:val="20"/>
          <w:color w:val="auto"/>
        </w:rPr>
        <w:t>” means the United States Food and Drug Administration or any successor agency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-8255</wp:posOffset>
            </wp:positionV>
            <wp:extent cx="16764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2">
                      <a:extLst>
                        <a:ext uri="{28A0092B-C50C-407E-A947-70E740481C1C}"/>
                      </a:extLst>
                    </a:blip>
                    <a:srcRect/>
                    <a:stretch>
                      <a:fillRect/>
                    </a:stretch>
                  </pic:blipFill>
                  <pic:spPr bwMode="auto">
                    <a:xfrm>
                      <a:off x="0" y="0"/>
                      <a:ext cx="167640" cy="8255"/>
                    </a:xfrm>
                    <a:prstGeom prst="rect">
                      <a:avLst/>
                    </a:prstGeom>
                    <a:noFill/>
                  </pic:spPr>
                </pic:pic>
              </a:graphicData>
            </a:graphic>
          </wp:anchor>
        </w:drawing>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1.17“</w:t>
      </w:r>
      <w:r>
        <w:rPr>
          <w:rFonts w:ascii="Times New Roman" w:cs="Times New Roman" w:eastAsia="Times New Roman" w:hAnsi="Times New Roman"/>
          <w:sz w:val="20"/>
          <w:szCs w:val="20"/>
          <w:i w:val="1"/>
          <w:iCs w:val="1"/>
          <w:color w:val="auto"/>
        </w:rPr>
        <w:t>Fi</w:t>
      </w:r>
      <w:r>
        <w:rPr>
          <w:rFonts w:ascii="Times New Roman" w:cs="Times New Roman" w:eastAsia="Times New Roman" w:hAnsi="Times New Roman"/>
          <w:sz w:val="20"/>
          <w:szCs w:val="20"/>
          <w:i w:val="1"/>
          <w:iCs w:val="1"/>
          <w:u w:val="single" w:color="auto"/>
          <w:color w:val="auto"/>
        </w:rPr>
        <w:t>eld</w:t>
      </w:r>
      <w:r>
        <w:rPr>
          <w:rFonts w:ascii="Times New Roman" w:cs="Times New Roman" w:eastAsia="Times New Roman" w:hAnsi="Times New Roman"/>
          <w:sz w:val="20"/>
          <w:szCs w:val="20"/>
          <w:color w:val="auto"/>
        </w:rPr>
        <w:t>” means the Exploitation of Licensed Products in all fields.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-8255</wp:posOffset>
            </wp:positionV>
            <wp:extent cx="11176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9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1.18“</w:t>
      </w:r>
      <w:r>
        <w:rPr>
          <w:rFonts w:ascii="Times New Roman" w:cs="Times New Roman" w:eastAsia="Times New Roman" w:hAnsi="Times New Roman"/>
          <w:sz w:val="20"/>
          <w:szCs w:val="20"/>
          <w:i w:val="1"/>
          <w:iCs w:val="1"/>
          <w:u w:val="single" w:color="auto"/>
          <w:color w:val="auto"/>
        </w:rPr>
        <w:t>First Commercial Sale</w:t>
      </w:r>
      <w:r>
        <w:rPr>
          <w:rFonts w:ascii="Times New Roman" w:cs="Times New Roman" w:eastAsia="Times New Roman" w:hAnsi="Times New Roman"/>
          <w:sz w:val="20"/>
          <w:szCs w:val="20"/>
          <w:color w:val="auto"/>
        </w:rPr>
        <w:t>” means, following Regulatory Approval in a particular jurisdiction, the first arm’s-length sale or other transfer for value of a Licensed Product by or on behalf of Licensee, or an Affiliate or Sublicensee, to an unrelated third party in such jurisdiction.</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1.19“</w:t>
      </w:r>
      <w:r>
        <w:rPr>
          <w:rFonts w:ascii="Times New Roman" w:cs="Times New Roman" w:eastAsia="Times New Roman" w:hAnsi="Times New Roman"/>
          <w:sz w:val="20"/>
          <w:szCs w:val="20"/>
          <w:i w:val="1"/>
          <w:iCs w:val="1"/>
          <w:u w:val="single" w:color="auto"/>
          <w:color w:val="auto"/>
        </w:rPr>
        <w:t>Foundational Patents</w:t>
      </w:r>
      <w:r>
        <w:rPr>
          <w:rFonts w:ascii="Times New Roman" w:cs="Times New Roman" w:eastAsia="Times New Roman" w:hAnsi="Times New Roman"/>
          <w:sz w:val="20"/>
          <w:szCs w:val="20"/>
          <w:color w:val="auto"/>
        </w:rPr>
        <w:t xml:space="preserve">” shall mean the Patents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and any Patent that claims priority to any of Patents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1.20“</w:t>
      </w:r>
      <w:r>
        <w:rPr>
          <w:rFonts w:ascii="Times New Roman" w:cs="Times New Roman" w:eastAsia="Times New Roman" w:hAnsi="Times New Roman"/>
          <w:sz w:val="20"/>
          <w:szCs w:val="20"/>
          <w:i w:val="1"/>
          <w:iCs w:val="1"/>
          <w:color w:val="auto"/>
        </w:rPr>
        <w:t>IN</w:t>
      </w:r>
      <w:r>
        <w:rPr>
          <w:rFonts w:ascii="Times New Roman" w:cs="Times New Roman" w:eastAsia="Times New Roman" w:hAnsi="Times New Roman"/>
          <w:sz w:val="20"/>
          <w:szCs w:val="20"/>
          <w:i w:val="1"/>
          <w:iCs w:val="1"/>
          <w:u w:val="single" w:color="auto"/>
          <w:color w:val="auto"/>
        </w:rPr>
        <w:t>D</w:t>
      </w:r>
      <w:r>
        <w:rPr>
          <w:rFonts w:ascii="Times New Roman" w:cs="Times New Roman" w:eastAsia="Times New Roman" w:hAnsi="Times New Roman"/>
          <w:sz w:val="20"/>
          <w:szCs w:val="20"/>
          <w:color w:val="auto"/>
        </w:rPr>
        <w:t>” means an Investigational New Drug Application (or the foreign equivalent thereof) filed with the FDA required for the initiation of clinical trials in humans for the applicable Licensed Product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-194310</wp:posOffset>
            </wp:positionV>
            <wp:extent cx="12573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4">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3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1.21“</w:t>
      </w:r>
      <w:r>
        <w:rPr>
          <w:rFonts w:ascii="Times New Roman" w:cs="Times New Roman" w:eastAsia="Times New Roman" w:hAnsi="Times New Roman"/>
          <w:sz w:val="20"/>
          <w:szCs w:val="20"/>
          <w:i w:val="1"/>
          <w:iCs w:val="1"/>
          <w:u w:val="single" w:color="auto"/>
          <w:color w:val="auto"/>
        </w:rPr>
        <w:t>Information</w:t>
      </w:r>
      <w:r>
        <w:rPr>
          <w:rFonts w:ascii="Times New Roman" w:cs="Times New Roman" w:eastAsia="Times New Roman" w:hAnsi="Times New Roman"/>
          <w:sz w:val="20"/>
          <w:szCs w:val="20"/>
          <w:color w:val="auto"/>
        </w:rPr>
        <w:t>” means all information, know-how, data, results, technology, materials, scientific, business or financial information of any type whatsoever, in any tangible or intangible form, provided by or on behalf of one Party to the other Party, either in connection with the discussions and negotiations pertaining to this Agreement or in the course of performing this Agreement, or that otherwise relates to the Licensed Technology or the Licensed Products, whether disclosed orally, visually, electronically, in writing or in other tangible or intangible form, and which may include data, knowledge, practices, processes, ideas, research plans, antibodies, small molecules, compounds, targets, biological and chemical formulations, structures and designs, laboratory notebooks, proof of concept and pre-clinical studies, formulation or manufacturing processes and techniques, scientific, manufacturing, marketing and business plans, and financial and personnel matters relating to the disclosing Party or to its present or future products, sales, suppliers, customers, employees, investors or business.</w:t>
      </w:r>
    </w:p>
    <w:p>
      <w:pPr>
        <w:spacing w:after="0" w:line="18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1.22“</w:t>
      </w:r>
      <w:r>
        <w:rPr>
          <w:rFonts w:ascii="Times New Roman" w:cs="Times New Roman" w:eastAsia="Times New Roman" w:hAnsi="Times New Roman"/>
          <w:sz w:val="20"/>
          <w:szCs w:val="20"/>
          <w:i w:val="1"/>
          <w:iCs w:val="1"/>
          <w:u w:val="single" w:color="auto"/>
          <w:color w:val="auto"/>
        </w:rPr>
        <w:t>Improvement(s)</w:t>
      </w:r>
      <w:r>
        <w:rPr>
          <w:rFonts w:ascii="Times New Roman" w:cs="Times New Roman" w:eastAsia="Times New Roman" w:hAnsi="Times New Roman"/>
          <w:sz w:val="20"/>
          <w:szCs w:val="20"/>
          <w:color w:val="auto"/>
        </w:rPr>
        <w:t>” means any invention, discovery, advancement, development, or creation which: (a) is invented, developed, authored, created, or reduced to practice by or on behalf of Licensee, or Sublicensee(s), or any of their respective Affiliates (or any of their respective personnel or agents, including</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any employee, officer, advisor, or independent contractor employed or engaged by (or otherwise having an obligation to assign inventions to) them); and (b) is an improvement, modification or enhancement to one or more of the inventions claimed in the Foundational Patents or Licensed Patents that does not specifically relate to or require the use of any Licensed Products.</w:t>
      </w:r>
    </w:p>
    <w:p>
      <w:pPr>
        <w:spacing w:after="0" w:line="170"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1.23“</w:t>
      </w:r>
      <w:r>
        <w:rPr>
          <w:rFonts w:ascii="Times New Roman" w:cs="Times New Roman" w:eastAsia="Times New Roman" w:hAnsi="Times New Roman"/>
          <w:sz w:val="20"/>
          <w:szCs w:val="20"/>
          <w:i w:val="1"/>
          <w:iCs w:val="1"/>
          <w:u w:val="single" w:color="auto"/>
          <w:color w:val="auto"/>
        </w:rPr>
        <w:t>Improvement Patents</w:t>
      </w:r>
      <w:r>
        <w:rPr>
          <w:rFonts w:ascii="Times New Roman" w:cs="Times New Roman" w:eastAsia="Times New Roman" w:hAnsi="Times New Roman"/>
          <w:sz w:val="20"/>
          <w:szCs w:val="20"/>
          <w:color w:val="auto"/>
        </w:rPr>
        <w:t xml:space="preserve">” means the Patents claiming any of the Improvements, and any reissue, divisional, continuation, continuation-in-part or reexamination certificate thereof. During the Term, all Improvement Patents shall be set forth in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1.24“</w:t>
      </w:r>
      <w:r>
        <w:rPr>
          <w:rFonts w:ascii="Times New Roman" w:cs="Times New Roman" w:eastAsia="Times New Roman" w:hAnsi="Times New Roman"/>
          <w:sz w:val="20"/>
          <w:szCs w:val="20"/>
          <w:i w:val="1"/>
          <w:iCs w:val="1"/>
          <w:u w:val="single" w:color="auto"/>
          <w:color w:val="auto"/>
        </w:rPr>
        <w:t>Intellectual Property</w:t>
      </w:r>
      <w:r>
        <w:rPr>
          <w:rFonts w:ascii="Times New Roman" w:cs="Times New Roman" w:eastAsia="Times New Roman" w:hAnsi="Times New Roman"/>
          <w:sz w:val="20"/>
          <w:szCs w:val="20"/>
          <w:color w:val="auto"/>
        </w:rPr>
        <w:t>” means all (A) patents, patent applications, patent disclosures and all related continuation, continuation-in-part, divisional, reissue, reexamination, post-grant proceeding, utility model, certificate of invention and design patents, applications, registrations and applications for registration, and any equivalent in any jurisdiction; (B) trademarks, service marks, trade dress, Internet domain names, logos, trade names and corporate names and registrations and applications for registration thereof; (C) copyrights and registrations and applications for registration thereof, including all moral rights; (D) Information, inventions, trade secrets and confidential information, whether patentable or nonpatentable­ and whether or not reduced to practice, know-how, show-how, manufacturing and product processes and techniques, batch records, bills of materials, material and process risk assessments and other quality documentation, research and development information, notebooks, formulae, diagrams, technical and engineering specifications, business and marketing plans and customer and supplier lists and other information; (E) other proprietary rights relating to any of the foregoing (including remedies against infringement thereof and rights of protection of interest therein under the laws of all jurisdictions); and (F) copies and tangible embodiments thereof.</w:t>
      </w:r>
    </w:p>
    <w:p>
      <w:pPr>
        <w:spacing w:after="0" w:line="190" w:lineRule="exact"/>
        <w:rPr>
          <w:sz w:val="20"/>
          <w:szCs w:val="20"/>
          <w:color w:val="auto"/>
        </w:rPr>
      </w:pPr>
    </w:p>
    <w:p>
      <w:pPr>
        <w:jc w:val="both"/>
        <w:ind w:firstLine="749"/>
        <w:spacing w:after="0" w:line="300" w:lineRule="auto"/>
        <w:rPr>
          <w:sz w:val="20"/>
          <w:szCs w:val="20"/>
          <w:color w:val="auto"/>
        </w:rPr>
      </w:pPr>
      <w:r>
        <w:rPr>
          <w:rFonts w:ascii="Times New Roman" w:cs="Times New Roman" w:eastAsia="Times New Roman" w:hAnsi="Times New Roman"/>
          <w:sz w:val="19"/>
          <w:szCs w:val="19"/>
          <w:color w:val="auto"/>
        </w:rPr>
        <w:t>1.25“</w:t>
      </w:r>
      <w:r>
        <w:rPr>
          <w:rFonts w:ascii="Times New Roman" w:cs="Times New Roman" w:eastAsia="Times New Roman" w:hAnsi="Times New Roman"/>
          <w:sz w:val="19"/>
          <w:szCs w:val="19"/>
          <w:i w:val="1"/>
          <w:iCs w:val="1"/>
          <w:u w:val="single" w:color="auto"/>
          <w:color w:val="auto"/>
        </w:rPr>
        <w:t>Licensed Patents</w:t>
      </w:r>
      <w:r>
        <w:rPr>
          <w:rFonts w:ascii="Times New Roman" w:cs="Times New Roman" w:eastAsia="Times New Roman" w:hAnsi="Times New Roman"/>
          <w:sz w:val="19"/>
          <w:szCs w:val="19"/>
          <w:color w:val="auto"/>
        </w:rPr>
        <w:t xml:space="preserve">” means the Patents set forth in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and any Patents that claim priority to any of the Patents set forth in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For the avoidance of doubt, the term “Licensed Patents” does not include any of the Foundational Patents or Improvement Patents.</w:t>
      </w:r>
    </w:p>
    <w:p>
      <w:pPr>
        <w:spacing w:after="0" w:line="1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1.26“</w:t>
      </w:r>
      <w:r>
        <w:rPr>
          <w:rFonts w:ascii="Times New Roman" w:cs="Times New Roman" w:eastAsia="Times New Roman" w:hAnsi="Times New Roman"/>
          <w:sz w:val="20"/>
          <w:szCs w:val="20"/>
          <w:i w:val="1"/>
          <w:iCs w:val="1"/>
          <w:u w:val="single" w:color="auto"/>
          <w:color w:val="auto"/>
        </w:rPr>
        <w:t>Licensed Products</w:t>
      </w:r>
      <w:r>
        <w:rPr>
          <w:rFonts w:ascii="Times New Roman" w:cs="Times New Roman" w:eastAsia="Times New Roman" w:hAnsi="Times New Roman"/>
          <w:sz w:val="20"/>
          <w:szCs w:val="20"/>
          <w:color w:val="auto"/>
        </w:rPr>
        <w:t>” means the ERI-3003 Product and the ERI-3206 Product.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1.27“</w:t>
      </w:r>
      <w:r>
        <w:rPr>
          <w:rFonts w:ascii="Times New Roman" w:cs="Times New Roman" w:eastAsia="Times New Roman" w:hAnsi="Times New Roman"/>
          <w:sz w:val="20"/>
          <w:szCs w:val="20"/>
          <w:i w:val="1"/>
          <w:iCs w:val="1"/>
          <w:u w:val="single" w:color="auto"/>
          <w:color w:val="auto"/>
        </w:rPr>
        <w:t>Licensed Technolog</w:t>
      </w:r>
      <w:r>
        <w:rPr>
          <w:rFonts w:ascii="Times New Roman" w:cs="Times New Roman" w:eastAsia="Times New Roman" w:hAnsi="Times New Roman"/>
          <w:sz w:val="20"/>
          <w:szCs w:val="20"/>
          <w:i w:val="1"/>
          <w:iCs w:val="1"/>
          <w:color w:val="auto"/>
        </w:rPr>
        <w:t>y</w:t>
      </w:r>
      <w:r>
        <w:rPr>
          <w:rFonts w:ascii="Times New Roman" w:cs="Times New Roman" w:eastAsia="Times New Roman" w:hAnsi="Times New Roman"/>
          <w:sz w:val="20"/>
          <w:szCs w:val="20"/>
          <w:color w:val="auto"/>
        </w:rPr>
        <w:t>” means the Foundational Patents, the Licensed Patents and the Improvement Patents, collectively.</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1.28“</w:t>
      </w:r>
      <w:r>
        <w:rPr>
          <w:rFonts w:ascii="Times New Roman" w:cs="Times New Roman" w:eastAsia="Times New Roman" w:hAnsi="Times New Roman"/>
          <w:sz w:val="20"/>
          <w:szCs w:val="20"/>
          <w:i w:val="1"/>
          <w:iCs w:val="1"/>
          <w:u w:val="single" w:color="auto"/>
          <w:color w:val="auto"/>
        </w:rPr>
        <w:t>Licensed Territory</w:t>
      </w:r>
      <w:r>
        <w:rPr>
          <w:rFonts w:ascii="Times New Roman" w:cs="Times New Roman" w:eastAsia="Times New Roman" w:hAnsi="Times New Roman"/>
          <w:sz w:val="20"/>
          <w:szCs w:val="20"/>
          <w:color w:val="auto"/>
        </w:rPr>
        <w:t>” means the entire world, excluding Greater China, India, Turkey, and Russia.</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1.29“</w:t>
      </w:r>
      <w:r>
        <w:rPr>
          <w:rFonts w:ascii="Times New Roman" w:cs="Times New Roman" w:eastAsia="Times New Roman" w:hAnsi="Times New Roman"/>
          <w:sz w:val="20"/>
          <w:szCs w:val="20"/>
          <w:i w:val="1"/>
          <w:iCs w:val="1"/>
          <w:u w:val="single" w:color="auto"/>
          <w:color w:val="auto"/>
        </w:rPr>
        <w:t>Licensee</w:t>
      </w:r>
      <w:r>
        <w:rPr>
          <w:rFonts w:ascii="Times New Roman" w:cs="Times New Roman" w:eastAsia="Times New Roman" w:hAnsi="Times New Roman"/>
          <w:sz w:val="20"/>
          <w:szCs w:val="20"/>
          <w:color w:val="auto"/>
        </w:rPr>
        <w:t>” means Erigen LLC.</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1.30“</w:t>
      </w:r>
      <w:r>
        <w:rPr>
          <w:rFonts w:ascii="Times New Roman" w:cs="Times New Roman" w:eastAsia="Times New Roman" w:hAnsi="Times New Roman"/>
          <w:sz w:val="20"/>
          <w:szCs w:val="20"/>
          <w:i w:val="1"/>
          <w:iCs w:val="1"/>
          <w:u w:val="single" w:color="auto"/>
          <w:color w:val="auto"/>
        </w:rPr>
        <w:t>Licensor</w:t>
      </w:r>
      <w:r>
        <w:rPr>
          <w:rFonts w:ascii="Times New Roman" w:cs="Times New Roman" w:eastAsia="Times New Roman" w:hAnsi="Times New Roman"/>
          <w:sz w:val="20"/>
          <w:szCs w:val="20"/>
          <w:color w:val="auto"/>
        </w:rPr>
        <w:t>” means Factor Bioscience Limited.</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1.31“</w:t>
      </w:r>
      <w:r>
        <w:rPr>
          <w:rFonts w:ascii="Times New Roman" w:cs="Times New Roman" w:eastAsia="Times New Roman" w:hAnsi="Times New Roman"/>
          <w:sz w:val="20"/>
          <w:szCs w:val="20"/>
          <w:i w:val="1"/>
          <w:iCs w:val="1"/>
          <w:u w:val="single" w:color="auto"/>
          <w:color w:val="auto"/>
        </w:rPr>
        <w:t>Licensor Territory</w:t>
      </w:r>
      <w:r>
        <w:rPr>
          <w:rFonts w:ascii="Times New Roman" w:cs="Times New Roman" w:eastAsia="Times New Roman" w:hAnsi="Times New Roman"/>
          <w:sz w:val="20"/>
          <w:szCs w:val="20"/>
          <w:color w:val="auto"/>
        </w:rPr>
        <w:t>” means Greater China.</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1.32“</w:t>
      </w:r>
      <w:r>
        <w:rPr>
          <w:rFonts w:ascii="Times New Roman" w:cs="Times New Roman" w:eastAsia="Times New Roman" w:hAnsi="Times New Roman"/>
          <w:sz w:val="20"/>
          <w:szCs w:val="20"/>
          <w:i w:val="1"/>
          <w:iCs w:val="1"/>
          <w:color w:val="auto"/>
        </w:rPr>
        <w:t>M</w:t>
      </w:r>
      <w:r>
        <w:rPr>
          <w:rFonts w:ascii="Times New Roman" w:cs="Times New Roman" w:eastAsia="Times New Roman" w:hAnsi="Times New Roman"/>
          <w:sz w:val="20"/>
          <w:szCs w:val="20"/>
          <w:i w:val="1"/>
          <w:iCs w:val="1"/>
          <w:u w:val="single" w:color="auto"/>
          <w:color w:val="auto"/>
        </w:rPr>
        <w:t>AA</w:t>
      </w:r>
      <w:r>
        <w:rPr>
          <w:rFonts w:ascii="Times New Roman" w:cs="Times New Roman" w:eastAsia="Times New Roman" w:hAnsi="Times New Roman"/>
          <w:sz w:val="20"/>
          <w:szCs w:val="20"/>
          <w:color w:val="auto"/>
        </w:rPr>
        <w:t>” means any new drug application or other marketing authorization application, in each case, filed with the applicable Regulatory Authority in a country or other regulatory jurisdiction, which application is required to commercially market or sell a pharmaceutical product (including a biopharmaceutical product) in such country or jurisdiction (and any amendments thereto), including all New Drug Applications (NDA) or equivalent submitted to the FDA in the United States in accordance with the PHSA, BLA submitted to the FDA in the United States in accordance with the United States Food Drug and Cosmetics Act, or any analogous application or submission with any Regulatory Authority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-760730</wp:posOffset>
            </wp:positionV>
            <wp:extent cx="10477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6">
                      <a:extLst>
                        <a:ext uri="{28A0092B-C50C-407E-A947-70E740481C1C}"/>
                      </a:extLst>
                    </a:blip>
                    <a:srcRect/>
                    <a:stretch>
                      <a:fillRect/>
                    </a:stretch>
                  </pic:blipFill>
                  <pic:spPr bwMode="auto">
                    <a:xfrm>
                      <a:off x="0" y="0"/>
                      <a:ext cx="104775"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1.33“</w:t>
      </w:r>
      <w:r>
        <w:rPr>
          <w:rFonts w:ascii="Times New Roman" w:cs="Times New Roman" w:eastAsia="Times New Roman" w:hAnsi="Times New Roman"/>
          <w:sz w:val="20"/>
          <w:szCs w:val="20"/>
          <w:i w:val="1"/>
          <w:iCs w:val="1"/>
          <w:u w:val="single" w:color="auto"/>
          <w:color w:val="auto"/>
        </w:rPr>
        <w:t>Milestone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1.34“</w:t>
      </w:r>
      <w:r>
        <w:rPr>
          <w:rFonts w:ascii="Times New Roman" w:cs="Times New Roman" w:eastAsia="Times New Roman" w:hAnsi="Times New Roman"/>
          <w:sz w:val="20"/>
          <w:szCs w:val="20"/>
          <w:i w:val="1"/>
          <w:iCs w:val="1"/>
          <w:u w:val="single" w:color="auto"/>
          <w:color w:val="auto"/>
        </w:rPr>
        <w:t>Net Sales</w:t>
      </w:r>
      <w:r>
        <w:rPr>
          <w:rFonts w:ascii="Times New Roman" w:cs="Times New Roman" w:eastAsia="Times New Roman" w:hAnsi="Times New Roman"/>
          <w:sz w:val="20"/>
          <w:szCs w:val="20"/>
          <w:color w:val="auto"/>
        </w:rPr>
        <w:t xml:space="preserve">” means gross amounts invoiced or otherwise received for Licensee’s, its Affiliates’, or Sublicensees’ sales of Licensed Products, less the sum of the following: [***]. The sale of a Licensed Product by a selling party to another selling party for resale by such selling party to a third party shall not be deemed a sale for the purposes of this definition of “Net Sales,” </w:t>
      </w:r>
      <w:r>
        <w:rPr>
          <w:rFonts w:ascii="Times New Roman" w:cs="Times New Roman" w:eastAsia="Times New Roman" w:hAnsi="Times New Roman"/>
          <w:sz w:val="20"/>
          <w:szCs w:val="20"/>
          <w:i w:val="1"/>
          <w:iCs w:val="1"/>
          <w:u w:val="single" w:color="auto"/>
          <w:color w:val="auto"/>
        </w:rPr>
        <w:t>provided, however</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that the final resale in any such chain is included in the computation of “Net Sales” by the last selling party that resells such Licensed Product. Failure by the last selling party to report final resale for Licensor to calculate the royalties, within [***] shall entitle Licensor to [***]. [***]. The gross amounts invoiced and all permitted deductions shall be determined in accordance with the selling party’s usual and customary accounting methods, which are in accordance with U.S. generally accepted accounting principles (GAAP) or international financial reporting standards, in either case, consistently applied, provided that Licensor shall have the right to audit and verify such records upon reasonable prior notice in accordance with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On a country-by-country basis, if a Licensed Product is sold in a country as part of a Combination Product, Net Sales of such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Licensed Product for the purpose of determining royalties due hereunder shall be calculated as follows:</w:t>
      </w:r>
    </w:p>
    <w:p>
      <w:pPr>
        <w:spacing w:after="0" w:line="194" w:lineRule="exact"/>
        <w:rPr>
          <w:sz w:val="20"/>
          <w:szCs w:val="20"/>
          <w:color w:val="auto"/>
        </w:rPr>
      </w:pPr>
    </w:p>
    <w:p>
      <w:pPr>
        <w:jc w:val="both"/>
        <w:ind w:right="20" w:firstLine="757"/>
        <w:spacing w:after="0" w:line="254" w:lineRule="auto"/>
        <w:tabs>
          <w:tab w:leader="none" w:pos="1145"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both (x) the Licensed Product is sold separately in finished form in such country during a Calendar Quarter and (y) the Other Product(s) in such Combination Product are sold separately in finished form in such country during such Calendar Quarter, then Net Sales of such Licensed Product shall be determined by [***].</w:t>
      </w:r>
    </w:p>
    <w:p>
      <w:pPr>
        <w:spacing w:after="0" w:line="174"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Licensed Product in such Combination Product is sold separately in finished form in such country during a Calendar Quarter, but the Other Product(s) in such Combination Product are not sold separately in finished form in such country during such Calendar Quarter, then Net Sales of such Licensed Product shall be calculated by [***].</w:t>
      </w:r>
    </w:p>
    <w:p>
      <w:pPr>
        <w:spacing w:after="0" w:line="174"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Licensed Product in such Combination Product is not sold separately in finished form in such country during a Calendar Quarter, but the Other Product(s) in such Combination Product are sold separately in finished form in such country during such Calendar Quarter, Net Sales of such Licensed Product shall be calculated by [***].</w:t>
      </w:r>
    </w:p>
    <w:p>
      <w:pPr>
        <w:spacing w:after="0" w:line="174"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neither the Licensed Product in such Combination Product is sold separately in finished form in such country during a Calendar Quarter, nor the Other Product(s) in such Combination Product are sold separately in finished form in such country during such Calendar Quarter, then the fair market value of the Licensed Product and such Other Product(s) shall be [***].</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1.35“</w:t>
      </w:r>
      <w:r>
        <w:rPr>
          <w:rFonts w:ascii="Times New Roman" w:cs="Times New Roman" w:eastAsia="Times New Roman" w:hAnsi="Times New Roman"/>
          <w:sz w:val="20"/>
          <w:szCs w:val="20"/>
          <w:i w:val="1"/>
          <w:iCs w:val="1"/>
          <w:u w:val="single" w:color="auto"/>
          <w:color w:val="auto"/>
        </w:rPr>
        <w:t>Other Product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1.36“</w:t>
      </w:r>
      <w:r>
        <w:rPr>
          <w:rFonts w:ascii="Times New Roman" w:cs="Times New Roman" w:eastAsia="Times New Roman" w:hAnsi="Times New Roman"/>
          <w:sz w:val="20"/>
          <w:szCs w:val="20"/>
          <w:i w:val="1"/>
          <w:iCs w:val="1"/>
          <w:u w:val="single" w:color="auto"/>
          <w:color w:val="auto"/>
        </w:rPr>
        <w:t>Party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i w:val="1"/>
          <w:iCs w:val="1"/>
          <w:u w:val="single" w:color="auto"/>
          <w:color w:val="auto"/>
        </w:rPr>
        <w:t>Parties</w:t>
      </w:r>
      <w:r>
        <w:rPr>
          <w:rFonts w:ascii="Times New Roman" w:cs="Times New Roman" w:eastAsia="Times New Roman" w:hAnsi="Times New Roman"/>
          <w:sz w:val="20"/>
          <w:szCs w:val="20"/>
          <w:color w:val="auto"/>
        </w:rPr>
        <w:t>” has the meaning set forth in the Preamble.</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1.37“</w:t>
      </w:r>
      <w:r>
        <w:rPr>
          <w:rFonts w:ascii="Times New Roman" w:cs="Times New Roman" w:eastAsia="Times New Roman" w:hAnsi="Times New Roman"/>
          <w:sz w:val="20"/>
          <w:szCs w:val="20"/>
          <w:i w:val="1"/>
          <w:iCs w:val="1"/>
          <w:u w:val="single" w:color="auto"/>
          <w:color w:val="auto"/>
        </w:rPr>
        <w:t>Patent</w:t>
      </w:r>
      <w:r>
        <w:rPr>
          <w:rFonts w:ascii="Times New Roman" w:cs="Times New Roman" w:eastAsia="Times New Roman" w:hAnsi="Times New Roman"/>
          <w:sz w:val="20"/>
          <w:szCs w:val="20"/>
          <w:color w:val="auto"/>
        </w:rPr>
        <w:t>” means all patents and patent applications and all substitutions, divisions, continuations, continuations-in-part, any patent issued with respect to any such patent applications, any reissue, reexamination, utility models or designs, renewal or extension (including any supplementary protection certificate) of any such patent, and any confirmation patent or registration patent or patent of addition based on any such patent, and all counterparts and equivalents of any of the foregoing in any country or jurisdiction.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85"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1.38“</w:t>
      </w:r>
      <w:r>
        <w:rPr>
          <w:rFonts w:ascii="Times New Roman" w:cs="Times New Roman" w:eastAsia="Times New Roman" w:hAnsi="Times New Roman"/>
          <w:sz w:val="20"/>
          <w:szCs w:val="20"/>
          <w:i w:val="1"/>
          <w:iCs w:val="1"/>
          <w:u w:val="single" w:color="auto"/>
          <w:color w:val="auto"/>
        </w:rPr>
        <w:t>Patent Expenses</w:t>
      </w:r>
      <w:r>
        <w:rPr>
          <w:rFonts w:ascii="Times New Roman" w:cs="Times New Roman" w:eastAsia="Times New Roman" w:hAnsi="Times New Roman"/>
          <w:sz w:val="20"/>
          <w:szCs w:val="20"/>
          <w:color w:val="auto"/>
        </w:rPr>
        <w:t>” means all reasonable fees, costs, and expenses (including attorneys’ fees) paid or incurred in the preparation, filing, prosecution, issuance, and/or maintenance of the Improvement Patents.</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1.39“</w:t>
      </w:r>
      <w:r>
        <w:rPr>
          <w:rFonts w:ascii="Times New Roman" w:cs="Times New Roman" w:eastAsia="Times New Roman" w:hAnsi="Times New Roman"/>
          <w:sz w:val="20"/>
          <w:szCs w:val="20"/>
          <w:i w:val="1"/>
          <w:iCs w:val="1"/>
          <w:u w:val="single" w:color="auto"/>
          <w:color w:val="auto"/>
        </w:rPr>
        <w:t>Phase 1 Clinical Trial</w:t>
      </w:r>
      <w:r>
        <w:rPr>
          <w:rFonts w:ascii="Times New Roman" w:cs="Times New Roman" w:eastAsia="Times New Roman" w:hAnsi="Times New Roman"/>
          <w:sz w:val="20"/>
          <w:szCs w:val="20"/>
          <w:color w:val="auto"/>
        </w:rPr>
        <w:t>” means a clinical trial of a pharmaceutical product (including a biopharmaceutical product) with the primary endpoint of determining initial tolerance, safety, metabolism, pharmacokinetic, or pharmacodynamic information in single dose, single ascending dose, multiple dose, or multiple ascending dose regimens, that satisfies the requirements of U.S. federal regulation 21 C.F.R. § 312.21(a) and its successor regulation or equivalents in other jurisdictions.</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1.40“</w:t>
      </w:r>
      <w:r>
        <w:rPr>
          <w:rFonts w:ascii="Times New Roman" w:cs="Times New Roman" w:eastAsia="Times New Roman" w:hAnsi="Times New Roman"/>
          <w:sz w:val="20"/>
          <w:szCs w:val="20"/>
          <w:i w:val="1"/>
          <w:iCs w:val="1"/>
          <w:u w:val="single" w:color="auto"/>
          <w:color w:val="auto"/>
        </w:rPr>
        <w:t>Phase 2 Clinical Trial</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i w:val="1"/>
          <w:iCs w:val="1"/>
          <w:u w:val="single" w:color="auto"/>
          <w:color w:val="auto"/>
        </w:rPr>
        <w:t>Phase 2b Clinical Trial</w:t>
      </w:r>
      <w:r>
        <w:rPr>
          <w:rFonts w:ascii="Times New Roman" w:cs="Times New Roman" w:eastAsia="Times New Roman" w:hAnsi="Times New Roman"/>
          <w:sz w:val="20"/>
          <w:szCs w:val="20"/>
          <w:color w:val="auto"/>
        </w:rPr>
        <w:t>” means a clinical trial of a pharmaceutical product (including a biopharmaceutical product) the principal purpose of which is to evaluate the effectiveness of such product in a human population and that satisfies the requirements of U.S. federal regulation 21 C.F.R. §312.21(b) and its successor regulation or equivalents in other jurisdictions.</w:t>
      </w:r>
    </w:p>
    <w:p>
      <w:pPr>
        <w:spacing w:after="0" w:line="16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9"/>
          <w:szCs w:val="19"/>
          <w:color w:val="auto"/>
        </w:rPr>
        <w:t>1.41“</w:t>
      </w:r>
      <w:r>
        <w:rPr>
          <w:rFonts w:ascii="Times New Roman" w:cs="Times New Roman" w:eastAsia="Times New Roman" w:hAnsi="Times New Roman"/>
          <w:sz w:val="19"/>
          <w:szCs w:val="19"/>
          <w:i w:val="1"/>
          <w:iCs w:val="1"/>
          <w:u w:val="single" w:color="auto"/>
          <w:color w:val="auto"/>
        </w:rPr>
        <w:t>Phase 3 Clinical Trial</w:t>
      </w:r>
      <w:r>
        <w:rPr>
          <w:rFonts w:ascii="Times New Roman" w:cs="Times New Roman" w:eastAsia="Times New Roman" w:hAnsi="Times New Roman"/>
          <w:sz w:val="19"/>
          <w:szCs w:val="19"/>
          <w:color w:val="auto"/>
        </w:rPr>
        <w:t>” means a clinical trial (or any arm thereof) of a pharmaceutical product (including a biopharmaceutical product) on a sufficient number of patients, which trial the FDA or equivalent Regulatory Authority in other jurisdictions permits to be conducted under an open IND and is designed to: (a) establish that such pharmaceutical product is safe and efficacious for its intended use;</w:t>
      </w:r>
    </w:p>
    <w:p>
      <w:pPr>
        <w:spacing w:after="0" w:line="2" w:lineRule="exact"/>
        <w:rPr>
          <w:sz w:val="20"/>
          <w:szCs w:val="20"/>
          <w:color w:val="auto"/>
        </w:rPr>
      </w:pPr>
    </w:p>
    <w:p>
      <w:pPr>
        <w:jc w:val="both"/>
        <w:ind w:firstLine="8"/>
        <w:spacing w:after="0" w:line="242" w:lineRule="auto"/>
        <w:tabs>
          <w:tab w:leader="none" w:pos="315"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define warnings, precautions and adverse reactions that are associated with such pharmaceutical product in the dosage range to be prescribed; and (c) support the filing of an MAA with a Regulatory Authority for such pharmaceutical product, and that satisfies the requirements of U.S. federal regulation 21 C.F.R. §312.21(c) and its successor regulation or equivalents in other jurisdictions.</w:t>
      </w:r>
    </w:p>
    <w:p>
      <w:pPr>
        <w:spacing w:after="0" w:line="18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1.42“</w:t>
      </w:r>
      <w:r>
        <w:rPr>
          <w:rFonts w:ascii="Times New Roman" w:cs="Times New Roman" w:eastAsia="Times New Roman" w:hAnsi="Times New Roman"/>
          <w:sz w:val="20"/>
          <w:szCs w:val="20"/>
          <w:i w:val="1"/>
          <w:iCs w:val="1"/>
          <w:u w:val="single" w:color="auto"/>
          <w:color w:val="auto"/>
        </w:rPr>
        <w:t>Regulatory Approval</w:t>
      </w:r>
      <w:r>
        <w:rPr>
          <w:rFonts w:ascii="Times New Roman" w:cs="Times New Roman" w:eastAsia="Times New Roman" w:hAnsi="Times New Roman"/>
          <w:sz w:val="20"/>
          <w:szCs w:val="20"/>
          <w:color w:val="auto"/>
        </w:rPr>
        <w:t>” means all technical, medical and scientific licenses, registrations, authorizations and approvals (including approvals of new drug applications, supplements and amendments, pre- and post- approvals, pricing and third-party reimbursement approvals, and labeling approvals) of any Regulatory Authority that are necessary for the use, development, manufacture, and commercialization of a pharmaceutical product in a regulatory jurisdiction.</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1.43“</w:t>
      </w:r>
      <w:r>
        <w:rPr>
          <w:rFonts w:ascii="Times New Roman" w:cs="Times New Roman" w:eastAsia="Times New Roman" w:hAnsi="Times New Roman"/>
          <w:sz w:val="20"/>
          <w:szCs w:val="20"/>
          <w:i w:val="1"/>
          <w:iCs w:val="1"/>
          <w:u w:val="single" w:color="auto"/>
          <w:color w:val="auto"/>
        </w:rPr>
        <w:t>Regulatory Authority</w:t>
      </w:r>
      <w:r>
        <w:rPr>
          <w:rFonts w:ascii="Times New Roman" w:cs="Times New Roman" w:eastAsia="Times New Roman" w:hAnsi="Times New Roman"/>
          <w:sz w:val="20"/>
          <w:szCs w:val="20"/>
          <w:color w:val="auto"/>
        </w:rPr>
        <w:t>” means, with respect to a given country, any national (e.g., the FDA), supra-national (e.g., the European Commission, the Council of the European Union, or the European Medicines Agency), regional, state or local regulatory agency, department, bureau, commission, council or other governmental authority involved in the granting of a Regulatory Approval.</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1.44“</w:t>
      </w:r>
      <w:r>
        <w:rPr>
          <w:rFonts w:ascii="Times New Roman" w:cs="Times New Roman" w:eastAsia="Times New Roman" w:hAnsi="Times New Roman"/>
          <w:sz w:val="20"/>
          <w:szCs w:val="20"/>
          <w:i w:val="1"/>
          <w:iCs w:val="1"/>
          <w:u w:val="single" w:color="auto"/>
          <w:color w:val="auto"/>
        </w:rPr>
        <w:t>Royalty on Net Sales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1.45“</w:t>
      </w:r>
      <w:r>
        <w:rPr>
          <w:rFonts w:ascii="Times New Roman" w:cs="Times New Roman" w:eastAsia="Times New Roman" w:hAnsi="Times New Roman"/>
          <w:sz w:val="20"/>
          <w:szCs w:val="20"/>
          <w:i w:val="1"/>
          <w:iCs w:val="1"/>
          <w:u w:val="single" w:color="auto"/>
          <w:color w:val="auto"/>
        </w:rPr>
        <w:t>Royalty Term</w:t>
      </w:r>
      <w:r>
        <w:rPr>
          <w:rFonts w:ascii="Times New Roman" w:cs="Times New Roman" w:eastAsia="Times New Roman" w:hAnsi="Times New Roman"/>
          <w:sz w:val="20"/>
          <w:szCs w:val="20"/>
          <w:color w:val="auto"/>
        </w:rPr>
        <w:t>” means, on a Licensed Product-by-Licensed Product and country-by-country basis, the period commencing on the First Commercial Sale of such Licensed Product in such country of the Licensed Territory, and ending on the date of expiration of the last to expire Valid Claim Covering the Exploitation of such Licensed Product in such country of the Licensed Territory.</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1.46“</w:t>
      </w:r>
      <w:r>
        <w:rPr>
          <w:rFonts w:ascii="Times New Roman" w:cs="Times New Roman" w:eastAsia="Times New Roman" w:hAnsi="Times New Roman"/>
          <w:sz w:val="20"/>
          <w:szCs w:val="20"/>
          <w:i w:val="1"/>
          <w:iCs w:val="1"/>
          <w:u w:val="single" w:color="auto"/>
          <w:color w:val="auto"/>
        </w:rPr>
        <w:t>Sublicensee</w:t>
      </w:r>
      <w:r>
        <w:rPr>
          <w:rFonts w:ascii="Times New Roman" w:cs="Times New Roman" w:eastAsia="Times New Roman" w:hAnsi="Times New Roman"/>
          <w:sz w:val="20"/>
          <w:szCs w:val="20"/>
          <w:color w:val="auto"/>
        </w:rPr>
        <w:t xml:space="preserve">” means a third party granted a sublicense to any of the rights granted to Licensee under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of this Agreement.</w:t>
      </w:r>
    </w:p>
    <w:p>
      <w:pPr>
        <w:spacing w:after="0" w:line="15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1.47“</w:t>
      </w:r>
      <w:r>
        <w:rPr>
          <w:rFonts w:ascii="Times New Roman" w:cs="Times New Roman" w:eastAsia="Times New Roman" w:hAnsi="Times New Roman"/>
          <w:sz w:val="20"/>
          <w:szCs w:val="20"/>
          <w:i w:val="1"/>
          <w:iCs w:val="1"/>
          <w:u w:val="single" w:color="auto"/>
          <w:color w:val="auto"/>
        </w:rPr>
        <w:t>Sublicense Fees</w:t>
      </w:r>
      <w:r>
        <w:rPr>
          <w:rFonts w:ascii="Times New Roman" w:cs="Times New Roman" w:eastAsia="Times New Roman" w:hAnsi="Times New Roman"/>
          <w:sz w:val="20"/>
          <w:szCs w:val="20"/>
          <w:color w:val="auto"/>
        </w:rPr>
        <w:t>” means that portion of any cash payment (or the fair market value of any other consideration) received by Licensee or any of its Affiliates attributable to the grant of a sublicense of, or other right with respect to the Licensed Technology granted to Licensee hereunder, including, without limitation, [***], but specifically excluding [***]. Sublicense Fees shall be net of all withholding taxes or other amounts withheld or deducted from the amounts received by Licensee, provided that if Licensee later recovers withholding taxes or other such amounts withheld or deducted from the amounts received by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Licensee, the amount of any such benefit shall be included in Sublicense Fees. Notwithstanding the foregoing, if [***]. In allocating any such payment or consideration attributable to the grant of a sublicense of the Licensed Technology granted to Licensee hereunder, Licensee shall allocate such payment or consideration in good faith and in such a manner as to not disproportionately disadvantage Licensor.</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1.48“</w:t>
      </w:r>
      <w:r>
        <w:rPr>
          <w:rFonts w:ascii="Times New Roman" w:cs="Times New Roman" w:eastAsia="Times New Roman" w:hAnsi="Times New Roman"/>
          <w:sz w:val="20"/>
          <w:szCs w:val="20"/>
          <w:i w:val="1"/>
          <w:iCs w:val="1"/>
          <w:u w:val="single" w:color="auto"/>
          <w:color w:val="auto"/>
        </w:rPr>
        <w:t>Term</w:t>
      </w:r>
      <w:r>
        <w:rPr>
          <w:rFonts w:ascii="Times New Roman" w:cs="Times New Roman" w:eastAsia="Times New Roman" w:hAnsi="Times New Roman"/>
          <w:sz w:val="20"/>
          <w:szCs w:val="20"/>
          <w:color w:val="auto"/>
        </w:rPr>
        <w:t>” has the meaning set forth in Section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2532380</wp:posOffset>
            </wp:positionH>
            <wp:positionV relativeFrom="paragraph">
              <wp:posOffset>-8255</wp:posOffset>
            </wp:positionV>
            <wp:extent cx="56515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0">
                      <a:extLst>
                        <a:ext uri="{28A0092B-C50C-407E-A947-70E740481C1C}"/>
                      </a:extLst>
                    </a:blip>
                    <a:srcRect/>
                    <a:stretch>
                      <a:fillRect/>
                    </a:stretch>
                  </pic:blipFill>
                  <pic:spPr bwMode="auto">
                    <a:xfrm>
                      <a:off x="0" y="0"/>
                      <a:ext cx="565150" cy="8255"/>
                    </a:xfrm>
                    <a:prstGeom prst="rect">
                      <a:avLst/>
                    </a:prstGeom>
                    <a:noFill/>
                  </pic:spPr>
                </pic:pic>
              </a:graphicData>
            </a:graphic>
          </wp:anchor>
        </w:drawing>
      </w:r>
    </w:p>
    <w:p>
      <w:pPr>
        <w:spacing w:after="0" w:line="19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1.49“</w:t>
      </w:r>
      <w:r>
        <w:rPr>
          <w:rFonts w:ascii="Times New Roman" w:cs="Times New Roman" w:eastAsia="Times New Roman" w:hAnsi="Times New Roman"/>
          <w:sz w:val="20"/>
          <w:szCs w:val="20"/>
          <w:i w:val="1"/>
          <w:iCs w:val="1"/>
          <w:u w:val="single" w:color="auto"/>
          <w:color w:val="auto"/>
        </w:rPr>
        <w:t>Valid Claim</w:t>
      </w:r>
      <w:r>
        <w:rPr>
          <w:rFonts w:ascii="Times New Roman" w:cs="Times New Roman" w:eastAsia="Times New Roman" w:hAnsi="Times New Roman"/>
          <w:sz w:val="20"/>
          <w:szCs w:val="20"/>
          <w:color w:val="auto"/>
        </w:rPr>
        <w:t>” means (a) a claim of a granted and unexpired Foundational Patent or Licensed Patent included in the Licensed Technology that (i) has not been rejected, revoked, or held to be invalid or unenforceable by a court or other authority of competent jurisdiction, from which decision no appeal is or can be taken or (ii) has not been finally abandoned, disclaimed or admitted to be invalid or unenforceable through reissue or disclaimer; or (b) a claim included in a pending patent application which is a Foundational Patent or Licensed Patent included in the Licensed Technology that (i) has not been pending for more than [***] (provided, however that for purposes of clarity, in the event such pending claim is subsequently granted, then such claim shall again be a Valid Claim as of the date of grant of such claim) or (ii) has not been finally determined to be unallowable by the applicable governmental authority (from which no appeal is or can be taken).</w:t>
      </w:r>
    </w:p>
    <w:p>
      <w:pPr>
        <w:spacing w:after="0" w:line="1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Section 2</w:t>
      </w:r>
    </w:p>
    <w:p>
      <w:pPr>
        <w:spacing w:after="0" w:line="2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i w:val="1"/>
          <w:iCs w:val="1"/>
          <w:u w:val="single" w:color="auto"/>
          <w:color w:val="auto"/>
        </w:rPr>
        <w:t>Licenses</w:t>
      </w:r>
    </w:p>
    <w:p>
      <w:pPr>
        <w:spacing w:after="0" w:line="19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i w:val="1"/>
          <w:iCs w:val="1"/>
          <w:u w:val="single" w:color="auto"/>
          <w:color w:val="auto"/>
        </w:rPr>
        <w:t>License Grant</w:t>
      </w:r>
      <w:r>
        <w:rPr>
          <w:rFonts w:ascii="Times New Roman" w:cs="Times New Roman" w:eastAsia="Times New Roman" w:hAnsi="Times New Roman"/>
          <w:sz w:val="20"/>
          <w:szCs w:val="20"/>
          <w:color w:val="auto"/>
        </w:rPr>
        <w:t xml:space="preserve">. Subject to the terms and conditions of this Agreement, Licensor, on behalf of itself and any successors and/or assigns, hereby grants to Licensee an exclusive, royalty-bearing, non-transferrable (except in accordance with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license, with the right to grant sublicenses (through multiple tiers) pursuant to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under the Licensed Technology to Exploit Licensed Products in the Field and in the Licensed Territory.</w:t>
      </w:r>
    </w:p>
    <w:p>
      <w:pPr>
        <w:spacing w:after="0" w:line="17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i w:val="1"/>
          <w:iCs w:val="1"/>
          <w:u w:val="single" w:color="auto"/>
          <w:color w:val="auto"/>
        </w:rPr>
        <w:t>Sublicensing</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Licensee may sublicense the rights granted to it under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provided, however, that Licensee shall provide Licensor with written notice and a confidential copy of any such sublicense agreement within [***]. Each such sublicense shall be in writing and contain terms not inconsistent with the terms and conditions of this Agreement applicable to the licenses granted to Licensee hereunder. In each case, Licensee will be responsible for the performance of its Sublicensees relevant to this Agreement, including, without limitation, making full amount of any payments due hereunder in a timely manner in accordance with the terms and conditions provided for hereunder. For the avoidance of doubt, contract research organizations, contract manufacturing organizations, distribution partners and similar third parties to which Licensee or Sublicensees delegate development, manufacturing or commercialization activities relating to Licensed Products may perform such development, manufacturing or commercialization activities on behalf of Licensee or such Sublicensees without a sublicense of the rights granted to Licensee hereunder.</w:t>
      </w:r>
    </w:p>
    <w:p>
      <w:pPr>
        <w:spacing w:after="0" w:line="18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i w:val="1"/>
          <w:iCs w:val="1"/>
          <w:u w:val="single" w:color="auto"/>
          <w:color w:val="auto"/>
        </w:rPr>
        <w:t>No Additional Rights</w:t>
      </w:r>
      <w:r>
        <w:rPr>
          <w:rFonts w:ascii="Times New Roman" w:cs="Times New Roman" w:eastAsia="Times New Roman" w:hAnsi="Times New Roman"/>
          <w:sz w:val="20"/>
          <w:szCs w:val="20"/>
          <w:color w:val="auto"/>
        </w:rPr>
        <w:t>. Each Party understands and acknowledges that the other Party owns its own Intellectual Property and all rights therein. Except as otherwise expressly provided in this Agreement, under no circumstances shall a Party hereto, as a result of this Agreement, obtain any ownership interest or license, or be deemed to obtain any ownership interest or license, in or to any Intellectual Property of the other Party, including, but not limited to, items Controlled or developed by the other Party, at any time pursuant to this Agreement. This Agreement does not create and shall under no circumstances be construed or interpreted as creating, an obligation on the part of either Party to grant any license to the other Party other than as expressly set forth herein. Any further contract or license agreement between the Parties shall be in writing. No licenses are implied by Licensor to Licensee, except as specifically stated in this Agreement. Except as explicitly set forth in this Agreement, Licensor shall not be deemed by estoppel or</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implication to have granted Licensee any license or other right to any Intellectual Property of Licensor or its Affiliates.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3</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u w:val="single" w:color="auto"/>
          <w:color w:val="auto"/>
        </w:rPr>
        <w:t>Governance</w:t>
      </w:r>
    </w:p>
    <w:p>
      <w:pPr>
        <w:spacing w:after="0" w:line="19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i w:val="1"/>
          <w:iCs w:val="1"/>
          <w:u w:val="single" w:color="auto"/>
          <w:color w:val="auto"/>
        </w:rPr>
        <w:t>Joint Steering Committee</w:t>
      </w:r>
      <w:r>
        <w:rPr>
          <w:rFonts w:ascii="Times New Roman" w:cs="Times New Roman" w:eastAsia="Times New Roman" w:hAnsi="Times New Roman"/>
          <w:sz w:val="20"/>
          <w:szCs w:val="20"/>
          <w:color w:val="auto"/>
        </w:rPr>
        <w:t>. Within [***], the Parties shall establish a joint steering committee (the “</w:t>
      </w:r>
      <w:r>
        <w:rPr>
          <w:rFonts w:ascii="Times New Roman" w:cs="Times New Roman" w:eastAsia="Times New Roman" w:hAnsi="Times New Roman"/>
          <w:sz w:val="20"/>
          <w:szCs w:val="20"/>
          <w:i w:val="1"/>
          <w:iCs w:val="1"/>
          <w:color w:val="auto"/>
        </w:rPr>
        <w:t>Joint Steering Committee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i w:val="1"/>
          <w:iCs w:val="1"/>
          <w:color w:val="auto"/>
        </w:rPr>
        <w:t>JSC</w:t>
      </w:r>
      <w:r>
        <w:rPr>
          <w:rFonts w:ascii="Times New Roman" w:cs="Times New Roman" w:eastAsia="Times New Roman" w:hAnsi="Times New Roman"/>
          <w:sz w:val="20"/>
          <w:szCs w:val="20"/>
          <w:color w:val="auto"/>
        </w:rPr>
        <w:t>”) for the purposes of (a) discussing and coordinating potential collaboration opportunities between the Parties, including the provision of potential support by Licensor to Licensee for the clinical and commercial development of the Licensed Products; and (b) serving as a forum for information sharing and to facilitate communications between the Parties with respect to research, development and other Exploitation of Licensed Products. The JSC shall be composed of [***] representatives from each Party. Each representative shall have the requisite technical experience and seniority to enable such person to make decisions on behalf of the applicable Party with respect to the issues falling within the decision-making authority of the JSC. From time to time, each Party may substitute [***] representatives to the JSC on written notice to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5652770</wp:posOffset>
            </wp:positionH>
            <wp:positionV relativeFrom="paragraph">
              <wp:posOffset>-1050290</wp:posOffset>
            </wp:positionV>
            <wp:extent cx="128587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2">
                      <a:extLst>
                        <a:ext uri="{28A0092B-C50C-407E-A947-70E740481C1C}"/>
                      </a:extLst>
                    </a:blip>
                    <a:srcRect/>
                    <a:stretch>
                      <a:fillRect/>
                    </a:stretch>
                  </pic:blipFill>
                  <pic:spPr bwMode="auto">
                    <a:xfrm>
                      <a:off x="0" y="0"/>
                      <a:ext cx="1285875"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-904240</wp:posOffset>
            </wp:positionV>
            <wp:extent cx="20256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3">
                      <a:extLst>
                        <a:ext uri="{28A0092B-C50C-407E-A947-70E740481C1C}"/>
                      </a:extLst>
                    </a:blip>
                    <a:srcRect/>
                    <a:stretch>
                      <a:fillRect/>
                    </a:stretch>
                  </pic:blipFill>
                  <pic:spPr bwMode="auto">
                    <a:xfrm>
                      <a:off x="0" y="0"/>
                      <a:ext cx="202565" cy="8890"/>
                    </a:xfrm>
                    <a:prstGeom prst="rect">
                      <a:avLst/>
                    </a:prstGeom>
                    <a:noFill/>
                  </pic:spPr>
                </pic:pic>
              </a:graphicData>
            </a:graphic>
          </wp:anchor>
        </w:drawing>
      </w:r>
    </w:p>
    <w:p>
      <w:pPr>
        <w:spacing w:after="0" w:line="16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Responsibilities of the JSC</w:t>
      </w:r>
      <w:r>
        <w:rPr>
          <w:rFonts w:ascii="Times New Roman" w:cs="Times New Roman" w:eastAsia="Times New Roman" w:hAnsi="Times New Roman"/>
          <w:sz w:val="20"/>
          <w:szCs w:val="20"/>
          <w:color w:val="auto"/>
        </w:rPr>
        <w:t>. The JSC shall perform the following functions: (a) review and serve as a forum for discussing and coordinating activities related to the development of Licensed Products; (b) review and discuss regulatory filings, applications and submissions related to Licensed Products to any Regulatory Authority, including any material regulatory correspondence; and (c) perform such other functions as are set forth herein or as the Parties may mutually agree in writing, except where in conflict with any provision of this Agreement.</w:t>
      </w:r>
    </w:p>
    <w:p>
      <w:pPr>
        <w:spacing w:after="0" w:line="18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9"/>
          <w:szCs w:val="19"/>
          <w:color w:val="auto"/>
        </w:rPr>
        <w:t xml:space="preserve">3.3 </w:t>
      </w:r>
      <w:r>
        <w:rPr>
          <w:rFonts w:ascii="Times New Roman" w:cs="Times New Roman" w:eastAsia="Times New Roman" w:hAnsi="Times New Roman"/>
          <w:sz w:val="19"/>
          <w:szCs w:val="19"/>
          <w:u w:val="single" w:color="auto"/>
          <w:color w:val="auto"/>
        </w:rPr>
        <w:t>JSC Meetings and Minutes</w:t>
      </w:r>
      <w:r>
        <w:rPr>
          <w:rFonts w:ascii="Times New Roman" w:cs="Times New Roman" w:eastAsia="Times New Roman" w:hAnsi="Times New Roman"/>
          <w:sz w:val="19"/>
          <w:szCs w:val="19"/>
          <w:color w:val="auto"/>
        </w:rPr>
        <w:t>. The JSC shall meet at least [***], or at such frequency as otherwise agreed to by the Parties, either in person or by teleconference or videoconference, with the venue of the in-person meetings alternating between locations designated by Licensor and locations designated by Licensee. Each Party shall make all proposals for agenda items and shall provide all appropriate information with respect to such proposed items [***]. Licensee shall prepare and circulate to Licensor draft minutes of each meeting within</w:t>
      </w:r>
    </w:p>
    <w:p>
      <w:pPr>
        <w:spacing w:after="0" w:line="1" w:lineRule="exact"/>
        <w:rPr>
          <w:sz w:val="20"/>
          <w:szCs w:val="20"/>
          <w:color w:val="auto"/>
        </w:rPr>
      </w:pPr>
    </w:p>
    <w:p>
      <w:pPr>
        <w:jc w:val="both"/>
        <w:ind w:firstLine="8"/>
        <w:spacing w:after="0" w:line="241" w:lineRule="auto"/>
        <w:tabs>
          <w:tab w:leader="none" w:pos="489"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Parties’ review and approval. The Parties shall agree on the minutes of each JSC meeting promptly, but in no event later than [***]. Each Party will [***]. Each Party may, with the consent of the other Party, which consent shall not be unreasonably withheld, invite a reasonable number of non-voting employees, consultants or scientific advisors to attend the meetings of the JSC, provided such invitees are bound by appropriate confidentiality obligations.</w:t>
      </w:r>
    </w:p>
    <w:p>
      <w:pPr>
        <w:spacing w:after="0" w:line="188"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JSC Decision-Making</w:t>
      </w:r>
      <w:r>
        <w:rPr>
          <w:rFonts w:ascii="Times New Roman" w:cs="Times New Roman" w:eastAsia="Times New Roman" w:hAnsi="Times New Roman"/>
          <w:sz w:val="20"/>
          <w:szCs w:val="20"/>
          <w:color w:val="auto"/>
        </w:rPr>
        <w:t xml:space="preserve">. All JSC decisions shall be made by [***]. The presence of [***]constitutes a quorum for the conduct of business at any JSC meeting, and no vote of the JSC may be taken without a quorum present. If, after reasonable discussion and good faith consideration of each Party’s view on a particular matter, the JSC representatives of the Parties cannot reach an agreement as to such matter within [***], then either Party may, by written notice to the other Party, have such issue referred to the executive officers for resolution. The Parties’ respective Executive Officers shall discuss within [***] after such matter is referred to them and shall negotiate in good faith to resolve the matter. If the Executive Officers are unable to resolve the matter within [***], then Licensee shall have the final decision-making authority on research, manufacturing, development (including conduct of clinical studies and regulatory activities), commercialization and Exploitation of Licensed Products in the Licensed Territory. Without limiting the foregoing, neither Party shall exercise its final decision-making authority to (A) determine any matter or make any decision that is outside of the authority expressly granted to the JSC under this Agreement; or (B) amend the terms and conditions of this Agreement. The Parties intend and agree that all matters within the scope of the JSC’s decision-making authority shall be resolved in accordance with this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and no matter within the scope of the JSC’s authority shall be subject to the dispute resolution mechanisms set forth in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u w:val="single" w:color="auto"/>
          <w:color w:val="auto"/>
        </w:rPr>
        <w:t>Due Diligence</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i w:val="1"/>
          <w:iCs w:val="1"/>
          <w:u w:val="single" w:color="auto"/>
          <w:color w:val="auto"/>
        </w:rPr>
        <w:t>Licensee Responsibilities</w:t>
      </w:r>
    </w:p>
    <w:p>
      <w:pPr>
        <w:spacing w:after="0" w:line="220"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4.1.1 Licensee shall be solely responsible, at its expense, for the commercialization of Licensed Products in the Licensed Territory and Licensee will use Commercially Reasonable Efforts to make commercially available at least one Licensed Product in the Licensed Territory during the Term.</w:t>
      </w:r>
    </w:p>
    <w:p>
      <w:pPr>
        <w:spacing w:after="0" w:line="174" w:lineRule="exact"/>
        <w:rPr>
          <w:sz w:val="20"/>
          <w:szCs w:val="20"/>
          <w:color w:val="auto"/>
        </w:rPr>
      </w:pPr>
    </w:p>
    <w:p>
      <w:pPr>
        <w:jc w:val="both"/>
        <w:ind w:right="20" w:firstLine="1497"/>
        <w:spacing w:after="0" w:line="269" w:lineRule="auto"/>
        <w:rPr>
          <w:sz w:val="20"/>
          <w:szCs w:val="20"/>
          <w:color w:val="auto"/>
        </w:rPr>
      </w:pPr>
      <w:r>
        <w:rPr>
          <w:rFonts w:ascii="Times New Roman" w:cs="Times New Roman" w:eastAsia="Times New Roman" w:hAnsi="Times New Roman"/>
          <w:sz w:val="20"/>
          <w:szCs w:val="20"/>
          <w:color w:val="auto"/>
        </w:rPr>
        <w:t>4.1.2 Licensee shall provide periodic updates on Licensee’s Licensed Product development and commercialization activities in the Licensed Territory to Licensor through the JSC.</w:t>
      </w:r>
    </w:p>
    <w:p>
      <w:pPr>
        <w:spacing w:after="0" w:line="159"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4.1.3 Licensee shall [***]for [***] within [***]. It shall be deemed a material breach of this Agreement and Licensor may elect to terminate this Agreement, but solely with respect to [***], in the event that Licensee’s achievement of the foregoing milestone is delayed by [***].</w:t>
      </w:r>
    </w:p>
    <w:p>
      <w:pPr>
        <w:spacing w:after="0" w:line="17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4.1.4 Licensee shall [***] for [***] within [***]. It shall be deemed a material breach of this Agreement and Licensor may elect to terminate this Agreement, but solely with respect to [***], in the event that Licensee’s achievement of the foregoing milestone is delayed by [***].</w:t>
      </w:r>
    </w:p>
    <w:p>
      <w:pPr>
        <w:spacing w:after="0" w:line="17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i w:val="1"/>
          <w:iCs w:val="1"/>
          <w:u w:val="single" w:color="auto"/>
          <w:color w:val="auto"/>
        </w:rPr>
        <w:t>Clinical Data Sharing</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Parties agree that all data generated during a Phase 1 Clinical Trial, a Phase 2 Clinical Trial and/or a Phase 3 Clinical Trial of the Licensed Products, including raw clinical data, lab data, and reports (collectively, “</w:t>
      </w:r>
      <w:r>
        <w:rPr>
          <w:rFonts w:ascii="Times New Roman" w:cs="Times New Roman" w:eastAsia="Times New Roman" w:hAnsi="Times New Roman"/>
          <w:sz w:val="20"/>
          <w:szCs w:val="20"/>
          <w:i w:val="1"/>
          <w:iCs w:val="1"/>
          <w:u w:val="single" w:color="auto"/>
          <w:color w:val="auto"/>
        </w:rPr>
        <w:t>Clinical Data</w:t>
      </w:r>
      <w:r>
        <w:rPr>
          <w:rFonts w:ascii="Times New Roman" w:cs="Times New Roman" w:eastAsia="Times New Roman" w:hAnsi="Times New Roman"/>
          <w:sz w:val="20"/>
          <w:szCs w:val="20"/>
          <w:color w:val="auto"/>
        </w:rPr>
        <w:t>”) shall, subject to the obligations of confidentiality set forth herein, be shared upon reasonable written request by Licensor. The Licensee shall, upon reasonable written request by the Licensor, provide the Licensor with Clinical Data Controlled by Licensee and resulting from clinical trials conducted or sponsored by Licensee or its Affiliates or collaborators in the Licensed Territory. In each case, the shared Clinical Data shall include, where available, raw datasets (anonymized patient-level data), statistical analysis reports, clinical study protocols, and adverse event reports.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5</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u w:val="single" w:color="auto"/>
          <w:color w:val="auto"/>
        </w:rPr>
        <w:t>Consideration; Records &amp; Reports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i w:val="1"/>
          <w:iCs w:val="1"/>
          <w:u w:val="single" w:color="auto"/>
          <w:color w:val="auto"/>
        </w:rPr>
        <w:t>Continuing Payments</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5.1.1  </w:t>
      </w:r>
      <w:r>
        <w:rPr>
          <w:rFonts w:ascii="Times New Roman" w:cs="Times New Roman" w:eastAsia="Times New Roman" w:hAnsi="Times New Roman"/>
          <w:sz w:val="20"/>
          <w:szCs w:val="20"/>
          <w:i w:val="1"/>
          <w:iCs w:val="1"/>
          <w:u w:val="single" w:color="auto"/>
          <w:color w:val="auto"/>
        </w:rPr>
        <w:t>Milestone Payments</w:t>
      </w:r>
    </w:p>
    <w:p>
      <w:pPr>
        <w:spacing w:after="0" w:line="22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 xml:space="preserve">The first time one of the development or commercial milestones set forth in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(each, a “</w:t>
      </w:r>
      <w:r>
        <w:rPr>
          <w:rFonts w:ascii="Times New Roman" w:cs="Times New Roman" w:eastAsia="Times New Roman" w:hAnsi="Times New Roman"/>
          <w:sz w:val="20"/>
          <w:szCs w:val="20"/>
          <w:i w:val="1"/>
          <w:iCs w:val="1"/>
          <w:u w:val="single" w:color="auto"/>
          <w:color w:val="auto"/>
        </w:rPr>
        <w:t>Milestone</w:t>
      </w:r>
      <w:r>
        <w:rPr>
          <w:rFonts w:ascii="Times New Roman" w:cs="Times New Roman" w:eastAsia="Times New Roman" w:hAnsi="Times New Roman"/>
          <w:sz w:val="20"/>
          <w:szCs w:val="20"/>
          <w:color w:val="auto"/>
        </w:rPr>
        <w:t xml:space="preserve">”) is achieved by Licensee or a Sublicensee, Licensee shall pay to Licensor the corresponding one-time milestone payment set forth in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(each, a “</w:t>
      </w:r>
      <w:r>
        <w:rPr>
          <w:rFonts w:ascii="Times New Roman" w:cs="Times New Roman" w:eastAsia="Times New Roman" w:hAnsi="Times New Roman"/>
          <w:sz w:val="20"/>
          <w:szCs w:val="20"/>
          <w:i w:val="1"/>
          <w:iCs w:val="1"/>
          <w:u w:val="single" w:color="auto"/>
          <w:color w:val="auto"/>
        </w:rPr>
        <w:t>Milestone Payment</w:t>
      </w:r>
      <w:r>
        <w:rPr>
          <w:rFonts w:ascii="Times New Roman" w:cs="Times New Roman" w:eastAsia="Times New Roman" w:hAnsi="Times New Roman"/>
          <w:sz w:val="20"/>
          <w:szCs w:val="20"/>
          <w:color w:val="auto"/>
        </w:rPr>
        <w:t xml:space="preserve">”), such Milestone Payment to be made within [***]. For the avoidance of doubt, in the event that the achievement of one or more development milestones set forth in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(each, a “</w:t>
      </w:r>
      <w:r>
        <w:rPr>
          <w:rFonts w:ascii="Times New Roman" w:cs="Times New Roman" w:eastAsia="Times New Roman" w:hAnsi="Times New Roman"/>
          <w:sz w:val="20"/>
          <w:szCs w:val="20"/>
          <w:i w:val="1"/>
          <w:iCs w:val="1"/>
          <w:color w:val="auto"/>
        </w:rPr>
        <w:t>Development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Milestone</w:t>
      </w:r>
      <w:r>
        <w:rPr>
          <w:rFonts w:ascii="Times New Roman" w:cs="Times New Roman" w:eastAsia="Times New Roman" w:hAnsi="Times New Roman"/>
          <w:sz w:val="20"/>
          <w:szCs w:val="20"/>
          <w:color w:val="auto"/>
        </w:rPr>
        <w:t>”) is [***], then Licensee shall [***]. No Milestone Payment will be payable more than one time.</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5.1.2  </w:t>
      </w:r>
      <w:r>
        <w:rPr>
          <w:rFonts w:ascii="Times New Roman" w:cs="Times New Roman" w:eastAsia="Times New Roman" w:hAnsi="Times New Roman"/>
          <w:sz w:val="20"/>
          <w:szCs w:val="20"/>
          <w:u w:val="single" w:color="auto"/>
          <w:color w:val="auto"/>
        </w:rPr>
        <w:t>Royalties on Net Sales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 xml:space="preserve">During the applicable Royalty Term, on a [***] basis, Licensee shall pay to Licensor a royalty equal to the applicable percentage of Net Sales set forth in </w:t>
      </w: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Royalty on Net Sales</w:t>
      </w:r>
      <w:r>
        <w:rPr>
          <w:rFonts w:ascii="Times New Roman" w:cs="Times New Roman" w:eastAsia="Times New Roman" w:hAnsi="Times New Roman"/>
          <w:sz w:val="20"/>
          <w:szCs w:val="20"/>
          <w:color w:val="auto"/>
        </w:rPr>
        <w:t xml:space="preserve">”). Payments under this </w:t>
      </w: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 xml:space="preserve"> shall be due within [***] of the end of [***].</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8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5.1.3  </w:t>
      </w:r>
      <w:r>
        <w:rPr>
          <w:rFonts w:ascii="Times New Roman" w:cs="Times New Roman" w:eastAsia="Times New Roman" w:hAnsi="Times New Roman"/>
          <w:sz w:val="20"/>
          <w:szCs w:val="20"/>
          <w:u w:val="single" w:color="auto"/>
          <w:color w:val="auto"/>
        </w:rPr>
        <w:t>No Multiple Royalties; Offset for Third Party Royalties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For the avoidance of doubt, no multiple Royalties on Net Sales will be required to be paid because a Licensed Product or its manufacture, use, sale or importation is covered by more than one (1) Valid Claim. On a Licensed Product-by-Licensed Product and country-by-country basis, in the event that Licensee is required to pay royalties to a third party for licenses to intellectual property rights entered into by Licensee to avoid infringement of such rights by the Exploitation of a Licensed Product in a country, then upon expiration of the last-to-expire Valid Claim of the Foundational Patents in such country, Licensee may deduct up to [***] of the amount of any such third party [***] actually paid to such third party in a given [***] from any Royalty on Net Sales due to Licensor under Section 5.1.2 in such country during the same [***], provided that notwithstanding anything set forth in this Agreement to the contrary, in no event shall the Royalty on Net Sales under Section 5.1.2 otherwise due to Licensor for such Licensed Product in such country be less than [***] of the applicable Royalty on Net Sales due to Licensor during such [***]. No other offsets or deductions from the Royalty on Net Sales are otherwise permitted hereunder.</w:t>
      </w:r>
    </w:p>
    <w:p>
      <w:pPr>
        <w:spacing w:after="0" w:line="192" w:lineRule="exact"/>
        <w:rPr>
          <w:sz w:val="20"/>
          <w:szCs w:val="20"/>
          <w:color w:val="auto"/>
        </w:rPr>
      </w:pPr>
    </w:p>
    <w:p>
      <w:pPr>
        <w:ind w:left="1500"/>
        <w:spacing w:after="0"/>
        <w:tabs>
          <w:tab w:leader="none" w:pos="2280" w:val="left"/>
        </w:tabs>
        <w:rPr>
          <w:sz w:val="20"/>
          <w:szCs w:val="20"/>
          <w:color w:val="auto"/>
        </w:rPr>
      </w:pPr>
      <w:r>
        <w:rPr>
          <w:rFonts w:ascii="Times New Roman" w:cs="Times New Roman" w:eastAsia="Times New Roman" w:hAnsi="Times New Roman"/>
          <w:sz w:val="20"/>
          <w:szCs w:val="20"/>
          <w:color w:val="auto"/>
        </w:rPr>
        <w:t>5.1.4</w:t>
      </w:r>
      <w:r>
        <w:rPr>
          <w:sz w:val="20"/>
          <w:szCs w:val="20"/>
          <w:color w:val="auto"/>
        </w:rPr>
        <w:tab/>
      </w:r>
      <w:r>
        <w:rPr>
          <w:rFonts w:ascii="Times New Roman" w:cs="Times New Roman" w:eastAsia="Times New Roman" w:hAnsi="Times New Roman"/>
          <w:sz w:val="19"/>
          <w:szCs w:val="19"/>
          <w:u w:val="single" w:color="auto"/>
          <w:color w:val="auto"/>
        </w:rPr>
        <w:t>Sublicense Fees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right="20" w:firstLine="1497"/>
        <w:spacing w:after="0" w:line="269" w:lineRule="auto"/>
        <w:rPr>
          <w:sz w:val="20"/>
          <w:szCs w:val="20"/>
          <w:color w:val="auto"/>
        </w:rPr>
      </w:pPr>
      <w:r>
        <w:rPr>
          <w:rFonts w:ascii="Times New Roman" w:cs="Times New Roman" w:eastAsia="Times New Roman" w:hAnsi="Times New Roman"/>
          <w:sz w:val="20"/>
          <w:szCs w:val="20"/>
          <w:color w:val="auto"/>
        </w:rPr>
        <w:t xml:space="preserve">Licensee shall pay to Licensor the percentage of Sublicense Fees set forth in </w:t>
      </w:r>
      <w:r>
        <w:rPr>
          <w:rFonts w:ascii="Times New Roman" w:cs="Times New Roman" w:eastAsia="Times New Roman" w:hAnsi="Times New Roman"/>
          <w:sz w:val="20"/>
          <w:szCs w:val="20"/>
          <w:u w:val="single" w:color="auto"/>
          <w:color w:val="auto"/>
        </w:rPr>
        <w:t>Section 5.1.4</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such payments to be made within [***].</w:t>
      </w:r>
    </w:p>
    <w:p>
      <w:pPr>
        <w:spacing w:after="0" w:line="15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i w:val="1"/>
          <w:iCs w:val="1"/>
          <w:u w:val="single" w:color="auto"/>
          <w:color w:val="auto"/>
        </w:rPr>
        <w:t>Late Payments</w:t>
      </w:r>
      <w:r>
        <w:rPr>
          <w:rFonts w:ascii="Times New Roman" w:cs="Times New Roman" w:eastAsia="Times New Roman" w:hAnsi="Times New Roman"/>
          <w:sz w:val="20"/>
          <w:szCs w:val="20"/>
          <w:color w:val="auto"/>
        </w:rPr>
        <w:t xml:space="preserve">. Any payments by Licensee that are not paid on or before the due date under this Agreement shall bear interest, to the extent permitted by law, at [***]. If any such late payment is not remedied within [***], such failure shall be deemed a material breach of this Agreement. In such case, Licensor shall have the right to pursue available remedies, including the right to terminate this Agreement. This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shall not limit any other remedies available to either Party under this Agreement or at law or in equity.</w:t>
      </w:r>
    </w:p>
    <w:p>
      <w:pPr>
        <w:spacing w:after="0" w:line="17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i w:val="1"/>
          <w:iCs w:val="1"/>
          <w:u w:val="single" w:color="auto"/>
          <w:color w:val="auto"/>
        </w:rPr>
        <w:t>Records and Reports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Within [***], commencing with the [***] in which the First Commercial Sale of any Licensed Product is made anywhere in the Licensed Territory, Licensee shall provide Licensor with a report containing the following information for the applicable [***], on a Licensed Product basis: (a) the amount of Net Sales in the Territory; (b) calculation of Net Sales in the Licensed Territory showing deductions provided for in the definition of “Net Sales”; (c) a calculation of the royalty payment due on such Net Sales; and (iv) the exchange rate for such country. For the purpose of converting any local currency into U.S. dollars to determine any amounts payable under this Agreement, the rate of exchange to be applied shall be [***]. Concurrent with the delivery of the applicable quarterly report, Licensee shall pay in U.S. dollars all amounts due to Licensor pursuant to this Agreement with respect to Net Sales by Licensee and its Affiliates and Sublicensees for such [***]. All payments due to Licensor hereunder shall be made in U.S. dollars by wire transfer of immediately available funds into an account designated by Licensor.</w:t>
      </w:r>
    </w:p>
    <w:p>
      <w:pPr>
        <w:spacing w:after="0" w:line="18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i w:val="1"/>
          <w:iCs w:val="1"/>
          <w:u w:val="single" w:color="auto"/>
          <w:color w:val="auto"/>
        </w:rPr>
        <w:t>Audit and Inspection Rights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Licensee and its Affiliates and Sublicensees will maintain records in sufficient detail to permit Licensor to confirm the accuracy of the calculation of royalty payments made by Licensee under this Agreement. Upon reasonable prior notice, the records of Licensee and its Affiliates shall be available during regular business hours (without undue disruption of Licensee’s or its Affiliate’s business) for a period of [***] from the end of the calendar year to which they pertain for examination by a nationally recognized independent accountant selected by Licensor and reasonably acceptable to Licensee or its Affiliate, for the sole purpose of verifying the accuracy of the reports and payments furnished by Licensee pursuant to this Agreement. Any such auditor shall not disclose Licensee’s Confidential Information, except to the extent such disclosure is necessary to verify the accuracy of the reports furnished by Licensee or the amount of payments due by Licensee to Licensor under this Agreement. Licensor shall provide Licensee with a copy of the accountant’s report. Licensor shall have the right, [***]</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per [***], to request that Licensee exercise its audit rights with respect to any Sublicensee. If Licensee has already exercised its audit rights with respect to the subject Sublicensee for the relevant calendar year, then Licensor shall have the right to request that Licensee share the results of such audit with Licensor. Licensor shall bear the full cost of any such audit.</w:t>
      </w:r>
    </w:p>
    <w:p>
      <w:pPr>
        <w:spacing w:after="0" w:line="17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i w:val="1"/>
          <w:iCs w:val="1"/>
          <w:color w:val="auto"/>
        </w:rPr>
        <w:t>Ta</w:t>
      </w:r>
      <w:r>
        <w:rPr>
          <w:rFonts w:ascii="Times New Roman" w:cs="Times New Roman" w:eastAsia="Times New Roman" w:hAnsi="Times New Roman"/>
          <w:sz w:val="20"/>
          <w:szCs w:val="20"/>
          <w:i w:val="1"/>
          <w:iCs w:val="1"/>
          <w:u w:val="single" w:color="auto"/>
          <w:color w:val="auto"/>
        </w:rPr>
        <w:t>xes</w:t>
      </w:r>
      <w:r>
        <w:rPr>
          <w:rFonts w:ascii="Times New Roman" w:cs="Times New Roman" w:eastAsia="Times New Roman" w:hAnsi="Times New Roman"/>
          <w:sz w:val="20"/>
          <w:szCs w:val="20"/>
          <w:color w:val="auto"/>
        </w:rPr>
        <w:t>. Each Party shall be solely responsible for the payment of all taxes imposed on its share of income arising directly or indirectly from the efforts of the Parties under this Agreement. The Parties agree to cooperate with one another and use reasonable efforts to reduce or eliminate tax withholding or similar obligations in respect of payments made by a Party to the other Party under this Agreement. To the extent either Party is required to deduct and withhold taxes on any payment to the other Party, such Party shall pay the amounts of such taxes to the proper governmental authority in a timely manner and promptly transmit to the other Party an official tax certificate or other evidence of such withholding sufficient to enable the other Party to claim such payment of taxes. Each Party shall use reasonable efforts to provide the other Party with any tax forms that may be reasonably necessary in order for the other Party to not withhold tax or to withhold tax at a reduced rate under an applicable bilateral income tax treaty. Each Party shall provide the other with reasonable assistance to enable the recovery, as permitted by Applicable Laws, of withholding taxes, value added taxes, or similar obligations resulting from payments made under this Agreement, such recovery to be for the benefit of the Party bearing such withholding tax or value added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-1341120</wp:posOffset>
            </wp:positionV>
            <wp:extent cx="13271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7">
                      <a:extLst>
                        <a:ext uri="{28A0092B-C50C-407E-A947-70E740481C1C}"/>
                      </a:extLst>
                    </a:blip>
                    <a:srcRect/>
                    <a:stretch>
                      <a:fillRect/>
                    </a:stretch>
                  </pic:blipFill>
                  <pic:spPr bwMode="auto">
                    <a:xfrm>
                      <a:off x="0" y="0"/>
                      <a:ext cx="132715"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6</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u w:val="single" w:color="auto"/>
          <w:color w:val="auto"/>
        </w:rPr>
        <w:t>Representations and Warranties; Disclaimers; Limitation of Liability</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 xml:space="preserve">6.1 </w:t>
      </w:r>
      <w:r>
        <w:rPr>
          <w:rFonts w:ascii="Times New Roman" w:cs="Times New Roman" w:eastAsia="Times New Roman" w:hAnsi="Times New Roman"/>
          <w:sz w:val="19"/>
          <w:szCs w:val="19"/>
          <w:i w:val="1"/>
          <w:iCs w:val="1"/>
          <w:u w:val="single" w:color="auto"/>
          <w:color w:val="auto"/>
        </w:rPr>
        <w:t>Representations and Warranties of Licensor</w:t>
      </w:r>
      <w:r>
        <w:rPr>
          <w:rFonts w:ascii="Times New Roman" w:cs="Times New Roman" w:eastAsia="Times New Roman" w:hAnsi="Times New Roman"/>
          <w:sz w:val="19"/>
          <w:szCs w:val="19"/>
          <w:color w:val="auto"/>
        </w:rPr>
        <w:t>. Licensor hereby represents and warrants to Licensee that, as of the Execution Date:</w:t>
      </w:r>
    </w:p>
    <w:p>
      <w:pPr>
        <w:spacing w:after="0" w:line="231"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6.1.1 Licensor is duly organized, validly existing and in good standing under the laws of its jurisdiction of organization, with full power and authority to operate its properties and to carry on its business as presently conducted.</w:t>
      </w:r>
    </w:p>
    <w:p>
      <w:pPr>
        <w:spacing w:after="0" w:line="159"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6.1.2 Licensor is the owner or licensee of the Licensed Technology and/or has the right to grant the licenses and rights that it purports to grant under this Agreement and has not granted to any third party any license or other right that conflicts with the licenses and rights granted under this Agreement.</w:t>
      </w:r>
    </w:p>
    <w:p>
      <w:pPr>
        <w:spacing w:after="0" w:line="17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6.1.3 The execution of this Agreement and performance of Licensor’s obligations under this Agreement do not conflict with, cause a default under, or violate any existing contractual obligation that may be owed by Licensor or any Affiliate of Licensor to any third party.</w:t>
      </w:r>
    </w:p>
    <w:p>
      <w:pPr>
        <w:spacing w:after="0" w:line="174"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6.1.4 There is no action, suit, proceeding or investigation pending or, to Licensor’s and its Affiliates’ knowledge, currently threatened orally or in writing against or affecting Licensor or any Affiliate thereof that questions the validity of this Agreement or the right of Licensor to enter into this Agreement or consummate the transactions contemplated hereby and, to Licensor’s and its Affiliates’ knowledge, there is no basis for the foregoing.</w:t>
      </w:r>
    </w:p>
    <w:p>
      <w:pPr>
        <w:spacing w:after="0" w:line="180"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6.1.5 No consent, approval, order or authorization of, or registration, qualification, designation, declaration or filing with, any governmental authority, or any third party, on the part of Licensor or any Affiliate thereof is required in connection with its execution, delivery and performance of this Agreement.</w:t>
      </w:r>
    </w:p>
    <w:p>
      <w:pPr>
        <w:spacing w:after="0" w:line="174"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6.1.6 To the best of Licensor’s and its Affiliates’ knowledge, the issued and unexpired Patent included in the Licensed Technology existing as of the Execution Date are valid and enforceable.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89"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6.1.7 No reexamination, interference, invalidity, opposition, nullity or similar claim or proceeding is pending or, to the best of Licensor’s and its Affiliates’ knowledge, threatened with respect to any Patent included in the Licensed Technology as of the Execution Date.</w:t>
      </w:r>
    </w:p>
    <w:p>
      <w:pPr>
        <w:spacing w:after="0" w:line="174"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6.1.8 None of Licensor or its Affiliates has employed, or otherwise used in any capacity, the services of any individual or entity debarred or disqualified under Applicable Laws.</w:t>
      </w:r>
    </w:p>
    <w:p>
      <w:pPr>
        <w:spacing w:after="0" w:line="159"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6.1.9 None of Licensor’s or its Affiliates’ research or development of the Licensed Technology, manufacture of Licensed Products, or research leading to the inventions Covered by a Valid Claim of the Licensed Technology was supported in whole or part by funding or grants by any governmental agency or philanthropic or charitable organization.</w:t>
      </w:r>
    </w:p>
    <w:p>
      <w:pPr>
        <w:spacing w:after="0" w:line="17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 xml:space="preserve">6.1.10 Other than the Foundational Patents set forth on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and the Licensed Patents set forth on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neither Licensor nor any of its Affiliates owns or controls any Patents necessary or useful for, or that would be infringed by, the Exploitation of any Licensed Product in any country in the Licensed Territory.</w:t>
      </w:r>
    </w:p>
    <w:p>
      <w:pPr>
        <w:spacing w:after="0" w:line="174"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6.1.11 Factor Bioscience Pty Ltd, Factor Bioscience LLC, and Factor Bioscience Inc. are affiliates of Licensor and affiliates of each other.</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 xml:space="preserve">6.2 </w:t>
      </w:r>
      <w:r>
        <w:rPr>
          <w:rFonts w:ascii="Times New Roman" w:cs="Times New Roman" w:eastAsia="Times New Roman" w:hAnsi="Times New Roman"/>
          <w:sz w:val="19"/>
          <w:szCs w:val="19"/>
          <w:i w:val="1"/>
          <w:iCs w:val="1"/>
          <w:u w:val="single" w:color="auto"/>
          <w:color w:val="auto"/>
        </w:rPr>
        <w:t>Representations and Warranties of Licensee</w:t>
      </w:r>
      <w:r>
        <w:rPr>
          <w:rFonts w:ascii="Times New Roman" w:cs="Times New Roman" w:eastAsia="Times New Roman" w:hAnsi="Times New Roman"/>
          <w:sz w:val="19"/>
          <w:szCs w:val="19"/>
          <w:color w:val="auto"/>
        </w:rPr>
        <w:t>. Licensee hereby represents and warrants to Licensor that, as of the Execution Date:</w:t>
      </w:r>
    </w:p>
    <w:p>
      <w:pPr>
        <w:spacing w:after="0" w:line="231" w:lineRule="exact"/>
        <w:rPr>
          <w:sz w:val="20"/>
          <w:szCs w:val="20"/>
          <w:color w:val="auto"/>
        </w:rPr>
      </w:pPr>
    </w:p>
    <w:p>
      <w:pPr>
        <w:jc w:val="both"/>
        <w:ind w:right="20" w:firstLine="1497"/>
        <w:spacing w:after="0" w:line="269" w:lineRule="auto"/>
        <w:rPr>
          <w:sz w:val="20"/>
          <w:szCs w:val="20"/>
          <w:color w:val="auto"/>
        </w:rPr>
      </w:pPr>
      <w:r>
        <w:rPr>
          <w:rFonts w:ascii="Times New Roman" w:cs="Times New Roman" w:eastAsia="Times New Roman" w:hAnsi="Times New Roman"/>
          <w:sz w:val="20"/>
          <w:szCs w:val="20"/>
          <w:color w:val="auto"/>
        </w:rPr>
        <w:t>6.2.1 Licensee is duly organized, validly existing and in good standing under the laws of its jurisdiction of organization, with full power and authority to operate its properties and to carry on its business as presently conducted.</w:t>
      </w:r>
    </w:p>
    <w:p>
      <w:pPr>
        <w:spacing w:after="0" w:line="159"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6.2.2 The execution and performance of Licensee’s obligations under this Agreement do not conflict with, cause a default under, or violate any existing contractual obligation that may be owed by Licensee to any third party.</w:t>
      </w:r>
    </w:p>
    <w:p>
      <w:pPr>
        <w:spacing w:after="0" w:line="159"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6.2.3 None of Licensee or its Affiliates have employed, or otherwise used in any capacity, the services of any individual or entity debarred or disqualified under Applicable Laws.</w:t>
      </w:r>
    </w:p>
    <w:p>
      <w:pPr>
        <w:spacing w:after="0" w:line="159" w:lineRule="exact"/>
        <w:rPr>
          <w:sz w:val="20"/>
          <w:szCs w:val="20"/>
          <w:color w:val="auto"/>
        </w:rPr>
      </w:pPr>
    </w:p>
    <w:p>
      <w:pPr>
        <w:jc w:val="both"/>
        <w:ind w:right="20" w:firstLine="1497"/>
        <w:spacing w:after="0" w:line="254" w:lineRule="auto"/>
        <w:rPr>
          <w:sz w:val="20"/>
          <w:szCs w:val="20"/>
          <w:color w:val="auto"/>
        </w:rPr>
      </w:pPr>
      <w:r>
        <w:rPr>
          <w:rFonts w:ascii="Times New Roman" w:cs="Times New Roman" w:eastAsia="Times New Roman" w:hAnsi="Times New Roman"/>
          <w:sz w:val="20"/>
          <w:szCs w:val="20"/>
          <w:color w:val="auto"/>
        </w:rPr>
        <w:t>6.2.4 No consent, approval, order or authorization of, or registration, qualification, designation, declaration or filing with, any governmental authority, or any third party, on the part of Licensee or any Affiliate thereof is required in connection with its execution and delivery of this Agreement.</w:t>
      </w:r>
    </w:p>
    <w:p>
      <w:pPr>
        <w:spacing w:after="0" w:line="17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6.2.5 Licensee further covenants to Licensor not to use or otherwise Exploit the Licensed Technology outside of the Field or outside the Licensed Territory, and Licensee acknowledges that any such use or Exploitation of the Licensed Technology outside the Field or outside the Licensed Territory shall be a material breach of this Agreement.</w:t>
      </w:r>
    </w:p>
    <w:p>
      <w:pPr>
        <w:spacing w:after="0" w:line="17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i w:val="1"/>
          <w:iCs w:val="1"/>
          <w:u w:val="single" w:color="auto"/>
          <w:color w:val="auto"/>
        </w:rPr>
        <w:t>Disclaimer</w:t>
      </w:r>
      <w:r>
        <w:rPr>
          <w:rFonts w:ascii="Times New Roman" w:cs="Times New Roman" w:eastAsia="Times New Roman" w:hAnsi="Times New Roman"/>
          <w:sz w:val="20"/>
          <w:szCs w:val="20"/>
          <w:color w:val="auto"/>
        </w:rPr>
        <w:t xml:space="preserve">. EXCEPT AS EXPRESSLY PROVIDED IN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LICENSOR IS PROVIDING THE LICENSED TECHNOLOGY “AS IS,” AND LICENSOR MAKES NO REPRESENTATIONS, AND EXTENDS NO WARRANTIES OF ANY KIND, EITHER EXPRESS OR IMPLIED, INCLUDING ANY IMPLIED WARRANTIES OF MERCHANTABILITY OR ANY IMPLIED WARRANTIES OF FITNESS FOR A PARTICULAR PURPOSE, NON-INFRINGEMENT OR AS TO THE VALIDITY OR SCOPE OF ANY PATENTS, AND LICENSOR DOES NOT ASSUME ANY RESPONSIBILITY WHATSOEVER WITH RESPECT TO USE, SALE, OR OTHER DISPOSITION OF PRODUCTS INCORPORATING OR MADE BY USE OF THE LICENSED TECHNOLOGY IN</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CONNECTION WITH THIS AGREEMENT, OR WITH RESPECT TO ANY OBLIGATION OF LICENSOR TO BRING OR PROSECUTE ACTIONS OR SUITS AGAINST THIRD PARTIES FOR INFRINGEMENT OF ANY PATENT INCLUDED IN THE LICENSED TECHNOLOGY.</w:t>
      </w:r>
    </w:p>
    <w:p>
      <w:pPr>
        <w:spacing w:after="0" w:line="17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i w:val="1"/>
          <w:iCs w:val="1"/>
          <w:u w:val="single" w:color="auto"/>
          <w:color w:val="auto"/>
        </w:rPr>
        <w:t>LIMITATION OF LIABILITY</w:t>
      </w:r>
      <w:r>
        <w:rPr>
          <w:rFonts w:ascii="Times New Roman" w:cs="Times New Roman" w:eastAsia="Times New Roman" w:hAnsi="Times New Roman"/>
          <w:sz w:val="20"/>
          <w:szCs w:val="20"/>
          <w:color w:val="auto"/>
        </w:rPr>
        <w:t xml:space="preserve">. TO THE FULLEST EXTENT PERMITTED BY LAW, NEITHER PARTY WILL BE LIABLE TO THE OTHER PARTY OR ANY OTHER PERSON FOR ANY INJURY TO OR LOSS OF GOODWILL, REPUTATION, BUSINESS PRODUCTION, REVENUES, PROFITS, ANTICIPATED PROFITS, CONTRACTS, OR OPPORTUNITIES (REGARDLESS OF HOW THESE ARE CLASSIFIED AS DAMAGES), OR FOR ANY CONSEQUENTIAL, INCIDENTAL, INDIRECT, EXEMPLARY, SPECIAL, PUNITIVE, OR ENHANCED DAMAGES, WHETHER ARISING OUT OF BREACH OF CONTRACT, TORT (INCLUDING NEGLIGENCE), STRICT LIABILITY, PRODUCT LIABILITY, OR OTHERWISE (INCLUDING THE ENTRY INTO, PERFORMANCE, OR BREACH OF THIS AGREEMENT), REGARDLESS OF WHETHER SUCH LOSS OR DAMAGE WAS FORESEEABLE AND THE PARTY AGAINST WHOM LIABILITY IS CLAIMED HAS BEEN ADVISED OF THE POSSIBILITY OF SUCH LOSS OR DAMAGE, AND NOTWITHSTANDING THE FAILURE OF ANY AGREED REMEDY OF ITS ESSENTIAL PURPOSE. THE FOREGOING LIMITATIONS WILL NOT: (A) APPLY TO INFRINGEMENT BY A PARTY OF THE OTHER PARTY’S INTELLECTUAL PROPERTY RIGHTS, A PARTY’S BREACH OF [***], OR LICENSEE’S BREACH OF [***], OR (B) LIMIT A PARTY’S INDEMNIFICATION OBLIGATIONS UNDER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7</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u w:val="single" w:color="auto"/>
          <w:color w:val="auto"/>
        </w:rPr>
        <w:t>Term and Termination</w:t>
      </w:r>
    </w:p>
    <w:p>
      <w:pPr>
        <w:spacing w:after="0" w:line="19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i w:val="1"/>
          <w:iCs w:val="1"/>
          <w:color w:val="auto"/>
        </w:rPr>
        <w:t>Te</w:t>
      </w:r>
      <w:r>
        <w:rPr>
          <w:rFonts w:ascii="Times New Roman" w:cs="Times New Roman" w:eastAsia="Times New Roman" w:hAnsi="Times New Roman"/>
          <w:sz w:val="20"/>
          <w:szCs w:val="20"/>
          <w:i w:val="1"/>
          <w:iCs w:val="1"/>
          <w:u w:val="single" w:color="auto"/>
          <w:color w:val="auto"/>
        </w:rPr>
        <w:t>rm</w:t>
      </w:r>
      <w:r>
        <w:rPr>
          <w:rFonts w:ascii="Times New Roman" w:cs="Times New Roman" w:eastAsia="Times New Roman" w:hAnsi="Times New Roman"/>
          <w:sz w:val="20"/>
          <w:szCs w:val="20"/>
          <w:color w:val="auto"/>
        </w:rPr>
        <w:t xml:space="preserve">. The term of this Agreement will commence on the Effective Date, and will continue until the date of expiration of the last-to-expire Royalty Term, unless earlier terminated under the provisions of this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or by the mutual written agreement of the Parties (the period from the Effective Date until such expiration or termination, the “</w:t>
      </w:r>
      <w:r>
        <w:rPr>
          <w:rFonts w:ascii="Times New Roman" w:cs="Times New Roman" w:eastAsia="Times New Roman" w:hAnsi="Times New Roman"/>
          <w:sz w:val="20"/>
          <w:szCs w:val="20"/>
          <w:i w:val="1"/>
          <w:iCs w:val="1"/>
          <w:u w:val="single" w:color="auto"/>
          <w:color w:val="auto"/>
        </w:rPr>
        <w:t>Term</w:t>
      </w:r>
      <w:r>
        <w:rPr>
          <w:rFonts w:ascii="Times New Roman" w:cs="Times New Roman" w:eastAsia="Times New Roman" w:hAnsi="Times New Roman"/>
          <w:sz w:val="20"/>
          <w:szCs w:val="20"/>
          <w:color w:val="auto"/>
        </w:rPr>
        <w:t xml:space="preserve">”). Subject to the terms and conditions of this Agreement, Licensor hereby, effective upon the expiration of the last-to-expire Royalty Term, grants to Licensee an exclusive, fully paid, non-transferrable (except in accordance with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perpetual license, with the right to grant sublicenses, under the Improvement Patents, to Exploit Licensed Products in the Field and in the Licensed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-760730</wp:posOffset>
            </wp:positionV>
            <wp:extent cx="12573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5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i w:val="1"/>
          <w:iCs w:val="1"/>
          <w:u w:val="single" w:color="auto"/>
          <w:color w:val="auto"/>
        </w:rPr>
        <w:t>Termination by Either Party</w:t>
      </w:r>
      <w:r>
        <w:rPr>
          <w:rFonts w:ascii="Times New Roman" w:cs="Times New Roman" w:eastAsia="Times New Roman" w:hAnsi="Times New Roman"/>
          <w:sz w:val="20"/>
          <w:szCs w:val="20"/>
          <w:color w:val="auto"/>
        </w:rPr>
        <w:t>. Either Party may terminate this Agreement at any time upon written notice to the other Party if the other Party is in material default or breach of this Agreement and such material default or breach is not cured within [***] after written notice thereof is delivered to the defaulting or breaching Party, or in the case of a breach (other than a breach of a Party’s payment obligation) that cannot be cured within [***], within a reasonable period not exceeding [***]after written notice thereof is delivered to the defaulting or breaching Party, so long as the breaching Party is making a good faith effort to cure such default or breach of this Agreement.</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i w:val="1"/>
          <w:iCs w:val="1"/>
          <w:u w:val="single" w:color="auto"/>
          <w:color w:val="auto"/>
        </w:rPr>
        <w:t>Termination by Licensor</w:t>
      </w:r>
      <w:r>
        <w:rPr>
          <w:rFonts w:ascii="Times New Roman" w:cs="Times New Roman" w:eastAsia="Times New Roman" w:hAnsi="Times New Roman"/>
          <w:sz w:val="20"/>
          <w:szCs w:val="20"/>
          <w:color w:val="auto"/>
        </w:rPr>
        <w:t xml:space="preserve">. Licensor may, at its option, terminate this Agreement effective upon [***] written notice to Licensee if Licensee (i) files for protection under bankruptcy laws; (ii) makes an assignment for the benefit of creditors; (iii) appoints or suffers appointment of a receiver or trustee over its property; (iv) files a petition under any bankruptcy or insolvency act or has any such petition filed against it, which is not discharged within [***] of the filing thereof; or (v) is unable to pay its debts as they become due in the ordinary course of business. Nothing in this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shall prohibit Licensor from pursuing any other remedies at law which it may have in connection with Licensee’s uncured material breach.</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i w:val="1"/>
          <w:iCs w:val="1"/>
          <w:u w:val="single" w:color="auto"/>
          <w:color w:val="auto"/>
        </w:rPr>
        <w:t>Termination by Licensee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8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Licensee may, at its option, terminate this Agreement, in its entirety, upon written notice to Licensor of any of the following events or otherwise as provided in this Agreement:</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7.4.1  at any time without cause, by giving at least sixty (60) days prior written notice of such termination to Licensor; or</w:t>
      </w:r>
    </w:p>
    <w:p>
      <w:pPr>
        <w:spacing w:after="0" w:line="216"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7.4.2 effective upon [***] written notice to Licensor if Licensor (i) files for protection under bankruptcy laws; (ii) makes an assignment for the benefit of creditors; (iii) appoints or suffers appointment of a receiver or trustee over its property; (iv) files a petition under any bankruptcy or insolvency act or has any such petition filed against it, which is not discharged within [***] of the filing thereof; or (v) is unable to pay its debts as they become due in the ordinary course of business.</w:t>
      </w:r>
    </w:p>
    <w:p>
      <w:pPr>
        <w:spacing w:after="0" w:line="180"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 xml:space="preserve">Nothing in the foregoing subsections of this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shall prohibit Licensee from pursuing any other remedies at law which it may have in connection with Licensor’s uncured material breach.</w:t>
      </w:r>
    </w:p>
    <w:p>
      <w:pPr>
        <w:spacing w:after="0" w:line="15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7.5 </w:t>
      </w:r>
      <w:r>
        <w:rPr>
          <w:rFonts w:ascii="Times New Roman" w:cs="Times New Roman" w:eastAsia="Times New Roman" w:hAnsi="Times New Roman"/>
          <w:sz w:val="20"/>
          <w:szCs w:val="20"/>
          <w:i w:val="1"/>
          <w:iCs w:val="1"/>
          <w:u w:val="single" w:color="auto"/>
          <w:color w:val="auto"/>
        </w:rPr>
        <w:t>Challenging Validity</w:t>
      </w:r>
      <w:r>
        <w:rPr>
          <w:rFonts w:ascii="Times New Roman" w:cs="Times New Roman" w:eastAsia="Times New Roman" w:hAnsi="Times New Roman"/>
          <w:sz w:val="20"/>
          <w:szCs w:val="20"/>
          <w:color w:val="auto"/>
        </w:rPr>
        <w:t>. Licensor has the right to terminate this Agreement upon written notice to Licensee in the event that Licensee or any of its Affiliates or permitted Sublicensees directly or indirectly challenges in a legal or administrative proceeding the patentability, enforceability or validity of any Patent included in the Licensed Technology or the scope or construction of any Valid Claim (each, a “</w:t>
      </w:r>
      <w:r>
        <w:rPr>
          <w:rFonts w:ascii="Times New Roman" w:cs="Times New Roman" w:eastAsia="Times New Roman" w:hAnsi="Times New Roman"/>
          <w:sz w:val="20"/>
          <w:szCs w:val="20"/>
          <w:i w:val="1"/>
          <w:iCs w:val="1"/>
          <w:u w:val="single" w:color="auto"/>
          <w:color w:val="auto"/>
        </w:rPr>
        <w:t>Patent Challenge</w:t>
      </w:r>
      <w:r>
        <w:rPr>
          <w:rFonts w:ascii="Times New Roman" w:cs="Times New Roman" w:eastAsia="Times New Roman" w:hAnsi="Times New Roman"/>
          <w:sz w:val="20"/>
          <w:szCs w:val="20"/>
          <w:color w:val="auto"/>
        </w:rPr>
        <w:t xml:space="preserve">”); provided that with respect to any Sublicensee, Licensor will not have the right to terminate this Agreement under this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xml:space="preserve"> if Licensee (A) causes such Patent Challenge to be terminated or dismissed (or in the case of ex-parte proceedings, multi-party proceedings, or other Patent Challenges in which the challenging party does not have the power to unilaterally cause the Patent Challenge to be withdrawn, causes such Sublicensee to withdraw as a party from such Patent Challenge and to cease actively assisting any other party to such Patent Challenge), or (B) terminates such Sublicensee’s sublicense to the Licensed Technology being challenged by the Sublicensee, in each case, within [***] of the Licensor’s notice to Licensee under this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7.6 </w:t>
      </w:r>
      <w:r>
        <w:rPr>
          <w:rFonts w:ascii="Times New Roman" w:cs="Times New Roman" w:eastAsia="Times New Roman" w:hAnsi="Times New Roman"/>
          <w:sz w:val="20"/>
          <w:szCs w:val="20"/>
          <w:i w:val="1"/>
          <w:iCs w:val="1"/>
          <w:u w:val="single" w:color="auto"/>
          <w:color w:val="auto"/>
        </w:rPr>
        <w:t>Effects of Termination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7.6.1  </w:t>
      </w:r>
      <w:r>
        <w:rPr>
          <w:rFonts w:ascii="Times New Roman" w:cs="Times New Roman" w:eastAsia="Times New Roman" w:hAnsi="Times New Roman"/>
          <w:sz w:val="20"/>
          <w:szCs w:val="20"/>
          <w:i w:val="1"/>
          <w:iCs w:val="1"/>
          <w:u w:val="single" w:color="auto"/>
          <w:color w:val="auto"/>
        </w:rPr>
        <w:t>Termination of License</w:t>
      </w:r>
      <w:r>
        <w:rPr>
          <w:rFonts w:ascii="Times New Roman" w:cs="Times New Roman" w:eastAsia="Times New Roman" w:hAnsi="Times New Roman"/>
          <w:sz w:val="20"/>
          <w:szCs w:val="20"/>
          <w:i w:val="1"/>
          <w:iCs w:val="1"/>
          <w:color w:val="auto"/>
        </w:rPr>
        <w:t>.</w:t>
      </w:r>
    </w:p>
    <w:p>
      <w:pPr>
        <w:spacing w:after="0" w:line="220"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20"/>
          <w:szCs w:val="20"/>
          <w:color w:val="auto"/>
        </w:rPr>
        <w:t>Upon a termination (but not upon an expiration) of this Agreement for any reason, Licensee’s rights to the Licensed Technology which have been granted hereunder will terminate, and all rights in the Licensed Technology will revert back to Licensor , and</w:t>
      </w:r>
    </w:p>
    <w:p>
      <w:pPr>
        <w:spacing w:after="0" w:line="2" w:lineRule="exact"/>
        <w:rPr>
          <w:sz w:val="20"/>
          <w:szCs w:val="20"/>
          <w:color w:val="auto"/>
        </w:rPr>
      </w:pPr>
    </w:p>
    <w:p>
      <w:pPr>
        <w:jc w:val="both"/>
        <w:ind w:firstLine="8"/>
        <w:spacing w:after="0" w:line="254" w:lineRule="auto"/>
        <w:tabs>
          <w:tab w:leader="none" w:pos="276"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Party, in its capacity as a receiving Party of the other Party’s Confidential Information, shall promptly return to such other Party or, if requested by such other Party, destroy all Confidential Information, including information and materials related to the Licensed Products, supplied to such Party by such other Party, and certify to the destruction in writing within [***] of the termination, and (b) Licensee hereby grants to Licensor an option, exercisable by Licensor upon written notice to Licensee delivered within [***] of such termination, to negotiate in good faith the right and license (with the right to grant sublicense) to use, in and outside of the Licensed Territory, [***]. In addition, any amounts properly owed to Licensor hereunder that Licensee has paid will not be refunded. Subject at all times to Licensee’s continuing compliance with the terms of this Agreement, for a period of [***] following the termination of this Agreement (the “</w:t>
      </w:r>
      <w:r>
        <w:rPr>
          <w:rFonts w:ascii="Times New Roman" w:cs="Times New Roman" w:eastAsia="Times New Roman" w:hAnsi="Times New Roman"/>
          <w:sz w:val="19"/>
          <w:szCs w:val="19"/>
          <w:i w:val="1"/>
          <w:iCs w:val="1"/>
          <w:u w:val="single" w:color="auto"/>
          <w:color w:val="auto"/>
        </w:rPr>
        <w:t>Sell-Off Period</w:t>
      </w:r>
      <w:r>
        <w:rPr>
          <w:rFonts w:ascii="Times New Roman" w:cs="Times New Roman" w:eastAsia="Times New Roman" w:hAnsi="Times New Roman"/>
          <w:sz w:val="19"/>
          <w:szCs w:val="19"/>
          <w:color w:val="auto"/>
        </w:rPr>
        <w:t>”), Licensee shall have the right to sell off its inventory of finished Licensed Product then in Licensee’s, its Affiliates’ or Sublicensees’ possession. Following the Sell-Off Period, upon Licensor’s request, Licensee shall promptly destroy all unsold Licensed Products.</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7.6.2  </w:t>
      </w:r>
      <w:r>
        <w:rPr>
          <w:rFonts w:ascii="Times New Roman" w:cs="Times New Roman" w:eastAsia="Times New Roman" w:hAnsi="Times New Roman"/>
          <w:sz w:val="20"/>
          <w:szCs w:val="20"/>
          <w:i w:val="1"/>
          <w:iCs w:val="1"/>
          <w:u w:val="single" w:color="auto"/>
          <w:color w:val="auto"/>
        </w:rPr>
        <w:t>Effect on Sublicenses</w:t>
      </w:r>
      <w:r>
        <w:rPr>
          <w:rFonts w:ascii="Times New Roman" w:cs="Times New Roman" w:eastAsia="Times New Roman" w:hAnsi="Times New Roman"/>
          <w:sz w:val="20"/>
          <w:szCs w:val="20"/>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89"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 xml:space="preserve">In the event that this Agreement is terminated for any reason by Licensor in accordance with </w:t>
      </w:r>
      <w:r>
        <w:rPr>
          <w:rFonts w:ascii="Times New Roman" w:cs="Times New Roman" w:eastAsia="Times New Roman" w:hAnsi="Times New Roman"/>
          <w:sz w:val="20"/>
          <w:szCs w:val="20"/>
          <w:u w:val="single" w:color="auto"/>
          <w:color w:val="auto"/>
        </w:rPr>
        <w:t>Sections 7.2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7.3</w:t>
      </w:r>
      <w:r>
        <w:rPr>
          <w:rFonts w:ascii="Times New Roman" w:cs="Times New Roman" w:eastAsia="Times New Roman" w:hAnsi="Times New Roman"/>
          <w:sz w:val="20"/>
          <w:szCs w:val="20"/>
          <w:color w:val="auto"/>
        </w:rPr>
        <w:t xml:space="preserve">, any sublicense agreement shall be considered a direct license from Licensor to such surviving Sublicensee, provided that the Licensor is provided a copy of such sublicense agreement and all amendments thereto within a reasonable amount of time following such termination and the Sublicensee agrees in a writing delivered to Licensor within [***] of such termination that (i) Licensor is entitled to enforce all relevant provisions of this Agreement directly against such Sublicensee, and (ii) Licensor shall not assume any obligations to such Sublicensee in excess of those obligations corresponding to, and consistent with, those of Licensor set forth in this Agreement with respect to the applicable rights of such Sublicensee to Licensed Technology. Subject to this </w:t>
      </w:r>
      <w:r>
        <w:rPr>
          <w:rFonts w:ascii="Times New Roman" w:cs="Times New Roman" w:eastAsia="Times New Roman" w:hAnsi="Times New Roman"/>
          <w:sz w:val="20"/>
          <w:szCs w:val="20"/>
          <w:u w:val="single" w:color="auto"/>
          <w:color w:val="auto"/>
        </w:rPr>
        <w:t>Section 7.6.2</w:t>
      </w:r>
      <w:r>
        <w:rPr>
          <w:rFonts w:ascii="Times New Roman" w:cs="Times New Roman" w:eastAsia="Times New Roman" w:hAnsi="Times New Roman"/>
          <w:sz w:val="20"/>
          <w:szCs w:val="20"/>
          <w:color w:val="auto"/>
        </w:rPr>
        <w:t>, an expiration of this Agreement shall have no effect on sublicenses.</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7.6.3  </w:t>
      </w:r>
      <w:r>
        <w:rPr>
          <w:rFonts w:ascii="Times New Roman" w:cs="Times New Roman" w:eastAsia="Times New Roman" w:hAnsi="Times New Roman"/>
          <w:sz w:val="20"/>
          <w:szCs w:val="20"/>
          <w:i w:val="1"/>
          <w:iCs w:val="1"/>
          <w:u w:val="single" w:color="auto"/>
          <w:color w:val="auto"/>
        </w:rPr>
        <w:t>Accrued Obligations</w:t>
      </w:r>
      <w:r>
        <w:rPr>
          <w:rFonts w:ascii="Times New Roman" w:cs="Times New Roman" w:eastAsia="Times New Roman" w:hAnsi="Times New Roman"/>
          <w:sz w:val="20"/>
          <w:szCs w:val="20"/>
          <w:i w:val="1"/>
          <w:iCs w:val="1"/>
          <w:color w:val="auto"/>
        </w:rPr>
        <w:t>.</w:t>
      </w:r>
    </w:p>
    <w:p>
      <w:pPr>
        <w:spacing w:after="0" w:line="220"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Expiration or termination of this Agreement will not release either Party from any obligation that matured prior to the effective date of such expiration or termination. Upon expiration or termination of this Agreement for any reason, any unpaid amounts payable to Licensor shall become immediately due, and payment thereof shall remain an ongoing obligation of Licensee until such amount is paid in full.</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7.6.4  </w:t>
      </w:r>
      <w:r>
        <w:rPr>
          <w:rFonts w:ascii="Times New Roman" w:cs="Times New Roman" w:eastAsia="Times New Roman" w:hAnsi="Times New Roman"/>
          <w:sz w:val="20"/>
          <w:szCs w:val="20"/>
          <w:i w:val="1"/>
          <w:iCs w:val="1"/>
          <w:u w:val="single" w:color="auto"/>
          <w:color w:val="auto"/>
        </w:rPr>
        <w:t>Survival</w:t>
      </w:r>
      <w:r>
        <w:rPr>
          <w:rFonts w:ascii="Times New Roman" w:cs="Times New Roman" w:eastAsia="Times New Roman" w:hAnsi="Times New Roman"/>
          <w:sz w:val="20"/>
          <w:szCs w:val="20"/>
          <w:i w:val="1"/>
          <w:iCs w:val="1"/>
          <w:color w:val="auto"/>
        </w:rPr>
        <w:t>.</w:t>
      </w:r>
    </w:p>
    <w:p>
      <w:pPr>
        <w:spacing w:after="0" w:line="220"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 xml:space="preserve">Upon expiration or termination of this Agreement, Sections 2.3, 6.3, </w:t>
      </w:r>
      <w:r>
        <w:rPr>
          <w:rFonts w:ascii="Times New Roman" w:cs="Times New Roman" w:eastAsia="Times New Roman" w:hAnsi="Times New Roman"/>
          <w:sz w:val="20"/>
          <w:szCs w:val="20"/>
          <w:u w:val="single" w:color="auto"/>
          <w:color w:val="auto"/>
        </w:rPr>
        <w:t>7.1</w:t>
      </w:r>
      <w:r>
        <w:rPr>
          <w:rFonts w:ascii="Times New Roman" w:cs="Times New Roman" w:eastAsia="Times New Roman" w:hAnsi="Times New Roman"/>
          <w:sz w:val="20"/>
          <w:szCs w:val="20"/>
          <w:color w:val="auto"/>
        </w:rPr>
        <w:t xml:space="preserve">, 7.6, and 8.5, and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through and including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will, with related definitions, survive and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-192405</wp:posOffset>
            </wp:positionV>
            <wp:extent cx="170624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3">
                      <a:extLst>
                        <a:ext uri="{28A0092B-C50C-407E-A947-70E740481C1C}"/>
                      </a:extLst>
                    </a:blip>
                    <a:srcRect/>
                    <a:stretch>
                      <a:fillRect/>
                    </a:stretch>
                  </pic:blipFill>
                  <pic:spPr bwMode="auto">
                    <a:xfrm>
                      <a:off x="0" y="0"/>
                      <a:ext cx="1706245" cy="8255"/>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8</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u w:val="single" w:color="auto"/>
          <w:color w:val="auto"/>
        </w:rPr>
        <w:t>Protection of Intellectual Property Rights</w:t>
      </w:r>
    </w:p>
    <w:p>
      <w:pPr>
        <w:spacing w:after="0" w:line="19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i w:val="1"/>
          <w:iCs w:val="1"/>
          <w:u w:val="single" w:color="auto"/>
          <w:color w:val="auto"/>
        </w:rPr>
        <w:t>Patent Prosecution</w:t>
      </w:r>
      <w:r>
        <w:rPr>
          <w:rFonts w:ascii="Times New Roman" w:cs="Times New Roman" w:eastAsia="Times New Roman" w:hAnsi="Times New Roman"/>
          <w:sz w:val="20"/>
          <w:szCs w:val="20"/>
          <w:color w:val="auto"/>
        </w:rPr>
        <w:t>. During the Term, Licensor will be responsible for preparing, filing, prosecuting and maintaining all Patents included in the Licensed Technology in the Licensed Territory. For the sake of clarity, as used herein the term “prosecution” shall include interference, opposition, derivation, re-examination, ex partes review, inter partes review, or any other administrative proceedings in connection with the Licensed Technology. Licensor shall (a) select patent counsel to conduct such activities regarding the Licensed Technology, and (b) provide Licensee with a reasonable opportunity to comment thereon and will reasonably consider in good faith such comments. Should Licensor decide that it is not interested in maintaining a particular Patents included in the Licensed Technology in the Licensed Territory, it will promptly advise Licensee in writing, and Licensee will have the right, but not the obligation, to assume such maintenance responsibilities in the Licensed Territory [***]. If Licensee desires to assume such maintenance responsibilities of any such Patents included in the Licensed Technology in the Licensed Territory pursuant to the immediately preceding sentence, then Licensor will not so fail to maintain such Patents if Licensee advises Licensor, within [***] of Licensee’s receipt of notice of Licensor’s intention not to maintain the applicable Patents in the Licensed Territory, that Licensee desires to assume maintenance of the applicable Patents. Licensee shall [***] within [***].</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i w:val="1"/>
          <w:iCs w:val="1"/>
          <w:u w:val="single" w:color="auto"/>
          <w:color w:val="auto"/>
        </w:rPr>
        <w:t>Enforcement of Licensed Technology</w:t>
      </w:r>
    </w:p>
    <w:p>
      <w:pPr>
        <w:spacing w:after="0" w:line="216" w:lineRule="exact"/>
        <w:rPr>
          <w:sz w:val="20"/>
          <w:szCs w:val="20"/>
          <w:color w:val="auto"/>
        </w:rPr>
      </w:pPr>
    </w:p>
    <w:p>
      <w:pPr>
        <w:jc w:val="both"/>
        <w:ind w:firstLine="1497"/>
        <w:spacing w:after="0" w:line="273" w:lineRule="auto"/>
        <w:rPr>
          <w:sz w:val="20"/>
          <w:szCs w:val="20"/>
          <w:color w:val="auto"/>
        </w:rPr>
      </w:pPr>
      <w:r>
        <w:rPr>
          <w:rFonts w:ascii="Times New Roman" w:cs="Times New Roman" w:eastAsia="Times New Roman" w:hAnsi="Times New Roman"/>
          <w:sz w:val="20"/>
          <w:szCs w:val="20"/>
          <w:color w:val="auto"/>
        </w:rPr>
        <w:t xml:space="preserve">8.2.1 </w:t>
      </w:r>
      <w:r>
        <w:rPr>
          <w:rFonts w:ascii="Times New Roman" w:cs="Times New Roman" w:eastAsia="Times New Roman" w:hAnsi="Times New Roman"/>
          <w:sz w:val="20"/>
          <w:szCs w:val="20"/>
          <w:i w:val="1"/>
          <w:iCs w:val="1"/>
          <w:u w:val="single" w:color="auto"/>
          <w:color w:val="auto"/>
        </w:rPr>
        <w:t>Notice</w:t>
      </w:r>
      <w:r>
        <w:rPr>
          <w:rFonts w:ascii="Times New Roman" w:cs="Times New Roman" w:eastAsia="Times New Roman" w:hAnsi="Times New Roman"/>
          <w:sz w:val="20"/>
          <w:szCs w:val="20"/>
          <w:color w:val="auto"/>
        </w:rPr>
        <w:t>. Each Party will promptly report in writing to the other Party of any Competitive Infringement of which such Party (or any of its Affiliates or Sublicensees) becomes aware.</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8.2.2  </w:t>
      </w:r>
      <w:r>
        <w:rPr>
          <w:rFonts w:ascii="Times New Roman" w:cs="Times New Roman" w:eastAsia="Times New Roman" w:hAnsi="Times New Roman"/>
          <w:sz w:val="20"/>
          <w:szCs w:val="20"/>
          <w:i w:val="1"/>
          <w:iCs w:val="1"/>
          <w:u w:val="single" w:color="auto"/>
          <w:color w:val="auto"/>
        </w:rPr>
        <w:t>Competitive Infringement of Licensed Technology by Third Parties</w:t>
      </w:r>
      <w:r>
        <w:rPr>
          <w:rFonts w:ascii="Times New Roman" w:cs="Times New Roman" w:eastAsia="Times New Roman" w:hAnsi="Times New Roman"/>
          <w:sz w:val="20"/>
          <w:szCs w:val="20"/>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89" w:lineRule="exact"/>
        <w:rPr>
          <w:sz w:val="20"/>
          <w:szCs w:val="20"/>
          <w:color w:val="auto"/>
        </w:rPr>
      </w:pPr>
    </w:p>
    <w:p>
      <w:pPr>
        <w:jc w:val="both"/>
        <w:ind w:firstLine="2246"/>
        <w:spacing w:after="0" w:line="243" w:lineRule="auto"/>
        <w:rPr>
          <w:sz w:val="20"/>
          <w:szCs w:val="20"/>
          <w:color w:val="auto"/>
        </w:rPr>
      </w:pPr>
      <w:r>
        <w:rPr>
          <w:rFonts w:ascii="Times New Roman" w:cs="Times New Roman" w:eastAsia="Times New Roman" w:hAnsi="Times New Roman"/>
          <w:sz w:val="20"/>
          <w:szCs w:val="20"/>
          <w:color w:val="auto"/>
        </w:rPr>
        <w:t>8.2.2.1.In the case of any Competitive Infringement in the Licensed Territory by any third party, Licensor will have the first right, but not the obligation, to cause such third party to cease infringement and to otherwise enforce such Licensed Technology, or to defend the Licensed Technology in any declaratory judgment action brought by third party(ies) which alleges the invalidity, unenforceability or non-infringement of any Patents included in the Licensed Technology in the Licensed Territory. In the event Licensor elects not to initiate any action to abate any Competitive Infringement or to defend any such declaratory judgment, then Licensee will have the right, but not the obligation, to cause such third party to cease infringement and to otherwise enforce such Licensed Technology or defend such declaratory judgment, and Licensee shall consider in good faith the views of Licensor and the potential effects of such enforcement action or defense activities on Licensor, its Affiliates and their third-party licensees.</w:t>
      </w:r>
    </w:p>
    <w:p>
      <w:pPr>
        <w:spacing w:after="0" w:line="189"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0"/>
          <w:szCs w:val="20"/>
          <w:color w:val="auto"/>
        </w:rPr>
        <w:t xml:space="preserve">8.2.2.2.For any action or proceeding brought by a Party under this </w:t>
      </w:r>
      <w:r>
        <w:rPr>
          <w:rFonts w:ascii="Times New Roman" w:cs="Times New Roman" w:eastAsia="Times New Roman" w:hAnsi="Times New Roman"/>
          <w:sz w:val="20"/>
          <w:szCs w:val="20"/>
          <w:u w:val="single" w:color="auto"/>
          <w:color w:val="auto"/>
        </w:rPr>
        <w:t>Section 8.2.2</w:t>
      </w:r>
      <w:r>
        <w:rPr>
          <w:rFonts w:ascii="Times New Roman" w:cs="Times New Roman" w:eastAsia="Times New Roman" w:hAnsi="Times New Roman"/>
          <w:sz w:val="20"/>
          <w:szCs w:val="20"/>
          <w:color w:val="auto"/>
        </w:rPr>
        <w:t>, the other Party shall cooperate reasonably in any such effort, and the Parties shall reasonably cooperate to address new facts or circumstances that come to light during the course of any such action or proceeding that may affect the need for one Party or the other to participate in such action. The other Party agrees to be joined as a party plaintiff, [***], in any such action if needed for the enforcing Party to bring or continue an infringement action hereunder.</w:t>
      </w:r>
    </w:p>
    <w:p>
      <w:pPr>
        <w:spacing w:after="0" w:line="185" w:lineRule="exact"/>
        <w:rPr>
          <w:sz w:val="20"/>
          <w:szCs w:val="20"/>
          <w:color w:val="auto"/>
        </w:rPr>
      </w:pPr>
    </w:p>
    <w:p>
      <w:pPr>
        <w:jc w:val="both"/>
        <w:ind w:firstLine="2246"/>
        <w:spacing w:after="0" w:line="245" w:lineRule="auto"/>
        <w:rPr>
          <w:sz w:val="20"/>
          <w:szCs w:val="20"/>
          <w:color w:val="auto"/>
        </w:rPr>
      </w:pPr>
      <w:r>
        <w:rPr>
          <w:rFonts w:ascii="Times New Roman" w:cs="Times New Roman" w:eastAsia="Times New Roman" w:hAnsi="Times New Roman"/>
          <w:sz w:val="20"/>
          <w:szCs w:val="20"/>
          <w:color w:val="auto"/>
        </w:rPr>
        <w:t xml:space="preserve">8.2.2.3.Any recovery realized as a result of any litigation brought under this </w:t>
      </w:r>
      <w:r>
        <w:rPr>
          <w:rFonts w:ascii="Times New Roman" w:cs="Times New Roman" w:eastAsia="Times New Roman" w:hAnsi="Times New Roman"/>
          <w:sz w:val="20"/>
          <w:szCs w:val="20"/>
          <w:u w:val="single" w:color="auto"/>
          <w:color w:val="auto"/>
        </w:rPr>
        <w:t>Section 8.2.2</w:t>
      </w:r>
      <w:r>
        <w:rPr>
          <w:rFonts w:ascii="Times New Roman" w:cs="Times New Roman" w:eastAsia="Times New Roman" w:hAnsi="Times New Roman"/>
          <w:sz w:val="20"/>
          <w:szCs w:val="20"/>
          <w:color w:val="auto"/>
        </w:rPr>
        <w:t xml:space="preserve"> to abate a Competitive Infringement (including, for greater certainty, awards, damages, and other amounts received in resolution or settlement of a claim of Competitive Infringement, but excluding all other awards, damages, and other amounts, including, without limitation, amounts received in resolution or settlement of any other claims within such litigation) will be allocated first to [***] and any remaining amounts [***] shall be [***]. For clarity, Licensor shall have no right to resolve or settle a claim of Competitive Infringement in contravention of the rights granted to Licensee in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0"/>
          <w:szCs w:val="20"/>
          <w:i w:val="1"/>
          <w:iCs w:val="1"/>
          <w:u w:val="single" w:color="auto"/>
          <w:color w:val="auto"/>
        </w:rPr>
        <w:t>Improvements; Improvement Patents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 xml:space="preserve">8.3.1 Licensee will promptly disclose to Licensor during the Term any Improvements and related Improvement Patents, and the Parties agree promptly to update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upon written request by either Party from time to time, to reflect the inclusion of any Improvement Patents.</w:t>
      </w:r>
    </w:p>
    <w:p>
      <w:pPr>
        <w:spacing w:after="0" w:line="174"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 xml:space="preserve">8.3.2 Subject to the rights granted to Licensee in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Licensor shall own, and Licensee shall assign and hereby does assign to Licensor all right, title and interest in and to all Improvements and Improvement Patents, including all related certificates of correction, reissue certificates, and supplementary protection certificates, and all other rights granted under 35 U.S.C. § 307, 35 U.S.C. §318, 35 U.S.C. §328, and 35 U.S.C. § 254-257. Licensee shall execute and assist with any and all applications, assignments, or other instruments which Licensor deems necessary to perfect the foregoing assignment and/or to evidence, apply for, obtain, maintain, defend or enforce patent or other intellectual property protection in any and all countries worldwide with respect to Improvements assigned to Licensor as set forth above or to protect otherwise Licensor’s interest therein.</w:t>
      </w:r>
    </w:p>
    <w:p>
      <w:pPr>
        <w:spacing w:after="0" w:line="18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8.4 </w:t>
      </w:r>
      <w:r>
        <w:rPr>
          <w:rFonts w:ascii="Times New Roman" w:cs="Times New Roman" w:eastAsia="Times New Roman" w:hAnsi="Times New Roman"/>
          <w:sz w:val="20"/>
          <w:szCs w:val="20"/>
          <w:i w:val="1"/>
          <w:iCs w:val="1"/>
          <w:u w:val="single" w:color="auto"/>
          <w:color w:val="auto"/>
        </w:rPr>
        <w:t>Infringement of Third-Party Rights</w:t>
      </w:r>
      <w:r>
        <w:rPr>
          <w:rFonts w:ascii="Times New Roman" w:cs="Times New Roman" w:eastAsia="Times New Roman" w:hAnsi="Times New Roman"/>
          <w:sz w:val="20"/>
          <w:szCs w:val="20"/>
          <w:color w:val="auto"/>
        </w:rPr>
        <w:t>. Each Party will promptly notify the other Party in writing of any notice or claim of any allegation of infringement or commencement against it of any suit or action for infringement of a third-party patent based upon or arising from actions taken under the licenses granted in this Agreement (“</w:t>
      </w:r>
      <w:r>
        <w:rPr>
          <w:rFonts w:ascii="Times New Roman" w:cs="Times New Roman" w:eastAsia="Times New Roman" w:hAnsi="Times New Roman"/>
          <w:sz w:val="20"/>
          <w:szCs w:val="20"/>
          <w:i w:val="1"/>
          <w:iCs w:val="1"/>
          <w:u w:val="single" w:color="auto"/>
          <w:color w:val="auto"/>
        </w:rPr>
        <w:t>Third-Party Infringement Claim</w:t>
      </w:r>
      <w:r>
        <w:rPr>
          <w:rFonts w:ascii="Times New Roman" w:cs="Times New Roman" w:eastAsia="Times New Roman" w:hAnsi="Times New Roman"/>
          <w:sz w:val="20"/>
          <w:szCs w:val="20"/>
          <w:color w:val="auto"/>
        </w:rPr>
        <w:t>”). If such Third-Party Infringement Claim is alleged or commenced against Licensee, Licensee will have the sole right to defend and settle such Third­Party Infringement Claim, and Licensee will not be obligated to enter into negotiations with such third party to obtain rights for either Licensee or Licensor under the third-party patent. If such Third-Party Infringement Claim is alleged or commenced against Licensor, then subject to, and without limiting Licensee’s indemnification obligations under this Agreement, Licensee will have the first right, but not the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obligation, to defend and settle such Third-Party Infringement Claim; </w:t>
      </w:r>
      <w:r>
        <w:rPr>
          <w:rFonts w:ascii="Times New Roman" w:cs="Times New Roman" w:eastAsia="Times New Roman" w:hAnsi="Times New Roman"/>
          <w:sz w:val="20"/>
          <w:szCs w:val="20"/>
          <w:i w:val="1"/>
          <w:iCs w:val="1"/>
          <w:u w:val="single" w:color="auto"/>
          <w:color w:val="auto"/>
        </w:rPr>
        <w:t>provided, however</w:t>
      </w:r>
      <w:r>
        <w:rPr>
          <w:rFonts w:ascii="Times New Roman" w:cs="Times New Roman" w:eastAsia="Times New Roman" w:hAnsi="Times New Roman"/>
          <w:sz w:val="20"/>
          <w:szCs w:val="20"/>
          <w:color w:val="auto"/>
        </w:rPr>
        <w:t>, that Licensee will not be obligated to enter into negotiations with such third party to obtain rights for Licensor under the third-party patent. With respect to any such defense by Licensee of a Third-Party Infringement Claim alleged or commenced against Licensor, Licensee will not make any settlements of such Third-Party Infringement Claim that would materially adversely affect Licensor’s rights or interests in the Licensed Technology without first obtaining Licensor’s prior written consent. If Licensee opts not to defend or settle such Third-­Party Infringement Claim alleged or commenced against Licensor, Licensee will notify Licensor of such decision and, [***], Licensor will have the right to undertake the defense or settlement of such Third-Party Infringement Claim. In all cases, the Parties shall cooperate in good faith and provide reasonable assistance in connection with the defense of any such Third-Party Infringement Claim.</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8.5 </w:t>
      </w:r>
      <w:r>
        <w:rPr>
          <w:rFonts w:ascii="Times New Roman" w:cs="Times New Roman" w:eastAsia="Times New Roman" w:hAnsi="Times New Roman"/>
          <w:sz w:val="20"/>
          <w:szCs w:val="20"/>
          <w:i w:val="1"/>
          <w:iCs w:val="1"/>
          <w:u w:val="single" w:color="auto"/>
          <w:color w:val="auto"/>
        </w:rPr>
        <w:t>Confidential Information</w:t>
      </w:r>
    </w:p>
    <w:p>
      <w:pPr>
        <w:spacing w:after="0" w:line="220"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 xml:space="preserve">8.5.1 Each Party will maintain the Confidential Information of the other Party in strict confidence, and will not disclose, divulge or otherwise communicate such Confidential Information to others, or use it for any purpose, except pursuant to, and in order to carry out, the terms and objectives of this Agreement, or with the express written consent of the Party who provided such Confidential Information. Each Party will maintain the confidentiality of the other Party’s confidential information using methods and practices that are substantially similar to those that the receiving Party uses to maintain the confidentiality of its own confidential information, but in no event less than a reasonable degree of care. Except as may be authorized in advance in writing by the disclosing Party, the receiving Party will disclose or grant access to the Confidential Information to only those of its employees and agents as reasonably necessary or useful to exercise its rights or perform its obligations under this Agreement and such employees and agents will have entered into non-disclosure agreements, or be bound by professional obligations of confidentiality, no less protective of the disclosing party’s Confidential Information than those set forth in this </w:t>
      </w:r>
      <w:r>
        <w:rPr>
          <w:rFonts w:ascii="Times New Roman" w:cs="Times New Roman" w:eastAsia="Times New Roman" w:hAnsi="Times New Roman"/>
          <w:sz w:val="20"/>
          <w:szCs w:val="20"/>
          <w:u w:val="single" w:color="auto"/>
          <w:color w:val="auto"/>
        </w:rPr>
        <w:t>Section 8.5</w:t>
      </w:r>
      <w:r>
        <w:rPr>
          <w:rFonts w:ascii="Times New Roman" w:cs="Times New Roman" w:eastAsia="Times New Roman" w:hAnsi="Times New Roman"/>
          <w:sz w:val="20"/>
          <w:szCs w:val="20"/>
          <w:color w:val="auto"/>
        </w:rPr>
        <w:t xml:space="preserve"> and the receiving Party shall be liable to the disclosing Party for any breach of such employees and agents’ confidentiality obligations.</w:t>
      </w:r>
    </w:p>
    <w:p>
      <w:pPr>
        <w:spacing w:after="0" w:line="19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8.5.2  Notwithstanding the foregoing, a receiving Party may disclose Confidential Information of the disclosing Party to:</w:t>
      </w:r>
    </w:p>
    <w:p>
      <w:pPr>
        <w:spacing w:after="0" w:line="216" w:lineRule="exact"/>
        <w:rPr>
          <w:sz w:val="20"/>
          <w:szCs w:val="20"/>
          <w:color w:val="auto"/>
        </w:rPr>
      </w:pPr>
    </w:p>
    <w:p>
      <w:pPr>
        <w:jc w:val="both"/>
        <w:ind w:firstLine="2246"/>
        <w:spacing w:after="0" w:line="249" w:lineRule="auto"/>
        <w:rPr>
          <w:sz w:val="20"/>
          <w:szCs w:val="20"/>
          <w:color w:val="auto"/>
        </w:rPr>
      </w:pPr>
      <w:r>
        <w:rPr>
          <w:rFonts w:ascii="Times New Roman" w:cs="Times New Roman" w:eastAsia="Times New Roman" w:hAnsi="Times New Roman"/>
          <w:sz w:val="20"/>
          <w:szCs w:val="20"/>
          <w:color w:val="auto"/>
        </w:rPr>
        <w:t>8.5.2.1.its Affiliates, and to its and their directors, employees, consultants, contractors, attorneys, advisors and agents, in each case who have a specific need to know such Confidential Information in connection with an activity under or relating to this Agreement and who are bound in writing by obligations of confidentiality and restrictions on use at least as stringent as those herein, and the receiving Party shall be liable to the disclosing Party for any breach of such employees and agents’ confidentiality obligations;</w:t>
      </w:r>
    </w:p>
    <w:p>
      <w:pPr>
        <w:spacing w:after="0" w:line="180"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0"/>
          <w:szCs w:val="20"/>
          <w:color w:val="auto"/>
        </w:rPr>
        <w:t>8.5.2.2.any bona fide actual or prospective collaborators who are under written obligations of confidentiality and non-use at least as stringent as those herein, to the extent reasonably necessary to enable such actual or prospective collaborators to (i) determine their interest in collaborating with the receiving Party on the development and/or commercialization of Licensed Products and (ii) engage in such a collaboration, and the receiving Party shall be liable to the disclosing Party for any breach of such employees and agents’ confidentiality obligations;</w:t>
      </w:r>
    </w:p>
    <w:p>
      <w:pPr>
        <w:spacing w:after="0" w:line="18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9"/>
          <w:szCs w:val="19"/>
          <w:color w:val="auto"/>
        </w:rPr>
        <w:t>8.5.2.3.governmental authorities in connection with filing, prosecuting, or maintaining patent rights as permitted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this Agreement;</w:t>
      </w:r>
    </w:p>
    <w:p>
      <w:pPr>
        <w:spacing w:after="0" w:line="194" w:lineRule="exact"/>
        <w:rPr>
          <w:sz w:val="20"/>
          <w:szCs w:val="20"/>
          <w:color w:val="auto"/>
        </w:rPr>
      </w:pPr>
    </w:p>
    <w:p>
      <w:pPr>
        <w:jc w:val="both"/>
        <w:ind w:right="20" w:firstLine="2246"/>
        <w:spacing w:after="0" w:line="269" w:lineRule="auto"/>
        <w:rPr>
          <w:sz w:val="20"/>
          <w:szCs w:val="20"/>
          <w:color w:val="auto"/>
        </w:rPr>
      </w:pPr>
      <w:r>
        <w:rPr>
          <w:rFonts w:ascii="Times New Roman" w:cs="Times New Roman" w:eastAsia="Times New Roman" w:hAnsi="Times New Roman"/>
          <w:sz w:val="20"/>
          <w:szCs w:val="20"/>
          <w:color w:val="auto"/>
        </w:rPr>
        <w:t>8.5.2.4.Regulatory Authorities in connection with regulatory filings for products that the receiving Party has a license or right to develop hereunder in a given country or jurisdiction;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89" w:lineRule="exact"/>
        <w:rPr>
          <w:sz w:val="20"/>
          <w:szCs w:val="20"/>
          <w:color w:val="auto"/>
        </w:rPr>
      </w:pPr>
    </w:p>
    <w:p>
      <w:pPr>
        <w:jc w:val="both"/>
        <w:ind w:firstLine="2246"/>
        <w:spacing w:after="0" w:line="257" w:lineRule="auto"/>
        <w:rPr>
          <w:sz w:val="20"/>
          <w:szCs w:val="20"/>
          <w:color w:val="auto"/>
        </w:rPr>
      </w:pPr>
      <w:r>
        <w:rPr>
          <w:rFonts w:ascii="Times New Roman" w:cs="Times New Roman" w:eastAsia="Times New Roman" w:hAnsi="Times New Roman"/>
          <w:sz w:val="19"/>
          <w:szCs w:val="19"/>
          <w:color w:val="auto"/>
        </w:rPr>
        <w:t xml:space="preserve">8.5.2.5.the extent required to do so by Applicable Law or a proper legal, governmental or other competent authority, or by the rules of any securities exchange on which any security issued by either Party is traded, or included in any filing or action taken by the receiving Party to obtain or maintain government clearance or approval to market a subject Licensed Product;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u w:val="single" w:color="auto"/>
          <w:color w:val="auto"/>
        </w:rPr>
        <w:t>however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that, (i) to the extent permissible and practicable, the receiving Party required to make such disclosure shall give the disclosing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Party reasonable advance notice of such disclosure requirement and shall afford the disclosing Party a reasonable opportunity to oppose, limit or secure confidential treatment for such required disclosure, or, where it is impracticable or illegal to give an advance notice, the Party required to make such disclosure shall give the disclosing Party reasonable notice promptly after such required disclosure; (ii) the Party required to make such disclosure shall disclose only that portion of the Confidential Information legally required to be disclosed; (iii) the Party required to make such disclosure shall use reasonable efforts to secure confidential treatment of such Confidential Information; and</w:t>
      </w:r>
    </w:p>
    <w:p>
      <w:pPr>
        <w:spacing w:after="0" w:line="172" w:lineRule="exact"/>
        <w:rPr>
          <w:sz w:val="20"/>
          <w:szCs w:val="20"/>
          <w:color w:val="auto"/>
        </w:rPr>
      </w:pPr>
    </w:p>
    <w:p>
      <w:pPr>
        <w:jc w:val="both"/>
        <w:ind w:firstLine="2246"/>
        <w:spacing w:after="0" w:line="273" w:lineRule="auto"/>
        <w:rPr>
          <w:sz w:val="20"/>
          <w:szCs w:val="20"/>
          <w:color w:val="auto"/>
        </w:rPr>
      </w:pPr>
      <w:r>
        <w:rPr>
          <w:rFonts w:ascii="Times New Roman" w:cs="Times New Roman" w:eastAsia="Times New Roman" w:hAnsi="Times New Roman"/>
          <w:sz w:val="20"/>
          <w:szCs w:val="20"/>
          <w:color w:val="auto"/>
        </w:rPr>
        <w:t xml:space="preserve">8.5.2.6.to any [***]; </w:t>
      </w:r>
      <w:r>
        <w:rPr>
          <w:rFonts w:ascii="Times New Roman" w:cs="Times New Roman" w:eastAsia="Times New Roman" w:hAnsi="Times New Roman"/>
          <w:sz w:val="20"/>
          <w:szCs w:val="20"/>
          <w:i w:val="1"/>
          <w:iCs w:val="1"/>
          <w:u w:val="single" w:color="auto"/>
          <w:color w:val="auto"/>
        </w:rPr>
        <w:t>provided, however</w:t>
      </w:r>
      <w:r>
        <w:rPr>
          <w:rFonts w:ascii="Times New Roman" w:cs="Times New Roman" w:eastAsia="Times New Roman" w:hAnsi="Times New Roman"/>
          <w:sz w:val="20"/>
          <w:szCs w:val="20"/>
          <w:color w:val="auto"/>
        </w:rPr>
        <w:t xml:space="preserve">, in any such case said Party shall first obtain a written obligation of confidentiality no less stringent than that imposed in this </w:t>
      </w:r>
      <w:r>
        <w:rPr>
          <w:rFonts w:ascii="Times New Roman" w:cs="Times New Roman" w:eastAsia="Times New Roman" w:hAnsi="Times New Roman"/>
          <w:sz w:val="20"/>
          <w:szCs w:val="20"/>
          <w:u w:val="single" w:color="auto"/>
          <w:color w:val="auto"/>
        </w:rPr>
        <w:t>Section 8.5</w:t>
      </w:r>
      <w:r>
        <w:rPr>
          <w:rFonts w:ascii="Times New Roman" w:cs="Times New Roman" w:eastAsia="Times New Roman" w:hAnsi="Times New Roman"/>
          <w:sz w:val="20"/>
          <w:szCs w:val="20"/>
          <w:color w:val="auto"/>
        </w:rPr>
        <w:t xml:space="preserve"> from the [***].</w:t>
      </w:r>
    </w:p>
    <w:p>
      <w:pPr>
        <w:spacing w:after="0" w:line="15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 xml:space="preserve">8.5.3 Any information disclosed pursuant to </w:t>
      </w:r>
      <w:r>
        <w:rPr>
          <w:rFonts w:ascii="Times New Roman" w:cs="Times New Roman" w:eastAsia="Times New Roman" w:hAnsi="Times New Roman"/>
          <w:sz w:val="20"/>
          <w:szCs w:val="20"/>
          <w:u w:val="single" w:color="auto"/>
          <w:color w:val="auto"/>
        </w:rPr>
        <w:t>Section 8.5.2</w:t>
      </w:r>
      <w:r>
        <w:rPr>
          <w:rFonts w:ascii="Times New Roman" w:cs="Times New Roman" w:eastAsia="Times New Roman" w:hAnsi="Times New Roman"/>
          <w:sz w:val="20"/>
          <w:szCs w:val="20"/>
          <w:color w:val="auto"/>
        </w:rPr>
        <w:t xml:space="preserve"> shall remain Confidential Information and subject to the restrictions set forth in this Agreement, including the foregoing provisions of this </w:t>
      </w:r>
      <w:r>
        <w:rPr>
          <w:rFonts w:ascii="Times New Roman" w:cs="Times New Roman" w:eastAsia="Times New Roman" w:hAnsi="Times New Roman"/>
          <w:sz w:val="20"/>
          <w:szCs w:val="20"/>
          <w:u w:val="single" w:color="auto"/>
          <w:color w:val="auto"/>
        </w:rPr>
        <w:t>Section 8.5</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8.6 </w:t>
      </w:r>
      <w:r>
        <w:rPr>
          <w:rFonts w:ascii="Times New Roman" w:cs="Times New Roman" w:eastAsia="Times New Roman" w:hAnsi="Times New Roman"/>
          <w:sz w:val="20"/>
          <w:szCs w:val="20"/>
          <w:i w:val="1"/>
          <w:iCs w:val="1"/>
          <w:u w:val="single" w:color="auto"/>
          <w:color w:val="auto"/>
        </w:rPr>
        <w:t>Use of Names</w:t>
      </w:r>
      <w:r>
        <w:rPr>
          <w:rFonts w:ascii="Times New Roman" w:cs="Times New Roman" w:eastAsia="Times New Roman" w:hAnsi="Times New Roman"/>
          <w:sz w:val="20"/>
          <w:szCs w:val="20"/>
          <w:color w:val="auto"/>
        </w:rPr>
        <w:t xml:space="preserve">. Neither Party may identify the other Party in any promotional advertising or other promotional materials to be disseminated to the public or any portion thereof, or use the name of any staff member or employee of the other Party or any trademark, service mark, trade name, symbol or logo that is associated with the other Party, without the other Party’s prior written consent. Notwithstanding the foregoing, and for the avoidance of doubt, without the consent of the other Party either Party may comply with disclosure requirements of all Applicable Laws relating to its business, including, without limitation, United States and state securities laws. During the Term, and with the prior written consent of the other Party, each Party may include the other Party’s name, logo, and a brief description of such other Party on said Party’s website and such other Party hereby consents to such inclusion of its name, logo, and a brief description on said Party’s website; </w:t>
      </w:r>
      <w:r>
        <w:rPr>
          <w:rFonts w:ascii="Times New Roman" w:cs="Times New Roman" w:eastAsia="Times New Roman" w:hAnsi="Times New Roman"/>
          <w:sz w:val="20"/>
          <w:szCs w:val="20"/>
          <w:i w:val="1"/>
          <w:iCs w:val="1"/>
          <w:u w:val="single" w:color="auto"/>
          <w:color w:val="auto"/>
        </w:rPr>
        <w:t>provided, however</w:t>
      </w:r>
      <w:r>
        <w:rPr>
          <w:rFonts w:ascii="Times New Roman" w:cs="Times New Roman" w:eastAsia="Times New Roman" w:hAnsi="Times New Roman"/>
          <w:sz w:val="20"/>
          <w:szCs w:val="20"/>
          <w:color w:val="auto"/>
        </w:rPr>
        <w:t>, that either Party shall have the right to revoke such consent at any time and for any reason, and promptly following written notice of such revocation, and in any event within [***], the posting Party shall remove the other Party’s name, logo, and description from the posting Party’s website.</w:t>
      </w:r>
    </w:p>
    <w:p>
      <w:pPr>
        <w:spacing w:after="0" w:line="18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 xml:space="preserve">8.7 </w:t>
      </w:r>
      <w:r>
        <w:rPr>
          <w:rFonts w:ascii="Times New Roman" w:cs="Times New Roman" w:eastAsia="Times New Roman" w:hAnsi="Times New Roman"/>
          <w:sz w:val="20"/>
          <w:szCs w:val="20"/>
          <w:i w:val="1"/>
          <w:iCs w:val="1"/>
          <w:u w:val="single" w:color="auto"/>
          <w:color w:val="auto"/>
        </w:rPr>
        <w:t>Press Releases</w:t>
      </w:r>
      <w:r>
        <w:rPr>
          <w:rFonts w:ascii="Times New Roman" w:cs="Times New Roman" w:eastAsia="Times New Roman" w:hAnsi="Times New Roman"/>
          <w:sz w:val="20"/>
          <w:szCs w:val="20"/>
          <w:color w:val="auto"/>
        </w:rPr>
        <w:t>. The Parties shall mutually agree upon the timing and content of any press releases or other public announcement relating to this Agreement and the transactions and/or activities contemplated herein.</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 xml:space="preserve">8.8 </w:t>
      </w:r>
      <w:r>
        <w:rPr>
          <w:rFonts w:ascii="Times New Roman" w:cs="Times New Roman" w:eastAsia="Times New Roman" w:hAnsi="Times New Roman"/>
          <w:sz w:val="20"/>
          <w:szCs w:val="20"/>
          <w:i w:val="1"/>
          <w:iCs w:val="1"/>
          <w:u w:val="single" w:color="auto"/>
          <w:color w:val="auto"/>
        </w:rPr>
        <w:t>Affiliates and Sublicensees</w:t>
      </w:r>
      <w:r>
        <w:rPr>
          <w:rFonts w:ascii="Times New Roman" w:cs="Times New Roman" w:eastAsia="Times New Roman" w:hAnsi="Times New Roman"/>
          <w:sz w:val="20"/>
          <w:szCs w:val="20"/>
          <w:color w:val="auto"/>
        </w:rPr>
        <w:t xml:space="preserve">. For the avoidance of doubt, and notwithstanding anything to the contrary in this Agreement, each Party’s Affiliates and Licensee’s Sublicensees may exercise such Party’s rights under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u w:val="single" w:color="auto"/>
          <w:color w:val="auto"/>
        </w:rPr>
        <w:t>Indemnification; Insurance</w:t>
      </w:r>
    </w:p>
    <w:p>
      <w:pPr>
        <w:spacing w:after="0" w:line="19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i w:val="1"/>
          <w:iCs w:val="1"/>
          <w:u w:val="single" w:color="auto"/>
          <w:color w:val="auto"/>
        </w:rPr>
        <w:t>Indemnification by Licensee</w:t>
      </w:r>
      <w:r>
        <w:rPr>
          <w:rFonts w:ascii="Times New Roman" w:cs="Times New Roman" w:eastAsia="Times New Roman" w:hAnsi="Times New Roman"/>
          <w:sz w:val="20"/>
          <w:szCs w:val="20"/>
          <w:color w:val="auto"/>
        </w:rPr>
        <w:t>. Licensee will indemnify, defend and hold harmless Licensor, its Affiliates and their respective directors, officers, employees, consultants, licensors and agents, and their respective successors, heirs, and assigns (each a “</w:t>
      </w:r>
      <w:r>
        <w:rPr>
          <w:rFonts w:ascii="Times New Roman" w:cs="Times New Roman" w:eastAsia="Times New Roman" w:hAnsi="Times New Roman"/>
          <w:sz w:val="20"/>
          <w:szCs w:val="20"/>
          <w:i w:val="1"/>
          <w:iCs w:val="1"/>
          <w:u w:val="single" w:color="auto"/>
          <w:color w:val="auto"/>
        </w:rPr>
        <w:t>Licensor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Indemnitee</w:t>
      </w:r>
      <w:r>
        <w:rPr>
          <w:rFonts w:ascii="Times New Roman" w:cs="Times New Roman" w:eastAsia="Times New Roman" w:hAnsi="Times New Roman"/>
          <w:sz w:val="20"/>
          <w:szCs w:val="20"/>
          <w:color w:val="auto"/>
        </w:rPr>
        <w:t>”), against all suits, actions, claims, proceedings, in each case brought by a third party (each, a “</w:t>
      </w:r>
      <w:r>
        <w:rPr>
          <w:rFonts w:ascii="Times New Roman" w:cs="Times New Roman" w:eastAsia="Times New Roman" w:hAnsi="Times New Roman"/>
          <w:sz w:val="20"/>
          <w:szCs w:val="20"/>
          <w:i w:val="1"/>
          <w:iCs w:val="1"/>
          <w:u w:val="single" w:color="auto"/>
          <w:color w:val="auto"/>
        </w:rPr>
        <w:t>Claim</w:t>
      </w:r>
      <w:r>
        <w:rPr>
          <w:rFonts w:ascii="Times New Roman" w:cs="Times New Roman" w:eastAsia="Times New Roman" w:hAnsi="Times New Roman"/>
          <w:sz w:val="20"/>
          <w:szCs w:val="20"/>
          <w:color w:val="auto"/>
        </w:rPr>
        <w:t>”) and the resulting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liabilities, demands, damages, losses, or expenses (including legal expenses, investigative expenses, and attorneys’ fees)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Losses</w:t>
      </w:r>
      <w:r>
        <w:rPr>
          <w:rFonts w:ascii="Times New Roman" w:cs="Times New Roman" w:eastAsia="Times New Roman" w:hAnsi="Times New Roman"/>
          <w:sz w:val="19"/>
          <w:szCs w:val="19"/>
          <w:color w:val="auto"/>
        </w:rPr>
        <w:t>”) to the extent arising out of Licensee’s or, as applicable Licensee’s Affiliate’s or Sublicensee’s: (a) gross negligence or intentional misconduct, (b) failure to comply with Applicable Laws, or (c) Licensee’s, its Affiliates’ or Sublicensee’s Exploitation of Licensed Product in the Licensed Territory or the exercise of the licenses granted under this Agreement, including the production, manufacture, sale, use, lease, consumption, administration, shipping, storage, transfer, advertisement, analysis, measurement, description, or characterization of the Licensed Technology, or Licensed Products, or any activity arising from or in connection with any right or obligation of Licensee hereunder, except in each case (a) through (c) to the extent resulting from a Licensor Indemnitee’s (i) gross negligence or intentional misconduct; (ii) failure to comply with Applicable Law; (iii) Exploitation of the Licensed Technology; or (iv) breach of this Agreement.</w:t>
      </w:r>
    </w:p>
    <w:p>
      <w:pPr>
        <w:spacing w:after="0" w:line="16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9.2 </w:t>
      </w:r>
      <w:r>
        <w:rPr>
          <w:rFonts w:ascii="Times New Roman" w:cs="Times New Roman" w:eastAsia="Times New Roman" w:hAnsi="Times New Roman"/>
          <w:sz w:val="20"/>
          <w:szCs w:val="20"/>
          <w:i w:val="1"/>
          <w:iCs w:val="1"/>
          <w:u w:val="single" w:color="auto"/>
          <w:color w:val="auto"/>
        </w:rPr>
        <w:t>Indemnification by Licensor</w:t>
      </w:r>
      <w:r>
        <w:rPr>
          <w:rFonts w:ascii="Times New Roman" w:cs="Times New Roman" w:eastAsia="Times New Roman" w:hAnsi="Times New Roman"/>
          <w:sz w:val="20"/>
          <w:szCs w:val="20"/>
          <w:color w:val="auto"/>
        </w:rPr>
        <w:t>. Licensor will indemnify, defend and hold harmless Licensee, its Affiliates, Sublicensees, any contractors of the foregoing, and their respective directors, officers, employees, consultants, licensors and agents, and their respective successors, heirs, and assigns (each a “</w:t>
      </w:r>
      <w:r>
        <w:rPr>
          <w:rFonts w:ascii="Times New Roman" w:cs="Times New Roman" w:eastAsia="Times New Roman" w:hAnsi="Times New Roman"/>
          <w:sz w:val="20"/>
          <w:szCs w:val="20"/>
          <w:i w:val="1"/>
          <w:iCs w:val="1"/>
          <w:u w:val="single" w:color="auto"/>
          <w:color w:val="auto"/>
        </w:rPr>
        <w:t>Licensee Indemnitee</w:t>
      </w:r>
      <w:r>
        <w:rPr>
          <w:rFonts w:ascii="Times New Roman" w:cs="Times New Roman" w:eastAsia="Times New Roman" w:hAnsi="Times New Roman"/>
          <w:sz w:val="20"/>
          <w:szCs w:val="20"/>
          <w:color w:val="auto"/>
        </w:rPr>
        <w:t>”) against any Claims and Losses to the extent arising out of Licensor’s or its Affiliate’s: (a) gross negligence or intentional misconduct; (b) failure to comply with Applicable Laws; or (c) Exploitation of the Licensed Technology; except in each case (a) through (c) to the extent resulting from a Licensee Indemnitee’s (i) gross negligence or intentional misconduct; (ii) failure to comply with Applicable Law; (iii) Exploitation of the Licensed Technology; or (iv) breach of this Agreement.</w:t>
      </w:r>
    </w:p>
    <w:p>
      <w:pPr>
        <w:spacing w:after="0" w:line="17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9.3 </w:t>
      </w:r>
      <w:r>
        <w:rPr>
          <w:rFonts w:ascii="Times New Roman" w:cs="Times New Roman" w:eastAsia="Times New Roman" w:hAnsi="Times New Roman"/>
          <w:sz w:val="20"/>
          <w:szCs w:val="20"/>
          <w:i w:val="1"/>
          <w:iCs w:val="1"/>
          <w:u w:val="single" w:color="auto"/>
          <w:color w:val="auto"/>
        </w:rPr>
        <w:t>Indemnification Procedure</w:t>
      </w:r>
      <w:r>
        <w:rPr>
          <w:rFonts w:ascii="Times New Roman" w:cs="Times New Roman" w:eastAsia="Times New Roman" w:hAnsi="Times New Roman"/>
          <w:sz w:val="20"/>
          <w:szCs w:val="20"/>
          <w:color w:val="auto"/>
        </w:rPr>
        <w:t xml:space="preserve">. Each Party’s agreement to indemnify, defend, and hold harmless under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9.2</w:t>
      </w:r>
      <w:r>
        <w:rPr>
          <w:rFonts w:ascii="Times New Roman" w:cs="Times New Roman" w:eastAsia="Times New Roman" w:hAnsi="Times New Roman"/>
          <w:sz w:val="20"/>
          <w:szCs w:val="20"/>
          <w:color w:val="auto"/>
        </w:rPr>
        <w:t xml:space="preserve">, as applicable, is conditioned upon the indemnified Party (a) providing written notice to the indemnifying Party of any Claim as soon as reasonably possible, and in any event no later than within [***], (b) permitting the indemnifying Party to assume control over the investigation of, preparation and defense against, and settlement or voluntary disposition of any such Claim, (c) assisting the indemnifying Party, at the indemnifying Party’s reasonable expense, in the investigation, preparation, defense, and settlement or voluntary disposition of any such Claim, and (d) not compromising, settling, or entering into any voluntary disposition of any such Claim without the indemnifying Party’s prior written consent, which consent shall not be unreasonably withheld; </w:t>
      </w:r>
      <w:r>
        <w:rPr>
          <w:rFonts w:ascii="Times New Roman" w:cs="Times New Roman" w:eastAsia="Times New Roman" w:hAnsi="Times New Roman"/>
          <w:sz w:val="20"/>
          <w:szCs w:val="20"/>
          <w:i w:val="1"/>
          <w:iCs w:val="1"/>
          <w:u w:val="single" w:color="auto"/>
          <w:color w:val="auto"/>
        </w:rPr>
        <w:t>provided, however</w:t>
      </w:r>
      <w:r>
        <w:rPr>
          <w:rFonts w:ascii="Times New Roman" w:cs="Times New Roman" w:eastAsia="Times New Roman" w:hAnsi="Times New Roman"/>
          <w:sz w:val="20"/>
          <w:szCs w:val="20"/>
          <w:color w:val="auto"/>
        </w:rPr>
        <w:t>, that, if the Party entitled to indemnification fails to promptly notify the indemnifying Party pursuant to the foregoing clause (a), the indemnifying Party will only be relieved of its indemnification obligation to the extent materially prejudiced by such failure. In no event may the indemnifying Party compromise, settle, or enter into any voluntary disposition of any Claim in any manner that admits material fault or wrongdoing on the part of the indemnified Party or incurs non­ indemnified liability on the part of the indemnified Party without the prior written consent of the indemnified Party, and in no event may the indemnifying Party settle, compromise, or agree to any voluntary disposition of any matter subject to indemnification hereunder in any manner which (i) imposes any monetary restriction or obligation on or admits fault of the other Party or (ii) adversely affects the other Party’s rights under this Agreement, without such other Party’s prior written consent.</w:t>
      </w:r>
    </w:p>
    <w:p>
      <w:pPr>
        <w:spacing w:after="0" w:line="18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 xml:space="preserve">9.4 </w:t>
      </w:r>
      <w:r>
        <w:rPr>
          <w:rFonts w:ascii="Times New Roman" w:cs="Times New Roman" w:eastAsia="Times New Roman" w:hAnsi="Times New Roman"/>
          <w:sz w:val="20"/>
          <w:szCs w:val="20"/>
          <w:i w:val="1"/>
          <w:iCs w:val="1"/>
          <w:u w:val="single" w:color="auto"/>
          <w:color w:val="auto"/>
        </w:rPr>
        <w:t>Insurance</w:t>
      </w:r>
      <w:r>
        <w:rPr>
          <w:rFonts w:ascii="Times New Roman" w:cs="Times New Roman" w:eastAsia="Times New Roman" w:hAnsi="Times New Roman"/>
          <w:sz w:val="20"/>
          <w:szCs w:val="20"/>
          <w:color w:val="auto"/>
        </w:rPr>
        <w:t>. Licensee shall maintain in full force and effect during the Term, worker’s compensation, general liability and professional liability, clinical trial liability, and product liability insurance coverage, all in such amounts as are customary in the life sciences and pharmaceutical industries. Upon written request of Licensor, Licensee shall provide evidence of such insurance to Licensor. Licensee shall ensure that Licensor will receive no less than [***] prior notice of any cancelation, non­renewal or material change in such insurance coverage.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10</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u w:val="single" w:color="auto"/>
          <w:color w:val="auto"/>
        </w:rPr>
        <w:t>Alternative Dispute Resolution</w:t>
      </w:r>
    </w:p>
    <w:p>
      <w:pPr>
        <w:spacing w:after="0" w:line="19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10.1</w:t>
      </w:r>
      <w:r>
        <w:rPr>
          <w:rFonts w:ascii="Times New Roman" w:cs="Times New Roman" w:eastAsia="Times New Roman" w:hAnsi="Times New Roman"/>
          <w:sz w:val="20"/>
          <w:szCs w:val="20"/>
          <w:i w:val="1"/>
          <w:iCs w:val="1"/>
          <w:u w:val="single" w:color="auto"/>
          <w:color w:val="auto"/>
        </w:rPr>
        <w:t>Negotiation</w:t>
      </w:r>
      <w:r>
        <w:rPr>
          <w:rFonts w:ascii="Times New Roman" w:cs="Times New Roman" w:eastAsia="Times New Roman" w:hAnsi="Times New Roman"/>
          <w:sz w:val="20"/>
          <w:szCs w:val="20"/>
          <w:color w:val="auto"/>
        </w:rPr>
        <w:t>. In the event of any dispute or disagreement between the Parties as to the interpretation of any provision of this Agreement (or the performance of any obligations hereunder), the matter, upon written request of either Party, shall be referred to representatives of the Parties for decision, each Party being represented by an executive officer (the “</w:t>
      </w:r>
      <w:r>
        <w:rPr>
          <w:rFonts w:ascii="Times New Roman" w:cs="Times New Roman" w:eastAsia="Times New Roman" w:hAnsi="Times New Roman"/>
          <w:sz w:val="20"/>
          <w:szCs w:val="20"/>
          <w:i w:val="1"/>
          <w:iCs w:val="1"/>
          <w:u w:val="single" w:color="auto"/>
          <w:color w:val="auto"/>
        </w:rPr>
        <w:t>Representatives</w:t>
      </w:r>
      <w:r>
        <w:rPr>
          <w:rFonts w:ascii="Times New Roman" w:cs="Times New Roman" w:eastAsia="Times New Roman" w:hAnsi="Times New Roman"/>
          <w:sz w:val="20"/>
          <w:szCs w:val="20"/>
          <w:color w:val="auto"/>
        </w:rPr>
        <w:t xml:space="preserve">”). The Representatives shall promptly meet in a good faith effort to resolve the dispute. If the Representatives do not mutually agree upon a decision within [***], each of the Parties shall be free to exercise the remedies available to it under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Each Party may extend the period of time for negotiation among the Representatives for an additional period of [***] on [***].</w:t>
      </w:r>
    </w:p>
    <w:p>
      <w:pPr>
        <w:spacing w:after="0" w:line="17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10.2</w:t>
      </w:r>
      <w:r>
        <w:rPr>
          <w:rFonts w:ascii="Times New Roman" w:cs="Times New Roman" w:eastAsia="Times New Roman" w:hAnsi="Times New Roman"/>
          <w:sz w:val="20"/>
          <w:szCs w:val="20"/>
          <w:i w:val="1"/>
          <w:iCs w:val="1"/>
          <w:u w:val="single" w:color="auto"/>
          <w:color w:val="auto"/>
        </w:rPr>
        <w:t>Submission to Arbitration</w:t>
      </w:r>
      <w:r>
        <w:rPr>
          <w:rFonts w:ascii="Times New Roman" w:cs="Times New Roman" w:eastAsia="Times New Roman" w:hAnsi="Times New Roman"/>
          <w:sz w:val="20"/>
          <w:szCs w:val="20"/>
          <w:color w:val="auto"/>
        </w:rPr>
        <w:t xml:space="preserve">. If the Parties are unable to resolve such dispute pursuant to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either Party may submit the dispute to binding arbitration (without any recourse to the federal or state courts except to enforce any arbitral award or, within [***], to appeal such final decision based solely on a claim that the Arbitrator engaged in gross misconduct or made a material error or miscalculation in his or her decision) in accordance with the rules of JAMS/End Dispute (“</w:t>
      </w:r>
      <w:r>
        <w:rPr>
          <w:rFonts w:ascii="Times New Roman" w:cs="Times New Roman" w:eastAsia="Times New Roman" w:hAnsi="Times New Roman"/>
          <w:sz w:val="20"/>
          <w:szCs w:val="20"/>
          <w:i w:val="1"/>
          <w:iCs w:val="1"/>
          <w:color w:val="auto"/>
        </w:rPr>
        <w:t>JA</w:t>
      </w:r>
      <w:r>
        <w:rPr>
          <w:rFonts w:ascii="Times New Roman" w:cs="Times New Roman" w:eastAsia="Times New Roman" w:hAnsi="Times New Roman"/>
          <w:sz w:val="20"/>
          <w:szCs w:val="20"/>
          <w:i w:val="1"/>
          <w:iCs w:val="1"/>
          <w:u w:val="single" w:color="auto"/>
          <w:color w:val="auto"/>
        </w:rPr>
        <w:t>MS</w:t>
      </w:r>
      <w:r>
        <w:rPr>
          <w:rFonts w:ascii="Times New Roman" w:cs="Times New Roman" w:eastAsia="Times New Roman" w:hAnsi="Times New Roman"/>
          <w:sz w:val="20"/>
          <w:szCs w:val="20"/>
          <w:color w:val="auto"/>
        </w:rPr>
        <w:t>”) then in force (except as expressly modified below), and the arbitration hearings shall be held before a single arbitrator (“</w:t>
      </w:r>
      <w:r>
        <w:rPr>
          <w:rFonts w:ascii="Times New Roman" w:cs="Times New Roman" w:eastAsia="Times New Roman" w:hAnsi="Times New Roman"/>
          <w:sz w:val="20"/>
          <w:szCs w:val="20"/>
          <w:i w:val="1"/>
          <w:iCs w:val="1"/>
          <w:u w:val="single" w:color="auto"/>
          <w:color w:val="auto"/>
        </w:rPr>
        <w:t>Arbitrator</w:t>
      </w:r>
      <w:r>
        <w:rPr>
          <w:rFonts w:ascii="Times New Roman" w:cs="Times New Roman" w:eastAsia="Times New Roman" w:hAnsi="Times New Roman"/>
          <w:sz w:val="20"/>
          <w:szCs w:val="20"/>
          <w:color w:val="auto"/>
        </w:rPr>
        <w:t>”) in [***]. The Parties agree to appoint an Arbitrator who is knowledgeable in the patenting prosecution, patent licensing, biotechnology and/or life sciences industries. If the Parties cannot agree upon an Arbitrator within [***], either or both Parties may request the JAMS to name a panel of [***] candidates to serve as Arbitrator. The Parties shall each, in successive rounds (with the Party demanding the arbitration having the first chance to strike a name), strike one name off this list until only one name remains, and such last-named person shall be the Arbitrator.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3878580</wp:posOffset>
            </wp:positionH>
            <wp:positionV relativeFrom="paragraph">
              <wp:posOffset>-755650</wp:posOffset>
            </wp:positionV>
            <wp:extent cx="13271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9">
                      <a:extLst>
                        <a:ext uri="{28A0092B-C50C-407E-A947-70E740481C1C}"/>
                      </a:extLst>
                    </a:blip>
                    <a:srcRect/>
                    <a:stretch>
                      <a:fillRect/>
                    </a:stretch>
                  </pic:blipFill>
                  <pic:spPr bwMode="auto">
                    <a:xfrm>
                      <a:off x="0" y="0"/>
                      <a:ext cx="132715" cy="8255"/>
                    </a:xfrm>
                    <a:prstGeom prst="rect">
                      <a:avLst/>
                    </a:prstGeom>
                    <a:noFill/>
                  </pic:spPr>
                </pic:pic>
              </a:graphicData>
            </a:graphic>
          </wp:anchor>
        </w:drawing>
      </w:r>
    </w:p>
    <w:p>
      <w:pPr>
        <w:spacing w:after="0" w:line="166"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9"/>
          <w:szCs w:val="19"/>
          <w:color w:val="auto"/>
        </w:rPr>
        <w:t>10.3</w:t>
      </w:r>
      <w:r>
        <w:rPr>
          <w:rFonts w:ascii="Times New Roman" w:cs="Times New Roman" w:eastAsia="Times New Roman" w:hAnsi="Times New Roman"/>
          <w:sz w:val="19"/>
          <w:szCs w:val="19"/>
          <w:i w:val="1"/>
          <w:iCs w:val="1"/>
          <w:u w:val="single" w:color="auto"/>
          <w:color w:val="auto"/>
        </w:rPr>
        <w:t>Conduct of Arbitration</w:t>
      </w:r>
      <w:r>
        <w:rPr>
          <w:rFonts w:ascii="Times New Roman" w:cs="Times New Roman" w:eastAsia="Times New Roman" w:hAnsi="Times New Roman"/>
          <w:sz w:val="19"/>
          <w:szCs w:val="19"/>
          <w:color w:val="auto"/>
        </w:rPr>
        <w:t>. The Arbitrator shall be required to (a) follow the substantive rules of Massachusetts State or Federal law, as applicable, (b) require all testimony to be transcribed, and (c) accompany his or her award with findings of fact and a statement of reasons for the decision. The Arbitrator shall have the authority to permit discovery for no more than [***], to the extent deemed appropriate by the Arbitrator, upon reasonable request of a Party. The Arbitrator shall have no power or authority to (i) add to or detract from the written agreement of the Parties set forth herein, (ii) modify or disregard any provision of this Agreement or any of the other related documents, or</w:t>
      </w:r>
    </w:p>
    <w:p>
      <w:pPr>
        <w:spacing w:after="0" w:line="4" w:lineRule="exact"/>
        <w:rPr>
          <w:sz w:val="20"/>
          <w:szCs w:val="20"/>
          <w:color w:val="auto"/>
        </w:rPr>
      </w:pPr>
    </w:p>
    <w:p>
      <w:pPr>
        <w:jc w:val="both"/>
        <w:ind w:firstLine="8"/>
        <w:spacing w:after="0"/>
        <w:tabs>
          <w:tab w:leader="none" w:pos="353"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address or resolve any issue not submitted by the Parties. The Arbitrator shall hold proceedings during a period of no longer than [***], and the Arbitrator shall render a final decision within [***]. The Arbitrator shall have the power to grant injunctive relief (without the necessity of a Party posting a bond) in the event a Party has violated the confidentiality provisions set forth in this Agreement, but shall have no power to award punitive and/or exemplary damages in the event of a breach, </w:t>
      </w:r>
      <w:r>
        <w:rPr>
          <w:rFonts w:ascii="Times New Roman" w:cs="Times New Roman" w:eastAsia="Times New Roman" w:hAnsi="Times New Roman"/>
          <w:sz w:val="20"/>
          <w:szCs w:val="20"/>
          <w:i w:val="1"/>
          <w:iCs w:val="1"/>
          <w:u w:val="single" w:color="auto"/>
          <w:color w:val="auto"/>
        </w:rPr>
        <w:t>provided, however</w:t>
      </w:r>
      <w:r>
        <w:rPr>
          <w:rFonts w:ascii="Times New Roman" w:cs="Times New Roman" w:eastAsia="Times New Roman" w:hAnsi="Times New Roman"/>
          <w:sz w:val="20"/>
          <w:szCs w:val="20"/>
          <w:color w:val="auto"/>
        </w:rPr>
        <w:t>, that nothing in this Agreement will operate to prevent a Party from seeking injunctive relief in a court of competent jurisdiction. In the event of any conflict between the commercial arbitration rules then in effect and the provisions of this Agreement, the provisions of this Agreement shall prevail and be controlling.</w:t>
      </w:r>
    </w:p>
    <w:p>
      <w:pPr>
        <w:spacing w:after="0" w:line="187"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10.4</w:t>
      </w:r>
      <w:r>
        <w:rPr>
          <w:rFonts w:ascii="Times New Roman" w:cs="Times New Roman" w:eastAsia="Times New Roman" w:hAnsi="Times New Roman"/>
          <w:sz w:val="20"/>
          <w:szCs w:val="20"/>
          <w:i w:val="1"/>
          <w:iCs w:val="1"/>
          <w:u w:val="single" w:color="auto"/>
          <w:color w:val="auto"/>
        </w:rPr>
        <w:t>Interim Relief</w:t>
      </w:r>
      <w:r>
        <w:rPr>
          <w:rFonts w:ascii="Times New Roman" w:cs="Times New Roman" w:eastAsia="Times New Roman" w:hAnsi="Times New Roman"/>
          <w:sz w:val="20"/>
          <w:szCs w:val="20"/>
          <w:color w:val="auto"/>
        </w:rPr>
        <w:t>. Either Party may, without waiving any remedy under this Agreement, apply to the Arbitrator for interim injunctive relief until the arbitration award is rendered or the controversy is otherwise resolved. Either Party also may, without waiving any remedy under this Agreement, seek from any court having jurisdiction any injunctive or provisional relief necessary to protect the rights regarding the Intellectual Property of that Party pending the arbitration award. The Arbitrator shall have no authority to award punitive or any other type of damages not measured by a Party’s compensatory damages.</w:t>
      </w:r>
    </w:p>
    <w:p>
      <w:pPr>
        <w:spacing w:after="0" w:line="18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10.5</w:t>
      </w:r>
      <w:r>
        <w:rPr>
          <w:rFonts w:ascii="Times New Roman" w:cs="Times New Roman" w:eastAsia="Times New Roman" w:hAnsi="Times New Roman"/>
          <w:sz w:val="20"/>
          <w:szCs w:val="20"/>
          <w:i w:val="1"/>
          <w:iCs w:val="1"/>
          <w:u w:val="single" w:color="auto"/>
          <w:color w:val="auto"/>
        </w:rPr>
        <w:t>Cost of Arbitration</w:t>
      </w:r>
      <w:r>
        <w:rPr>
          <w:rFonts w:ascii="Times New Roman" w:cs="Times New Roman" w:eastAsia="Times New Roman" w:hAnsi="Times New Roman"/>
          <w:sz w:val="20"/>
          <w:szCs w:val="20"/>
          <w:color w:val="auto"/>
        </w:rPr>
        <w:t>. Each Party shall share in the actual and direct costs of the engagement of the Arbitrator, but the prevailing Party in the arbitration shall be reimbursed by the non-prevailing Party for the prevailing Party’s fees and costs of arbitration (e.g., the costs, fees and expenses of outside experts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and counsel retained by the prevailing Party). If one Party is not deemed by the Arbitrator to be the primary prevailing Party, then each Party will pay its own costs, fees and expenses (including attorneys’ fees) and an equal share of the Arbitrator’s fees and any administrative fees of arbitration.</w:t>
      </w:r>
    </w:p>
    <w:p>
      <w:pPr>
        <w:spacing w:after="0" w:line="17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10.6</w:t>
      </w:r>
      <w:r>
        <w:rPr>
          <w:rFonts w:ascii="Times New Roman" w:cs="Times New Roman" w:eastAsia="Times New Roman" w:hAnsi="Times New Roman"/>
          <w:sz w:val="20"/>
          <w:szCs w:val="20"/>
          <w:i w:val="1"/>
          <w:iCs w:val="1"/>
          <w:u w:val="single" w:color="auto"/>
          <w:color w:val="auto"/>
        </w:rPr>
        <w:t>Excluded Claims</w:t>
      </w:r>
      <w:r>
        <w:rPr>
          <w:rFonts w:ascii="Times New Roman" w:cs="Times New Roman" w:eastAsia="Times New Roman" w:hAnsi="Times New Roman"/>
          <w:sz w:val="20"/>
          <w:szCs w:val="20"/>
          <w:color w:val="auto"/>
        </w:rPr>
        <w:t xml:space="preserve">. Notwithstanding anything to the contrary herein, nothing in this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xml:space="preserve"> shall preclude a Party from seeking injunctive relief or specific performance in a court of competent jurisdiction. Unless otherwise mutually agreed upon by the Parties in writing, any Excluded Claims shall be brought in the federal court for the District of Massachusetts, if federal jurisdiction is available, or, alternatively, in the state courts in Suffolk County, Massachusetts. Each of the Parties hereby submits to the exclusive jurisdiction of such courts for the purpose of any such litigation; </w:t>
      </w:r>
      <w:r>
        <w:rPr>
          <w:rFonts w:ascii="Times New Roman" w:cs="Times New Roman" w:eastAsia="Times New Roman" w:hAnsi="Times New Roman"/>
          <w:sz w:val="20"/>
          <w:szCs w:val="20"/>
          <w:i w:val="1"/>
          <w:iCs w:val="1"/>
          <w:u w:val="single" w:color="auto"/>
          <w:color w:val="auto"/>
        </w:rPr>
        <w:t>provided, however</w:t>
      </w:r>
      <w:r>
        <w:rPr>
          <w:rFonts w:ascii="Times New Roman" w:cs="Times New Roman" w:eastAsia="Times New Roman" w:hAnsi="Times New Roman"/>
          <w:sz w:val="20"/>
          <w:szCs w:val="20"/>
          <w:color w:val="auto"/>
        </w:rPr>
        <w:t xml:space="preserve">, that a final judgment in any such litigation shall be conclusive and may be enforced in other jurisdictions by suit on the judgment or in any other manner provided by law. Each Party irrevocably and unconditionally agrees not to assert (a) any objection which it may ever have to the laying of venue of any such litigation in such courts, (b) any claim that any such litigation brought in any such court has been brought in an inconvenient forum, and (c) any claim that such court does not have jurisdiction with respect to such litigation. As used in this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the term “</w:t>
      </w:r>
      <w:r>
        <w:rPr>
          <w:rFonts w:ascii="Times New Roman" w:cs="Times New Roman" w:eastAsia="Times New Roman" w:hAnsi="Times New Roman"/>
          <w:sz w:val="20"/>
          <w:szCs w:val="20"/>
          <w:i w:val="1"/>
          <w:iCs w:val="1"/>
          <w:u w:val="single" w:color="auto"/>
          <w:color w:val="auto"/>
        </w:rPr>
        <w:t>Excluded Claim</w:t>
      </w:r>
      <w:r>
        <w:rPr>
          <w:rFonts w:ascii="Times New Roman" w:cs="Times New Roman" w:eastAsia="Times New Roman" w:hAnsi="Times New Roman"/>
          <w:sz w:val="20"/>
          <w:szCs w:val="20"/>
          <w:color w:val="auto"/>
        </w:rPr>
        <w:t>” means a dispute, controversy or claim that concerns: (w) the scope, construction, validity or infringement of a patent, trademark or copyright; or (x) any antitrust, anti-monopoly or competition law or regulation, whether or not statutory.</w:t>
      </w:r>
    </w:p>
    <w:p>
      <w:pPr>
        <w:spacing w:after="0" w:line="19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10.7</w:t>
      </w:r>
      <w:r>
        <w:rPr>
          <w:rFonts w:ascii="Times New Roman" w:cs="Times New Roman" w:eastAsia="Times New Roman" w:hAnsi="Times New Roman"/>
          <w:sz w:val="20"/>
          <w:szCs w:val="20"/>
          <w:i w:val="1"/>
          <w:iCs w:val="1"/>
          <w:u w:val="single" w:color="auto"/>
          <w:color w:val="auto"/>
        </w:rPr>
        <w:t>Confidentiality</w:t>
      </w:r>
      <w:r>
        <w:rPr>
          <w:rFonts w:ascii="Times New Roman" w:cs="Times New Roman" w:eastAsia="Times New Roman" w:hAnsi="Times New Roman"/>
          <w:sz w:val="20"/>
          <w:szCs w:val="20"/>
          <w:color w:val="auto"/>
        </w:rPr>
        <w:t>. Except to the extent necessary to confirm an award or as may be required by law, neither a Party nor an Arbitrator may disclose the existence, content, or results of the arbitration without the prior written consent of both Parties, except to its directors, officers and investors. In no event shall arbitration be initiated after the date when commencement of a legal or equitable proceeding based on the dispute, controversy or claim would be barred by the applicable Massachusetts statute of limitations.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11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u w:val="single" w:color="auto"/>
          <w:color w:val="auto"/>
        </w:rPr>
        <w:t>Miscellaneous</w:t>
      </w:r>
    </w:p>
    <w:p>
      <w:pPr>
        <w:spacing w:after="0" w:line="19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11.1</w:t>
      </w:r>
      <w:r>
        <w:rPr>
          <w:rFonts w:ascii="Times New Roman" w:cs="Times New Roman" w:eastAsia="Times New Roman" w:hAnsi="Times New Roman"/>
          <w:sz w:val="20"/>
          <w:szCs w:val="20"/>
          <w:i w:val="1"/>
          <w:iCs w:val="1"/>
          <w:u w:val="single" w:color="auto"/>
          <w:color w:val="auto"/>
        </w:rPr>
        <w:t>Compliance with Law</w:t>
      </w:r>
      <w:r>
        <w:rPr>
          <w:rFonts w:ascii="Times New Roman" w:cs="Times New Roman" w:eastAsia="Times New Roman" w:hAnsi="Times New Roman"/>
          <w:sz w:val="20"/>
          <w:szCs w:val="20"/>
          <w:color w:val="auto"/>
        </w:rPr>
        <w:t>. In connection with its Exploitation of Licensed Products, Licensee agrees to comply with all Applicable Laws. Without limiting the foregoing, by entering into this Agreement, the Parties specifically intend to comply with all Applicable Laws pertaining to Licensed Products, including, without limitation (i) the federal anti-kickback statute (42 U.S.C. §1320a-7b) and the related safe harbor regulations; and (ii) the Limitation on Certain Physician Referrals, also referred to as the “</w:t>
      </w:r>
      <w:r>
        <w:rPr>
          <w:rFonts w:ascii="Times New Roman" w:cs="Times New Roman" w:eastAsia="Times New Roman" w:hAnsi="Times New Roman"/>
          <w:sz w:val="20"/>
          <w:szCs w:val="20"/>
          <w:i w:val="1"/>
          <w:iCs w:val="1"/>
          <w:color w:val="auto"/>
        </w:rPr>
        <w:t>Stark Law</w:t>
      </w:r>
      <w:r>
        <w:rPr>
          <w:rFonts w:ascii="Times New Roman" w:cs="Times New Roman" w:eastAsia="Times New Roman" w:hAnsi="Times New Roman"/>
          <w:sz w:val="20"/>
          <w:szCs w:val="20"/>
          <w:color w:val="auto"/>
        </w:rPr>
        <w:t>” (42 U.S.C. §1395nn); (iii) foreign trade law, regulations on the administration of technology import and export, export control law; (iv) cybersecurity law, data security law, personal information protection law; (v) GCP, GMP, GSP, their relative rules and regulations, and the revisions thereof. Accordingly, no part of any consideration paid hereunder is a prohibited payment for the recommending or arranging for the referral of business or the ordering of items or services; nor are the payments intended to induce illegal referrals of business.</w:t>
      </w:r>
    </w:p>
    <w:p>
      <w:pPr>
        <w:spacing w:after="0" w:line="18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11.2</w:t>
      </w:r>
      <w:r>
        <w:rPr>
          <w:rFonts w:ascii="Times New Roman" w:cs="Times New Roman" w:eastAsia="Times New Roman" w:hAnsi="Times New Roman"/>
          <w:sz w:val="20"/>
          <w:szCs w:val="20"/>
          <w:i w:val="1"/>
          <w:iCs w:val="1"/>
          <w:u w:val="single" w:color="auto"/>
          <w:color w:val="auto"/>
        </w:rPr>
        <w:t>Assignment</w:t>
      </w:r>
      <w:r>
        <w:rPr>
          <w:rFonts w:ascii="Times New Roman" w:cs="Times New Roman" w:eastAsia="Times New Roman" w:hAnsi="Times New Roman"/>
          <w:sz w:val="20"/>
          <w:szCs w:val="20"/>
          <w:color w:val="auto"/>
        </w:rPr>
        <w:t>. This Agreement will be binding upon and will inure to the benefit of each Party and each Party’s respective transferees, successors and assigns, pursuant to the provisions set forth below. Licensee may not transfer or assign this Agreement without the prior written consent of Licensor, except that Licensee may transfer or assign this Agreement without the prior written consent of Licensor in the event that a third party (the “</w:t>
      </w:r>
      <w:r>
        <w:rPr>
          <w:rFonts w:ascii="Times New Roman" w:cs="Times New Roman" w:eastAsia="Times New Roman" w:hAnsi="Times New Roman"/>
          <w:sz w:val="20"/>
          <w:szCs w:val="20"/>
          <w:i w:val="1"/>
          <w:iCs w:val="1"/>
          <w:u w:val="single" w:color="auto"/>
          <w:color w:val="auto"/>
        </w:rPr>
        <w:t>Acquiring Party</w:t>
      </w:r>
      <w:r>
        <w:rPr>
          <w:rFonts w:ascii="Times New Roman" w:cs="Times New Roman" w:eastAsia="Times New Roman" w:hAnsi="Times New Roman"/>
          <w:sz w:val="20"/>
          <w:szCs w:val="20"/>
          <w:color w:val="auto"/>
        </w:rPr>
        <w:t>”) acquires all or substantially all of Licensee’s business, capital stock or assets, whether by sale, merger, change of control, operation of law or otherwise (an “</w:t>
      </w:r>
      <w:r>
        <w:rPr>
          <w:rFonts w:ascii="Times New Roman" w:cs="Times New Roman" w:eastAsia="Times New Roman" w:hAnsi="Times New Roman"/>
          <w:sz w:val="20"/>
          <w:szCs w:val="20"/>
          <w:i w:val="1"/>
          <w:iCs w:val="1"/>
          <w:u w:val="single" w:color="auto"/>
          <w:color w:val="auto"/>
        </w:rPr>
        <w:t>Acquisition</w:t>
      </w:r>
      <w:r>
        <w:rPr>
          <w:rFonts w:ascii="Times New Roman" w:cs="Times New Roman" w:eastAsia="Times New Roman" w:hAnsi="Times New Roman"/>
          <w:sz w:val="20"/>
          <w:szCs w:val="20"/>
          <w:color w:val="auto"/>
        </w:rPr>
        <w:t>”). Upon an Acquisition, the rights granted to Licensee under this Agreement pertaining to any and all Licensed Products shall inure to the benefit of the Acquiring Party. For the avoidance of doubt, in the event of an Acquisition, the Acquiring Party will be responsible for all payments and other obligations set forth in this Agreement, including, but not limited to, all payments set forth herein, and any obligations that matured prior to the Acquisition date. Upon an Acquisition, any unpaid portion of any deferred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payments payable to Licensor hereunder shall remain an ongoing obligation of the Acquiring Party until such amount is paid in full. For the avoidance of doubt, an Acquisition shall not include any transaction or series of transactions principally for bona fide equity financing purposes in which cash is received by Licensee or any successor, indebtedness of Licensor is cancelled or converted or any combination thereof. Any attempted assignment in contravention of this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will be null and void.</w:t>
      </w:r>
    </w:p>
    <w:p>
      <w:pPr>
        <w:spacing w:after="0" w:line="17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11.3</w:t>
      </w:r>
      <w:r>
        <w:rPr>
          <w:rFonts w:ascii="Times New Roman" w:cs="Times New Roman" w:eastAsia="Times New Roman" w:hAnsi="Times New Roman"/>
          <w:sz w:val="20"/>
          <w:szCs w:val="20"/>
          <w:i w:val="1"/>
          <w:iCs w:val="1"/>
          <w:u w:val="single" w:color="auto"/>
          <w:color w:val="auto"/>
        </w:rPr>
        <w:t>Entire Agreement</w:t>
      </w:r>
      <w:r>
        <w:rPr>
          <w:rFonts w:ascii="Times New Roman" w:cs="Times New Roman" w:eastAsia="Times New Roman" w:hAnsi="Times New Roman"/>
          <w:sz w:val="20"/>
          <w:szCs w:val="20"/>
          <w:color w:val="auto"/>
        </w:rPr>
        <w:t>. This Agreement constitutes the entire agreement between the Parties hereto with respect to the subject matter thereof (with the exception of the contemporaneous Amended and Restated Master Services Agreement and Amended and Restated Trademark Agreement by and between the Parties) and supersedes all previous agreements, negotiations, commitments, and writings with respect to such subject matter. Neither Party shall be obligated by any undertaking or representation regarding that subject matter other than those expressly stated herein or as may be subsequently agreed to by the Parties hereto in writing. In the event of any conflict or inconsistency between any provision of any Exhibit hereto and any provision of this Agreement, the provisions of this Agreement shall prevail.</w:t>
      </w:r>
    </w:p>
    <w:p>
      <w:pPr>
        <w:spacing w:after="0" w:line="179"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11.4</w:t>
      </w:r>
      <w:r>
        <w:rPr>
          <w:rFonts w:ascii="Times New Roman" w:cs="Times New Roman" w:eastAsia="Times New Roman" w:hAnsi="Times New Roman"/>
          <w:sz w:val="20"/>
          <w:szCs w:val="20"/>
          <w:i w:val="1"/>
          <w:iCs w:val="1"/>
          <w:u w:val="single" w:color="auto"/>
          <w:color w:val="auto"/>
        </w:rPr>
        <w:t>Amendment</w:t>
      </w:r>
      <w:r>
        <w:rPr>
          <w:rFonts w:ascii="Times New Roman" w:cs="Times New Roman" w:eastAsia="Times New Roman" w:hAnsi="Times New Roman"/>
          <w:sz w:val="20"/>
          <w:szCs w:val="20"/>
          <w:color w:val="auto"/>
        </w:rPr>
        <w:t>. No amendment, modification or supplement of any provision of this Agreement and Exhibit(s) will be valid or effective unless made in writing and signed by a duly authorized officer of each Party.</w:t>
      </w:r>
    </w:p>
    <w:p>
      <w:pPr>
        <w:spacing w:after="0" w:line="15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11.5</w:t>
      </w:r>
      <w:r>
        <w:rPr>
          <w:rFonts w:ascii="Times New Roman" w:cs="Times New Roman" w:eastAsia="Times New Roman" w:hAnsi="Times New Roman"/>
          <w:sz w:val="20"/>
          <w:szCs w:val="20"/>
          <w:i w:val="1"/>
          <w:iCs w:val="1"/>
          <w:u w:val="single" w:color="auto"/>
          <w:color w:val="auto"/>
        </w:rPr>
        <w:t>Notices</w:t>
      </w:r>
      <w:r>
        <w:rPr>
          <w:rFonts w:ascii="Times New Roman" w:cs="Times New Roman" w:eastAsia="Times New Roman" w:hAnsi="Times New Roman"/>
          <w:sz w:val="20"/>
          <w:szCs w:val="20"/>
          <w:color w:val="auto"/>
        </w:rPr>
        <w:t xml:space="preserve">. Any notice required to be given pursuant to the provisions of this Agreement will be in writing and will be deemed to have been given at the time when actually received as a consequence of any effective method of delivery, including but not limited to hand delivery, transmission by electronic transmission, including PDF (portable document format), delivery by a professional courier service or delivery by first class, certified or registered mail (postage prepaid) addressed to the Party for whom intended at the address below, or at such changed address as the Party will have specified by written notice in accordance with this </w:t>
      </w:r>
      <w:r>
        <w:rPr>
          <w:rFonts w:ascii="Times New Roman" w:cs="Times New Roman" w:eastAsia="Times New Roman" w:hAnsi="Times New Roman"/>
          <w:sz w:val="20"/>
          <w:szCs w:val="20"/>
          <w:u w:val="single" w:color="auto"/>
          <w:color w:val="auto"/>
        </w:rPr>
        <w:t>Section 11.5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provided, however</w:t>
      </w:r>
      <w:r>
        <w:rPr>
          <w:rFonts w:ascii="Times New Roman" w:cs="Times New Roman" w:eastAsia="Times New Roman" w:hAnsi="Times New Roman"/>
          <w:sz w:val="20"/>
          <w:szCs w:val="20"/>
          <w:color w:val="auto"/>
        </w:rPr>
        <w:t>, that any notice of change of address will be effective only upon actual receipt.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If to Licensor:</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Factor Bioscience Limited</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c/o Factor Bioscience Inc.</w:t>
      </w:r>
    </w:p>
    <w:p>
      <w:pPr>
        <w:ind w:left="1500"/>
        <w:spacing w:after="0"/>
        <w:rPr>
          <w:sz w:val="20"/>
          <w:szCs w:val="20"/>
          <w:color w:val="auto"/>
        </w:rPr>
      </w:pPr>
      <w:r>
        <w:rPr>
          <w:rFonts w:ascii="Times New Roman" w:cs="Times New Roman" w:eastAsia="Times New Roman" w:hAnsi="Times New Roman"/>
          <w:sz w:val="20"/>
          <w:szCs w:val="20"/>
          <w:color w:val="auto"/>
        </w:rPr>
        <w:t>1035 Cambridge Street, Suite 17B</w:t>
      </w:r>
    </w:p>
    <w:p>
      <w:pPr>
        <w:ind w:left="1500"/>
        <w:spacing w:after="0"/>
        <w:rPr>
          <w:sz w:val="20"/>
          <w:szCs w:val="20"/>
          <w:color w:val="auto"/>
        </w:rPr>
      </w:pPr>
      <w:r>
        <w:rPr>
          <w:rFonts w:ascii="Times New Roman" w:cs="Times New Roman" w:eastAsia="Times New Roman" w:hAnsi="Times New Roman"/>
          <w:sz w:val="20"/>
          <w:szCs w:val="20"/>
          <w:color w:val="auto"/>
        </w:rPr>
        <w:t>Cambridge, MA 02141</w:t>
      </w:r>
    </w:p>
    <w:p>
      <w:pPr>
        <w:ind w:left="1500"/>
        <w:spacing w:after="0"/>
        <w:rPr>
          <w:sz w:val="20"/>
          <w:szCs w:val="20"/>
          <w:color w:val="auto"/>
        </w:rPr>
      </w:pPr>
      <w:r>
        <w:rPr>
          <w:rFonts w:ascii="Times New Roman" w:cs="Times New Roman" w:eastAsia="Times New Roman" w:hAnsi="Times New Roman"/>
          <w:sz w:val="20"/>
          <w:szCs w:val="20"/>
          <w:color w:val="auto"/>
        </w:rPr>
        <w:t>Attention: [***]</w:t>
      </w:r>
    </w:p>
    <w:p>
      <w:pPr>
        <w:ind w:left="1500"/>
        <w:spacing w:after="0"/>
        <w:rPr>
          <w:sz w:val="20"/>
          <w:szCs w:val="20"/>
          <w:color w:val="auto"/>
        </w:rPr>
      </w:pPr>
      <w:r>
        <w:rPr>
          <w:rFonts w:ascii="Times New Roman" w:cs="Times New Roman" w:eastAsia="Times New Roman" w:hAnsi="Times New Roman"/>
          <w:sz w:val="20"/>
          <w:szCs w:val="20"/>
          <w:color w:val="auto"/>
        </w:rPr>
        <w:t>Email: [***]</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with copy (which shall not constitute notice) to:</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p>
    <w:p>
      <w:pPr>
        <w:ind w:left="1500"/>
        <w:spacing w:after="0"/>
        <w:rPr>
          <w:sz w:val="20"/>
          <w:szCs w:val="20"/>
          <w:color w:val="auto"/>
        </w:rPr>
      </w:pPr>
      <w:r>
        <w:rPr>
          <w:rFonts w:ascii="Times New Roman" w:cs="Times New Roman" w:eastAsia="Times New Roman" w:hAnsi="Times New Roman"/>
          <w:sz w:val="20"/>
          <w:szCs w:val="20"/>
          <w:color w:val="auto"/>
        </w:rPr>
        <w:t>[***]</w:t>
      </w:r>
    </w:p>
    <w:p>
      <w:pPr>
        <w:ind w:left="1500"/>
        <w:spacing w:after="0"/>
        <w:rPr>
          <w:sz w:val="20"/>
          <w:szCs w:val="20"/>
          <w:color w:val="auto"/>
        </w:rPr>
      </w:pPr>
      <w:r>
        <w:rPr>
          <w:rFonts w:ascii="Times New Roman" w:cs="Times New Roman" w:eastAsia="Times New Roman" w:hAnsi="Times New Roman"/>
          <w:sz w:val="20"/>
          <w:szCs w:val="20"/>
          <w:color w:val="auto"/>
        </w:rPr>
        <w:t>[***]</w:t>
      </w:r>
    </w:p>
    <w:p>
      <w:pPr>
        <w:ind w:left="1500"/>
        <w:spacing w:after="0"/>
        <w:rPr>
          <w:sz w:val="20"/>
          <w:szCs w:val="20"/>
          <w:color w:val="auto"/>
        </w:rPr>
      </w:pPr>
      <w:r>
        <w:rPr>
          <w:rFonts w:ascii="Times New Roman" w:cs="Times New Roman" w:eastAsia="Times New Roman" w:hAnsi="Times New Roman"/>
          <w:sz w:val="20"/>
          <w:szCs w:val="20"/>
          <w:color w:val="auto"/>
        </w:rPr>
        <w:t>[***]</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If to Licensee:</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Erigen LLC</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1035 Cambridge Street, Suite 17B</w:t>
      </w:r>
    </w:p>
    <w:p>
      <w:pPr>
        <w:ind w:left="1500"/>
        <w:spacing w:after="0"/>
        <w:rPr>
          <w:sz w:val="20"/>
          <w:szCs w:val="20"/>
          <w:color w:val="auto"/>
        </w:rPr>
      </w:pPr>
      <w:r>
        <w:rPr>
          <w:rFonts w:ascii="Times New Roman" w:cs="Times New Roman" w:eastAsia="Times New Roman" w:hAnsi="Times New Roman"/>
          <w:sz w:val="20"/>
          <w:szCs w:val="20"/>
          <w:color w:val="auto"/>
        </w:rPr>
        <w:t>Cambridge, MA 02141</w:t>
      </w:r>
    </w:p>
    <w:p>
      <w:pPr>
        <w:ind w:left="1500"/>
        <w:spacing w:after="0"/>
        <w:rPr>
          <w:sz w:val="20"/>
          <w:szCs w:val="20"/>
          <w:color w:val="auto"/>
        </w:rPr>
      </w:pPr>
      <w:r>
        <w:rPr>
          <w:rFonts w:ascii="Times New Roman" w:cs="Times New Roman" w:eastAsia="Times New Roman" w:hAnsi="Times New Roman"/>
          <w:sz w:val="20"/>
          <w:szCs w:val="20"/>
          <w:color w:val="auto"/>
        </w:rPr>
        <w:t>Attn: [***]</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8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11.6</w:t>
      </w:r>
      <w:r>
        <w:rPr>
          <w:rFonts w:ascii="Times New Roman" w:cs="Times New Roman" w:eastAsia="Times New Roman" w:hAnsi="Times New Roman"/>
          <w:sz w:val="20"/>
          <w:szCs w:val="20"/>
          <w:i w:val="1"/>
          <w:iCs w:val="1"/>
          <w:u w:val="single" w:color="auto"/>
          <w:color w:val="auto"/>
        </w:rPr>
        <w:t>Governing Law</w:t>
      </w:r>
      <w:r>
        <w:rPr>
          <w:rFonts w:ascii="Times New Roman" w:cs="Times New Roman" w:eastAsia="Times New Roman" w:hAnsi="Times New Roman"/>
          <w:sz w:val="20"/>
          <w:szCs w:val="20"/>
          <w:i w:val="1"/>
          <w:iCs w:val="1"/>
          <w:color w:val="auto"/>
        </w:rPr>
        <w:t>.</w:t>
      </w:r>
    </w:p>
    <w:p>
      <w:pPr>
        <w:spacing w:after="0" w:line="220"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11.6.1 The substantive law governing this Agreement (which shall be applied in the arbitration) shall be, with respect to disputes involving general contract or trade secret matters, the internal laws of the Commonwealth of Massachusetts, and with respect to matters involving patents, the United States Patent Act, as to copyright matters, the United States Copyright Act, and as to trademark matters, the United States Trademark Act, each as amended from time to time. The Parties agree that the arbitration shall be seated in [***] under JAMS rules. Any award rendered by the Arbitrators shall be final, conclusive and binding upon the Parties to this Agreement. The Parties undertake to recognize and enforce the arbitration award in all relevant jurisdictions.</w:t>
      </w:r>
    </w:p>
    <w:p>
      <w:pPr>
        <w:spacing w:after="0" w:line="184"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11.6.2 If any provisions of this Agreement are or will come into conflict with the laws or regulations of any jurisdiction or any governmental entity having jurisdiction over the Parties or this Agreement, those provisions will be deemed automatically deleted, if such deletion is allowed by relevant law, and the remaining terms and conditions of this Agreement will remain in full force and effect. If such a deletion is not so allowed or if such a deletion leaves terms thereby made clearly illogical or inappropriate in effect, the Parties agree to substitute new terms as similar in effect to the present terms of this Agreement as may be allowed under Applicable Law.</w:t>
      </w:r>
    </w:p>
    <w:p>
      <w:pPr>
        <w:spacing w:after="0" w:line="18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11.7</w:t>
      </w:r>
      <w:r>
        <w:rPr>
          <w:rFonts w:ascii="Times New Roman" w:cs="Times New Roman" w:eastAsia="Times New Roman" w:hAnsi="Times New Roman"/>
          <w:sz w:val="20"/>
          <w:szCs w:val="20"/>
          <w:i w:val="1"/>
          <w:iCs w:val="1"/>
          <w:u w:val="single" w:color="auto"/>
          <w:color w:val="auto"/>
        </w:rPr>
        <w:t>Descriptive Headings</w:t>
      </w:r>
      <w:r>
        <w:rPr>
          <w:rFonts w:ascii="Times New Roman" w:cs="Times New Roman" w:eastAsia="Times New Roman" w:hAnsi="Times New Roman"/>
          <w:sz w:val="20"/>
          <w:szCs w:val="20"/>
          <w:color w:val="auto"/>
        </w:rPr>
        <w:t>. This Agreement has been prepared jointly by the Parties and shall not be strictly construed against either Party. Ambiguities, if any, in this Agreement shall not be construed against any Party, irrespective of which Party may be deemed to have authored the ambiguous provision. The headings of each Section in this Agreement have been inserted for convenience of reference only and are not intended to limit or expand on the meaning of the language contained in the particular Section. Except where the context otherwise requires, the use of any gender shall be applicable to all genders, and the word “or” is used in the inclusive sense (and/or). The term “including” as used herein means including, without limiting the generality of any description preceding such term.</w:t>
      </w:r>
    </w:p>
    <w:p>
      <w:pPr>
        <w:spacing w:after="0" w:line="17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11.8</w:t>
      </w:r>
      <w:r>
        <w:rPr>
          <w:rFonts w:ascii="Times New Roman" w:cs="Times New Roman" w:eastAsia="Times New Roman" w:hAnsi="Times New Roman"/>
          <w:sz w:val="20"/>
          <w:szCs w:val="20"/>
          <w:i w:val="1"/>
          <w:iCs w:val="1"/>
          <w:u w:val="single" w:color="auto"/>
          <w:color w:val="auto"/>
        </w:rPr>
        <w:t>Independent Contractors</w:t>
      </w:r>
      <w:r>
        <w:rPr>
          <w:rFonts w:ascii="Times New Roman" w:cs="Times New Roman" w:eastAsia="Times New Roman" w:hAnsi="Times New Roman"/>
          <w:sz w:val="20"/>
          <w:szCs w:val="20"/>
          <w:color w:val="auto"/>
        </w:rPr>
        <w:t>. Both Parties are independent contractors under this Agreement. Nothing contained in this Agreement will be deemed to create an employment, agency, joint venture or partnership relationship between the Parties hereto or any of their agents or employees, or any other legal arrangement that would impose liability upon one Party for the act or failure to act of the other Party. Neither Party will have any express or implied power to enter into any contracts or commitments or to incur any liabilities in the name of, or on behalf of, the other Party, or to bind the other Party in any respect whatsoever. Notwithstanding anything contained herein to the contrary, and for the avoidance of doubt, Licensor shall not be deemed an Affiliate of Licensee, and Licensee shall not be deemed an Affiliate of Licensor.</w:t>
      </w:r>
    </w:p>
    <w:p>
      <w:pPr>
        <w:spacing w:after="0" w:line="179"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9"/>
          <w:szCs w:val="19"/>
          <w:color w:val="auto"/>
        </w:rPr>
        <w:t>11.9</w:t>
      </w:r>
      <w:r>
        <w:rPr>
          <w:rFonts w:ascii="Times New Roman" w:cs="Times New Roman" w:eastAsia="Times New Roman" w:hAnsi="Times New Roman"/>
          <w:sz w:val="19"/>
          <w:szCs w:val="19"/>
          <w:i w:val="1"/>
          <w:iCs w:val="1"/>
          <w:u w:val="single" w:color="auto"/>
          <w:color w:val="auto"/>
        </w:rPr>
        <w:t>Severability</w:t>
      </w:r>
      <w:r>
        <w:rPr>
          <w:rFonts w:ascii="Times New Roman" w:cs="Times New Roman" w:eastAsia="Times New Roman" w:hAnsi="Times New Roman"/>
          <w:sz w:val="19"/>
          <w:szCs w:val="19"/>
          <w:color w:val="auto"/>
        </w:rPr>
        <w:t>. The illegality or partial illegality of any provision of this Agreement will not affect the validity of the remainder of the Agreement, or any provision thereof, and the illegality or partial illegality of any provision of this Agreement will not affect the validity of the Agreement in any jurisdiction in which such determination of illegality or partial illegality has not been made, except in either case to the extent such illegality or partial illegality causes the Agreement to no longer contain all of the material provisions reasonably expected by the Parties to be contained therein. Moreover, in the event that a court of competent jurisdiction determines that any provision of this Agreement is illegal or partially illegal, then it is the intention of the Parties that such provision be modified to the minimum extent deemed necessary by such court to make such provision enforceable and to give effect to the original intention of the Parties.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8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11.10</w:t>
      </w:r>
      <w:r>
        <w:rPr>
          <w:rFonts w:ascii="Times New Roman" w:cs="Times New Roman" w:eastAsia="Times New Roman" w:hAnsi="Times New Roman"/>
          <w:sz w:val="20"/>
          <w:szCs w:val="20"/>
          <w:i w:val="1"/>
          <w:iCs w:val="1"/>
          <w:u w:val="single" w:color="auto"/>
          <w:color w:val="auto"/>
        </w:rPr>
        <w:t>Waiver of Compliance</w:t>
      </w:r>
      <w:r>
        <w:rPr>
          <w:rFonts w:ascii="Times New Roman" w:cs="Times New Roman" w:eastAsia="Times New Roman" w:hAnsi="Times New Roman"/>
          <w:sz w:val="20"/>
          <w:szCs w:val="20"/>
          <w:color w:val="auto"/>
        </w:rPr>
        <w:t>. The failure of either Party to comply with any obligation, covenant, agreement or condition under this Agreement may be waived by the Party entitled to the benefit thereof only by a written instrument signed by the Party on granting such waiver, but such waiver or failure to insist upon strict compliance with such obligation, covenant, agreement or condition will not operate as a waiver of, or estoppel with respect to, any subsequent or other failure. The failure of any Party to enforce at any time any of the provisions of this Agreement will in no way be construed to be a waiver of any such provision, nor in any way to affect the validity of the Agreement or any part thereof or the right of any Party thereafter to enforce each and every such provision. No waiver of any breach of such provisions will be held to be waiver of any other or subsequent breach.</w:t>
      </w:r>
    </w:p>
    <w:p>
      <w:pPr>
        <w:spacing w:after="0" w:line="17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11.11</w:t>
      </w:r>
      <w:r>
        <w:rPr>
          <w:rFonts w:ascii="Times New Roman" w:cs="Times New Roman" w:eastAsia="Times New Roman" w:hAnsi="Times New Roman"/>
          <w:sz w:val="20"/>
          <w:szCs w:val="20"/>
          <w:i w:val="1"/>
          <w:iCs w:val="1"/>
          <w:u w:val="single" w:color="auto"/>
          <w:color w:val="auto"/>
        </w:rPr>
        <w:t>Counterparts</w:t>
      </w:r>
      <w:r>
        <w:rPr>
          <w:rFonts w:ascii="Times New Roman" w:cs="Times New Roman" w:eastAsia="Times New Roman" w:hAnsi="Times New Roman"/>
          <w:sz w:val="20"/>
          <w:szCs w:val="20"/>
          <w:color w:val="auto"/>
        </w:rPr>
        <w:t>. This Agreement may be executed by original or facsimile signature in any number of counterparts, each of which need not contain the signature of more than one Party, but all such counterparts taken together will constitute one and the same agreement.</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11.12</w:t>
      </w:r>
      <w:r>
        <w:rPr>
          <w:rFonts w:ascii="Times New Roman" w:cs="Times New Roman" w:eastAsia="Times New Roman" w:hAnsi="Times New Roman"/>
          <w:sz w:val="20"/>
          <w:szCs w:val="20"/>
          <w:i w:val="1"/>
          <w:iCs w:val="1"/>
          <w:u w:val="single" w:color="auto"/>
          <w:color w:val="auto"/>
        </w:rPr>
        <w:t>Authority</w:t>
      </w:r>
      <w:r>
        <w:rPr>
          <w:rFonts w:ascii="Times New Roman" w:cs="Times New Roman" w:eastAsia="Times New Roman" w:hAnsi="Times New Roman"/>
          <w:sz w:val="20"/>
          <w:szCs w:val="20"/>
          <w:color w:val="auto"/>
        </w:rPr>
        <w:t>. The persons signing on behalf of Licensor and Licensee hereby warrant and represent that they have authority to execute this Agreement on behalf of the Party for whom they have signed.</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11.13</w:t>
      </w:r>
      <w:r>
        <w:rPr>
          <w:rFonts w:ascii="Times New Roman" w:cs="Times New Roman" w:eastAsia="Times New Roman" w:hAnsi="Times New Roman"/>
          <w:sz w:val="20"/>
          <w:szCs w:val="20"/>
          <w:i w:val="1"/>
          <w:iCs w:val="1"/>
          <w:u w:val="single" w:color="auto"/>
          <w:color w:val="auto"/>
        </w:rPr>
        <w:t>Non-Solicitation</w:t>
      </w:r>
      <w:r>
        <w:rPr>
          <w:rFonts w:ascii="Times New Roman" w:cs="Times New Roman" w:eastAsia="Times New Roman" w:hAnsi="Times New Roman"/>
          <w:sz w:val="20"/>
          <w:szCs w:val="20"/>
          <w:color w:val="auto"/>
        </w:rPr>
        <w:t xml:space="preserve">. [***], neither Party shall, without the prior written consent of the other Party, directly or indirectly solicit for employment any employee of the other Party or any of its Affiliates or subsidiaries, or any person who has terminated his or her employment with the other Party or any of its Affiliates or subsidiaries within the previous [***] prior to any purported solicitation; </w:t>
      </w:r>
      <w:r>
        <w:rPr>
          <w:rFonts w:ascii="Times New Roman" w:cs="Times New Roman" w:eastAsia="Times New Roman" w:hAnsi="Times New Roman"/>
          <w:sz w:val="20"/>
          <w:szCs w:val="20"/>
          <w:i w:val="1"/>
          <w:iCs w:val="1"/>
          <w:u w:val="single" w:color="auto"/>
          <w:color w:val="auto"/>
        </w:rPr>
        <w:t>provided however</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foregoing will not [***] . [***].</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11.14</w:t>
      </w:r>
      <w:r>
        <w:rPr>
          <w:rFonts w:ascii="Times New Roman" w:cs="Times New Roman" w:eastAsia="Times New Roman" w:hAnsi="Times New Roman"/>
          <w:sz w:val="20"/>
          <w:szCs w:val="20"/>
          <w:i w:val="1"/>
          <w:iCs w:val="1"/>
          <w:u w:val="single" w:color="auto"/>
          <w:color w:val="auto"/>
        </w:rPr>
        <w:t>Force Majeure</w:t>
      </w:r>
      <w:r>
        <w:rPr>
          <w:rFonts w:ascii="Times New Roman" w:cs="Times New Roman" w:eastAsia="Times New Roman" w:hAnsi="Times New Roman"/>
          <w:sz w:val="20"/>
          <w:szCs w:val="20"/>
          <w:color w:val="auto"/>
        </w:rPr>
        <w:t>. Neither Party hereto shall be liable for failures and delays in performance due to strikes, lockouts, fires, acts of God or the public enemy, riots, incendiaries, interference by civil or military authorities, acts of terrorism, endemic, pandemic, and the results related to such acts, compliance with the laws of various states/countries, or with the orders of any governmental authorities, delays in transit or delivery on the part of transportation companies, failures of communication facilities, or any failure of sources of material (“</w:t>
      </w:r>
      <w:r>
        <w:rPr>
          <w:rFonts w:ascii="Times New Roman" w:cs="Times New Roman" w:eastAsia="Times New Roman" w:hAnsi="Times New Roman"/>
          <w:sz w:val="20"/>
          <w:szCs w:val="20"/>
          <w:i w:val="1"/>
          <w:iCs w:val="1"/>
          <w:u w:val="single" w:color="auto"/>
          <w:color w:val="auto"/>
        </w:rPr>
        <w:t>Force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Majeure Event</w:t>
      </w:r>
      <w:r>
        <w:rPr>
          <w:rFonts w:ascii="Times New Roman" w:cs="Times New Roman" w:eastAsia="Times New Roman" w:hAnsi="Times New Roman"/>
          <w:sz w:val="20"/>
          <w:szCs w:val="20"/>
          <w:color w:val="auto"/>
        </w:rPr>
        <w:t>”). Notwithstanding the above, should the event of Force Majeure last for more than [***], the other Party shall be entitled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terminate this Agreement effective upon giving written notice to the Party affected by the Force Majeure Event.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Remainder of page intentionally left blank; signature page follows.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89"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duly executed this Amended and Restated License and Collaboration Agreement as of the Execution Date.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FACTOR BIOSCIENCE LIMITED (LICENSOR)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Christopher Rohde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-10795</wp:posOffset>
            </wp:positionV>
            <wp:extent cx="125603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5">
                      <a:extLst>
                        <a:ext uri="{28A0092B-C50C-407E-A947-70E740481C1C}"/>
                      </a:extLst>
                    </a:blip>
                    <a:srcRect/>
                    <a:stretch>
                      <a:fillRect/>
                    </a:stretch>
                  </pic:blipFill>
                  <pic:spPr bwMode="auto">
                    <a:xfrm>
                      <a:off x="0" y="0"/>
                      <a:ext cx="1256030" cy="8890"/>
                    </a:xfrm>
                    <a:prstGeom prst="rect">
                      <a:avLst/>
                    </a:prstGeom>
                    <a:noFill/>
                  </pic:spPr>
                </pic:pic>
              </a:graphicData>
            </a:graphic>
          </wp:anchor>
        </w:drawing>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Name: Christopher Rohde, Ph.D.</w:t>
      </w:r>
    </w:p>
    <w:p>
      <w:pPr>
        <w:ind w:left="4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ERIGEN LLC (LICENSEE)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Matt Angel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-10795</wp:posOffset>
            </wp:positionV>
            <wp:extent cx="100520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6">
                      <a:extLst>
                        <a:ext uri="{28A0092B-C50C-407E-A947-70E740481C1C}"/>
                      </a:extLst>
                    </a:blip>
                    <a:srcRect/>
                    <a:stretch>
                      <a:fillRect/>
                    </a:stretch>
                  </pic:blipFill>
                  <pic:spPr bwMode="auto">
                    <a:xfrm>
                      <a:off x="0" y="0"/>
                      <a:ext cx="1005205" cy="8890"/>
                    </a:xfrm>
                    <a:prstGeom prst="rect">
                      <a:avLst/>
                    </a:prstGeom>
                    <a:noFill/>
                  </pic:spPr>
                </pic:pic>
              </a:graphicData>
            </a:graphic>
          </wp:anchor>
        </w:drawing>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Name: Matthew Angel, Ph.D.</w:t>
      </w:r>
    </w:p>
    <w:p>
      <w:pPr>
        <w:ind w:left="480"/>
        <w:spacing w:after="0"/>
        <w:rPr>
          <w:sz w:val="20"/>
          <w:szCs w:val="20"/>
          <w:color w:val="auto"/>
        </w:rPr>
      </w:pPr>
      <w:r>
        <w:rPr>
          <w:rFonts w:ascii="Times New Roman" w:cs="Times New Roman" w:eastAsia="Times New Roman" w:hAnsi="Times New Roman"/>
          <w:sz w:val="20"/>
          <w:szCs w:val="20"/>
          <w:color w:val="auto"/>
        </w:rPr>
        <w:t>Title: Manager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7" w:name="page218"/>
    <w:bookmarkEnd w:id="217"/>
    <w:p>
      <w:pPr>
        <w:jc w:val="center"/>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Financial Terms</w:t>
      </w:r>
    </w:p>
    <w:p>
      <w:pPr>
        <w:spacing w:after="0" w:line="216" w:lineRule="exact"/>
        <w:rPr>
          <w:sz w:val="20"/>
          <w:szCs w:val="20"/>
          <w:color w:val="auto"/>
        </w:rPr>
      </w:pPr>
    </w:p>
    <w:p>
      <w:pPr>
        <w:jc w:val="both"/>
        <w:ind w:left="1220" w:hanging="1497"/>
        <w:spacing w:after="0" w:line="254" w:lineRule="auto"/>
        <w:tabs>
          <w:tab w:leader="none" w:pos="1200" w:val="left"/>
        </w:tabs>
        <w:rPr>
          <w:sz w:val="20"/>
          <w:szCs w:val="20"/>
          <w:color w:val="auto"/>
        </w:rPr>
      </w:pPr>
      <w:r>
        <w:rPr>
          <w:rFonts w:ascii="Times New Roman" w:cs="Times New Roman" w:eastAsia="Times New Roman" w:hAnsi="Times New Roman"/>
          <w:sz w:val="20"/>
          <w:szCs w:val="20"/>
          <w:i w:val="1"/>
          <w:iCs w:val="1"/>
          <w:color w:val="auto"/>
        </w:rPr>
        <w:t>Sec: 5.1.1</w:t>
      </w:r>
      <w:r>
        <w:rPr>
          <w:sz w:val="20"/>
          <w:szCs w:val="20"/>
          <w:color w:val="auto"/>
        </w:rPr>
        <w:tab/>
      </w:r>
      <w:r>
        <w:rPr>
          <w:rFonts w:ascii="Times New Roman" w:cs="Times New Roman" w:eastAsia="Times New Roman" w:hAnsi="Times New Roman"/>
          <w:sz w:val="20"/>
          <w:szCs w:val="20"/>
          <w:u w:val="single" w:color="auto"/>
          <w:color w:val="auto"/>
        </w:rPr>
        <w:t>Development Milestones</w:t>
      </w:r>
      <w:r>
        <w:rPr>
          <w:rFonts w:ascii="Times New Roman" w:cs="Times New Roman" w:eastAsia="Times New Roman" w:hAnsi="Times New Roman"/>
          <w:sz w:val="20"/>
          <w:szCs w:val="20"/>
          <w:color w:val="auto"/>
        </w:rPr>
        <w:t>: The development Milestones set forth below shall apply only to the Licensed Products set forth</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below. Each time a Milestone set forth below is achieved by Licensee or a Sublicensee, Licensee shall pay to Licensor the corresponding development Milestone Payment set forth below:</w:t>
      </w:r>
    </w:p>
    <w:p>
      <w:pPr>
        <w:spacing w:after="0" w:line="178" w:lineRule="exact"/>
        <w:rPr>
          <w:sz w:val="20"/>
          <w:szCs w:val="20"/>
          <w:color w:val="auto"/>
        </w:rPr>
      </w:pPr>
    </w:p>
    <w:tbl>
      <w:tblPr>
        <w:tblLayout w:type="fixed"/>
        <w:tblInd w:w="2270" w:type="dxa"/>
        <w:tblCellMar>
          <w:top w:w="0" w:type="dxa"/>
          <w:left w:w="0" w:type="dxa"/>
          <w:bottom w:w="0" w:type="dxa"/>
          <w:right w:w="0" w:type="dxa"/>
        </w:tblCellMar>
      </w:tblPr>
      <w:tr>
        <w:trPr>
          <w:trHeight w:val="263"/>
        </w:trPr>
        <w:tc>
          <w:tcPr>
            <w:tcW w:w="380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5180" w:type="dxa"/>
            <w:vAlign w:val="bottom"/>
            <w:tcBorders>
              <w:top w:val="single" w:sz="8" w:color="auto"/>
              <w:bottom w:val="single" w:sz="8" w:color="auto"/>
              <w:right w:val="single" w:sz="8" w:color="auto"/>
            </w:tcBorders>
            <w:gridSpan w:val="2"/>
          </w:tcPr>
          <w:p>
            <w:pPr>
              <w:ind w:left="940"/>
              <w:spacing w:after="0"/>
              <w:rPr>
                <w:sz w:val="20"/>
                <w:szCs w:val="20"/>
                <w:color w:val="auto"/>
              </w:rPr>
            </w:pPr>
            <w:r>
              <w:rPr>
                <w:rFonts w:ascii="Times New Roman" w:cs="Times New Roman" w:eastAsia="Times New Roman" w:hAnsi="Times New Roman"/>
                <w:sz w:val="20"/>
                <w:szCs w:val="20"/>
                <w:b w:val="1"/>
                <w:bCs w:val="1"/>
                <w:i w:val="1"/>
                <w:iCs w:val="1"/>
                <w:color w:val="auto"/>
              </w:rPr>
              <w:t>Development Milestone Payment (USD)</w:t>
            </w:r>
          </w:p>
        </w:tc>
      </w:tr>
      <w:tr>
        <w:trPr>
          <w:trHeight w:val="206"/>
        </w:trPr>
        <w:tc>
          <w:tcPr>
            <w:tcW w:w="3800" w:type="dxa"/>
            <w:vAlign w:val="bottom"/>
            <w:tcBorders>
              <w:bottom w:val="single" w:sz="8" w:color="auto"/>
              <w:right w:val="single" w:sz="8" w:color="auto"/>
            </w:tcBorders>
          </w:tcPr>
          <w:p>
            <w:pPr>
              <w:ind w:left="120"/>
              <w:spacing w:after="0" w:line="207" w:lineRule="exact"/>
              <w:rPr>
                <w:sz w:val="20"/>
                <w:szCs w:val="20"/>
                <w:color w:val="auto"/>
              </w:rPr>
            </w:pPr>
            <w:r>
              <w:rPr>
                <w:rFonts w:ascii="Times New Roman" w:cs="Times New Roman" w:eastAsia="Times New Roman" w:hAnsi="Times New Roman"/>
                <w:sz w:val="20"/>
                <w:szCs w:val="20"/>
                <w:b w:val="1"/>
                <w:bCs w:val="1"/>
                <w:i w:val="1"/>
                <w:iCs w:val="1"/>
                <w:color w:val="auto"/>
              </w:rPr>
              <w:t>Development Milestone</w:t>
            </w:r>
          </w:p>
        </w:tc>
        <w:tc>
          <w:tcPr>
            <w:tcW w:w="2600" w:type="dxa"/>
            <w:vAlign w:val="bottom"/>
            <w:tcBorders>
              <w:bottom w:val="single" w:sz="8" w:color="auto"/>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20"/>
                <w:szCs w:val="20"/>
                <w:b w:val="1"/>
                <w:bCs w:val="1"/>
                <w:i w:val="1"/>
                <w:iCs w:val="1"/>
                <w:color w:val="auto"/>
                <w:w w:val="98"/>
              </w:rPr>
              <w:t>ERI-3003 Product</w:t>
            </w:r>
          </w:p>
        </w:tc>
        <w:tc>
          <w:tcPr>
            <w:tcW w:w="2580" w:type="dxa"/>
            <w:vAlign w:val="bottom"/>
            <w:tcBorders>
              <w:bottom w:val="single" w:sz="8" w:color="auto"/>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20"/>
                <w:szCs w:val="20"/>
                <w:b w:val="1"/>
                <w:bCs w:val="1"/>
                <w:i w:val="1"/>
                <w:iCs w:val="1"/>
                <w:color w:val="auto"/>
                <w:w w:val="98"/>
              </w:rPr>
              <w:t>ERI-3206 Product</w:t>
            </w:r>
          </w:p>
        </w:tc>
      </w:tr>
      <w:tr>
        <w:trPr>
          <w:trHeight w:val="223"/>
        </w:trPr>
        <w:tc>
          <w:tcPr>
            <w:tcW w:w="3800" w:type="dxa"/>
            <w:vAlign w:val="bottom"/>
            <w:tcBorders>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6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w:t>
            </w:r>
          </w:p>
        </w:tc>
        <w:tc>
          <w:tcPr>
            <w:tcW w:w="25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23"/>
        </w:trPr>
        <w:tc>
          <w:tcPr>
            <w:tcW w:w="3800" w:type="dxa"/>
            <w:vAlign w:val="bottom"/>
            <w:tcBorders>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6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w:t>
            </w:r>
          </w:p>
        </w:tc>
        <w:tc>
          <w:tcPr>
            <w:tcW w:w="25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23"/>
        </w:trPr>
        <w:tc>
          <w:tcPr>
            <w:tcW w:w="3800" w:type="dxa"/>
            <w:vAlign w:val="bottom"/>
            <w:tcBorders>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6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w:t>
            </w:r>
          </w:p>
        </w:tc>
        <w:tc>
          <w:tcPr>
            <w:tcW w:w="25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23"/>
        </w:trPr>
        <w:tc>
          <w:tcPr>
            <w:tcW w:w="3800" w:type="dxa"/>
            <w:vAlign w:val="bottom"/>
            <w:tcBorders>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6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w:t>
            </w:r>
          </w:p>
        </w:tc>
        <w:tc>
          <w:tcPr>
            <w:tcW w:w="25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23"/>
        </w:trPr>
        <w:tc>
          <w:tcPr>
            <w:tcW w:w="3800" w:type="dxa"/>
            <w:vAlign w:val="bottom"/>
            <w:tcBorders>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6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w:t>
            </w:r>
          </w:p>
        </w:tc>
        <w:tc>
          <w:tcPr>
            <w:tcW w:w="25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23"/>
        </w:trPr>
        <w:tc>
          <w:tcPr>
            <w:tcW w:w="3800" w:type="dxa"/>
            <w:vAlign w:val="bottom"/>
            <w:tcBorders>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6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w:t>
            </w:r>
          </w:p>
        </w:tc>
        <w:tc>
          <w:tcPr>
            <w:tcW w:w="25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23"/>
        </w:trPr>
        <w:tc>
          <w:tcPr>
            <w:tcW w:w="3800" w:type="dxa"/>
            <w:vAlign w:val="bottom"/>
            <w:tcBorders>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i w:val="1"/>
                <w:iCs w:val="1"/>
                <w:color w:val="auto"/>
              </w:rPr>
              <w:t>TOTAL</w:t>
            </w:r>
          </w:p>
        </w:tc>
        <w:tc>
          <w:tcPr>
            <w:tcW w:w="26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w:t>
            </w:r>
          </w:p>
        </w:tc>
        <w:tc>
          <w:tcPr>
            <w:tcW w:w="25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w:t>
            </w:r>
          </w:p>
        </w:tc>
      </w:tr>
    </w:tbl>
    <w:p>
      <w:pPr>
        <w:spacing w:after="0" w:line="207" w:lineRule="exact"/>
        <w:rPr>
          <w:sz w:val="20"/>
          <w:szCs w:val="20"/>
          <w:color w:val="auto"/>
        </w:rPr>
      </w:pPr>
    </w:p>
    <w:p>
      <w:pPr>
        <w:jc w:val="both"/>
        <w:ind w:left="1500"/>
        <w:spacing w:after="0" w:line="249" w:lineRule="auto"/>
        <w:rPr>
          <w:sz w:val="20"/>
          <w:szCs w:val="20"/>
          <w:color w:val="auto"/>
        </w:rPr>
      </w:pPr>
      <w:r>
        <w:rPr>
          <w:rFonts w:ascii="Times New Roman" w:cs="Times New Roman" w:eastAsia="Times New Roman" w:hAnsi="Times New Roman"/>
          <w:sz w:val="20"/>
          <w:szCs w:val="20"/>
          <w:u w:val="single" w:color="auto"/>
          <w:color w:val="auto"/>
        </w:rPr>
        <w:t>Commercial Milestones</w:t>
      </w:r>
      <w:r>
        <w:rPr>
          <w:rFonts w:ascii="Times New Roman" w:cs="Times New Roman" w:eastAsia="Times New Roman" w:hAnsi="Times New Roman"/>
          <w:sz w:val="20"/>
          <w:szCs w:val="20"/>
          <w:color w:val="auto"/>
        </w:rPr>
        <w:t>. For each Licensed Product set forth below, the first time each commercial Milestone set forth below is achieved by Licensee or a Sublicense, Licensee shall pay to Licensor the corresponding commercial Milestone Payment set forth below. For clarity, for each Licensed Product set forth below, commercial Milestone Payments shall be [***].</w:t>
      </w:r>
    </w:p>
    <w:p>
      <w:pPr>
        <w:spacing w:after="0" w:line="395" w:lineRule="exact"/>
        <w:rPr>
          <w:sz w:val="20"/>
          <w:szCs w:val="20"/>
          <w:color w:val="auto"/>
        </w:rPr>
      </w:pPr>
    </w:p>
    <w:tbl>
      <w:tblPr>
        <w:tblLayout w:type="fixed"/>
        <w:tblInd w:w="1970" w:type="dxa"/>
        <w:tblCellMar>
          <w:top w:w="0" w:type="dxa"/>
          <w:left w:w="0" w:type="dxa"/>
          <w:bottom w:w="0" w:type="dxa"/>
          <w:right w:w="0" w:type="dxa"/>
        </w:tblCellMar>
      </w:tblPr>
      <w:tr>
        <w:trPr>
          <w:trHeight w:val="263"/>
        </w:trPr>
        <w:tc>
          <w:tcPr>
            <w:tcW w:w="318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5800" w:type="dxa"/>
            <w:vAlign w:val="bottom"/>
            <w:tcBorders>
              <w:top w:val="single" w:sz="8" w:color="auto"/>
              <w:bottom w:val="single" w:sz="8" w:color="auto"/>
              <w:right w:val="single" w:sz="8" w:color="auto"/>
            </w:tcBorders>
            <w:gridSpan w:val="2"/>
          </w:tcPr>
          <w:p>
            <w:pPr>
              <w:ind w:left="1280"/>
              <w:spacing w:after="0"/>
              <w:rPr>
                <w:sz w:val="20"/>
                <w:szCs w:val="20"/>
                <w:color w:val="auto"/>
              </w:rPr>
            </w:pPr>
            <w:r>
              <w:rPr>
                <w:rFonts w:ascii="Times New Roman" w:cs="Times New Roman" w:eastAsia="Times New Roman" w:hAnsi="Times New Roman"/>
                <w:sz w:val="20"/>
                <w:szCs w:val="20"/>
                <w:b w:val="1"/>
                <w:bCs w:val="1"/>
                <w:i w:val="1"/>
                <w:iCs w:val="1"/>
                <w:color w:val="auto"/>
              </w:rPr>
              <w:t>Commercial Milestone Payment (USD)</w:t>
            </w:r>
          </w:p>
        </w:tc>
      </w:tr>
      <w:tr>
        <w:trPr>
          <w:trHeight w:val="206"/>
        </w:trPr>
        <w:tc>
          <w:tcPr>
            <w:tcW w:w="3180" w:type="dxa"/>
            <w:vAlign w:val="bottom"/>
            <w:tcBorders>
              <w:bottom w:val="single" w:sz="8" w:color="auto"/>
              <w:right w:val="single" w:sz="8" w:color="auto"/>
            </w:tcBorders>
          </w:tcPr>
          <w:p>
            <w:pPr>
              <w:ind w:left="120"/>
              <w:spacing w:after="0" w:line="207" w:lineRule="exact"/>
              <w:rPr>
                <w:sz w:val="20"/>
                <w:szCs w:val="20"/>
                <w:color w:val="auto"/>
              </w:rPr>
            </w:pPr>
            <w:r>
              <w:rPr>
                <w:rFonts w:ascii="Times New Roman" w:cs="Times New Roman" w:eastAsia="Times New Roman" w:hAnsi="Times New Roman"/>
                <w:sz w:val="20"/>
                <w:szCs w:val="20"/>
                <w:b w:val="1"/>
                <w:bCs w:val="1"/>
                <w:i w:val="1"/>
                <w:iCs w:val="1"/>
                <w:color w:val="auto"/>
              </w:rPr>
              <w:t>Commercial Milestone</w:t>
            </w:r>
          </w:p>
        </w:tc>
        <w:tc>
          <w:tcPr>
            <w:tcW w:w="2900" w:type="dxa"/>
            <w:vAlign w:val="bottom"/>
            <w:tcBorders>
              <w:bottom w:val="single" w:sz="8" w:color="auto"/>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20"/>
                <w:szCs w:val="20"/>
                <w:b w:val="1"/>
                <w:bCs w:val="1"/>
                <w:i w:val="1"/>
                <w:iCs w:val="1"/>
                <w:color w:val="auto"/>
                <w:w w:val="98"/>
              </w:rPr>
              <w:t>ERI-3003 Product</w:t>
            </w:r>
          </w:p>
        </w:tc>
        <w:tc>
          <w:tcPr>
            <w:tcW w:w="2900" w:type="dxa"/>
            <w:vAlign w:val="bottom"/>
            <w:tcBorders>
              <w:bottom w:val="single" w:sz="8" w:color="auto"/>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20"/>
                <w:szCs w:val="20"/>
                <w:b w:val="1"/>
                <w:bCs w:val="1"/>
                <w:i w:val="1"/>
                <w:iCs w:val="1"/>
                <w:color w:val="auto"/>
                <w:w w:val="98"/>
              </w:rPr>
              <w:t>ERI-3206 Product</w:t>
            </w:r>
          </w:p>
        </w:tc>
      </w:tr>
      <w:tr>
        <w:trPr>
          <w:trHeight w:val="223"/>
        </w:trPr>
        <w:tc>
          <w:tcPr>
            <w:tcW w:w="3180" w:type="dxa"/>
            <w:vAlign w:val="bottom"/>
            <w:tcBorders>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w:t>
            </w:r>
          </w:p>
        </w:tc>
      </w:tr>
      <w:tr>
        <w:trPr>
          <w:trHeight w:val="223"/>
        </w:trPr>
        <w:tc>
          <w:tcPr>
            <w:tcW w:w="3180" w:type="dxa"/>
            <w:vAlign w:val="bottom"/>
            <w:tcBorders>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w:t>
            </w:r>
          </w:p>
        </w:tc>
      </w:tr>
      <w:tr>
        <w:trPr>
          <w:trHeight w:val="223"/>
        </w:trPr>
        <w:tc>
          <w:tcPr>
            <w:tcW w:w="3180" w:type="dxa"/>
            <w:vAlign w:val="bottom"/>
            <w:tcBorders>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w:t>
            </w:r>
          </w:p>
        </w:tc>
      </w:tr>
      <w:tr>
        <w:trPr>
          <w:trHeight w:val="223"/>
        </w:trPr>
        <w:tc>
          <w:tcPr>
            <w:tcW w:w="3180" w:type="dxa"/>
            <w:vAlign w:val="bottom"/>
            <w:tcBorders>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w:t>
            </w:r>
          </w:p>
        </w:tc>
      </w:tr>
      <w:tr>
        <w:trPr>
          <w:trHeight w:val="223"/>
        </w:trPr>
        <w:tc>
          <w:tcPr>
            <w:tcW w:w="3180" w:type="dxa"/>
            <w:vAlign w:val="bottom"/>
            <w:tcBorders>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w:t>
            </w:r>
          </w:p>
        </w:tc>
      </w:tr>
      <w:tr>
        <w:trPr>
          <w:trHeight w:val="223"/>
        </w:trPr>
        <w:tc>
          <w:tcPr>
            <w:tcW w:w="3180" w:type="dxa"/>
            <w:vAlign w:val="bottom"/>
            <w:tcBorders>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w:t>
            </w:r>
          </w:p>
        </w:tc>
      </w:tr>
      <w:tr>
        <w:trPr>
          <w:trHeight w:val="223"/>
        </w:trPr>
        <w:tc>
          <w:tcPr>
            <w:tcW w:w="3180" w:type="dxa"/>
            <w:vAlign w:val="bottom"/>
            <w:tcBorders>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w:t>
            </w:r>
          </w:p>
        </w:tc>
      </w:tr>
      <w:tr>
        <w:trPr>
          <w:trHeight w:val="223"/>
        </w:trPr>
        <w:tc>
          <w:tcPr>
            <w:tcW w:w="3180" w:type="dxa"/>
            <w:vAlign w:val="bottom"/>
            <w:tcBorders>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w:t>
            </w:r>
          </w:p>
        </w:tc>
      </w:tr>
      <w:tr>
        <w:trPr>
          <w:trHeight w:val="223"/>
        </w:trPr>
        <w:tc>
          <w:tcPr>
            <w:tcW w:w="3180" w:type="dxa"/>
            <w:vAlign w:val="bottom"/>
            <w:tcBorders>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b w:val="1"/>
                <w:bCs w:val="1"/>
                <w:i w:val="1"/>
                <w:iCs w:val="1"/>
                <w:color w:val="auto"/>
              </w:rPr>
              <w:t>TOTAL</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w:t>
            </w:r>
          </w:p>
        </w:tc>
        <w:tc>
          <w:tcPr>
            <w:tcW w:w="2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w:t>
            </w:r>
          </w:p>
        </w:tc>
      </w:tr>
    </w:tbl>
    <w:p>
      <w:pPr>
        <w:spacing w:after="0" w:line="200" w:lineRule="exact"/>
        <w:rPr>
          <w:sz w:val="20"/>
          <w:szCs w:val="20"/>
          <w:color w:val="auto"/>
        </w:rPr>
      </w:pPr>
    </w:p>
    <w:p>
      <w:pPr>
        <w:spacing w:after="0" w:line="232" w:lineRule="exact"/>
        <w:rPr>
          <w:sz w:val="20"/>
          <w:szCs w:val="20"/>
          <w:color w:val="auto"/>
        </w:rPr>
      </w:pPr>
    </w:p>
    <w:p>
      <w:pPr>
        <w:jc w:val="both"/>
        <w:ind w:left="1200" w:hanging="1497"/>
        <w:spacing w:after="0" w:line="246" w:lineRule="auto"/>
        <w:tabs>
          <w:tab w:leader="none" w:pos="1180" w:val="left"/>
        </w:tabs>
        <w:rPr>
          <w:sz w:val="20"/>
          <w:szCs w:val="20"/>
          <w:color w:val="auto"/>
        </w:rPr>
      </w:pPr>
      <w:r>
        <w:rPr>
          <w:rFonts w:ascii="Times New Roman" w:cs="Times New Roman" w:eastAsia="Times New Roman" w:hAnsi="Times New Roman"/>
          <w:sz w:val="20"/>
          <w:szCs w:val="20"/>
          <w:i w:val="1"/>
          <w:iCs w:val="1"/>
          <w:color w:val="auto"/>
        </w:rPr>
        <w:t>Sec. 5.1.2</w:t>
      </w:r>
      <w:r>
        <w:rPr>
          <w:sz w:val="20"/>
          <w:szCs w:val="20"/>
          <w:color w:val="auto"/>
        </w:rPr>
        <w:tab/>
      </w: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xml:space="preserve"> of the Agreement, Commencing upon the First Commercial Sale of a Licensed Product by Licensee in any country in the Licensed Territory and continuing until the expiration of the Royalty Term for such Licensed Product in such country, on a [***] basis, Licensee shall pay to Licensor a Royalty on Net Sales in such country equal to [***] of Net Sales of such Licensed Products; </w:t>
      </w:r>
      <w:r>
        <w:rPr>
          <w:rFonts w:ascii="Times New Roman" w:cs="Times New Roman" w:eastAsia="Times New Roman" w:hAnsi="Times New Roman"/>
          <w:sz w:val="20"/>
          <w:szCs w:val="20"/>
          <w:i w:val="1"/>
          <w:iCs w:val="1"/>
          <w:u w:val="single" w:color="auto"/>
          <w:color w:val="auto"/>
        </w:rPr>
        <w:t>provided, however</w:t>
      </w:r>
      <w:r>
        <w:rPr>
          <w:rFonts w:ascii="Times New Roman" w:cs="Times New Roman" w:eastAsia="Times New Roman" w:hAnsi="Times New Roman"/>
          <w:sz w:val="20"/>
          <w:szCs w:val="20"/>
          <w:color w:val="auto"/>
        </w:rPr>
        <w:t>, that upon [***], the Royalty on Net Sales in such country shall be equal to [***] of Net Sales of such Licensed Product for the remainder of the Royalty Term.</w:t>
      </w:r>
    </w:p>
    <w:p>
      <w:pPr>
        <w:spacing w:after="0" w:line="185" w:lineRule="exact"/>
        <w:rPr>
          <w:sz w:val="20"/>
          <w:szCs w:val="20"/>
          <w:color w:val="auto"/>
        </w:rPr>
      </w:pPr>
    </w:p>
    <w:p>
      <w:pPr>
        <w:ind w:left="80"/>
        <w:spacing w:after="0"/>
        <w:tabs>
          <w:tab w:leader="none" w:pos="1180" w:val="left"/>
        </w:tabs>
        <w:rPr>
          <w:sz w:val="20"/>
          <w:szCs w:val="20"/>
          <w:color w:val="auto"/>
        </w:rPr>
      </w:pPr>
      <w:r>
        <w:rPr>
          <w:rFonts w:ascii="Times New Roman" w:cs="Times New Roman" w:eastAsia="Times New Roman" w:hAnsi="Times New Roman"/>
          <w:sz w:val="20"/>
          <w:szCs w:val="20"/>
          <w:i w:val="1"/>
          <w:iCs w:val="1"/>
          <w:color w:val="auto"/>
        </w:rPr>
        <w:t>Sec. 5.1.4</w:t>
      </w:r>
      <w:r>
        <w:rPr>
          <w:sz w:val="20"/>
          <w:szCs w:val="20"/>
          <w:color w:val="auto"/>
        </w:rPr>
        <w:tab/>
      </w:r>
      <w:r>
        <w:rPr>
          <w:rFonts w:ascii="Times New Roman" w:cs="Times New Roman" w:eastAsia="Times New Roman" w:hAnsi="Times New Roman"/>
          <w:sz w:val="20"/>
          <w:szCs w:val="20"/>
          <w:color w:val="auto"/>
        </w:rPr>
        <w:t>Licensee shall pay to Licensor an amount equal to the percentage of Sublicense Fees received by Licensee or any of its</w:t>
      </w:r>
    </w:p>
    <w:p>
      <w:pPr>
        <w:spacing w:after="0" w:line="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Affiliates in accordance with the table set forth below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8" w:name="page219"/>
    <w:bookmarkEnd w:id="218"/>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356"/>
        </w:trPr>
        <w:tc>
          <w:tcPr>
            <w:tcW w:w="5420" w:type="dxa"/>
            <w:vAlign w:val="bottom"/>
            <w:tcBorders>
              <w:top w:val="single" w:sz="8" w:color="auto"/>
              <w:left w:val="single" w:sz="8" w:color="auto"/>
              <w:bottom w:val="single" w:sz="8" w:color="D9D9D9"/>
              <w:right w:val="single" w:sz="8" w:color="auto"/>
            </w:tcBorders>
            <w:shd w:val="clear" w:color="auto" w:fill="D9D9D9"/>
          </w:tcPr>
          <w:p>
            <w:pPr>
              <w:jc w:val="right"/>
              <w:ind w:right="1714"/>
              <w:spacing w:after="0"/>
              <w:rPr>
                <w:sz w:val="20"/>
                <w:szCs w:val="20"/>
                <w:color w:val="auto"/>
              </w:rPr>
            </w:pPr>
            <w:r>
              <w:rPr>
                <w:rFonts w:ascii="Times New Roman" w:cs="Times New Roman" w:eastAsia="Times New Roman" w:hAnsi="Times New Roman"/>
                <w:sz w:val="20"/>
                <w:szCs w:val="20"/>
                <w:b w:val="1"/>
                <w:bCs w:val="1"/>
                <w:i w:val="1"/>
                <w:iCs w:val="1"/>
                <w:color w:val="auto"/>
              </w:rPr>
              <w:t>Sublicense Fee Event</w:t>
            </w:r>
          </w:p>
        </w:tc>
        <w:tc>
          <w:tcPr>
            <w:tcW w:w="358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8"/>
              </w:rPr>
              <w:t>% of Sublicense Fee</w:t>
            </w:r>
          </w:p>
        </w:tc>
        <w:tc>
          <w:tcPr>
            <w:tcW w:w="2240" w:type="dxa"/>
            <w:vAlign w:val="bottom"/>
          </w:tcPr>
          <w:p>
            <w:pPr>
              <w:spacing w:after="0"/>
              <w:rPr>
                <w:sz w:val="24"/>
                <w:szCs w:val="24"/>
                <w:color w:val="auto"/>
              </w:rPr>
            </w:pPr>
          </w:p>
        </w:tc>
      </w:tr>
      <w:tr>
        <w:trPr>
          <w:trHeight w:val="306"/>
        </w:trPr>
        <w:tc>
          <w:tcPr>
            <w:tcW w:w="5420" w:type="dxa"/>
            <w:vAlign w:val="bottom"/>
            <w:tcBorders>
              <w:top w:val="single" w:sz="8" w:color="auto"/>
              <w:right w:val="single" w:sz="8" w:color="auto"/>
            </w:tcBorders>
          </w:tcPr>
          <w:p>
            <w:pPr>
              <w:jc w:val="right"/>
              <w:ind w:right="4734"/>
              <w:spacing w:after="0"/>
              <w:rPr>
                <w:sz w:val="20"/>
                <w:szCs w:val="20"/>
                <w:color w:val="auto"/>
              </w:rPr>
            </w:pPr>
            <w:r>
              <w:rPr>
                <w:rFonts w:ascii="Times New Roman" w:cs="Times New Roman" w:eastAsia="Times New Roman" w:hAnsi="Times New Roman"/>
                <w:sz w:val="22"/>
                <w:szCs w:val="22"/>
                <w:color w:val="auto"/>
              </w:rPr>
              <w:t>[***]</w:t>
            </w:r>
          </w:p>
        </w:tc>
        <w:tc>
          <w:tcPr>
            <w:tcW w:w="3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240" w:type="dxa"/>
            <w:vAlign w:val="bottom"/>
          </w:tcPr>
          <w:p>
            <w:pPr>
              <w:spacing w:after="0"/>
              <w:rPr>
                <w:sz w:val="24"/>
                <w:szCs w:val="24"/>
                <w:color w:val="auto"/>
              </w:rPr>
            </w:pPr>
          </w:p>
        </w:tc>
      </w:tr>
      <w:tr>
        <w:trPr>
          <w:trHeight w:val="42"/>
        </w:trPr>
        <w:tc>
          <w:tcPr>
            <w:tcW w:w="5420" w:type="dxa"/>
            <w:vAlign w:val="bottom"/>
            <w:tcBorders>
              <w:bottom w:val="single" w:sz="8" w:color="auto"/>
              <w:right w:val="single" w:sz="8" w:color="auto"/>
            </w:tcBorders>
          </w:tcPr>
          <w:p>
            <w:pPr>
              <w:spacing w:after="0"/>
              <w:rPr>
                <w:sz w:val="3"/>
                <w:szCs w:val="3"/>
                <w:color w:val="auto"/>
              </w:rPr>
            </w:pPr>
          </w:p>
        </w:tc>
        <w:tc>
          <w:tcPr>
            <w:tcW w:w="3580" w:type="dxa"/>
            <w:vAlign w:val="bottom"/>
            <w:tcBorders>
              <w:bottom w:val="single" w:sz="8" w:color="auto"/>
              <w:right w:val="single" w:sz="8" w:color="auto"/>
            </w:tcBorders>
          </w:tcPr>
          <w:p>
            <w:pPr>
              <w:spacing w:after="0"/>
              <w:rPr>
                <w:sz w:val="3"/>
                <w:szCs w:val="3"/>
                <w:color w:val="auto"/>
              </w:rPr>
            </w:pPr>
          </w:p>
        </w:tc>
        <w:tc>
          <w:tcPr>
            <w:tcW w:w="2240" w:type="dxa"/>
            <w:vAlign w:val="bottom"/>
          </w:tcPr>
          <w:p>
            <w:pPr>
              <w:spacing w:after="0"/>
              <w:rPr>
                <w:sz w:val="3"/>
                <w:szCs w:val="3"/>
                <w:color w:val="auto"/>
              </w:rPr>
            </w:pPr>
          </w:p>
        </w:tc>
      </w:tr>
      <w:tr>
        <w:trPr>
          <w:trHeight w:val="303"/>
        </w:trPr>
        <w:tc>
          <w:tcPr>
            <w:tcW w:w="5420" w:type="dxa"/>
            <w:vAlign w:val="bottom"/>
            <w:tcBorders>
              <w:right w:val="single" w:sz="8" w:color="auto"/>
            </w:tcBorders>
          </w:tcPr>
          <w:p>
            <w:pPr>
              <w:jc w:val="right"/>
              <w:ind w:right="4734"/>
              <w:spacing w:after="0"/>
              <w:rPr>
                <w:sz w:val="20"/>
                <w:szCs w:val="20"/>
                <w:color w:val="auto"/>
              </w:rPr>
            </w:pPr>
            <w:r>
              <w:rPr>
                <w:rFonts w:ascii="Times New Roman" w:cs="Times New Roman" w:eastAsia="Times New Roman" w:hAnsi="Times New Roman"/>
                <w:sz w:val="22"/>
                <w:szCs w:val="22"/>
                <w:color w:val="auto"/>
              </w:rPr>
              <w:t>[***]</w:t>
            </w:r>
          </w:p>
        </w:tc>
        <w:tc>
          <w:tcPr>
            <w:tcW w:w="3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240" w:type="dxa"/>
            <w:vAlign w:val="bottom"/>
          </w:tcPr>
          <w:p>
            <w:pPr>
              <w:spacing w:after="0"/>
              <w:rPr>
                <w:sz w:val="24"/>
                <w:szCs w:val="24"/>
                <w:color w:val="auto"/>
              </w:rPr>
            </w:pPr>
          </w:p>
        </w:tc>
      </w:tr>
      <w:tr>
        <w:trPr>
          <w:trHeight w:val="42"/>
        </w:trPr>
        <w:tc>
          <w:tcPr>
            <w:tcW w:w="5420" w:type="dxa"/>
            <w:vAlign w:val="bottom"/>
            <w:tcBorders>
              <w:bottom w:val="single" w:sz="8" w:color="auto"/>
              <w:right w:val="single" w:sz="8" w:color="auto"/>
            </w:tcBorders>
          </w:tcPr>
          <w:p>
            <w:pPr>
              <w:spacing w:after="0"/>
              <w:rPr>
                <w:sz w:val="3"/>
                <w:szCs w:val="3"/>
                <w:color w:val="auto"/>
              </w:rPr>
            </w:pPr>
          </w:p>
        </w:tc>
        <w:tc>
          <w:tcPr>
            <w:tcW w:w="3580" w:type="dxa"/>
            <w:vAlign w:val="bottom"/>
            <w:tcBorders>
              <w:bottom w:val="single" w:sz="8" w:color="auto"/>
              <w:right w:val="single" w:sz="8" w:color="auto"/>
            </w:tcBorders>
          </w:tcPr>
          <w:p>
            <w:pPr>
              <w:spacing w:after="0"/>
              <w:rPr>
                <w:sz w:val="3"/>
                <w:szCs w:val="3"/>
                <w:color w:val="auto"/>
              </w:rPr>
            </w:pPr>
          </w:p>
        </w:tc>
        <w:tc>
          <w:tcPr>
            <w:tcW w:w="2240" w:type="dxa"/>
            <w:vAlign w:val="bottom"/>
          </w:tcPr>
          <w:p>
            <w:pPr>
              <w:spacing w:after="0"/>
              <w:rPr>
                <w:sz w:val="3"/>
                <w:szCs w:val="3"/>
                <w:color w:val="auto"/>
              </w:rPr>
            </w:pPr>
          </w:p>
        </w:tc>
      </w:tr>
      <w:tr>
        <w:trPr>
          <w:trHeight w:val="303"/>
        </w:trPr>
        <w:tc>
          <w:tcPr>
            <w:tcW w:w="5420" w:type="dxa"/>
            <w:vAlign w:val="bottom"/>
            <w:tcBorders>
              <w:right w:val="single" w:sz="8" w:color="auto"/>
            </w:tcBorders>
          </w:tcPr>
          <w:p>
            <w:pPr>
              <w:jc w:val="right"/>
              <w:ind w:right="4734"/>
              <w:spacing w:after="0"/>
              <w:rPr>
                <w:sz w:val="20"/>
                <w:szCs w:val="20"/>
                <w:color w:val="auto"/>
              </w:rPr>
            </w:pPr>
            <w:r>
              <w:rPr>
                <w:rFonts w:ascii="Times New Roman" w:cs="Times New Roman" w:eastAsia="Times New Roman" w:hAnsi="Times New Roman"/>
                <w:sz w:val="22"/>
                <w:szCs w:val="22"/>
                <w:color w:val="auto"/>
              </w:rPr>
              <w:t>[***]</w:t>
            </w:r>
          </w:p>
        </w:tc>
        <w:tc>
          <w:tcPr>
            <w:tcW w:w="3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240" w:type="dxa"/>
            <w:vAlign w:val="bottom"/>
          </w:tcPr>
          <w:p>
            <w:pPr>
              <w:spacing w:after="0"/>
              <w:rPr>
                <w:sz w:val="24"/>
                <w:szCs w:val="24"/>
                <w:color w:val="auto"/>
              </w:rPr>
            </w:pPr>
          </w:p>
        </w:tc>
      </w:tr>
      <w:tr>
        <w:trPr>
          <w:trHeight w:val="42"/>
        </w:trPr>
        <w:tc>
          <w:tcPr>
            <w:tcW w:w="5420" w:type="dxa"/>
            <w:vAlign w:val="bottom"/>
            <w:tcBorders>
              <w:bottom w:val="single" w:sz="8" w:color="auto"/>
              <w:right w:val="single" w:sz="8" w:color="auto"/>
            </w:tcBorders>
          </w:tcPr>
          <w:p>
            <w:pPr>
              <w:spacing w:after="0"/>
              <w:rPr>
                <w:sz w:val="3"/>
                <w:szCs w:val="3"/>
                <w:color w:val="auto"/>
              </w:rPr>
            </w:pPr>
          </w:p>
        </w:tc>
        <w:tc>
          <w:tcPr>
            <w:tcW w:w="3580" w:type="dxa"/>
            <w:vAlign w:val="bottom"/>
            <w:tcBorders>
              <w:bottom w:val="single" w:sz="8" w:color="auto"/>
              <w:right w:val="single" w:sz="8" w:color="auto"/>
            </w:tcBorders>
          </w:tcPr>
          <w:p>
            <w:pPr>
              <w:spacing w:after="0"/>
              <w:rPr>
                <w:sz w:val="3"/>
                <w:szCs w:val="3"/>
                <w:color w:val="auto"/>
              </w:rPr>
            </w:pPr>
          </w:p>
        </w:tc>
        <w:tc>
          <w:tcPr>
            <w:tcW w:w="2240" w:type="dxa"/>
            <w:vAlign w:val="bottom"/>
          </w:tcPr>
          <w:p>
            <w:pPr>
              <w:spacing w:after="0"/>
              <w:rPr>
                <w:sz w:val="3"/>
                <w:szCs w:val="3"/>
                <w:color w:val="auto"/>
              </w:rPr>
            </w:pPr>
          </w:p>
        </w:tc>
      </w:tr>
      <w:tr>
        <w:trPr>
          <w:trHeight w:val="4064"/>
        </w:trPr>
        <w:tc>
          <w:tcPr>
            <w:tcW w:w="542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9" w:name="page220"/>
    <w:bookmarkEnd w:id="219"/>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Exhibit B</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Foundational Patents</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892810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20" w:name="page221"/>
    <w:bookmarkEnd w:id="220"/>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Exhibit 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Licensed Patents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1029970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1" w:name="page222"/>
    <w:bookmarkEnd w:id="221"/>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Exhibit 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Improvement Patents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[To be added during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1040130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2" w:name="page223"/>
    <w:bookmarkEnd w:id="222"/>
    <w:p>
      <w:pPr>
        <w:ind w:left="10120"/>
        <w:spacing w:after="0"/>
        <w:rPr>
          <w:sz w:val="20"/>
          <w:szCs w:val="20"/>
          <w:color w:val="auto"/>
        </w:rPr>
      </w:pPr>
      <w:r>
        <w:rPr>
          <w:rFonts w:ascii="Times New Roman" w:cs="Times New Roman" w:eastAsia="Times New Roman" w:hAnsi="Times New Roman"/>
          <w:sz w:val="19"/>
          <w:szCs w:val="19"/>
          <w:b w:val="1"/>
          <w:bCs w:val="1"/>
          <w:color w:val="auto"/>
        </w:rPr>
        <w:t>Exhibit 10.27</w:t>
      </w:r>
    </w:p>
    <w:p>
      <w:pPr>
        <w:spacing w:after="0" w:line="241" w:lineRule="exact"/>
        <w:rPr>
          <w:sz w:val="20"/>
          <w:szCs w:val="20"/>
          <w:color w:val="auto"/>
        </w:rPr>
      </w:pPr>
    </w:p>
    <w:p>
      <w:pPr>
        <w:jc w:val="center"/>
        <w:ind w:right="4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CERTAIN CONFIDENTIAL INFORMATION CONTAINED IN THIS DOCUMENT, MARKED BY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HAS BEEN OMITTED BECAUSE IT IS BOTH (I) NOT MATERIAL AND (II) IS THE TYPE THAT TEMPEST THERAPEUTICS, INC. TREATS AS PRIVATE AND CONFIDENTIAL</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MASTER SERVICES AGREEMENT</w:t>
      </w:r>
    </w:p>
    <w:p>
      <w:pPr>
        <w:spacing w:after="0" w:line="200" w:lineRule="exact"/>
        <w:rPr>
          <w:sz w:val="20"/>
          <w:szCs w:val="20"/>
          <w:color w:val="auto"/>
        </w:rPr>
      </w:pPr>
    </w:p>
    <w:p>
      <w:pPr>
        <w:spacing w:after="0" w:line="245" w:lineRule="exact"/>
        <w:rPr>
          <w:sz w:val="20"/>
          <w:szCs w:val="20"/>
          <w:color w:val="auto"/>
        </w:rPr>
      </w:pPr>
    </w:p>
    <w:p>
      <w:pPr>
        <w:jc w:val="both"/>
        <w:ind w:firstLine="749"/>
        <w:spacing w:after="0" w:line="222" w:lineRule="auto"/>
        <w:rPr>
          <w:sz w:val="20"/>
          <w:szCs w:val="20"/>
          <w:color w:val="auto"/>
        </w:rPr>
      </w:pPr>
      <w:r>
        <w:rPr>
          <w:rFonts w:ascii="Times New Roman" w:cs="Times New Roman" w:eastAsia="Times New Roman" w:hAnsi="Times New Roman"/>
          <w:sz w:val="20"/>
          <w:szCs w:val="20"/>
          <w:color w:val="auto"/>
        </w:rPr>
        <w:t>THIS AMENDED AND RESTATED MASTER SERVICE AGREEMENT (this “</w:t>
      </w:r>
      <w:r>
        <w:rPr>
          <w:rFonts w:ascii="Times New Roman" w:cs="Times New Roman" w:eastAsia="Times New Roman" w:hAnsi="Times New Roman"/>
          <w:sz w:val="20"/>
          <w:szCs w:val="20"/>
          <w:i w:val="1"/>
          <w:iCs w:val="1"/>
          <w:u w:val="single" w:color="auto"/>
          <w:color w:val="auto"/>
        </w:rPr>
        <w:t>Agreement</w:t>
      </w:r>
      <w:r>
        <w:rPr>
          <w:rFonts w:ascii="Times New Roman" w:cs="Times New Roman" w:eastAsia="Times New Roman" w:hAnsi="Times New Roman"/>
          <w:sz w:val="20"/>
          <w:szCs w:val="20"/>
          <w:color w:val="auto"/>
        </w:rPr>
        <w:t>”) is entered into as of this 19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November, 2025 (the “</w:t>
      </w:r>
      <w:r>
        <w:rPr>
          <w:rFonts w:ascii="Times New Roman" w:cs="Times New Roman" w:eastAsia="Times New Roman" w:hAnsi="Times New Roman"/>
          <w:sz w:val="20"/>
          <w:szCs w:val="20"/>
          <w:i w:val="1"/>
          <w:iCs w:val="1"/>
          <w:color w:val="auto"/>
        </w:rPr>
        <w:t>Execution Date</w:t>
      </w:r>
      <w:r>
        <w:rPr>
          <w:rFonts w:ascii="Times New Roman" w:cs="Times New Roman" w:eastAsia="Times New Roman" w:hAnsi="Times New Roman"/>
          <w:sz w:val="20"/>
          <w:szCs w:val="20"/>
          <w:color w:val="auto"/>
        </w:rPr>
        <w:t>”) and completely supersedes the Master Services Agreement dated as of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August 2025 (the “</w:t>
      </w:r>
      <w:r>
        <w:rPr>
          <w:rFonts w:ascii="Times New Roman" w:cs="Times New Roman" w:eastAsia="Times New Roman" w:hAnsi="Times New Roman"/>
          <w:sz w:val="20"/>
          <w:szCs w:val="20"/>
          <w:i w:val="1"/>
          <w:iCs w:val="1"/>
          <w:u w:val="single" w:color="auto"/>
          <w:color w:val="auto"/>
        </w:rPr>
        <w:t>Effective Date</w:t>
      </w:r>
      <w:r>
        <w:rPr>
          <w:rFonts w:ascii="Times New Roman" w:cs="Times New Roman" w:eastAsia="Times New Roman" w:hAnsi="Times New Roman"/>
          <w:sz w:val="20"/>
          <w:szCs w:val="20"/>
          <w:color w:val="auto"/>
        </w:rPr>
        <w:t>”), by and between FACTOR BIOSCIENCE INC., a corporation organized and existing under the laws of the State of Delaware (“</w:t>
      </w:r>
      <w:r>
        <w:rPr>
          <w:rFonts w:ascii="Times New Roman" w:cs="Times New Roman" w:eastAsia="Times New Roman" w:hAnsi="Times New Roman"/>
          <w:sz w:val="20"/>
          <w:szCs w:val="20"/>
          <w:i w:val="1"/>
          <w:iCs w:val="1"/>
          <w:u w:val="single" w:color="auto"/>
          <w:color w:val="auto"/>
        </w:rPr>
        <w:t>Factor</w:t>
      </w:r>
      <w:r>
        <w:rPr>
          <w:rFonts w:ascii="Times New Roman" w:cs="Times New Roman" w:eastAsia="Times New Roman" w:hAnsi="Times New Roman"/>
          <w:sz w:val="20"/>
          <w:szCs w:val="20"/>
          <w:color w:val="auto"/>
        </w:rPr>
        <w:t>”), and ERIGEN LLC, a limited liability company organized and existing under the laws of the State of Delaware (“</w:t>
      </w:r>
      <w:r>
        <w:rPr>
          <w:rFonts w:ascii="Times New Roman" w:cs="Times New Roman" w:eastAsia="Times New Roman" w:hAnsi="Times New Roman"/>
          <w:sz w:val="20"/>
          <w:szCs w:val="20"/>
          <w:i w:val="1"/>
          <w:iCs w:val="1"/>
          <w:u w:val="single" w:color="auto"/>
          <w:color w:val="auto"/>
        </w:rPr>
        <w:t>Erigen</w:t>
      </w:r>
      <w:r>
        <w:rPr>
          <w:rFonts w:ascii="Times New Roman" w:cs="Times New Roman" w:eastAsia="Times New Roman" w:hAnsi="Times New Roman"/>
          <w:sz w:val="20"/>
          <w:szCs w:val="20"/>
          <w:color w:val="auto"/>
        </w:rPr>
        <w:t>”). Factor and Erigen may each be referred to in this Agreement individually as a “</w:t>
      </w:r>
      <w:r>
        <w:rPr>
          <w:rFonts w:ascii="Times New Roman" w:cs="Times New Roman" w:eastAsia="Times New Roman" w:hAnsi="Times New Roman"/>
          <w:sz w:val="20"/>
          <w:szCs w:val="20"/>
          <w:i w:val="1"/>
          <w:iCs w:val="1"/>
          <w:u w:val="single" w:color="auto"/>
          <w:color w:val="auto"/>
        </w:rPr>
        <w:t>Party</w:t>
      </w:r>
      <w:r>
        <w:rPr>
          <w:rFonts w:ascii="Times New Roman" w:cs="Times New Roman" w:eastAsia="Times New Roman" w:hAnsi="Times New Roman"/>
          <w:sz w:val="20"/>
          <w:szCs w:val="20"/>
          <w:color w:val="auto"/>
        </w:rPr>
        <w:t>” and collectively as the “Parties.”</w:t>
      </w:r>
    </w:p>
    <w:p>
      <w:pPr>
        <w:spacing w:after="0" w:line="19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WHEREAS, Erigen and Factor’s subsidiary, Factor Bioscience Limited, a company organized and existing under the laws of Ireland, are parties to that certain Amended and Restated License and Collaboration Agreement, dated as of the Execution Date and effective as of August 6, 2025 (hereinafter, the “</w:t>
      </w:r>
      <w:r>
        <w:rPr>
          <w:rFonts w:ascii="Times New Roman" w:cs="Times New Roman" w:eastAsia="Times New Roman" w:hAnsi="Times New Roman"/>
          <w:sz w:val="20"/>
          <w:szCs w:val="20"/>
          <w:i w:val="1"/>
          <w:iCs w:val="1"/>
          <w:u w:val="single" w:color="auto"/>
          <w:color w:val="auto"/>
        </w:rPr>
        <w:t>License</w:t>
      </w:r>
      <w:r>
        <w:rPr>
          <w:rFonts w:ascii="Times New Roman" w:cs="Times New Roman" w:eastAsia="Times New Roman" w:hAnsi="Times New Roman"/>
          <w:sz w:val="20"/>
          <w:szCs w:val="20"/>
          <w:color w:val="auto"/>
        </w:rPr>
        <w:t>”), pursuant to which Factor Bioscience Limited licensed certain Licensed Technology to Erigen in the Field (as such terms are defined in the License); and</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WHEREAS, in support of Erigen’s obligations set forth in the License to develop Licensed Products (as such term is defined in the License), Erigen desires to engage Factor to perform certain services; and WHEREAS, Factor agrees to perform such services in accordance with this Agreement.</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mutual covenants contained in this Agreement, and other good and valuable consideration, the receipt and sufficiency of which are hereby acknowledged, the Parties agree as follows:</w:t>
      </w:r>
    </w:p>
    <w:p>
      <w:pPr>
        <w:spacing w:after="0" w:line="15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b w:val="1"/>
          <w:bCs w:val="1"/>
          <w:color w:val="auto"/>
        </w:rPr>
        <w:t>Section 1.</w:t>
      </w:r>
    </w:p>
    <w:p>
      <w:pPr>
        <w:spacing w:after="0" w:line="2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i w:val="1"/>
          <w:iCs w:val="1"/>
          <w:u w:val="single" w:color="auto"/>
          <w:color w:val="auto"/>
        </w:rPr>
        <w:t>Services</w:t>
      </w:r>
      <w:r>
        <w:rPr>
          <w:rFonts w:ascii="Times New Roman" w:cs="Times New Roman" w:eastAsia="Times New Roman" w:hAnsi="Times New Roman"/>
          <w:sz w:val="20"/>
          <w:szCs w:val="20"/>
          <w:i w:val="1"/>
          <w:iCs w:val="1"/>
          <w:color w:val="auto"/>
        </w:rPr>
        <w:t>.</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i w:val="1"/>
          <w:iCs w:val="1"/>
          <w:u w:val="single" w:color="auto"/>
          <w:color w:val="auto"/>
        </w:rPr>
        <w:t>Services</w:t>
      </w:r>
      <w:r>
        <w:rPr>
          <w:rFonts w:ascii="Times New Roman" w:cs="Times New Roman" w:eastAsia="Times New Roman" w:hAnsi="Times New Roman"/>
          <w:sz w:val="20"/>
          <w:szCs w:val="20"/>
          <w:color w:val="auto"/>
        </w:rPr>
        <w:t>. Factor shall perform the services requested by Erigen on a fee-for-service basis and provide Erigen access to Factor’s facilities, all as mutually agreed upon by the Parties and more particularly set forth in one or more written work orders (each, a “</w:t>
      </w:r>
      <w:r>
        <w:rPr>
          <w:rFonts w:ascii="Times New Roman" w:cs="Times New Roman" w:eastAsia="Times New Roman" w:hAnsi="Times New Roman"/>
          <w:sz w:val="20"/>
          <w:szCs w:val="20"/>
          <w:i w:val="1"/>
          <w:iCs w:val="1"/>
          <w:u w:val="single" w:color="auto"/>
          <w:color w:val="auto"/>
        </w:rPr>
        <w:t>Work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Order</w:t>
      </w:r>
      <w:r>
        <w:rPr>
          <w:rFonts w:ascii="Times New Roman" w:cs="Times New Roman" w:eastAsia="Times New Roman" w:hAnsi="Times New Roman"/>
          <w:sz w:val="20"/>
          <w:szCs w:val="20"/>
          <w:color w:val="auto"/>
        </w:rPr>
        <w:t>”) entered into by the Parties hereunder (the “</w:t>
      </w:r>
      <w:r>
        <w:rPr>
          <w:rFonts w:ascii="Times New Roman" w:cs="Times New Roman" w:eastAsia="Times New Roman" w:hAnsi="Times New Roman"/>
          <w:sz w:val="20"/>
          <w:szCs w:val="20"/>
          <w:i w:val="1"/>
          <w:iCs w:val="1"/>
          <w:u w:val="single" w:color="auto"/>
          <w:color w:val="auto"/>
        </w:rPr>
        <w:t>Services</w:t>
      </w:r>
      <w:r>
        <w:rPr>
          <w:rFonts w:ascii="Times New Roman" w:cs="Times New Roman" w:eastAsia="Times New Roman" w:hAnsi="Times New Roman"/>
          <w:sz w:val="20"/>
          <w:szCs w:val="20"/>
          <w:color w:val="auto"/>
        </w:rPr>
        <w:t>”). As soon as is practicable after the Effective Date, Factor and Erigen shall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negotiate in good faith and enter into one or more Work Orders pursuant to which Factor shall use its laboratory facilities and personnel to perform agreed upon research and development services for Erigen. Factor may contract with third parties to conduct any part or all of the Services, provided that Factor obtains from such third parties written obligations at least as restrictive as those set forth in Section 5.</w:t>
      </w:r>
    </w:p>
    <w:p>
      <w:pPr>
        <w:spacing w:after="0" w:line="17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i w:val="1"/>
          <w:iCs w:val="1"/>
          <w:u w:val="single" w:color="auto"/>
          <w:color w:val="auto"/>
        </w:rPr>
        <w:t>Work Orders</w:t>
      </w:r>
      <w:r>
        <w:rPr>
          <w:rFonts w:ascii="Times New Roman" w:cs="Times New Roman" w:eastAsia="Times New Roman" w:hAnsi="Times New Roman"/>
          <w:sz w:val="20"/>
          <w:szCs w:val="20"/>
          <w:color w:val="auto"/>
        </w:rPr>
        <w:t xml:space="preserve">. Each Work Order shall be substantially in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and shall set forth specific activities to be performed, specific Deliverables (as defined herein), headcount on an FTE basis, relevant facilities, and a payment schedule, on a fee-for-service basis, associated with the performance of such activities. The Parties will attach sequentially numbered Work Orders to this Agreement, and each such Work Order shall be a complete statement of the relevant project terms and shall supplement the terms and conditions of this Agreement solely for the purposes of such Work Order. The terms and conditions of this Agreement shall be deemed incorporated by reference in each such Work Order, except that in the event of any contrary or inconsistent terms or conditions appearing in or referred to in any such Work Order, the terms of the Work Order shall control with respect to the applicable Work Order to the extent such Work Order specifically identifies the applicable terms of this Agreement it is intending to supersede. The Parties acknowledge that purchase orders or other similar related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23" w:name="page224"/>
    <w:bookmarkEnd w:id="223"/>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20"/>
          <w:szCs w:val="20"/>
          <w:color w:val="auto"/>
        </w:rPr>
        <w:t>may be issued or executed by Erigen in connection with the Services, but this Agreement and any applicable Work Order shall take precedence over any additional, contrary or inconsistent terms and conditions appearing or referred to in any such purchase orders or other similar related documents.</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i w:val="1"/>
          <w:iCs w:val="1"/>
          <w:u w:val="single" w:color="auto"/>
          <w:color w:val="auto"/>
        </w:rPr>
        <w:t>Additional Services and/or Deliverables</w:t>
      </w:r>
      <w:r>
        <w:rPr>
          <w:rFonts w:ascii="Times New Roman" w:cs="Times New Roman" w:eastAsia="Times New Roman" w:hAnsi="Times New Roman"/>
          <w:sz w:val="20"/>
          <w:szCs w:val="20"/>
          <w:color w:val="auto"/>
        </w:rPr>
        <w:t>. The Parties acknowledge and agree that in the event that Erigen desires Factor to provide any additional Services or Deliverables that are not expressly identified in a valid, unexpired Work Order, including, without limitation, any research or development services, creation of any Deliverables or creation of any Intellectual Property (as defined in the License), it shall be subject to the Parties first agreeing to mutually acceptable additional terms to be set forth in a new Work Order or an amendment to this Agreement, including, without limitation, representations and warranties, indemnification, ownership and/or licensing of Intellectual Property related thereto, which the Parties shall determine through reasonable negotiations conducted in good faith.</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1.4 </w:t>
      </w:r>
      <w:r>
        <w:rPr>
          <w:rFonts w:ascii="Times New Roman" w:cs="Times New Roman" w:eastAsia="Times New Roman" w:hAnsi="Times New Roman"/>
          <w:sz w:val="20"/>
          <w:szCs w:val="20"/>
          <w:i w:val="1"/>
          <w:iCs w:val="1"/>
          <w:u w:val="single" w:color="auto"/>
          <w:color w:val="auto"/>
        </w:rPr>
        <w:t>Non-Exclusivity and Confidentiality</w:t>
      </w:r>
      <w:r>
        <w:rPr>
          <w:rFonts w:ascii="Times New Roman" w:cs="Times New Roman" w:eastAsia="Times New Roman" w:hAnsi="Times New Roman"/>
          <w:sz w:val="20"/>
          <w:szCs w:val="20"/>
          <w:color w:val="auto"/>
        </w:rPr>
        <w:t>. It is understood and agreed by and between Factor and Erigen that Factor maintains the right to perform similar services on behalf of itself or third parties during the term of this Agreement, so long as the confidentiality of information proprietary to Erigen is at all times protected by Factor in accordance with Section 5.</w:t>
      </w:r>
    </w:p>
    <w:p>
      <w:pPr>
        <w:spacing w:after="0" w:line="1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1.5 </w:t>
      </w:r>
      <w:r>
        <w:rPr>
          <w:rFonts w:ascii="Times New Roman" w:cs="Times New Roman" w:eastAsia="Times New Roman" w:hAnsi="Times New Roman"/>
          <w:sz w:val="20"/>
          <w:szCs w:val="20"/>
          <w:i w:val="1"/>
          <w:iCs w:val="1"/>
          <w:u w:val="single" w:color="auto"/>
          <w:color w:val="auto"/>
        </w:rPr>
        <w:t>Factor Workplace Rules</w:t>
      </w:r>
      <w:r>
        <w:rPr>
          <w:rFonts w:ascii="Times New Roman" w:cs="Times New Roman" w:eastAsia="Times New Roman" w:hAnsi="Times New Roman"/>
          <w:sz w:val="20"/>
          <w:szCs w:val="20"/>
          <w:color w:val="auto"/>
        </w:rPr>
        <w:t>. In the event that Factor makes its premises available to Erigen or its personnel in connection with the Services performed hereunder, Erigen shall, and shall cause its personnel to, comply with and to perform its obligations in accordance with Factor’s applicable instructions, rules, regulations and policies governing conduct in the workplace, as may be updated by Factor from time to time (the “</w:t>
      </w:r>
      <w:r>
        <w:rPr>
          <w:rFonts w:ascii="Times New Roman" w:cs="Times New Roman" w:eastAsia="Times New Roman" w:hAnsi="Times New Roman"/>
          <w:sz w:val="20"/>
          <w:szCs w:val="20"/>
          <w:i w:val="1"/>
          <w:iCs w:val="1"/>
          <w:u w:val="single" w:color="auto"/>
          <w:color w:val="auto"/>
        </w:rPr>
        <w:t>Workplace Rules</w:t>
      </w:r>
      <w:r>
        <w:rPr>
          <w:rFonts w:ascii="Times New Roman" w:cs="Times New Roman" w:eastAsia="Times New Roman" w:hAnsi="Times New Roman"/>
          <w:sz w:val="20"/>
          <w:szCs w:val="20"/>
          <w:color w:val="auto"/>
        </w:rPr>
        <w:t>”). Factor may [***] remove any Erigen personnel from Factor’s premises or suspend their access to such premises for noncompliance with the Workplace Rules. Factor will promptly notify Erigen after the removal or suspension of such personnel, as reasonably appropriate under the circumstances. The Parties will mutually determine in good faith how to resolve the non-compliance in the time frame needed by the Parties to avoid any material interruption to the Services. Erigen agrees that [***].</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u w:val="single" w:color="auto"/>
          <w:color w:val="auto"/>
        </w:rPr>
        <w:t>Performance of Services; Compliance</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i w:val="1"/>
          <w:iCs w:val="1"/>
          <w:u w:val="single" w:color="auto"/>
          <w:color w:val="auto"/>
        </w:rPr>
        <w:t>General Performance</w:t>
      </w:r>
      <w:r>
        <w:rPr>
          <w:rFonts w:ascii="Times New Roman" w:cs="Times New Roman" w:eastAsia="Times New Roman" w:hAnsi="Times New Roman"/>
          <w:sz w:val="20"/>
          <w:szCs w:val="20"/>
          <w:color w:val="auto"/>
        </w:rPr>
        <w:t>. Factor shall perform the Services in material compliance with all applicable laws and regulations, including, without limitation, laws and regulations relating to health, safety and the environment, fair labor practices and unlawful discrimination. In the event that any noncompliance with applicable laws or regulations occurs, Factor shall take such actions as necessary to eliminate such noncompliance to the extent and as soon as practicable.</w:t>
      </w:r>
    </w:p>
    <w:p>
      <w:pPr>
        <w:spacing w:after="0" w:line="1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i w:val="1"/>
          <w:iCs w:val="1"/>
          <w:u w:val="single" w:color="auto"/>
          <w:color w:val="auto"/>
        </w:rPr>
        <w:t>Animal Welfare</w:t>
      </w:r>
      <w:r>
        <w:rPr>
          <w:rFonts w:ascii="Times New Roman" w:cs="Times New Roman" w:eastAsia="Times New Roman" w:hAnsi="Times New Roman"/>
          <w:sz w:val="20"/>
          <w:szCs w:val="20"/>
          <w:color w:val="auto"/>
        </w:rPr>
        <w:t>. With respect to Services involving the use of animals: (a) all such Services will be conducted under Factor’s supervision and control (whether directly by Factor or by one or more third parties hired by Factor pursuant to Section 1.1); (b) all such animals will be cared for, used, and disposed of in conformity with the applicable legal and ethical standards of animal testing; (c) the relevant environment, housing, management, veterinary care, and physical plant used in connection with such animals in the Services are appropriate for the nature of the Services; (d) in no circumstances will any such animals be used as food for humans or animals; and (e) if specific instructions for animal use, care, handling, or disposal are mutually agreed upon by the Parties in the applicable Work Order, Factor will comply with such instructions in connection with the applicable Services.</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i w:val="1"/>
          <w:iCs w:val="1"/>
          <w:u w:val="single" w:color="auto"/>
          <w:color w:val="auto"/>
        </w:rPr>
        <w:t>FDA Debarment</w:t>
      </w:r>
      <w:r>
        <w:rPr>
          <w:rFonts w:ascii="Times New Roman" w:cs="Times New Roman" w:eastAsia="Times New Roman" w:hAnsi="Times New Roman"/>
          <w:sz w:val="20"/>
          <w:szCs w:val="20"/>
          <w:color w:val="auto"/>
        </w:rPr>
        <w:t>. Each Party represents and warrants that neither it nor any of its employees or consultants performing hereunder have been debarred under Section 306(a) or (b) of the U.S. Federal Food, Drug and Cosmetic Act. If at any time after the Effective Date a Party becomes aware that it or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4928-7326-4540,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89" w:lineRule="exact"/>
        <w:rPr>
          <w:sz w:val="20"/>
          <w:szCs w:val="20"/>
          <w:color w:val="auto"/>
        </w:rPr>
      </w:pPr>
    </w:p>
    <w:p>
      <w:pPr>
        <w:jc w:val="both"/>
        <w:ind w:right="20" w:firstLine="509"/>
        <w:spacing w:after="0" w:line="269" w:lineRule="auto"/>
        <w:rPr>
          <w:sz w:val="20"/>
          <w:szCs w:val="20"/>
          <w:color w:val="auto"/>
        </w:rPr>
      </w:pPr>
      <w:r>
        <w:rPr>
          <w:rFonts w:ascii="Times New Roman" w:cs="Times New Roman" w:eastAsia="Times New Roman" w:hAnsi="Times New Roman"/>
          <w:sz w:val="20"/>
          <w:szCs w:val="20"/>
          <w:color w:val="auto"/>
        </w:rPr>
        <w:t>employees or consultants have been debarred or is in the process of being debarred, such Party shall promptly notify the other Party thereof in writing and, in any event, within [***].</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3.</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u w:val="single" w:color="auto"/>
          <w:color w:val="auto"/>
        </w:rPr>
        <w:t>Term</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i w:val="1"/>
          <w:iCs w:val="1"/>
          <w:u w:val="single" w:color="auto"/>
          <w:color w:val="auto"/>
        </w:rPr>
        <w:t>Term</w:t>
      </w:r>
      <w:r>
        <w:rPr>
          <w:rFonts w:ascii="Times New Roman" w:cs="Times New Roman" w:eastAsia="Times New Roman" w:hAnsi="Times New Roman"/>
          <w:sz w:val="20"/>
          <w:szCs w:val="20"/>
          <w:color w:val="auto"/>
        </w:rPr>
        <w:t>. This Agreement shall be effective as of the Effective Date and shall continue in effect until terminated by either Party in accordance with Section 7. Notwithstanding the foregoing, should any Work Order(s) entered into during the term of this Agreement require Services to be performed beyond the termination date of this Agreement, then the terms of this Agreement shall remain in effect with respect to such Work Order(s) until the expiration or termination of that Work Order(s).</w:t>
      </w:r>
    </w:p>
    <w:p>
      <w:pPr>
        <w:spacing w:after="0" w:line="17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b w:val="1"/>
          <w:bCs w:val="1"/>
          <w:color w:val="auto"/>
        </w:rPr>
        <w:t>Section 4.</w:t>
      </w:r>
    </w:p>
    <w:p>
      <w:pPr>
        <w:spacing w:after="0" w:line="2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i w:val="1"/>
          <w:iCs w:val="1"/>
          <w:u w:val="single" w:color="auto"/>
          <w:color w:val="auto"/>
        </w:rPr>
        <w:t>Payment</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i w:val="1"/>
          <w:iCs w:val="1"/>
          <w:u w:val="single" w:color="auto"/>
          <w:color w:val="auto"/>
        </w:rPr>
        <w:t>Payment Terms</w:t>
      </w:r>
      <w:r>
        <w:rPr>
          <w:rFonts w:ascii="Times New Roman" w:cs="Times New Roman" w:eastAsia="Times New Roman" w:hAnsi="Times New Roman"/>
          <w:sz w:val="20"/>
          <w:szCs w:val="20"/>
          <w:color w:val="auto"/>
        </w:rPr>
        <w:t>. In consideration of the Services performed hereunder, Erigen will make payments to Factor in accordance with the applicable Work Order. Unless otherwise specified in any Work Order, Erigen shall make all such payments within [***]. If a portion of any invoice submitted by Factor hereunder is disputed in good faith by Erigen, then Erigen shall provide Factor with prompt notice thereof, pay the undisputed amounts as set forth in the immediately preceding sentence, and the Parties shall use their good faith efforts to reconcile any disputed amount within [***], following which Erigen shall promptly remit such reconciled amount, if any, to Factor. Late payments are subject to an interest charge of [***]. In addition to all other remedies available under this Agreement or at law (which Factor does not waive by the exercise of any rights hereunder), Factor shall be entitled to [***].</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i w:val="1"/>
          <w:iCs w:val="1"/>
          <w:u w:val="single" w:color="auto"/>
          <w:color w:val="auto"/>
        </w:rPr>
        <w:t>Taxes</w:t>
      </w:r>
      <w:r>
        <w:rPr>
          <w:rFonts w:ascii="Times New Roman" w:cs="Times New Roman" w:eastAsia="Times New Roman" w:hAnsi="Times New Roman"/>
          <w:sz w:val="20"/>
          <w:szCs w:val="20"/>
          <w:color w:val="auto"/>
        </w:rPr>
        <w:t>. It is expressly understood and agreed that Erigen will pay any and all applicable taxes levied or based upon the Services performed under each Work Order (other than Factor’s income taxes and employment related taxes applicable to Factor employees). Any such taxes will appear as a separate item on Factor’s invoices.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5.</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u w:val="single" w:color="auto"/>
          <w:color w:val="auto"/>
        </w:rPr>
        <w:t>Confidentiality</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 xml:space="preserve">5.1 </w:t>
      </w:r>
      <w:r>
        <w:rPr>
          <w:rFonts w:ascii="Times New Roman" w:cs="Times New Roman" w:eastAsia="Times New Roman" w:hAnsi="Times New Roman"/>
          <w:sz w:val="19"/>
          <w:szCs w:val="19"/>
          <w:i w:val="1"/>
          <w:iCs w:val="1"/>
          <w:u w:val="single" w:color="auto"/>
          <w:color w:val="auto"/>
        </w:rPr>
        <w:t>General</w:t>
      </w:r>
      <w:r>
        <w:rPr>
          <w:rFonts w:ascii="Times New Roman" w:cs="Times New Roman" w:eastAsia="Times New Roman" w:hAnsi="Times New Roman"/>
          <w:sz w:val="19"/>
          <w:szCs w:val="19"/>
          <w:color w:val="auto"/>
        </w:rPr>
        <w:t>. As used herein, the term “</w:t>
      </w:r>
      <w:r>
        <w:rPr>
          <w:rFonts w:ascii="Times New Roman" w:cs="Times New Roman" w:eastAsia="Times New Roman" w:hAnsi="Times New Roman"/>
          <w:sz w:val="19"/>
          <w:szCs w:val="19"/>
          <w:i w:val="1"/>
          <w:iCs w:val="1"/>
          <w:u w:val="single" w:color="auto"/>
          <w:color w:val="auto"/>
        </w:rPr>
        <w:t>Confidential Information</w:t>
      </w:r>
      <w:r>
        <w:rPr>
          <w:rFonts w:ascii="Times New Roman" w:cs="Times New Roman" w:eastAsia="Times New Roman" w:hAnsi="Times New Roman"/>
          <w:sz w:val="19"/>
          <w:szCs w:val="19"/>
          <w:color w:val="auto"/>
        </w:rPr>
        <w:t>” means all information furnished by one Party (the “</w:t>
      </w:r>
      <w:r>
        <w:rPr>
          <w:rFonts w:ascii="Times New Roman" w:cs="Times New Roman" w:eastAsia="Times New Roman" w:hAnsi="Times New Roman"/>
          <w:sz w:val="19"/>
          <w:szCs w:val="19"/>
          <w:i w:val="1"/>
          <w:iCs w:val="1"/>
          <w:u w:val="single" w:color="auto"/>
          <w:color w:val="auto"/>
        </w:rPr>
        <w:t>Disclosing Party</w:t>
      </w:r>
      <w:r>
        <w:rPr>
          <w:rFonts w:ascii="Times New Roman" w:cs="Times New Roman" w:eastAsia="Times New Roman" w:hAnsi="Times New Roman"/>
          <w:sz w:val="19"/>
          <w:szCs w:val="19"/>
          <w:color w:val="auto"/>
        </w:rPr>
        <w:t>”) to the other Party (the “</w:t>
      </w:r>
      <w:r>
        <w:rPr>
          <w:rFonts w:ascii="Times New Roman" w:cs="Times New Roman" w:eastAsia="Times New Roman" w:hAnsi="Times New Roman"/>
          <w:sz w:val="19"/>
          <w:szCs w:val="19"/>
          <w:i w:val="1"/>
          <w:iCs w:val="1"/>
          <w:u w:val="single" w:color="auto"/>
          <w:color w:val="auto"/>
        </w:rPr>
        <w:t>Receiving Party</w:t>
      </w:r>
      <w:r>
        <w:rPr>
          <w:rFonts w:ascii="Times New Roman" w:cs="Times New Roman" w:eastAsia="Times New Roman" w:hAnsi="Times New Roman"/>
          <w:sz w:val="19"/>
          <w:szCs w:val="19"/>
          <w:color w:val="auto"/>
        </w:rPr>
        <w:t>”) that is confidential or proprietary to the Disclosing Party (whether or not reduced to writing or other tangible medium of expression, and whether or not patented, patentable, capable of trade secret protection or protected as an unpublished or published work under the United States Copyright Act of 1976, as amended), including without limitation, (a) information relating to the intellectual property and business practices of the Disclosing Party; (b) information observed or otherwise made available to Erigen or its personnel while on Factor’s premises; and (c) any third party confidential or proprietary information in the possession of the Disclosing Party that is provided to the Receiving Party. Each Party, in its capacity as a Receiving Party, agrees to treat as the confidential and exclusive property of the Disclosing Party all Confidential Information that is disclosed or otherwise made available by the Disclosing Party in connection with this Agreement or the Parties’ business relationship. The Receiving Party agrees to use any Confidential Information of the other Party solely for purposes of its performance under this Agreement unless otherwise mutually agreed in writing. The Receiving Party shall maintain at least the same degree of care and diligence in the protection of the Confidential Information as it uses with regard to its own confidential or proprietary information, which in any event shall be no less than a reasonable standard of care and diligence for the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4928-7326-4540,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8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i w:val="1"/>
          <w:iCs w:val="1"/>
          <w:u w:val="single" w:color="auto"/>
          <w:color w:val="auto"/>
        </w:rPr>
        <w:t>Non-Disclosure</w:t>
      </w:r>
      <w:r>
        <w:rPr>
          <w:rFonts w:ascii="Times New Roman" w:cs="Times New Roman" w:eastAsia="Times New Roman" w:hAnsi="Times New Roman"/>
          <w:sz w:val="20"/>
          <w:szCs w:val="20"/>
          <w:color w:val="auto"/>
        </w:rPr>
        <w:t>. The Receiving Party agrees not to disclose any Confidential Information of the Disclosing Party to any third party for any purpose without obtaining the prior written consent of the Disclosing Party, except to its employees and personnel who have a need to know in order to perform its obligations under this Agreement; provided that such employees and personnel are obligated in writing to maintain the confidential nature of such Confidential Information on terms at least as restrictive as those set forth herein, and the Receiving Party will be responsible for any damages resulting from any breach of this Agreement by its employees and personnel.</w:t>
      </w:r>
    </w:p>
    <w:p>
      <w:pPr>
        <w:spacing w:after="0" w:line="1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i w:val="1"/>
          <w:iCs w:val="1"/>
          <w:u w:val="single" w:color="auto"/>
          <w:color w:val="auto"/>
        </w:rPr>
        <w:t>Exclusions</w:t>
      </w:r>
      <w:r>
        <w:rPr>
          <w:rFonts w:ascii="Times New Roman" w:cs="Times New Roman" w:eastAsia="Times New Roman" w:hAnsi="Times New Roman"/>
          <w:sz w:val="20"/>
          <w:szCs w:val="20"/>
          <w:color w:val="auto"/>
        </w:rPr>
        <w:t>. Confidential Information does not include information that the Receiving Party is able to demonstrate (a) was rightfully in its possession prior to receipt from the Disclosing Party, as evidenced by the Receiving Party’s written records, (b) is now, or hereafter becomes, part of the public domain through no act or failure to act on the part of the Receiving Party or its agents or collaborators, (c) becomes known to the Receiving Party at any time through disclosure by a third party having no known obligation of confidentiality with respect to such information, or (d) was independently developed by or on behalf of the Receiving Party without the aid, application, use or benefit of the Disclosing Party’s Confidential Information, as evidenced by the Receiving Party’s written records. In addition, a Receiving Party may disclose such Confidential Information to the limited extent required to do so by applicable law or a proper legal, governmental or other competent authority, or by the rules of any securities exchange on which any security issued by either Party is traded. Except where impracticable, such Receiving Party shall give the Disclosing Party reasonable advance notice of such disclosure requirement and shall afford the Disclosing Party a reasonable opportunity to oppose, limit or secure confidential treatment for such required disclosure, or, where it is impracticable to give an advance notice, such Receiving Party shall give the Disclosing Party reasonable notice promptly after such required disclosure. In the event of any such required disclosure, the Receiving Party shall disclose only that portion of the Confidential Information legally required to be disclosed.</w:t>
      </w:r>
    </w:p>
    <w:p>
      <w:pPr>
        <w:spacing w:after="0" w:line="18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i w:val="1"/>
          <w:iCs w:val="1"/>
          <w:u w:val="single" w:color="auto"/>
          <w:color w:val="auto"/>
        </w:rPr>
        <w:t>Return of Confidential Information</w:t>
      </w:r>
      <w:r>
        <w:rPr>
          <w:rFonts w:ascii="Times New Roman" w:cs="Times New Roman" w:eastAsia="Times New Roman" w:hAnsi="Times New Roman"/>
          <w:sz w:val="20"/>
          <w:szCs w:val="20"/>
          <w:color w:val="auto"/>
        </w:rPr>
        <w:t>. Each Party agrees that, upon the earlier to occur of (a) the other Party’s written request, or (b) termination of this Agreement, the Receiving Party shall (i) return to the Disclosing Party any or all parts of the Confidential Information of such party provided to the Receiving Party in documentary or other tangible form, including all copies and other tangible embodiments thereof, and (ii) destroy any or all Confidential Information in the Receiving Party’s possession and stored in then­accessible electronic or other media, in accordance with the Receiving Party’s own policies and timing for the destruction of its own Confidential Information.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i w:val="1"/>
          <w:iCs w:val="1"/>
          <w:u w:val="single" w:color="auto"/>
          <w:color w:val="auto"/>
        </w:rPr>
        <w:t>Term of Confidentiality Obligations</w:t>
      </w:r>
      <w:r>
        <w:rPr>
          <w:rFonts w:ascii="Times New Roman" w:cs="Times New Roman" w:eastAsia="Times New Roman" w:hAnsi="Times New Roman"/>
          <w:sz w:val="20"/>
          <w:szCs w:val="20"/>
          <w:color w:val="auto"/>
        </w:rPr>
        <w:t>. The provisions of this Section 5 shall remain in effect for [***] following the termination of this Agreement, except that with respect to any Confidential Information constituting a trade secret as defined under applicable law, the provisions of this Section 5 shall remain in effect for as long as such Confidential Information continues to constitute a trade secret.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6.</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u w:val="single" w:color="auto"/>
          <w:color w:val="auto"/>
        </w:rPr>
        <w:t>Intellectual Property</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i w:val="1"/>
          <w:iCs w:val="1"/>
          <w:u w:val="single" w:color="auto"/>
          <w:color w:val="auto"/>
        </w:rPr>
        <w:t>Deliverables</w:t>
      </w:r>
      <w:r>
        <w:rPr>
          <w:rFonts w:ascii="Times New Roman" w:cs="Times New Roman" w:eastAsia="Times New Roman" w:hAnsi="Times New Roman"/>
          <w:sz w:val="20"/>
          <w:szCs w:val="20"/>
          <w:color w:val="auto"/>
        </w:rPr>
        <w:t>. Unless otherwise specified in the applicable Work Order, all deliverables developed as a result of Factor’s performance of the Services or as set forth in one or more Work Orders (collectively, the “</w:t>
      </w:r>
      <w:r>
        <w:rPr>
          <w:rFonts w:ascii="Times New Roman" w:cs="Times New Roman" w:eastAsia="Times New Roman" w:hAnsi="Times New Roman"/>
          <w:sz w:val="20"/>
          <w:szCs w:val="20"/>
          <w:i w:val="1"/>
          <w:iCs w:val="1"/>
          <w:u w:val="single" w:color="auto"/>
          <w:color w:val="auto"/>
        </w:rPr>
        <w:t>Deliverables</w:t>
      </w:r>
      <w:r>
        <w:rPr>
          <w:rFonts w:ascii="Times New Roman" w:cs="Times New Roman" w:eastAsia="Times New Roman" w:hAnsi="Times New Roman"/>
          <w:sz w:val="20"/>
          <w:szCs w:val="20"/>
          <w:color w:val="auto"/>
        </w:rPr>
        <w:t>”) are and shall be the sole property and Confidential Information of Erigen except to the extent that they qualify as Improvements (as such term is defined in the License). Factor, on behalf of itself and its Affiliates, shall and hereby does assign to Erigen all right, title, and interest in and to all such Deliverables. Notwithstanding the foregoing, Deliverables shall expressly exclude any discovery, advancement, development, or creation which is invented, developed, authored, created, or reduced to practice by Factor prior to the Effective Date or independently of the Services performed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116840</wp:posOffset>
            </wp:positionV>
            <wp:extent cx="3111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7">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4928-7326-4540,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8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i w:val="1"/>
          <w:iCs w:val="1"/>
          <w:u w:val="single" w:color="auto"/>
          <w:color w:val="auto"/>
        </w:rPr>
        <w:t>License</w:t>
      </w:r>
      <w:r>
        <w:rPr>
          <w:rFonts w:ascii="Times New Roman" w:cs="Times New Roman" w:eastAsia="Times New Roman" w:hAnsi="Times New Roman"/>
          <w:sz w:val="20"/>
          <w:szCs w:val="20"/>
          <w:color w:val="auto"/>
        </w:rPr>
        <w:t>. Solely to the extent necessary or reasonably useful to use, practice or otherwise exploit the Deliverables, Factor, on behalf of itself and its Affiliates, hereby grants to Erigen a non-exclusive, royalty-free, fully paid-up, transferrable, perpetual, irrevocable license, with the right to grant sublicenses, under any and all of Factor’s and its Affiliates’ patents, technology, information, know-how, copyrights, trade secrets, or other intellectual property or proprietary rights (but excluding the Licensed Technology (as such term is defined in the License) and Improvements) [***] and solely for the purpose of, using, practicing and otherwise exploiting the Deliverables.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7.</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u w:val="single" w:color="auto"/>
          <w:color w:val="auto"/>
        </w:rPr>
        <w:t>Termination</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i w:val="1"/>
          <w:iCs w:val="1"/>
          <w:u w:val="single" w:color="auto"/>
          <w:color w:val="auto"/>
        </w:rPr>
        <w:t>Termination of Agreement</w:t>
      </w:r>
      <w:r>
        <w:rPr>
          <w:rFonts w:ascii="Times New Roman" w:cs="Times New Roman" w:eastAsia="Times New Roman" w:hAnsi="Times New Roman"/>
          <w:sz w:val="20"/>
          <w:szCs w:val="20"/>
          <w:color w:val="auto"/>
        </w:rPr>
        <w:t>. This Agreement may be terminated by either Party for any reason upon [***] prior written notice to the other Party, provided, however, that any Work Order issued hereunder that has not terminated or expired as of the date of the termination of this Agreement shall survive the termination of this Agreement, and the terms of this Agreement shall remain in full force an effect with respect to any such Work Order.</w:t>
      </w:r>
    </w:p>
    <w:p>
      <w:pPr>
        <w:spacing w:after="0" w:line="17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i w:val="1"/>
          <w:iCs w:val="1"/>
          <w:u w:val="single" w:color="auto"/>
          <w:color w:val="auto"/>
        </w:rPr>
        <w:t>Termination of Work Order</w:t>
      </w:r>
      <w:r>
        <w:rPr>
          <w:rFonts w:ascii="Times New Roman" w:cs="Times New Roman" w:eastAsia="Times New Roman" w:hAnsi="Times New Roman"/>
          <w:sz w:val="20"/>
          <w:szCs w:val="20"/>
          <w:color w:val="auto"/>
        </w:rPr>
        <w:t>. Erigen may terminate any Work Order at any time with or without cause for its convenience, effective upon [***] notice to Factor. In addition, either Party may terminate any Work Order [***] written notice to the other Party if such other Party materially breaches this Agreement or the Work Order, as the case may be, and does not fully cure the breach to such Party’s satisfaction within [***]. Upon termination a Work Order, unless the applicable Work Order expressly provides otherwise, Erigen will pay Factor fees for all Services performed [***].</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i w:val="1"/>
          <w:iCs w:val="1"/>
          <w:u w:val="single" w:color="auto"/>
          <w:color w:val="auto"/>
        </w:rPr>
        <w:t>Survival</w:t>
      </w:r>
      <w:r>
        <w:rPr>
          <w:rFonts w:ascii="Times New Roman" w:cs="Times New Roman" w:eastAsia="Times New Roman" w:hAnsi="Times New Roman"/>
          <w:sz w:val="20"/>
          <w:szCs w:val="20"/>
          <w:color w:val="auto"/>
        </w:rPr>
        <w:t>. The provisions of Sections 5 (Confidentiality), 6 (Intellectual Property), 7.2 (Survival), 8 (Indemnification), 9 (Warranties; Disclaimer; Liability Limitation), 10 (Notices), and 11 (Miscellaneous) shall survive the termination of this Agreement.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8.</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u w:val="single" w:color="auto"/>
          <w:color w:val="auto"/>
        </w:rPr>
        <w:t>Indemnification</w:t>
      </w:r>
    </w:p>
    <w:p>
      <w:pPr>
        <w:spacing w:after="0" w:line="1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i w:val="1"/>
          <w:iCs w:val="1"/>
          <w:u w:val="single" w:color="auto"/>
          <w:color w:val="auto"/>
        </w:rPr>
        <w:t>Mutual Indemnification</w:t>
      </w:r>
      <w:r>
        <w:rPr>
          <w:rFonts w:ascii="Times New Roman" w:cs="Times New Roman" w:eastAsia="Times New Roman" w:hAnsi="Times New Roman"/>
          <w:sz w:val="20"/>
          <w:szCs w:val="20"/>
          <w:color w:val="auto"/>
        </w:rPr>
        <w:t>. Each Party (the “</w:t>
      </w:r>
      <w:r>
        <w:rPr>
          <w:rFonts w:ascii="Times New Roman" w:cs="Times New Roman" w:eastAsia="Times New Roman" w:hAnsi="Times New Roman"/>
          <w:sz w:val="20"/>
          <w:szCs w:val="20"/>
          <w:i w:val="1"/>
          <w:iCs w:val="1"/>
          <w:u w:val="single" w:color="auto"/>
          <w:color w:val="auto"/>
        </w:rPr>
        <w:t>Indemnifying Party</w:t>
      </w:r>
      <w:r>
        <w:rPr>
          <w:rFonts w:ascii="Times New Roman" w:cs="Times New Roman" w:eastAsia="Times New Roman" w:hAnsi="Times New Roman"/>
          <w:sz w:val="20"/>
          <w:szCs w:val="20"/>
          <w:color w:val="auto"/>
        </w:rPr>
        <w:t>”) will indemnify, defend and hold harmless the other Party, its Affiliates and their respective directors, officers, employees, consultants, licensors and agents, and their respective successors, and assigns (collectively, the “</w:t>
      </w:r>
      <w:r>
        <w:rPr>
          <w:rFonts w:ascii="Times New Roman" w:cs="Times New Roman" w:eastAsia="Times New Roman" w:hAnsi="Times New Roman"/>
          <w:sz w:val="20"/>
          <w:szCs w:val="20"/>
          <w:i w:val="1"/>
          <w:iCs w:val="1"/>
          <w:u w:val="single" w:color="auto"/>
          <w:color w:val="auto"/>
        </w:rPr>
        <w:t>Indemnified Party</w:t>
      </w:r>
      <w:r>
        <w:rPr>
          <w:rFonts w:ascii="Times New Roman" w:cs="Times New Roman" w:eastAsia="Times New Roman" w:hAnsi="Times New Roman"/>
          <w:sz w:val="20"/>
          <w:szCs w:val="20"/>
          <w:color w:val="auto"/>
        </w:rPr>
        <w:t>”), against all third party suits, actions, claims, proceedings, liabilities, demands, damages, losses, or expenses (including legal expenses, investigative expenses, and reasonable attorneys’ fees) resulting from, arising out of, or otherwise attributable to the Indemnifying Party’s breach of its express representations and warranties set forth herein, except to the extent resulting from, arising out of, or otherwise attributable to the Indemnified Party’s breach of any of its express representations, warranties or covenants set forth herein, or any act of gross negligence or intentional misconduct by the Indemnified Party. As used in this Agreement, “</w:t>
      </w:r>
      <w:r>
        <w:rPr>
          <w:rFonts w:ascii="Times New Roman" w:cs="Times New Roman" w:eastAsia="Times New Roman" w:hAnsi="Times New Roman"/>
          <w:sz w:val="20"/>
          <w:szCs w:val="20"/>
          <w:i w:val="1"/>
          <w:iCs w:val="1"/>
          <w:u w:val="single" w:color="auto"/>
          <w:color w:val="auto"/>
        </w:rPr>
        <w:t>Affiliate</w:t>
      </w:r>
      <w:r>
        <w:rPr>
          <w:rFonts w:ascii="Times New Roman" w:cs="Times New Roman" w:eastAsia="Times New Roman" w:hAnsi="Times New Roman"/>
          <w:sz w:val="20"/>
          <w:szCs w:val="20"/>
          <w:color w:val="auto"/>
        </w:rPr>
        <w:t>” means any person or entity directly or indirectly controlling or having the power to control, or controlled by or being under common control with another person or entity. For this purpose, “control” means the direct or indirect possession of power to direct or cause the direction of the management or policies of such party, whether through ownership or stock or other securities, by contract or otherwise. Ownership of more than fifty percent (50%) of the beneficial interest of an entity shall be conclusive evidence that control exists.</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8.2 The Indemnified Party will promptly give notice to the Indemnifying Party of any suits, actions, claims, proceedings, liabilities, demands, damages, losses, or expenses which might be covered by this Section and the Indemnifying Party will have the right to defend the same, including selection of counsel and control of the proceedings; provided that the Indemnifying Party will not, without the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4928-7326-4540,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89"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20"/>
          <w:szCs w:val="20"/>
          <w:color w:val="auto"/>
        </w:rPr>
        <w:t>of the Indemnified Party, settle or consent to the entry of any judgment with respect to any such third party claim (x) that does not release the Indemnified Party from all liability with respect to such third party claim, or (y) which may materially adversely affect the Indemnified Party’s or under which the Indemnified Party would incur any obligation or liability, other than one as to which the Indemnifying Party has an indemnity obligation hereunder. The Indemnified Party agrees to reasonably cooperate and aid such defense. The Indemnified Party at all times reserves the right to select and retain counsel of its own at its own expense to defend the Indemnified Party’s interests.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u w:val="single" w:color="auto"/>
          <w:color w:val="auto"/>
        </w:rPr>
        <w:t>Warranties; Disclaimers; Limitation of Liability</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i w:val="1"/>
          <w:iCs w:val="1"/>
          <w:u w:val="single" w:color="auto"/>
          <w:color w:val="auto"/>
        </w:rPr>
        <w:t>Representations, Warranties and Covenants</w:t>
      </w:r>
      <w:r>
        <w:rPr>
          <w:rFonts w:ascii="Times New Roman" w:cs="Times New Roman" w:eastAsia="Times New Roman" w:hAnsi="Times New Roman"/>
          <w:sz w:val="20"/>
          <w:szCs w:val="20"/>
          <w:color w:val="auto"/>
        </w:rPr>
        <w:t>. Each Party hereto hereby represents, warrants and covenants to the other that (a) it is a corporation duly incorporated, validly existing and in good standing; (b) it has taken all necessary actions on its part to authorize the execution, delivery and performance of the obligations undertaken in this Agreement, and no other corporate or regulatory actions (e.g., obtaining permits, licenses or authorizations) are necessary with respect thereto; (c) it is not a party to any agreement or understanding, and there is no applicable law or regulation or third party rights, that would prohibit it from entering into and performing this Agreement or that would be violated through entering into this Agreement or any Work Order or the provision or use of the Services or Deliverables (provided that, [***]); and (d) when executed and delivered by it, this Agreement will constitute a legal, valid and binding obligation of it, enforceable against it in accordance with this Agreement’s terms. Factor further represents and warrants that the Services shall be performed in a professional manner by competent and properly trained personnel in accordance with Factor’s training standards and practices, which are reasonably consistent with standards that are generally accepted in the industry.</w:t>
      </w:r>
    </w:p>
    <w:p>
      <w:pPr>
        <w:spacing w:after="0" w:line="1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9.2 </w:t>
      </w:r>
      <w:r>
        <w:rPr>
          <w:rFonts w:ascii="Times New Roman" w:cs="Times New Roman" w:eastAsia="Times New Roman" w:hAnsi="Times New Roman"/>
          <w:sz w:val="20"/>
          <w:szCs w:val="20"/>
          <w:i w:val="1"/>
          <w:iCs w:val="1"/>
          <w:u w:val="single" w:color="auto"/>
          <w:color w:val="auto"/>
        </w:rPr>
        <w:t>DISCLAIMER</w:t>
      </w:r>
      <w:r>
        <w:rPr>
          <w:rFonts w:ascii="Times New Roman" w:cs="Times New Roman" w:eastAsia="Times New Roman" w:hAnsi="Times New Roman"/>
          <w:sz w:val="20"/>
          <w:szCs w:val="20"/>
          <w:color w:val="auto"/>
        </w:rPr>
        <w:t>. EXCEPT AS EXPRESSLY PROVIDED IN THIS AGREEMENT, FACTOR IS PROVIDING THE SERVICES AND THE DELIVERABLES “AS IS,” AND MAKES NO REPRESENTATIONS, AND EXTENDS NO WARRANTIES OF ANY KIND, EITHER EXPRESS OR IMPLIED, INCLUDING ANY IMPLIED WARRANTIES OF MERCHANTABILITY OR ANY IMPLIED WARRANTIES OF FITNESS FOR A PARTICULAR PURPOSE, OR NON­ INFRINGEMENT, AND FACTOR DOES NOT ASSUME ANY RESPONSIBILITY WHATSOEVER WITH RESPECT TO USE, SALE, OR OTHER DISPOSITION OF PRODUCTS OR SERVICES INCORPORATING OR MADE BY USE OF THE SERVICES OR THE DELIVERABLES.</w:t>
      </w:r>
    </w:p>
    <w:p>
      <w:pPr>
        <w:spacing w:after="0" w:line="17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9.3 </w:t>
      </w:r>
      <w:r>
        <w:rPr>
          <w:rFonts w:ascii="Times New Roman" w:cs="Times New Roman" w:eastAsia="Times New Roman" w:hAnsi="Times New Roman"/>
          <w:sz w:val="20"/>
          <w:szCs w:val="20"/>
          <w:i w:val="1"/>
          <w:iCs w:val="1"/>
          <w:u w:val="single" w:color="auto"/>
          <w:color w:val="auto"/>
        </w:rPr>
        <w:t>LIMITATION OF LIABILITY</w:t>
      </w:r>
      <w:r>
        <w:rPr>
          <w:rFonts w:ascii="Times New Roman" w:cs="Times New Roman" w:eastAsia="Times New Roman" w:hAnsi="Times New Roman"/>
          <w:sz w:val="20"/>
          <w:szCs w:val="20"/>
          <w:color w:val="auto"/>
        </w:rPr>
        <w:t>. TO THE FULLEST EXTENT PERMITTED BY LAW, NEITHER PARTY WILL BE LIABLE TO THE OTHER PARTY OR ANY OTHER PERSON FOR ANY INJURY TO OR LOSS OF GOODWILL, REPUTATION, BUSINESS PRODUCTION, REVENUES, PROFITS, ANTICIPATED PROFITS, CONTRACTS, OR OPPORTUNITIES (REGARDLESS OF HOW THESE ARE CLASSIFIED AS DAMAGES), OR FOR ANY CONSEQUENTIAL, INCIDENTAL, INDIRECT, EXEMPLARY, SPECIAL, PUNITIVE, OR ENHANCED DAMAGES, WHETHER ARISING OUT OF BREACH OF CONTRACT, TORT (INCLUDING NEGLIGENCE), STRICT LIABILITY, PRODUCT LIABILITY, OR OTHERWISE (INCLUDING THE ENTRY INTO, PERFORMANCE, OR BREACH OF THIS AGREEMENT), REGARDLESS OF WHETHER SUCH LOSS OR DAMAGE WAS FORESEEABLE AND THE PARTY AGAINST WHOM LIABILITY IS CLAIMED HAS BEEN ADVISED OF THE POSSIBILITY OF SUCH LOSS OR DAMAGE, AND NOTWITHSTANDING THE FAILURE OF ANY AGREED REMEDY OF ITS ESSENTIAL PURPOSE. THE FOREGOING LIMITATIONS WILL NOT: (A) APPLY TO A PARTY’S BREACH OF [***], OR (B) LIMIT A PARTY’S INDEMNIFICATION OBLIGATIONS UNDER SECTION 8.</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10.</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u w:val="single" w:color="auto"/>
          <w:color w:val="auto"/>
        </w:rPr>
        <w:t>Notices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4928-7326-4540,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i w:val="1"/>
          <w:iCs w:val="1"/>
          <w:u w:val="single" w:color="auto"/>
          <w:color w:val="auto"/>
        </w:rPr>
        <w:t>Notices</w:t>
      </w:r>
      <w:r>
        <w:rPr>
          <w:rFonts w:ascii="Times New Roman" w:cs="Times New Roman" w:eastAsia="Times New Roman" w:hAnsi="Times New Roman"/>
          <w:sz w:val="20"/>
          <w:szCs w:val="20"/>
          <w:color w:val="auto"/>
        </w:rPr>
        <w:t>. Any notice required to be given pursuant to the provisions of this Agreement will be in writing and will be deemed to have been given at the time when actually received as a consequence of any effective method of delivery, including but not limited to hand delivery, transmission by telecopier, facsimile or electronic transmission, including PDF (portable document format), delivery by a professional courier service or delivery by first class, certified or registered mail (postage prepaid) addressed to the Party for whom intended at the address below, or at such changed address as the Party will have specified by written notice in accordance with this Section 10; provided, however, that any notice of change of address will be effective only upon actual receipt.</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If to Factor:</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Factor Bioscience Inc.</w:t>
      </w:r>
    </w:p>
    <w:p>
      <w:pPr>
        <w:ind w:left="2260"/>
        <w:spacing w:after="0"/>
        <w:rPr>
          <w:sz w:val="20"/>
          <w:szCs w:val="20"/>
          <w:color w:val="auto"/>
        </w:rPr>
      </w:pPr>
      <w:r>
        <w:rPr>
          <w:rFonts w:ascii="Times New Roman" w:cs="Times New Roman" w:eastAsia="Times New Roman" w:hAnsi="Times New Roman"/>
          <w:sz w:val="20"/>
          <w:szCs w:val="20"/>
          <w:color w:val="auto"/>
        </w:rPr>
        <w:t>Attn: [***]</w:t>
      </w:r>
    </w:p>
    <w:p>
      <w:pPr>
        <w:ind w:left="2260"/>
        <w:spacing w:after="0"/>
        <w:rPr>
          <w:sz w:val="20"/>
          <w:szCs w:val="20"/>
          <w:color w:val="auto"/>
        </w:rPr>
      </w:pPr>
      <w:r>
        <w:rPr>
          <w:rFonts w:ascii="Times New Roman" w:cs="Times New Roman" w:eastAsia="Times New Roman" w:hAnsi="Times New Roman"/>
          <w:sz w:val="20"/>
          <w:szCs w:val="20"/>
          <w:color w:val="auto"/>
        </w:rPr>
        <w:t>1035 Cambridge Street, Suite 17B</w:t>
      </w:r>
    </w:p>
    <w:p>
      <w:pPr>
        <w:ind w:left="2260"/>
        <w:spacing w:after="0"/>
        <w:rPr>
          <w:sz w:val="20"/>
          <w:szCs w:val="20"/>
          <w:color w:val="auto"/>
        </w:rPr>
      </w:pPr>
      <w:r>
        <w:rPr>
          <w:rFonts w:ascii="Times New Roman" w:cs="Times New Roman" w:eastAsia="Times New Roman" w:hAnsi="Times New Roman"/>
          <w:sz w:val="20"/>
          <w:szCs w:val="20"/>
          <w:color w:val="auto"/>
        </w:rPr>
        <w:t>Cambridge, MA 02141</w:t>
      </w:r>
    </w:p>
    <w:p>
      <w:pPr>
        <w:ind w:left="1900"/>
        <w:spacing w:after="0"/>
        <w:rPr>
          <w:sz w:val="20"/>
          <w:szCs w:val="20"/>
          <w:color w:val="auto"/>
        </w:rPr>
      </w:pPr>
      <w:r>
        <w:rPr>
          <w:rFonts w:ascii="Times New Roman" w:cs="Times New Roman" w:eastAsia="Times New Roman" w:hAnsi="Times New Roman"/>
          <w:sz w:val="20"/>
          <w:szCs w:val="20"/>
          <w:color w:val="auto"/>
        </w:rPr>
        <w:t>[***]</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If to Erigen:</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Erigen LLC</w:t>
      </w:r>
    </w:p>
    <w:p>
      <w:pPr>
        <w:ind w:left="2260"/>
        <w:spacing w:after="0"/>
        <w:rPr>
          <w:sz w:val="20"/>
          <w:szCs w:val="20"/>
          <w:color w:val="auto"/>
        </w:rPr>
      </w:pPr>
      <w:r>
        <w:rPr>
          <w:rFonts w:ascii="Times New Roman" w:cs="Times New Roman" w:eastAsia="Times New Roman" w:hAnsi="Times New Roman"/>
          <w:sz w:val="20"/>
          <w:szCs w:val="20"/>
          <w:color w:val="auto"/>
        </w:rPr>
        <w:t>1035 Cambridge Street, Suite 17B</w:t>
      </w:r>
    </w:p>
    <w:p>
      <w:pPr>
        <w:ind w:left="2260"/>
        <w:spacing w:after="0"/>
        <w:rPr>
          <w:sz w:val="20"/>
          <w:szCs w:val="20"/>
          <w:color w:val="auto"/>
        </w:rPr>
      </w:pPr>
      <w:r>
        <w:rPr>
          <w:rFonts w:ascii="Times New Roman" w:cs="Times New Roman" w:eastAsia="Times New Roman" w:hAnsi="Times New Roman"/>
          <w:sz w:val="20"/>
          <w:szCs w:val="20"/>
          <w:color w:val="auto"/>
        </w:rPr>
        <w:t>Cambridge, MA 02141</w:t>
      </w:r>
    </w:p>
    <w:p>
      <w:pPr>
        <w:ind w:left="2260"/>
        <w:spacing w:after="0"/>
        <w:rPr>
          <w:sz w:val="20"/>
          <w:szCs w:val="20"/>
          <w:color w:val="auto"/>
        </w:rPr>
      </w:pPr>
      <w:r>
        <w:rPr>
          <w:rFonts w:ascii="Times New Roman" w:cs="Times New Roman" w:eastAsia="Times New Roman" w:hAnsi="Times New Roman"/>
          <w:sz w:val="20"/>
          <w:szCs w:val="20"/>
          <w:color w:val="auto"/>
        </w:rPr>
        <w:t>Attn: [***]</w:t>
      </w:r>
    </w:p>
    <w:p>
      <w:pPr>
        <w:ind w:left="2260"/>
        <w:spacing w:after="0"/>
        <w:rPr>
          <w:sz w:val="20"/>
          <w:szCs w:val="20"/>
          <w:color w:val="auto"/>
        </w:rPr>
      </w:pPr>
      <w:r>
        <w:rPr>
          <w:rFonts w:ascii="Times New Roman" w:cs="Times New Roman" w:eastAsia="Times New Roman" w:hAnsi="Times New Roman"/>
          <w:sz w:val="20"/>
          <w:szCs w:val="20"/>
          <w:color w:val="auto"/>
        </w:rPr>
        <w:t>[***]</w:t>
      </w:r>
    </w:p>
    <w:p>
      <w:pPr>
        <w:jc w:val="center"/>
        <w:spacing w:after="0"/>
        <w:rPr>
          <w:sz w:val="20"/>
          <w:szCs w:val="20"/>
          <w:color w:val="auto"/>
        </w:rPr>
      </w:pPr>
      <w:r>
        <w:rPr>
          <w:rFonts w:ascii="Times New Roman" w:cs="Times New Roman" w:eastAsia="Times New Roman" w:hAnsi="Times New Roman"/>
          <w:sz w:val="20"/>
          <w:szCs w:val="20"/>
          <w:b w:val="1"/>
          <w:bCs w:val="1"/>
          <w:color w:val="auto"/>
        </w:rPr>
        <w:t>Section 11.</w:t>
      </w:r>
    </w:p>
    <w:p>
      <w:pPr>
        <w:jc w:val="center"/>
        <w:spacing w:after="0"/>
        <w:rPr>
          <w:sz w:val="20"/>
          <w:szCs w:val="20"/>
          <w:color w:val="auto"/>
        </w:rPr>
      </w:pPr>
      <w:r>
        <w:rPr>
          <w:rFonts w:ascii="Times New Roman" w:cs="Times New Roman" w:eastAsia="Times New Roman" w:hAnsi="Times New Roman"/>
          <w:sz w:val="20"/>
          <w:szCs w:val="20"/>
          <w:i w:val="1"/>
          <w:iCs w:val="1"/>
          <w:u w:val="single" w:color="auto"/>
          <w:color w:val="auto"/>
        </w:rPr>
        <w:t>Miscellaneous</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i w:val="1"/>
          <w:iCs w:val="1"/>
          <w:u w:val="single" w:color="auto"/>
          <w:color w:val="auto"/>
        </w:rPr>
        <w:t>Entire Agreement; Amendments</w:t>
      </w:r>
      <w:r>
        <w:rPr>
          <w:rFonts w:ascii="Times New Roman" w:cs="Times New Roman" w:eastAsia="Times New Roman" w:hAnsi="Times New Roman"/>
          <w:sz w:val="20"/>
          <w:szCs w:val="20"/>
          <w:color w:val="auto"/>
        </w:rPr>
        <w:t>. This Agreement and any Work Orders issued hereunder, together with the License, represents the entire understanding of the parties with respect to the Services that are subject matter hereof and (with the exception of the License and the contemporaneous Amended and Restated Trademark Agreement by and between Erigen and Factor’s Affiliate FACTOR BIOSCIENCE LLC) shall merge and supersede all prior and contemporaneous agreements or understandings, oral or written, with respect thereto. This Agreement shall not be modified except by a written agreement signed by the Parties hereto specifying that it is a modification to the Agreement.</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11.2 </w:t>
      </w:r>
      <w:r>
        <w:rPr>
          <w:rFonts w:ascii="Times New Roman" w:cs="Times New Roman" w:eastAsia="Times New Roman" w:hAnsi="Times New Roman"/>
          <w:sz w:val="20"/>
          <w:szCs w:val="20"/>
          <w:i w:val="1"/>
          <w:iCs w:val="1"/>
          <w:u w:val="single" w:color="auto"/>
          <w:color w:val="auto"/>
        </w:rPr>
        <w:t>Independent Contractor</w:t>
      </w:r>
      <w:r>
        <w:rPr>
          <w:rFonts w:ascii="Times New Roman" w:cs="Times New Roman" w:eastAsia="Times New Roman" w:hAnsi="Times New Roman"/>
          <w:sz w:val="20"/>
          <w:szCs w:val="20"/>
          <w:color w:val="auto"/>
        </w:rPr>
        <w:t>. Any Services performed by Factor under this Agreement are to be performed by Factor in Factor’s capacity as an independent contractor. Neither Factor nor its employees, agents or representatives are employees of Erigen. Factor retains the sole right to hire, discipline, evaluate and terminate its own employees and to set their hours, wages and terms and conditions of employment in accordance with law and Factor’s obligations herein. All income, employment and other similar taxes required to be withheld and/or paid with respect to all Services provided hereunder will be timely paid by Factor directly to the appropriate governmental agency. The employees, representatives or agents of Factor are not entitled to and will not receive from Erigen in connection with the Services, any benefits normally provided by Erigen to its employees.</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11.3 </w:t>
      </w:r>
      <w:r>
        <w:rPr>
          <w:rFonts w:ascii="Times New Roman" w:cs="Times New Roman" w:eastAsia="Times New Roman" w:hAnsi="Times New Roman"/>
          <w:sz w:val="20"/>
          <w:szCs w:val="20"/>
          <w:i w:val="1"/>
          <w:iCs w:val="1"/>
          <w:u w:val="single" w:color="auto"/>
          <w:color w:val="auto"/>
        </w:rPr>
        <w:t>Waiver</w:t>
      </w:r>
      <w:r>
        <w:rPr>
          <w:rFonts w:ascii="Times New Roman" w:cs="Times New Roman" w:eastAsia="Times New Roman" w:hAnsi="Times New Roman"/>
          <w:sz w:val="20"/>
          <w:szCs w:val="20"/>
          <w:color w:val="auto"/>
        </w:rPr>
        <w:t>. The failure of a Party to insist upon strict adherence to any term of this Agreement on any occasion shall not be considered a waiver or deprive that Party of the right to insist upon strict adherence to that term or any other term of this Agreement. Any waiver must be in writing and signed by the Party making the waiver.</w:t>
      </w:r>
    </w:p>
    <w:p>
      <w:pPr>
        <w:spacing w:after="0" w:line="16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 xml:space="preserve">11.4 </w:t>
      </w:r>
      <w:r>
        <w:rPr>
          <w:rFonts w:ascii="Times New Roman" w:cs="Times New Roman" w:eastAsia="Times New Roman" w:hAnsi="Times New Roman"/>
          <w:sz w:val="20"/>
          <w:szCs w:val="20"/>
          <w:i w:val="1"/>
          <w:iCs w:val="1"/>
          <w:u w:val="single" w:color="auto"/>
          <w:color w:val="auto"/>
        </w:rPr>
        <w:t>Severability</w:t>
      </w:r>
      <w:r>
        <w:rPr>
          <w:rFonts w:ascii="Times New Roman" w:cs="Times New Roman" w:eastAsia="Times New Roman" w:hAnsi="Times New Roman"/>
          <w:sz w:val="20"/>
          <w:szCs w:val="20"/>
          <w:color w:val="auto"/>
        </w:rPr>
        <w:t>. The invalidity or unenforceability of any term or provision of this Agreement shall not affect the validity or enforceability of any other term or provision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4928-7326-4540,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11.5 </w:t>
      </w:r>
      <w:r>
        <w:rPr>
          <w:rFonts w:ascii="Times New Roman" w:cs="Times New Roman" w:eastAsia="Times New Roman" w:hAnsi="Times New Roman"/>
          <w:sz w:val="20"/>
          <w:szCs w:val="20"/>
          <w:i w:val="1"/>
          <w:iCs w:val="1"/>
          <w:u w:val="single" w:color="auto"/>
          <w:color w:val="auto"/>
        </w:rPr>
        <w:t>Governing Law and Venue</w:t>
      </w:r>
      <w:r>
        <w:rPr>
          <w:rFonts w:ascii="Times New Roman" w:cs="Times New Roman" w:eastAsia="Times New Roman" w:hAnsi="Times New Roman"/>
          <w:sz w:val="20"/>
          <w:szCs w:val="20"/>
          <w:color w:val="auto"/>
        </w:rPr>
        <w:t>. This Agreement shall be construed under and governed by the laws of the Commonwealth of Massachusetts, without regard to the conflict of laws principles thereof. The Parties hereby submit to the exclusive jurisdiction of the federal and/or state courts sitting in [***].</w:t>
      </w:r>
    </w:p>
    <w:p>
      <w:pPr>
        <w:spacing w:after="0" w:line="16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11.6 </w:t>
      </w:r>
      <w:r>
        <w:rPr>
          <w:rFonts w:ascii="Times New Roman" w:cs="Times New Roman" w:eastAsia="Times New Roman" w:hAnsi="Times New Roman"/>
          <w:sz w:val="20"/>
          <w:szCs w:val="20"/>
          <w:i w:val="1"/>
          <w:iCs w:val="1"/>
          <w:u w:val="single" w:color="auto"/>
          <w:color w:val="auto"/>
        </w:rPr>
        <w:t>Force Majeure</w:t>
      </w:r>
      <w:r>
        <w:rPr>
          <w:rFonts w:ascii="Times New Roman" w:cs="Times New Roman" w:eastAsia="Times New Roman" w:hAnsi="Times New Roman"/>
          <w:sz w:val="20"/>
          <w:szCs w:val="20"/>
          <w:color w:val="auto"/>
        </w:rPr>
        <w:t>. Failure of either Party to perform its obligations under this Agreement shall not subject such Party to any liability or place such Party in breach of any term or condition of this Agreement to the other Party to the extent that such failure is due to causes beyond the reasonable control of the affected Party including, but not limited to, fire, explosion, flood, drought, hurricane, war, terrorism, riot, civil unrest, sabotage, vandalism, embargo, epidemic, pandemic or other declared national, state or local health emergency, compliance with any order or regulation of any government entity acting with color of right, or any other cause beyond the reasonable control of such non-performing Party and not caused by the negligence, intentional conduct or misconduct of the non-performing Party (such event or cause referred to as “force majeure”). The Party unable to perform hereunder due to force majeure shall, as promptly as reasonably practicable, notify the other Party and shall use reasonable efforts to eliminate, cure or overcome the force majeure, keeping the other Party informed of its progress, and resume performance of its obligations as soon as reasonably practicable. If a condition constituting force majeure exists for more than [***], the Parties shall meet and discuss in good faith modifications to the Services, timetable for provision and completion of the Services and/or other affected aspects of the Agreement or Work Order.</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11.7 </w:t>
      </w:r>
      <w:r>
        <w:rPr>
          <w:rFonts w:ascii="Times New Roman" w:cs="Times New Roman" w:eastAsia="Times New Roman" w:hAnsi="Times New Roman"/>
          <w:sz w:val="19"/>
          <w:szCs w:val="19"/>
          <w:i w:val="1"/>
          <w:iCs w:val="1"/>
          <w:u w:val="single" w:color="auto"/>
          <w:color w:val="auto"/>
        </w:rPr>
        <w:t>Injunctive Relief</w:t>
      </w:r>
      <w:r>
        <w:rPr>
          <w:rFonts w:ascii="Times New Roman" w:cs="Times New Roman" w:eastAsia="Times New Roman" w:hAnsi="Times New Roman"/>
          <w:sz w:val="19"/>
          <w:szCs w:val="19"/>
          <w:color w:val="auto"/>
        </w:rPr>
        <w:t>. Each Party agrees that it would be impossible or inadequate to measure and calculate the other Party’s damages from any breach of the covenants set forth in Section 5 of this Agreement, and that a breach of such covenants could cause serious and irreparable injury to such other Party. Accordingly, each Party shall have available, in addition to any other right or remedy available to it, the right to seek an injunction from a court of competent jurisdiction restraining such a breach (or threatened breach) and to specific performance of any such covenant. Each Party further agrees that no bond or other security shall be required in seeking such equitable relief.</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 xml:space="preserve">11.8 </w:t>
      </w:r>
      <w:r>
        <w:rPr>
          <w:rFonts w:ascii="Times New Roman" w:cs="Times New Roman" w:eastAsia="Times New Roman" w:hAnsi="Times New Roman"/>
          <w:sz w:val="19"/>
          <w:szCs w:val="19"/>
          <w:i w:val="1"/>
          <w:iCs w:val="1"/>
          <w:u w:val="single" w:color="auto"/>
          <w:color w:val="auto"/>
        </w:rPr>
        <w:t>Assignment</w:t>
      </w:r>
      <w:r>
        <w:rPr>
          <w:rFonts w:ascii="Times New Roman" w:cs="Times New Roman" w:eastAsia="Times New Roman" w:hAnsi="Times New Roman"/>
          <w:sz w:val="19"/>
          <w:szCs w:val="19"/>
          <w:color w:val="auto"/>
        </w:rPr>
        <w:t>. This Agreement will be binding upon and will inure to the benefit of each Party and each Party’s respective transferees, successors and assigns, pursuant to the provisions set forth below. Neither Party may transfer or assign this Agreement to any entity other than an Affiliate without the prior written consent of the other Party, except as provided in this Section 11.8. In the event that a third party (the “</w:t>
      </w:r>
      <w:r>
        <w:rPr>
          <w:rFonts w:ascii="Times New Roman" w:cs="Times New Roman" w:eastAsia="Times New Roman" w:hAnsi="Times New Roman"/>
          <w:sz w:val="19"/>
          <w:szCs w:val="19"/>
          <w:i w:val="1"/>
          <w:iCs w:val="1"/>
          <w:u w:val="single" w:color="auto"/>
          <w:color w:val="auto"/>
        </w:rPr>
        <w:t>Acquiring Party</w:t>
      </w:r>
      <w:r>
        <w:rPr>
          <w:rFonts w:ascii="Times New Roman" w:cs="Times New Roman" w:eastAsia="Times New Roman" w:hAnsi="Times New Roman"/>
          <w:sz w:val="19"/>
          <w:szCs w:val="19"/>
          <w:color w:val="auto"/>
        </w:rPr>
        <w:t>”) acquires all or substantially all of a Party’s business, capital stock or assets, or the portion of such Party’s assets pertaining to this Agreement, whether by sale, merger, change of control, operation of law or otherwise (an “</w:t>
      </w:r>
      <w:r>
        <w:rPr>
          <w:rFonts w:ascii="Times New Roman" w:cs="Times New Roman" w:eastAsia="Times New Roman" w:hAnsi="Times New Roman"/>
          <w:sz w:val="19"/>
          <w:szCs w:val="19"/>
          <w:i w:val="1"/>
          <w:iCs w:val="1"/>
          <w:u w:val="single" w:color="auto"/>
          <w:color w:val="auto"/>
        </w:rPr>
        <w:t>Acquisition</w:t>
      </w:r>
      <w:r>
        <w:rPr>
          <w:rFonts w:ascii="Times New Roman" w:cs="Times New Roman" w:eastAsia="Times New Roman" w:hAnsi="Times New Roman"/>
          <w:sz w:val="19"/>
          <w:szCs w:val="19"/>
          <w:color w:val="auto"/>
        </w:rPr>
        <w:t>”), such Party may assign this Agreement and the Work Orders hereunder to the Acquiring Party without the prior written consent of the other Party, provided that the Acquiring Party agrees in writing to assume the assigning Party’s obligations under this Agreement and the Work Orders hereunder. In such event, the rights granted to the Party being acquired under this Agreement shall inure to the benefit of the Acquiring Party. For the avoidance of doubt, in the event of an Acquisition of Erigen by an Acquiring Party, the Acquiring Party will be responsible for all payments and other obligations set forth in this Agreement, including, but not limited to, all payments set forth herein, and any obligations that matured prior to the Acquisition date. Upon an Acquisition of Erigen by an Acquiring Party, payment thereof shall remain an ongoing obligation of the Acquiring Party until such amount is paid in full. Any attempted assignment in contravention of this Section 11.8 will be null and void.</w:t>
      </w:r>
    </w:p>
    <w:p>
      <w:pPr>
        <w:spacing w:after="0" w:line="17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11.9 </w:t>
      </w:r>
      <w:r>
        <w:rPr>
          <w:rFonts w:ascii="Times New Roman" w:cs="Times New Roman" w:eastAsia="Times New Roman" w:hAnsi="Times New Roman"/>
          <w:sz w:val="20"/>
          <w:szCs w:val="20"/>
          <w:i w:val="1"/>
          <w:iCs w:val="1"/>
          <w:u w:val="single" w:color="auto"/>
          <w:color w:val="auto"/>
        </w:rPr>
        <w:t>Announcement</w:t>
      </w:r>
      <w:r>
        <w:rPr>
          <w:rFonts w:ascii="Times New Roman" w:cs="Times New Roman" w:eastAsia="Times New Roman" w:hAnsi="Times New Roman"/>
          <w:sz w:val="20"/>
          <w:szCs w:val="20"/>
          <w:color w:val="auto"/>
        </w:rPr>
        <w:t>. As soon as reasonably practicable after entering into this Agreement, the Parties may issue a joint press release announcing their entering into this Agreement, provided that the content of such press release shall be determined by mutual agreement of the Parties acting in good faith. As applicable, each Party shall also be entitled to disclose this Agreement in its filings with the Securities and Exchange Commission and as otherwise required in order to comply with applicable legal requirements and the rules or regulations of any securities exchange on which such Party’s securities are listed.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4928-7326-4540,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18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 xml:space="preserve">11.10 </w:t>
      </w:r>
      <w:r>
        <w:rPr>
          <w:rFonts w:ascii="Times New Roman" w:cs="Times New Roman" w:eastAsia="Times New Roman" w:hAnsi="Times New Roman"/>
          <w:sz w:val="20"/>
          <w:szCs w:val="20"/>
          <w:i w:val="1"/>
          <w:iCs w:val="1"/>
          <w:u w:val="single" w:color="auto"/>
          <w:color w:val="auto"/>
        </w:rPr>
        <w:t>Counterparts</w:t>
      </w:r>
      <w:r>
        <w:rPr>
          <w:rFonts w:ascii="Times New Roman" w:cs="Times New Roman" w:eastAsia="Times New Roman" w:hAnsi="Times New Roman"/>
          <w:sz w:val="20"/>
          <w:szCs w:val="20"/>
          <w:color w:val="auto"/>
        </w:rPr>
        <w:t>. This Agreement may be executed by original or facsimile signature in any number of counterparts, each of which need not contain the signature of more than one Party but all such counterparts taken together will constitute one and the same agreement.</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4928-7326-4540,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1" w:name="page232"/>
    <w:bookmarkEnd w:id="231"/>
    <w:p>
      <w:pPr>
        <w:ind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duly executed this Amended and Restated Master Services Agreement as of the Execution Date.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FACTOR BIOSCIENCE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Christopher Rohde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-10795</wp:posOffset>
            </wp:positionV>
            <wp:extent cx="125603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4">
                      <a:extLst>
                        <a:ext uri="{28A0092B-C50C-407E-A947-70E740481C1C}"/>
                      </a:extLst>
                    </a:blip>
                    <a:srcRect/>
                    <a:stretch>
                      <a:fillRect/>
                    </a:stretch>
                  </pic:blipFill>
                  <pic:spPr bwMode="auto">
                    <a:xfrm>
                      <a:off x="0" y="0"/>
                      <a:ext cx="1256030" cy="8890"/>
                    </a:xfrm>
                    <a:prstGeom prst="rect">
                      <a:avLst/>
                    </a:prstGeom>
                    <a:noFill/>
                  </pic:spPr>
                </pic:pic>
              </a:graphicData>
            </a:graphic>
          </wp:anchor>
        </w:drawing>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Christopher Rohde, Ph.D.</w:t>
      </w:r>
    </w:p>
    <w:p>
      <w:pPr>
        <w:ind w:left="480"/>
        <w:spacing w:after="0"/>
        <w:rPr>
          <w:sz w:val="20"/>
          <w:szCs w:val="20"/>
          <w:color w:val="auto"/>
        </w:rPr>
      </w:pPr>
      <w:r>
        <w:rPr>
          <w:rFonts w:ascii="Times New Roman" w:cs="Times New Roman" w:eastAsia="Times New Roman" w:hAnsi="Times New Roman"/>
          <w:sz w:val="20"/>
          <w:szCs w:val="20"/>
          <w:color w:val="auto"/>
        </w:rPr>
        <w:t>Chief Technology Officer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ERIGEN LLC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Matt Angel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-10795</wp:posOffset>
            </wp:positionV>
            <wp:extent cx="100520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5">
                      <a:extLst>
                        <a:ext uri="{28A0092B-C50C-407E-A947-70E740481C1C}"/>
                      </a:extLst>
                    </a:blip>
                    <a:srcRect/>
                    <a:stretch>
                      <a:fillRect/>
                    </a:stretch>
                  </pic:blipFill>
                  <pic:spPr bwMode="auto">
                    <a:xfrm>
                      <a:off x="0" y="0"/>
                      <a:ext cx="1005205" cy="8890"/>
                    </a:xfrm>
                    <a:prstGeom prst="rect">
                      <a:avLst/>
                    </a:prstGeom>
                    <a:noFill/>
                  </pic:spPr>
                </pic:pic>
              </a:graphicData>
            </a:graphic>
          </wp:anchor>
        </w:drawing>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Matthew Angel, Ph.D.</w:t>
      </w:r>
    </w:p>
    <w:p>
      <w:pPr>
        <w:ind w:left="48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2" w:name="page233"/>
    <w:bookmarkEnd w:id="232"/>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w:t>
      </w:r>
      <w:r>
        <w:rPr>
          <w:rFonts w:ascii="Times New Roman" w:cs="Times New Roman" w:eastAsia="Times New Roman" w:hAnsi="Times New Roman"/>
          <w:sz w:val="13"/>
          <w:szCs w:val="13"/>
          <w:b w:val="1"/>
          <w:bCs w:val="1"/>
          <w:color w:val="auto"/>
        </w:rPr>
        <w:t>orm</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3"/>
          <w:szCs w:val="13"/>
          <w:b w:val="1"/>
          <w:bCs w:val="1"/>
          <w:color w:val="auto"/>
        </w:rPr>
        <w:t>ork</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rder</w:t>
      </w:r>
    </w:p>
    <w:p>
      <w:pPr>
        <w:spacing w:after="0" w:line="200" w:lineRule="exact"/>
        <w:rPr>
          <w:sz w:val="20"/>
          <w:szCs w:val="20"/>
          <w:color w:val="auto"/>
        </w:rPr>
      </w:pPr>
    </w:p>
    <w:p>
      <w:pPr>
        <w:spacing w:after="0" w:line="2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This Work Order No. [ ] is incorporated into the Amended and Restated Master Services Agreement dated September [•], 2025 by and between Factor and Erigen (for the purposes of this Work Order, the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This Work Order describes Services and Deliverables to be performed and provided by Factor pursuant to the Agreement. In the event of any conflict between the Agreement and any provision of this Work Order, the Agreement will control unless the Parties’ intent to alter the terms of the Agreement is expressly set forth in such provision, and such alteration shall only apply to this Work Order and shall not be construed as an amendment to the terms of the Agreement. All capitalized terms used and not expressly defined in this Work Order will have the meanings given to them in the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Approach &amp; Activities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[DESCRIBE METHODS/PROCESSES/TASK SUMMARY of the Services]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Deliverables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[DESCRIBE EXACTLY WHAT IT IS THAT ERIGEN IS RECEIVING AS A RESULT OF THE SERVICES]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optional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Obligations of Erigen</w:t>
      </w:r>
    </w:p>
    <w:p>
      <w:pPr>
        <w:spacing w:after="0" w:line="26"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[DESCRIBE EXACTLY WHAT, IF ANYTHING, ERIGEN MUST PROVIDE SO THAT FACTOR CAN SUCCESSFULLY PROVIDE SERVICES]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optional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Specifications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[DESCRIBE ANY TECHNICAL SPECIFICATIONS THAT THE DELIVERABLES MUST MEET]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Points of Contact</w:t>
      </w:r>
    </w:p>
    <w:p>
      <w:pPr>
        <w:spacing w:after="0" w:line="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If to Erigen</w:t>
      </w:r>
    </w:p>
    <w:p>
      <w:pPr>
        <w:ind w:left="1500"/>
        <w:spacing w:after="0"/>
        <w:rPr>
          <w:sz w:val="20"/>
          <w:szCs w:val="20"/>
          <w:color w:val="auto"/>
        </w:rPr>
      </w:pPr>
      <w:r>
        <w:rPr>
          <w:rFonts w:ascii="Times New Roman" w:cs="Times New Roman" w:eastAsia="Times New Roman" w:hAnsi="Times New Roman"/>
          <w:sz w:val="20"/>
          <w:szCs w:val="20"/>
          <w:color w:val="auto"/>
        </w:rPr>
        <w:t>Erigen LLC</w:t>
      </w:r>
    </w:p>
    <w:p>
      <w:pPr>
        <w:ind w:left="1500"/>
        <w:spacing w:after="0"/>
        <w:rPr>
          <w:sz w:val="20"/>
          <w:szCs w:val="20"/>
          <w:color w:val="auto"/>
        </w:rPr>
      </w:pPr>
      <w:r>
        <w:rPr>
          <w:rFonts w:ascii="Times New Roman" w:cs="Times New Roman" w:eastAsia="Times New Roman" w:hAnsi="Times New Roman"/>
          <w:sz w:val="20"/>
          <w:szCs w:val="20"/>
          <w:color w:val="auto"/>
        </w:rPr>
        <w:t>1035 Cambridge Street, Suite 17B</w:t>
      </w:r>
    </w:p>
    <w:p>
      <w:pPr>
        <w:ind w:left="1500"/>
        <w:spacing w:after="0"/>
        <w:rPr>
          <w:sz w:val="20"/>
          <w:szCs w:val="20"/>
          <w:color w:val="auto"/>
        </w:rPr>
      </w:pPr>
      <w:r>
        <w:rPr>
          <w:rFonts w:ascii="Times New Roman" w:cs="Times New Roman" w:eastAsia="Times New Roman" w:hAnsi="Times New Roman"/>
          <w:sz w:val="20"/>
          <w:szCs w:val="20"/>
          <w:color w:val="auto"/>
        </w:rPr>
        <w:t>Cambridge, MA 02141</w:t>
      </w:r>
    </w:p>
    <w:p>
      <w:pPr>
        <w:ind w:left="1500"/>
        <w:spacing w:after="0"/>
        <w:rPr>
          <w:sz w:val="20"/>
          <w:szCs w:val="20"/>
          <w:color w:val="auto"/>
        </w:rPr>
      </w:pPr>
      <w:r>
        <w:rPr>
          <w:rFonts w:ascii="Times New Roman" w:cs="Times New Roman" w:eastAsia="Times New Roman" w:hAnsi="Times New Roman"/>
          <w:sz w:val="20"/>
          <w:szCs w:val="20"/>
          <w:color w:val="auto"/>
        </w:rPr>
        <w:t>Attn: [***]</w:t>
      </w:r>
    </w:p>
    <w:p>
      <w:pPr>
        <w:ind w:left="1500"/>
        <w:spacing w:after="0"/>
        <w:rPr>
          <w:sz w:val="20"/>
          <w:szCs w:val="20"/>
          <w:color w:val="auto"/>
        </w:rPr>
      </w:pPr>
      <w:r>
        <w:rPr>
          <w:rFonts w:ascii="Times New Roman" w:cs="Times New Roman" w:eastAsia="Times New Roman" w:hAnsi="Times New Roman"/>
          <w:sz w:val="20"/>
          <w:szCs w:val="20"/>
          <w:color w:val="auto"/>
        </w:rPr>
        <w:t>[***]</w:t>
      </w:r>
    </w:p>
    <w:p>
      <w:pPr>
        <w:spacing w:after="0" w:line="2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If to Factor</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Factor Bioscience Inc.</w:t>
      </w:r>
    </w:p>
    <w:p>
      <w:pPr>
        <w:ind w:left="1500"/>
        <w:spacing w:after="0"/>
        <w:rPr>
          <w:sz w:val="20"/>
          <w:szCs w:val="20"/>
          <w:color w:val="auto"/>
        </w:rPr>
      </w:pPr>
      <w:r>
        <w:rPr>
          <w:rFonts w:ascii="Times New Roman" w:cs="Times New Roman" w:eastAsia="Times New Roman" w:hAnsi="Times New Roman"/>
          <w:sz w:val="20"/>
          <w:szCs w:val="20"/>
          <w:color w:val="auto"/>
        </w:rPr>
        <w:t>Attn: [***]</w:t>
      </w:r>
    </w:p>
    <w:p>
      <w:pPr>
        <w:ind w:left="1500"/>
        <w:spacing w:after="0"/>
        <w:rPr>
          <w:sz w:val="20"/>
          <w:szCs w:val="20"/>
          <w:color w:val="auto"/>
        </w:rPr>
      </w:pPr>
      <w:r>
        <w:rPr>
          <w:rFonts w:ascii="Times New Roman" w:cs="Times New Roman" w:eastAsia="Times New Roman" w:hAnsi="Times New Roman"/>
          <w:sz w:val="20"/>
          <w:szCs w:val="20"/>
          <w:color w:val="auto"/>
        </w:rPr>
        <w:t>1035 Cambridge Street, Suite 17B</w:t>
      </w:r>
    </w:p>
    <w:p>
      <w:pPr>
        <w:ind w:left="1500"/>
        <w:spacing w:after="0"/>
        <w:rPr>
          <w:sz w:val="20"/>
          <w:szCs w:val="20"/>
          <w:color w:val="auto"/>
        </w:rPr>
      </w:pPr>
      <w:r>
        <w:rPr>
          <w:rFonts w:ascii="Times New Roman" w:cs="Times New Roman" w:eastAsia="Times New Roman" w:hAnsi="Times New Roman"/>
          <w:sz w:val="20"/>
          <w:szCs w:val="20"/>
          <w:color w:val="auto"/>
        </w:rPr>
        <w:t>Cambridge, MA 02141</w:t>
      </w:r>
    </w:p>
    <w:p>
      <w:pPr>
        <w:ind w:left="800"/>
        <w:spacing w:after="0"/>
        <w:rPr>
          <w:sz w:val="20"/>
          <w:szCs w:val="20"/>
          <w:color w:val="auto"/>
        </w:rPr>
      </w:pPr>
      <w:r>
        <w:rPr>
          <w:rFonts w:ascii="Times New Roman" w:cs="Times New Roman" w:eastAsia="Times New Roman" w:hAnsi="Times New Roman"/>
          <w:sz w:val="20"/>
          <w:szCs w:val="20"/>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Budget</w:t>
      </w:r>
    </w:p>
    <w:p>
      <w:pPr>
        <w:spacing w:after="0" w:line="2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[IDENTIFY THE MAXIMUM AMOUNT THAT ERIGEN IS AGREEING TO PAY FOR THE SERVICES, EITHER IN THEIR ENTIREY OR FOR PARTICULAR SERVICES]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Payment Schedule</w:t>
      </w:r>
    </w:p>
    <w:p>
      <w:pPr>
        <w:spacing w:after="0" w:line="2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Factor will invoice Erigen only for the Services actually rendered and the expenses actually incurred. In full consideration for Factor’s timely and satisfactory performance of the Services and provision of the Deliverables, Factor will be compensated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PICK ONE OF THE THREE LISTED BELOW</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760"/>
        <w:spacing w:after="0" w:line="246" w:lineRule="auto"/>
        <w:rPr>
          <w:sz w:val="20"/>
          <w:szCs w:val="20"/>
          <w:color w:val="auto"/>
        </w:rPr>
      </w:pPr>
      <w:r>
        <w:rPr>
          <w:rFonts w:ascii="Times New Roman" w:cs="Times New Roman" w:eastAsia="Times New Roman" w:hAnsi="Times New Roman"/>
          <w:sz w:val="20"/>
          <w:szCs w:val="20"/>
          <w:u w:val="single" w:color="auto"/>
          <w:color w:val="auto"/>
        </w:rPr>
        <w:t>Time &amp; Materials Basis</w:t>
      </w:r>
      <w:r>
        <w:rPr>
          <w:rFonts w:ascii="Times New Roman" w:cs="Times New Roman" w:eastAsia="Times New Roman" w:hAnsi="Times New Roman"/>
          <w:sz w:val="20"/>
          <w:szCs w:val="20"/>
          <w:color w:val="auto"/>
        </w:rPr>
        <w:t>: as invoiced by Factor at the rates set forth below; provided, however, that Factor will obtain Erigen’s prior written approval before providing more than [_____ dollars ($__.__)] worth of Services.</w:t>
      </w:r>
    </w:p>
    <w:p>
      <w:pPr>
        <w:spacing w:after="0" w:line="1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Rates:</w:t>
      </w:r>
    </w:p>
    <w:p>
      <w:pPr>
        <w:spacing w:after="0" w:line="200" w:lineRule="exact"/>
        <w:rPr>
          <w:sz w:val="20"/>
          <w:szCs w:val="20"/>
          <w:color w:val="auto"/>
        </w:rPr>
      </w:pP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auto"/>
        </w:rPr>
        <w:t>Fixed Fee Basis</w:t>
      </w:r>
      <w:r>
        <w:rPr>
          <w:rFonts w:ascii="Times New Roman" w:cs="Times New Roman" w:eastAsia="Times New Roman" w:hAnsi="Times New Roman"/>
          <w:sz w:val="20"/>
          <w:szCs w:val="20"/>
          <w:color w:val="auto"/>
        </w:rPr>
        <w:t>: Total fee of [_____ dollars ($__.__)] payable in [_____ (__)] installments of [_____ dollars ($__.__)] each.</w:t>
      </w:r>
    </w:p>
    <w:p>
      <w:pPr>
        <w:spacing w:after="0" w:line="200" w:lineRule="exact"/>
        <w:rPr>
          <w:sz w:val="20"/>
          <w:szCs w:val="20"/>
          <w:color w:val="auto"/>
        </w:rPr>
      </w:pPr>
    </w:p>
    <w:p>
      <w:pPr>
        <w:spacing w:after="0" w:line="259" w:lineRule="exact"/>
        <w:rPr>
          <w:sz w:val="20"/>
          <w:szCs w:val="20"/>
          <w:color w:val="auto"/>
        </w:rPr>
      </w:pPr>
    </w:p>
    <w:p>
      <w:pPr>
        <w:ind w:left="760"/>
        <w:spacing w:after="0" w:line="269" w:lineRule="auto"/>
        <w:rPr>
          <w:sz w:val="20"/>
          <w:szCs w:val="20"/>
          <w:color w:val="auto"/>
        </w:rPr>
      </w:pPr>
      <w:r>
        <w:rPr>
          <w:rFonts w:ascii="Times New Roman" w:cs="Times New Roman" w:eastAsia="Times New Roman" w:hAnsi="Times New Roman"/>
          <w:sz w:val="20"/>
          <w:szCs w:val="20"/>
          <w:u w:val="single" w:color="auto"/>
          <w:color w:val="auto"/>
        </w:rPr>
        <w:t>Milestone Fee Basis</w:t>
      </w:r>
      <w:r>
        <w:rPr>
          <w:rFonts w:ascii="Times New Roman" w:cs="Times New Roman" w:eastAsia="Times New Roman" w:hAnsi="Times New Roman"/>
          <w:sz w:val="20"/>
          <w:szCs w:val="20"/>
          <w:color w:val="auto"/>
        </w:rPr>
        <w:t>: Fees payable in accordance with the table immediately below and the development schedule of this Work Order.</w:t>
      </w:r>
    </w:p>
    <w:p>
      <w:pPr>
        <w:spacing w:after="0" w:line="173" w:lineRule="exact"/>
        <w:rPr>
          <w:sz w:val="20"/>
          <w:szCs w:val="20"/>
          <w:color w:val="auto"/>
        </w:rPr>
      </w:pPr>
    </w:p>
    <w:tbl>
      <w:tblPr>
        <w:tblLayout w:type="fixed"/>
        <w:tblInd w:w="1090" w:type="dxa"/>
        <w:tblCellMar>
          <w:top w:w="0" w:type="dxa"/>
          <w:left w:w="0" w:type="dxa"/>
          <w:bottom w:w="0" w:type="dxa"/>
          <w:right w:w="0" w:type="dxa"/>
        </w:tblCellMar>
      </w:tblPr>
      <w:tr>
        <w:trPr>
          <w:trHeight w:val="282"/>
        </w:trPr>
        <w:tc>
          <w:tcPr>
            <w:tcW w:w="4540" w:type="dxa"/>
            <w:vAlign w:val="bottom"/>
            <w:tcBorders>
              <w:top w:val="single" w:sz="8" w:color="auto"/>
              <w:left w:val="single" w:sz="8" w:color="auto"/>
              <w:right w:val="single" w:sz="8" w:color="auto"/>
            </w:tcBorders>
          </w:tcPr>
          <w:p>
            <w:pPr>
              <w:ind w:left="1860"/>
              <w:spacing w:after="0"/>
              <w:rPr>
                <w:sz w:val="20"/>
                <w:szCs w:val="20"/>
                <w:color w:val="auto"/>
              </w:rPr>
            </w:pPr>
            <w:r>
              <w:rPr>
                <w:rFonts w:ascii="Times New Roman" w:cs="Times New Roman" w:eastAsia="Times New Roman" w:hAnsi="Times New Roman"/>
                <w:sz w:val="20"/>
                <w:szCs w:val="20"/>
                <w:b w:val="1"/>
                <w:bCs w:val="1"/>
                <w:color w:val="auto"/>
              </w:rPr>
              <w:t>Milestone</w:t>
            </w:r>
          </w:p>
        </w:tc>
        <w:tc>
          <w:tcPr>
            <w:tcW w:w="4560" w:type="dxa"/>
            <w:vAlign w:val="bottom"/>
            <w:tcBorders>
              <w:top w:val="single" w:sz="8" w:color="auto"/>
              <w:right w:val="single" w:sz="8" w:color="auto"/>
            </w:tcBorders>
          </w:tcPr>
          <w:p>
            <w:pPr>
              <w:ind w:left="1860"/>
              <w:spacing w:after="0"/>
              <w:rPr>
                <w:sz w:val="20"/>
                <w:szCs w:val="20"/>
                <w:color w:val="auto"/>
              </w:rPr>
            </w:pPr>
            <w:r>
              <w:rPr>
                <w:rFonts w:ascii="Times New Roman" w:cs="Times New Roman" w:eastAsia="Times New Roman" w:hAnsi="Times New Roman"/>
                <w:sz w:val="20"/>
                <w:szCs w:val="20"/>
                <w:b w:val="1"/>
                <w:bCs w:val="1"/>
                <w:color w:val="auto"/>
              </w:rPr>
              <w:t>Fee (US$)</w:t>
            </w:r>
          </w:p>
        </w:tc>
      </w:tr>
      <w:tr>
        <w:trPr>
          <w:trHeight w:val="69"/>
        </w:trPr>
        <w:tc>
          <w:tcPr>
            <w:tcW w:w="4540" w:type="dxa"/>
            <w:vAlign w:val="bottom"/>
            <w:tcBorders>
              <w:left w:val="single" w:sz="8" w:color="auto"/>
              <w:bottom w:val="single" w:sz="8" w:color="auto"/>
              <w:right w:val="single" w:sz="8" w:color="auto"/>
            </w:tcBorders>
          </w:tcPr>
          <w:p>
            <w:pPr>
              <w:spacing w:after="0"/>
              <w:rPr>
                <w:sz w:val="5"/>
                <w:szCs w:val="5"/>
                <w:color w:val="auto"/>
              </w:rPr>
            </w:pPr>
          </w:p>
        </w:tc>
        <w:tc>
          <w:tcPr>
            <w:tcW w:w="4560" w:type="dxa"/>
            <w:vAlign w:val="bottom"/>
            <w:tcBorders>
              <w:bottom w:val="single" w:sz="8" w:color="auto"/>
              <w:right w:val="single" w:sz="8" w:color="auto"/>
            </w:tcBorders>
          </w:tcPr>
          <w:p>
            <w:pPr>
              <w:spacing w:after="0"/>
              <w:rPr>
                <w:sz w:val="5"/>
                <w:szCs w:val="5"/>
                <w:color w:val="auto"/>
              </w:rPr>
            </w:pPr>
          </w:p>
        </w:tc>
      </w:tr>
      <w:tr>
        <w:trPr>
          <w:trHeight w:val="334"/>
        </w:trPr>
        <w:tc>
          <w:tcPr>
            <w:tcW w:w="4540" w:type="dxa"/>
            <w:vAlign w:val="bottom"/>
            <w:tcBorders>
              <w:left w:val="single" w:sz="8" w:color="auto"/>
              <w:bottom w:val="single" w:sz="8" w:color="auto"/>
              <w:right w:val="single" w:sz="8" w:color="auto"/>
            </w:tcBorders>
          </w:tcPr>
          <w:p>
            <w:pPr>
              <w:spacing w:after="0"/>
              <w:rPr>
                <w:sz w:val="24"/>
                <w:szCs w:val="24"/>
                <w:color w:val="auto"/>
              </w:rPr>
            </w:pPr>
          </w:p>
        </w:tc>
        <w:tc>
          <w:tcPr>
            <w:tcW w:w="4560" w:type="dxa"/>
            <w:vAlign w:val="bottom"/>
            <w:tcBorders>
              <w:bottom w:val="single" w:sz="8" w:color="auto"/>
              <w:right w:val="single" w:sz="8" w:color="auto"/>
            </w:tcBorders>
          </w:tcPr>
          <w:p>
            <w:pPr>
              <w:spacing w:after="0"/>
              <w:rPr>
                <w:sz w:val="24"/>
                <w:szCs w:val="24"/>
                <w:color w:val="auto"/>
              </w:rPr>
            </w:pPr>
          </w:p>
        </w:tc>
      </w:tr>
      <w:tr>
        <w:trPr>
          <w:trHeight w:val="331"/>
        </w:trPr>
        <w:tc>
          <w:tcPr>
            <w:tcW w:w="4540" w:type="dxa"/>
            <w:vAlign w:val="bottom"/>
            <w:tcBorders>
              <w:left w:val="single" w:sz="8" w:color="auto"/>
              <w:bottom w:val="single" w:sz="8" w:color="auto"/>
              <w:right w:val="single" w:sz="8" w:color="auto"/>
            </w:tcBorders>
          </w:tcPr>
          <w:p>
            <w:pPr>
              <w:spacing w:after="0"/>
              <w:rPr>
                <w:sz w:val="24"/>
                <w:szCs w:val="24"/>
                <w:color w:val="auto"/>
              </w:rPr>
            </w:pPr>
          </w:p>
        </w:tc>
        <w:tc>
          <w:tcPr>
            <w:tcW w:w="45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Term</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term of this Work Order will begin on __________ and shall terminate on ____________.</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4928-7326-4540,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IN WITNESS WHEREOF, the Parties hereto have duly executed this Work Order No. [ ] as of the date first written above.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FACTOR BIOSCIENCE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-10795</wp:posOffset>
            </wp:positionV>
            <wp:extent cx="25146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9">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Christopher Rohde, Ph.D.</w:t>
      </w:r>
    </w:p>
    <w:p>
      <w:pPr>
        <w:ind w:left="480"/>
        <w:spacing w:after="0"/>
        <w:rPr>
          <w:sz w:val="20"/>
          <w:szCs w:val="20"/>
          <w:color w:val="auto"/>
        </w:rPr>
      </w:pPr>
      <w:r>
        <w:rPr>
          <w:rFonts w:ascii="Times New Roman" w:cs="Times New Roman" w:eastAsia="Times New Roman" w:hAnsi="Times New Roman"/>
          <w:sz w:val="20"/>
          <w:szCs w:val="20"/>
          <w:color w:val="auto"/>
        </w:rPr>
        <w:t>Chief Technology Officer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ERIGEN LLC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-10795</wp:posOffset>
            </wp:positionV>
            <wp:extent cx="25146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0">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Matthew Angel, Ph.D.</w:t>
      </w:r>
    </w:p>
    <w:p>
      <w:pPr>
        <w:ind w:left="48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4928-7326-4540, v.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1440" w:right="103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22"/>
          <w:szCs w:val="22"/>
          <w:b w:val="1"/>
          <w:bCs w:val="1"/>
          <w:color w:val="auto"/>
        </w:rPr>
        <w:t>Exhibit 10.28</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empest</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herapeutics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b w:val="1"/>
          <w:bCs w:val="1"/>
          <w:color w:val="auto"/>
        </w:rPr>
        <w:t>2000 Shoreline Court, Suite 400</w:t>
      </w:r>
    </w:p>
    <w:p>
      <w:pPr>
        <w:spacing w:after="0" w:line="2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Brisbane, CA 94005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19,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Matthew Angel, Ph.D.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VIA EMAIL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 Executive Employment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Matthew:</w:t>
      </w:r>
    </w:p>
    <w:p>
      <w:pPr>
        <w:spacing w:after="0" w:line="22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Tempest Therapeutics, Inc. (“</w:t>
      </w:r>
      <w:r>
        <w:rPr>
          <w:rFonts w:ascii="Times New Roman" w:cs="Times New Roman" w:eastAsia="Times New Roman" w:hAnsi="Times New Roman"/>
          <w:sz w:val="20"/>
          <w:szCs w:val="20"/>
          <w:b w:val="1"/>
          <w:bCs w:val="1"/>
          <w:i w:val="1"/>
          <w:iCs w:val="1"/>
          <w:color w:val="auto"/>
        </w:rPr>
        <w:t>Tempest</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is pleased to offer you employment on the terms set forth in this letter agreement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This offer of employment is conditioned upon the closing of the transactions contemplated by the asset purchase agreement, entered into as of November 19, 2025, by and among the Company, Factor Bioscience Inc., and Erigen LLC (the “</w:t>
      </w:r>
      <w:r>
        <w:rPr>
          <w:rFonts w:ascii="Times New Roman" w:cs="Times New Roman" w:eastAsia="Times New Roman" w:hAnsi="Times New Roman"/>
          <w:sz w:val="20"/>
          <w:szCs w:val="20"/>
          <w:b w:val="1"/>
          <w:bCs w:val="1"/>
          <w:i w:val="1"/>
          <w:iCs w:val="1"/>
          <w:color w:val="auto"/>
        </w:rPr>
        <w:t>Transaction</w:t>
      </w:r>
      <w:r>
        <w:rPr>
          <w:rFonts w:ascii="Times New Roman" w:cs="Times New Roman" w:eastAsia="Times New Roman" w:hAnsi="Times New Roman"/>
          <w:sz w:val="20"/>
          <w:szCs w:val="20"/>
          <w:color w:val="auto"/>
        </w:rPr>
        <w:t>”). If the Transaction does not close, then this Agreement will have no effect, will not be binding on the Company, and neither you nor the Company shall have any rights or obligations hereunder. Your employment with the Company will start upon the closing of the Transaction (the “</w:t>
      </w:r>
      <w:r>
        <w:rPr>
          <w:rFonts w:ascii="Times New Roman" w:cs="Times New Roman" w:eastAsia="Times New Roman" w:hAnsi="Times New Roman"/>
          <w:sz w:val="20"/>
          <w:szCs w:val="20"/>
          <w:b w:val="1"/>
          <w:bCs w:val="1"/>
          <w:i w:val="1"/>
          <w:iCs w:val="1"/>
          <w:color w:val="auto"/>
        </w:rPr>
        <w:t>Start Date</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757"/>
        <w:spacing w:after="0" w:line="241" w:lineRule="auto"/>
        <w:tabs>
          <w:tab w:leader="none" w:pos="1018"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Position; Duties. </w:t>
      </w:r>
      <w:r>
        <w:rPr>
          <w:rFonts w:ascii="Times New Roman" w:cs="Times New Roman" w:eastAsia="Times New Roman" w:hAnsi="Times New Roman"/>
          <w:sz w:val="20"/>
          <w:szCs w:val="20"/>
          <w:color w:val="auto"/>
        </w:rPr>
        <w:t>You will serve as President and Chief Executive Officer of the Company, reporting to the Company’s Board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You agree to devote substantially all of your professional efforts to the performance of your duties. You are also required to adhere to the general employment policies and practices of the Company that may be in effect from time to time, except that when the terms of this Agreement conflict with the Company’s general employment policies or practices, this Agreement will control. The Company may change your position, duties, work location and compensation from time to time in its discretion, subject to the terms and conditions set forth herein.</w:t>
      </w:r>
    </w:p>
    <w:p>
      <w:pPr>
        <w:spacing w:after="0" w:line="197" w:lineRule="exact"/>
        <w:rPr>
          <w:rFonts w:ascii="Times New Roman" w:cs="Times New Roman" w:eastAsia="Times New Roman" w:hAnsi="Times New Roman"/>
          <w:sz w:val="22"/>
          <w:szCs w:val="22"/>
          <w:b w:val="1"/>
          <w:bCs w:val="1"/>
          <w:color w:val="auto"/>
        </w:rPr>
      </w:pPr>
    </w:p>
    <w:p>
      <w:pPr>
        <w:ind w:firstLine="757"/>
        <w:spacing w:after="0" w:line="249" w:lineRule="auto"/>
        <w:tabs>
          <w:tab w:leader="none" w:pos="1018"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Salary. </w:t>
      </w:r>
      <w:r>
        <w:rPr>
          <w:rFonts w:ascii="Times New Roman" w:cs="Times New Roman" w:eastAsia="Times New Roman" w:hAnsi="Times New Roman"/>
          <w:sz w:val="20"/>
          <w:szCs w:val="20"/>
          <w:color w:val="auto"/>
        </w:rPr>
        <w:t>Your annualized base salary will be $650,000, less applicable deductions and withholdings, payable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Company’s payroll practices, as may be in effect from time to time.</w:t>
      </w:r>
    </w:p>
    <w:p>
      <w:pPr>
        <w:spacing w:after="0" w:line="187" w:lineRule="exact"/>
        <w:rPr>
          <w:rFonts w:ascii="Times New Roman" w:cs="Times New Roman" w:eastAsia="Times New Roman" w:hAnsi="Times New Roman"/>
          <w:sz w:val="22"/>
          <w:szCs w:val="22"/>
          <w:b w:val="1"/>
          <w:bCs w:val="1"/>
          <w:color w:val="auto"/>
        </w:rPr>
      </w:pPr>
    </w:p>
    <w:p>
      <w:pPr>
        <w:jc w:val="both"/>
        <w:ind w:firstLine="757"/>
        <w:spacing w:after="0" w:line="262" w:lineRule="auto"/>
        <w:tabs>
          <w:tab w:leader="none" w:pos="1018" w:val="left"/>
        </w:tabs>
        <w:numPr>
          <w:ilvl w:val="0"/>
          <w:numId w:val="9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 xml:space="preserve">Benefits. </w:t>
      </w:r>
      <w:r>
        <w:rPr>
          <w:rFonts w:ascii="Times New Roman" w:cs="Times New Roman" w:eastAsia="Times New Roman" w:hAnsi="Times New Roman"/>
          <w:sz w:val="19"/>
          <w:szCs w:val="19"/>
          <w:color w:val="auto"/>
        </w:rPr>
        <w:t>You will be eligible to participate in the benefits to be offered by Tempest on the same terms and conditions as it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makes such benefits available to employees in positions similar to your position. As is the case of all employee benefits, such benefits will be governed by the terms and conditions of applicable Tempest plans or policies, which are subject to change or discontinuation at any time.</w:t>
      </w:r>
    </w:p>
    <w:p>
      <w:pPr>
        <w:spacing w:after="0" w:line="177" w:lineRule="exact"/>
        <w:rPr>
          <w:rFonts w:ascii="Times New Roman" w:cs="Times New Roman" w:eastAsia="Times New Roman" w:hAnsi="Times New Roman"/>
          <w:sz w:val="21"/>
          <w:szCs w:val="21"/>
          <w:b w:val="1"/>
          <w:bCs w:val="1"/>
          <w:color w:val="auto"/>
        </w:rPr>
      </w:pPr>
    </w:p>
    <w:p>
      <w:pPr>
        <w:ind w:firstLine="757"/>
        <w:spacing w:after="0" w:line="249" w:lineRule="auto"/>
        <w:tabs>
          <w:tab w:leader="none" w:pos="1018"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Expenses. </w:t>
      </w:r>
      <w:r>
        <w:rPr>
          <w:rFonts w:ascii="Times New Roman" w:cs="Times New Roman" w:eastAsia="Times New Roman" w:hAnsi="Times New Roman"/>
          <w:sz w:val="20"/>
          <w:szCs w:val="20"/>
          <w:color w:val="auto"/>
        </w:rPr>
        <w:t>Tempest shall reimburse you for all reasonable expenses of the type authorized by Tempest and incurred by you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performance of your duties under this Agreement, all in accordance with the Company’s reimbursement policies.</w:t>
      </w:r>
    </w:p>
    <w:p>
      <w:pPr>
        <w:spacing w:after="0" w:line="187" w:lineRule="exact"/>
        <w:rPr>
          <w:rFonts w:ascii="Times New Roman" w:cs="Times New Roman" w:eastAsia="Times New Roman" w:hAnsi="Times New Roman"/>
          <w:sz w:val="22"/>
          <w:szCs w:val="22"/>
          <w:b w:val="1"/>
          <w:bCs w:val="1"/>
          <w:color w:val="auto"/>
        </w:rPr>
      </w:pPr>
    </w:p>
    <w:p>
      <w:pPr>
        <w:jc w:val="both"/>
        <w:ind w:firstLine="757"/>
        <w:spacing w:after="0" w:line="241" w:lineRule="auto"/>
        <w:tabs>
          <w:tab w:leader="none" w:pos="1018"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Equity Award. </w:t>
      </w:r>
      <w:r>
        <w:rPr>
          <w:rFonts w:ascii="Times New Roman" w:cs="Times New Roman" w:eastAsia="Times New Roman" w:hAnsi="Times New Roman"/>
          <w:sz w:val="20"/>
          <w:szCs w:val="20"/>
          <w:color w:val="auto"/>
        </w:rPr>
        <w:t>Subject to approval by the Board, the Company anticipates granting you an option to purchase a number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of the Company’s common stock equal to 2% of Company’s outstanding shares on Start Date at a price per share equal to the fair market value on the grant date, as determined by the Board (the “</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The Option shall vest over a four-year period, with one quarter (1/4) of the shares subject to the Option vesting on the first anniversary of the grant date, and the remaining shares vesting equally over the following 36 months of continuous service. The Option shall be issued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36" w:name="page237"/>
    <w:bookmarkEnd w:id="236"/>
    <w:p>
      <w:pPr>
        <w:jc w:val="both"/>
        <w:spacing w:after="0" w:line="249" w:lineRule="auto"/>
        <w:rPr>
          <w:sz w:val="20"/>
          <w:szCs w:val="20"/>
          <w:color w:val="auto"/>
        </w:rPr>
      </w:pPr>
      <w:r>
        <w:rPr>
          <w:rFonts w:ascii="Times New Roman" w:cs="Times New Roman" w:eastAsia="Times New Roman" w:hAnsi="Times New Roman"/>
          <w:sz w:val="20"/>
          <w:szCs w:val="20"/>
          <w:color w:val="auto"/>
        </w:rPr>
        <w:t>pursuant to the terms and conditions of the Company’s Amended and Restated 2023 Equity Incentive Plan, as may be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Beginning in calendar year 2027, and in the Company’s sole discretion, you will be considered for future equity incentive award grants under the Plan (“</w:t>
      </w:r>
      <w:r>
        <w:rPr>
          <w:rFonts w:ascii="Times New Roman" w:cs="Times New Roman" w:eastAsia="Times New Roman" w:hAnsi="Times New Roman"/>
          <w:sz w:val="20"/>
          <w:szCs w:val="20"/>
          <w:b w:val="1"/>
          <w:bCs w:val="1"/>
          <w:i w:val="1"/>
          <w:iCs w:val="1"/>
          <w:color w:val="auto"/>
        </w:rPr>
        <w:t>Future Award</w:t>
      </w:r>
      <w:r>
        <w:rPr>
          <w:rFonts w:ascii="Times New Roman" w:cs="Times New Roman" w:eastAsia="Times New Roman" w:hAnsi="Times New Roman"/>
          <w:sz w:val="20"/>
          <w:szCs w:val="20"/>
          <w:color w:val="auto"/>
        </w:rPr>
        <w:t>”). The Option and any Future Award shall be governed in all respects by the terms of the Plan, the grant notices and the option agreements, and the Company’s policies in effect from time to time.</w:t>
      </w:r>
    </w:p>
    <w:p>
      <w:pPr>
        <w:spacing w:after="0" w:line="189" w:lineRule="exact"/>
        <w:rPr>
          <w:sz w:val="20"/>
          <w:szCs w:val="20"/>
          <w:color w:val="auto"/>
        </w:rPr>
      </w:pPr>
    </w:p>
    <w:p>
      <w:pPr>
        <w:jc w:val="both"/>
        <w:ind w:firstLine="757"/>
        <w:spacing w:after="0" w:line="241" w:lineRule="auto"/>
        <w:tabs>
          <w:tab w:leader="none" w:pos="1018"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Annual Discretionary Bonus. </w:t>
      </w:r>
      <w:r>
        <w:rPr>
          <w:rFonts w:ascii="Times New Roman" w:cs="Times New Roman" w:eastAsia="Times New Roman" w:hAnsi="Times New Roman"/>
          <w:sz w:val="20"/>
          <w:szCs w:val="20"/>
          <w:color w:val="auto"/>
        </w:rPr>
        <w:t>Each year, you will be eligible to earn a discretionary bonus, with a target equal to 50% of your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annual base salary. Whether you receive a bonus, and the amount of any such bonus, will be determined by the Board in its sole discretion, and will be based upon achievement of performance objectives, as well as such other criteria, each as determined by the Board. If you are awarded any bonus for 2025, such bonus will be pro-rated based upon your Start Date. In order to earn and receive the Annual Discretionary Bonus, you must remain employed by the Company through and including the bonus payout date.</w:t>
      </w:r>
    </w:p>
    <w:p>
      <w:pPr>
        <w:spacing w:after="0" w:line="199"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At Will Employment; Severance.</w:t>
      </w:r>
    </w:p>
    <w:p>
      <w:pPr>
        <w:spacing w:after="0" w:line="192" w:lineRule="exact"/>
        <w:rPr>
          <w:rFonts w:ascii="Times New Roman" w:cs="Times New Roman" w:eastAsia="Times New Roman" w:hAnsi="Times New Roman"/>
          <w:sz w:val="22"/>
          <w:szCs w:val="22"/>
          <w:b w:val="1"/>
          <w:bCs w:val="1"/>
          <w:color w:val="auto"/>
        </w:rPr>
      </w:pPr>
    </w:p>
    <w:p>
      <w:pPr>
        <w:ind w:firstLine="1505"/>
        <w:spacing w:after="0" w:line="273" w:lineRule="auto"/>
        <w:tabs>
          <w:tab w:leader="none" w:pos="2036" w:val="left"/>
        </w:tabs>
        <w:numPr>
          <w:ilvl w:val="1"/>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At-Will Employment</w:t>
      </w:r>
      <w:r>
        <w:rPr>
          <w:rFonts w:ascii="Times New Roman" w:cs="Times New Roman" w:eastAsia="Times New Roman" w:hAnsi="Times New Roman"/>
          <w:sz w:val="20"/>
          <w:szCs w:val="20"/>
          <w:color w:val="auto"/>
        </w:rPr>
        <w:t>. Your employment with the Company will be “at-will.” This means that either you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may terminate your employment at any time, with or without Cause (as defined below), and with or without advance notice.</w:t>
      </w:r>
    </w:p>
    <w:p>
      <w:pPr>
        <w:spacing w:after="0" w:line="151" w:lineRule="exact"/>
        <w:rPr>
          <w:rFonts w:ascii="Times New Roman" w:cs="Times New Roman" w:eastAsia="Times New Roman" w:hAnsi="Times New Roman"/>
          <w:sz w:val="20"/>
          <w:szCs w:val="20"/>
          <w:b w:val="1"/>
          <w:bCs w:val="1"/>
          <w:color w:val="auto"/>
        </w:rPr>
      </w:pPr>
    </w:p>
    <w:p>
      <w:pPr>
        <w:jc w:val="both"/>
        <w:ind w:firstLine="1505"/>
        <w:spacing w:after="0" w:line="247" w:lineRule="auto"/>
        <w:tabs>
          <w:tab w:leader="none" w:pos="2036" w:val="left"/>
        </w:tabs>
        <w:numPr>
          <w:ilvl w:val="1"/>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Termination For Cause; Resignation Without Good Reason. </w:t>
      </w:r>
      <w:r>
        <w:rPr>
          <w:rFonts w:ascii="Times New Roman" w:cs="Times New Roman" w:eastAsia="Times New Roman" w:hAnsi="Times New Roman"/>
          <w:sz w:val="20"/>
          <w:szCs w:val="20"/>
          <w:color w:val="auto"/>
        </w:rPr>
        <w:t>If, at any time, the Company terminates your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for Cause, or if you resign without Good Reason (as defined below), or if your employment terminates as a result of your death or disability, you will receive your base salary accrued through your last day of employment, as well as any unused vacation (if applicable) accrued through your last day of employment. Under these circumstances, you will not be entitled to any other form of compensation from the Company, including severance benefits.</w:t>
      </w:r>
    </w:p>
    <w:p>
      <w:pPr>
        <w:spacing w:after="0" w:line="180" w:lineRule="exact"/>
        <w:rPr>
          <w:rFonts w:ascii="Times New Roman" w:cs="Times New Roman" w:eastAsia="Times New Roman" w:hAnsi="Times New Roman"/>
          <w:sz w:val="20"/>
          <w:szCs w:val="20"/>
          <w:b w:val="1"/>
          <w:bCs w:val="1"/>
          <w:color w:val="auto"/>
        </w:rPr>
      </w:pPr>
    </w:p>
    <w:p>
      <w:pPr>
        <w:jc w:val="both"/>
        <w:ind w:firstLine="1505"/>
        <w:spacing w:after="0" w:line="247" w:lineRule="auto"/>
        <w:tabs>
          <w:tab w:leader="none" w:pos="2036" w:val="left"/>
        </w:tabs>
        <w:numPr>
          <w:ilvl w:val="1"/>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Termination without Cause or Resignation for Good Reason Unrelated to Change in Control. </w:t>
      </w:r>
      <w:r>
        <w:rPr>
          <w:rFonts w:ascii="Times New Roman" w:cs="Times New Roman" w:eastAsia="Times New Roman" w:hAnsi="Times New Roman"/>
          <w:sz w:val="20"/>
          <w:szCs w:val="20"/>
          <w:color w:val="auto"/>
        </w:rPr>
        <w:t>If, outside of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Change in Control Period (as defined below), the Company terminates your employment without Cause or you resign for Good Reason, and other than as a result of your death or disability, and provided such termination constitutes a “Separation from Service” (as defined under Treasury Regulation Section 1.409A-1(h), without regard to any alternative definition thereunder, a “</w:t>
      </w:r>
      <w:r>
        <w:rPr>
          <w:rFonts w:ascii="Times New Roman" w:cs="Times New Roman" w:eastAsia="Times New Roman" w:hAnsi="Times New Roman"/>
          <w:sz w:val="20"/>
          <w:szCs w:val="20"/>
          <w:b w:val="1"/>
          <w:bCs w:val="1"/>
          <w:i w:val="1"/>
          <w:iCs w:val="1"/>
          <w:color w:val="auto"/>
        </w:rPr>
        <w:t>Separation from Service</w:t>
      </w:r>
      <w:r>
        <w:rPr>
          <w:rFonts w:ascii="Times New Roman" w:cs="Times New Roman" w:eastAsia="Times New Roman" w:hAnsi="Times New Roman"/>
          <w:sz w:val="20"/>
          <w:szCs w:val="20"/>
          <w:color w:val="auto"/>
        </w:rPr>
        <w:t>”), then subject to the preconditions set forth in Section 9 below, you will be entitled to receive the following severance benefits:</w:t>
      </w:r>
    </w:p>
    <w:p>
      <w:pPr>
        <w:spacing w:after="0" w:line="184" w:lineRule="exact"/>
        <w:rPr>
          <w:rFonts w:ascii="Times New Roman" w:cs="Times New Roman" w:eastAsia="Times New Roman" w:hAnsi="Times New Roman"/>
          <w:sz w:val="20"/>
          <w:szCs w:val="20"/>
          <w:b w:val="1"/>
          <w:bCs w:val="1"/>
          <w:color w:val="auto"/>
        </w:rPr>
      </w:pPr>
    </w:p>
    <w:p>
      <w:pPr>
        <w:jc w:val="both"/>
        <w:ind w:firstLine="2254"/>
        <w:spacing w:after="0" w:line="236" w:lineRule="auto"/>
        <w:tabs>
          <w:tab w:leader="none" w:pos="2642" w:val="left"/>
        </w:tabs>
        <w:numPr>
          <w:ilvl w:val="2"/>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will pay you an amount equal to 12 months of your then-current base salary plus your annual bonus at 100% of target in the calendar year in which your employment is terminated, prorated based on the number of days you are employed in that calendar year, less all applicable withholdings and deductions (the “</w:t>
      </w:r>
      <w:r>
        <w:rPr>
          <w:rFonts w:ascii="Times New Roman" w:cs="Times New Roman" w:eastAsia="Times New Roman" w:hAnsi="Times New Roman"/>
          <w:sz w:val="20"/>
          <w:szCs w:val="20"/>
          <w:b w:val="1"/>
          <w:bCs w:val="1"/>
          <w:i w:val="1"/>
          <w:iCs w:val="1"/>
          <w:color w:val="auto"/>
        </w:rPr>
        <w:t>Non-CIC Severance Payment</w:t>
      </w:r>
      <w:r>
        <w:rPr>
          <w:rFonts w:ascii="Times New Roman" w:cs="Times New Roman" w:eastAsia="Times New Roman" w:hAnsi="Times New Roman"/>
          <w:sz w:val="20"/>
          <w:szCs w:val="20"/>
          <w:color w:val="auto"/>
        </w:rPr>
        <w:t>”). The Non-CIC Severance Payment will be paid in installments in the form of continuation of your base salary payments, paid on the Company’s ordinary payroll dates, commencing on the Company’s first regular payroll date that is more than 60 days following your Separation from Service date, and shall be for any accrued base salary for the 60-day period plus the period from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until the regular payroll date, if applicable, and all salary continuation payments thereafter, if any, shall be made on the Company’s regular payroll dates (and in no event less frequently than once per calendar month).</w:t>
      </w:r>
    </w:p>
    <w:p>
      <w:pPr>
        <w:spacing w:after="0" w:line="188" w:lineRule="exact"/>
        <w:rPr>
          <w:rFonts w:ascii="Times New Roman" w:cs="Times New Roman" w:eastAsia="Times New Roman" w:hAnsi="Times New Roman"/>
          <w:sz w:val="20"/>
          <w:szCs w:val="20"/>
          <w:b w:val="1"/>
          <w:bCs w:val="1"/>
          <w:color w:val="auto"/>
        </w:rPr>
      </w:pPr>
    </w:p>
    <w:p>
      <w:pPr>
        <w:jc w:val="both"/>
        <w:ind w:firstLine="2254"/>
        <w:spacing w:after="0" w:line="249" w:lineRule="auto"/>
        <w:tabs>
          <w:tab w:leader="none" w:pos="2642" w:val="left"/>
        </w:tabs>
        <w:numPr>
          <w:ilvl w:val="2"/>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you timely elect continued coverage under COBRA for yourself and your covered dependents under the Company’s group health plans following such termination or resignation of employment, then the Company will pay the entire COBRA premiums necessary to continue your health insurance coverage in effect for yourself and your eligible dependents on the termination date until the earliest of (A) the close of the 12-month period following the termination of your employment, (B)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7" w:name="page238"/>
    <w:bookmarkEnd w:id="237"/>
    <w:p>
      <w:pPr>
        <w:jc w:val="both"/>
        <w:spacing w:after="0" w:line="243" w:lineRule="auto"/>
        <w:rPr>
          <w:sz w:val="20"/>
          <w:szCs w:val="20"/>
          <w:color w:val="auto"/>
        </w:rPr>
      </w:pPr>
      <w:r>
        <w:rPr>
          <w:rFonts w:ascii="Times New Roman" w:cs="Times New Roman" w:eastAsia="Times New Roman" w:hAnsi="Times New Roman"/>
          <w:sz w:val="20"/>
          <w:szCs w:val="20"/>
          <w:color w:val="auto"/>
        </w:rPr>
        <w:t>expiration of your eligibility for the continuation coverage under COBRA, and (C) the date when you become eligible for substantially equivalent health insurance coverage in connection with new employment (the “</w:t>
      </w:r>
      <w:r>
        <w:rPr>
          <w:rFonts w:ascii="Times New Roman" w:cs="Times New Roman" w:eastAsia="Times New Roman" w:hAnsi="Times New Roman"/>
          <w:sz w:val="20"/>
          <w:szCs w:val="20"/>
          <w:b w:val="1"/>
          <w:bCs w:val="1"/>
          <w:i w:val="1"/>
          <w:iCs w:val="1"/>
          <w:color w:val="auto"/>
        </w:rPr>
        <w:t>COBRA Payment Period</w:t>
      </w:r>
      <w:r>
        <w:rPr>
          <w:rFonts w:ascii="Times New Roman" w:cs="Times New Roman" w:eastAsia="Times New Roman" w:hAnsi="Times New Roman"/>
          <w:sz w:val="20"/>
          <w:szCs w:val="20"/>
          <w:color w:val="auto"/>
        </w:rPr>
        <w:t>”). Notwithstanding the foregoing, if at any time the Company determines that its payment of COBRA premiums hereunder would result in a violation of applicable law, then in lieu of paying COBRA premiums pursuant to this paragraph, the Company shall pay you, on the last day of each remaining month of the COBRA Payment Period, a fully taxable cash payment equal to the COBRA premium for such month, less applicable deductions and withholdings, for the remainder of the COBRA Payment Period. If you become eligible for such coverage under another employer's group health plan or otherwise cease to be eligible for COBRA during the period provided in this clause, you must immediately notify the Company of such event, and all payments and obligations under this clause will cease.</w:t>
      </w:r>
    </w:p>
    <w:p>
      <w:pPr>
        <w:spacing w:after="0" w:line="185" w:lineRule="exact"/>
        <w:rPr>
          <w:sz w:val="20"/>
          <w:szCs w:val="20"/>
          <w:color w:val="auto"/>
        </w:rPr>
      </w:pPr>
    </w:p>
    <w:p>
      <w:pPr>
        <w:jc w:val="both"/>
        <w:ind w:firstLine="1505"/>
        <w:spacing w:after="0" w:line="250" w:lineRule="auto"/>
        <w:tabs>
          <w:tab w:leader="none" w:pos="2036" w:val="left"/>
        </w:tabs>
        <w:numPr>
          <w:ilvl w:val="1"/>
          <w:numId w:val="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Termination without Cause or Resignation for Good Reason Related to Change in Control. </w:t>
      </w:r>
      <w:r>
        <w:rPr>
          <w:rFonts w:ascii="Times New Roman" w:cs="Times New Roman" w:eastAsia="Times New Roman" w:hAnsi="Times New Roman"/>
          <w:sz w:val="20"/>
          <w:szCs w:val="20"/>
          <w:color w:val="auto"/>
        </w:rPr>
        <w:t>If, during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Change in Control Period (as defined below), the Company terminates your employment without Cause, or you resign for Good Reason, and other than as a result of your death or disability, and provided such termination constitutes a Separation from Service, then subject to the preconditions set forth in Section 9 below, you will be entitled to receive the following severance benefits:</w:t>
      </w:r>
    </w:p>
    <w:p>
      <w:pPr>
        <w:spacing w:after="0" w:line="179" w:lineRule="exact"/>
        <w:rPr>
          <w:rFonts w:ascii="Times New Roman" w:cs="Times New Roman" w:eastAsia="Times New Roman" w:hAnsi="Times New Roman"/>
          <w:sz w:val="20"/>
          <w:szCs w:val="20"/>
          <w:b w:val="1"/>
          <w:bCs w:val="1"/>
          <w:color w:val="auto"/>
        </w:rPr>
      </w:pPr>
    </w:p>
    <w:p>
      <w:pPr>
        <w:jc w:val="both"/>
        <w:ind w:firstLine="2254"/>
        <w:spacing w:after="0" w:line="236" w:lineRule="auto"/>
        <w:tabs>
          <w:tab w:leader="none" w:pos="2642" w:val="left"/>
        </w:tabs>
        <w:numPr>
          <w:ilvl w:val="2"/>
          <w:numId w:val="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will pay you an amount equal to 18 months of your then-current base salary plus your annual bonus at 150% of target in the calendar year in which your employment is terminated, prorated based on the number of days you are employed in that calendar year, less all applicable withholdings and deductions (the “</w:t>
      </w:r>
      <w:r>
        <w:rPr>
          <w:rFonts w:ascii="Times New Roman" w:cs="Times New Roman" w:eastAsia="Times New Roman" w:hAnsi="Times New Roman"/>
          <w:sz w:val="20"/>
          <w:szCs w:val="20"/>
          <w:b w:val="1"/>
          <w:bCs w:val="1"/>
          <w:i w:val="1"/>
          <w:iCs w:val="1"/>
          <w:color w:val="auto"/>
        </w:rPr>
        <w:t>CIC Severance Payment</w:t>
      </w:r>
      <w:r>
        <w:rPr>
          <w:rFonts w:ascii="Times New Roman" w:cs="Times New Roman" w:eastAsia="Times New Roman" w:hAnsi="Times New Roman"/>
          <w:sz w:val="20"/>
          <w:szCs w:val="20"/>
          <w:color w:val="auto"/>
        </w:rPr>
        <w:t>”). The CIC Severance Payment will be paid in installments in the form of continuation of your base salary payments, paid on the Company’s ordinary payroll dates, commencing on the Company’s first regular payroll date that is more than 60 days following your Separation from Service date, and shall be for any accrued base salary for the 60-day period plus the period from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until the regular payroll date, if applicable, and all salary continuation payments thereafter, if any, shall be made on the Company’s regular payroll dates (and in no event less frequently than once per calendar month).</w:t>
      </w:r>
    </w:p>
    <w:p>
      <w:pPr>
        <w:spacing w:after="0" w:line="188" w:lineRule="exact"/>
        <w:rPr>
          <w:rFonts w:ascii="Times New Roman" w:cs="Times New Roman" w:eastAsia="Times New Roman" w:hAnsi="Times New Roman"/>
          <w:sz w:val="20"/>
          <w:szCs w:val="20"/>
          <w:b w:val="1"/>
          <w:bCs w:val="1"/>
          <w:color w:val="auto"/>
        </w:rPr>
      </w:pPr>
    </w:p>
    <w:p>
      <w:pPr>
        <w:jc w:val="both"/>
        <w:ind w:firstLine="2254"/>
        <w:spacing w:after="0" w:line="242" w:lineRule="auto"/>
        <w:tabs>
          <w:tab w:leader="none" w:pos="2642" w:val="left"/>
        </w:tabs>
        <w:numPr>
          <w:ilvl w:val="2"/>
          <w:numId w:val="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you timely elect continued coverage under COBRA for yourself and your covered dependents under the Company’s group health plans following such termination or resignation of employment, then the Company will pay the entire COBRA premiums necessary to continue your health insurance coverage in effect for yourself and your eligible dependents on the termination date until the earliest of (A) the close of the 18-month period following the termination of your employment, (B) the expiration of your eligibility for the continuation coverage under COBRA, and (C) the date when you become eligible for substantially equivalent health insurance coverage in connection with new employment (the “</w:t>
      </w:r>
      <w:r>
        <w:rPr>
          <w:rFonts w:ascii="Times New Roman" w:cs="Times New Roman" w:eastAsia="Times New Roman" w:hAnsi="Times New Roman"/>
          <w:sz w:val="20"/>
          <w:szCs w:val="20"/>
          <w:b w:val="1"/>
          <w:bCs w:val="1"/>
          <w:i w:val="1"/>
          <w:iCs w:val="1"/>
          <w:color w:val="auto"/>
        </w:rPr>
        <w:t>CIC COBRA Payment Period</w:t>
      </w:r>
      <w:r>
        <w:rPr>
          <w:rFonts w:ascii="Times New Roman" w:cs="Times New Roman" w:eastAsia="Times New Roman" w:hAnsi="Times New Roman"/>
          <w:sz w:val="20"/>
          <w:szCs w:val="20"/>
          <w:color w:val="auto"/>
        </w:rPr>
        <w:t>”). Notwithstanding the foregoing, if at any time the Company determines that its payment of COBRA premiums hereunder would result in a violation of applicable law, then in lieu of paying COBRA premiums pursuant to this paragraph, the Company shall pay you, on the last day of each remaining month of the CIC COBRA Payment Period, a fully taxable cash payment equal to the COBRA premium for such month, less applicable deductions and withholdings, for the remainder of the CIC COBRA Payment Period. If you become eligible for such coverage under another employer's group health plan or otherwise cease to be eligible for COBRA during the period provided in this clause, you must immediately notify the Company of such event, and all payments and obligations under this clause will cease.</w:t>
      </w:r>
    </w:p>
    <w:p>
      <w:pPr>
        <w:spacing w:after="0" w:line="187" w:lineRule="exact"/>
        <w:rPr>
          <w:rFonts w:ascii="Times New Roman" w:cs="Times New Roman" w:eastAsia="Times New Roman" w:hAnsi="Times New Roman"/>
          <w:sz w:val="20"/>
          <w:szCs w:val="20"/>
          <w:b w:val="1"/>
          <w:bCs w:val="1"/>
          <w:color w:val="auto"/>
        </w:rPr>
      </w:pPr>
    </w:p>
    <w:p>
      <w:pPr>
        <w:ind w:left="2660" w:hanging="406"/>
        <w:spacing w:after="0"/>
        <w:tabs>
          <w:tab w:leader="none" w:pos="2660" w:val="left"/>
        </w:tabs>
        <w:numPr>
          <w:ilvl w:val="2"/>
          <w:numId w:val="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will fully accelerate the vesting of your equity awards such that you will be deemed fully</w:t>
      </w:r>
    </w:p>
    <w:p>
      <w:pPr>
        <w:spacing w:after="0" w:line="21"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vested in all such awards.</w:t>
      </w:r>
    </w:p>
    <w:p>
      <w:pPr>
        <w:spacing w:after="0" w:line="203" w:lineRule="exact"/>
        <w:rPr>
          <w:rFonts w:ascii="Times New Roman" w:cs="Times New Roman" w:eastAsia="Times New Roman" w:hAnsi="Times New Roman"/>
          <w:sz w:val="20"/>
          <w:szCs w:val="20"/>
          <w:b w:val="1"/>
          <w:bCs w:val="1"/>
          <w:color w:val="auto"/>
        </w:rPr>
      </w:pPr>
    </w:p>
    <w:p>
      <w:pPr>
        <w:jc w:val="both"/>
        <w:ind w:firstLine="757"/>
        <w:spacing w:after="0" w:line="244" w:lineRule="auto"/>
        <w:tabs>
          <w:tab w:leader="none" w:pos="1018"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Severance Conditions. </w:t>
      </w:r>
      <w:r>
        <w:rPr>
          <w:rFonts w:ascii="Times New Roman" w:cs="Times New Roman" w:eastAsia="Times New Roman" w:hAnsi="Times New Roman"/>
          <w:sz w:val="20"/>
          <w:szCs w:val="20"/>
          <w:color w:val="auto"/>
        </w:rPr>
        <w:t>Your receipt of the severance benefits set forth in Sections 7(b) or 7(c) is conditional upon (a) your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continuing to comply with your contractual obligations to the Company; (b) your resignation from the Board; and (c) your delivering to the Company an effective and irrevocable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20"/>
          <w:szCs w:val="20"/>
          <w:color w:val="auto"/>
        </w:rPr>
        <w:t>general release of claims in favor of the Company within the timeframe specified therein.</w:t>
      </w:r>
    </w:p>
    <w:p>
      <w:pPr>
        <w:spacing w:after="0" w:line="225" w:lineRule="exact"/>
        <w:rPr>
          <w:sz w:val="20"/>
          <w:szCs w:val="20"/>
          <w:color w:val="auto"/>
        </w:rPr>
      </w:pPr>
    </w:p>
    <w:p>
      <w:pPr>
        <w:ind w:left="1020" w:hanging="263"/>
        <w:spacing w:after="0"/>
        <w:tabs>
          <w:tab w:leader="none" w:pos="1020" w:val="left"/>
        </w:tabs>
        <w:numPr>
          <w:ilvl w:val="1"/>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Definitions.</w:t>
      </w:r>
    </w:p>
    <w:p>
      <w:pPr>
        <w:spacing w:after="0" w:line="192"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2"/>
          <w:numId w:val="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Cause. </w:t>
      </w: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means conduct involving one or more of the following by you:</w:t>
      </w:r>
    </w:p>
    <w:p>
      <w:pPr>
        <w:spacing w:after="0" w:line="25" w:lineRule="exact"/>
        <w:rPr>
          <w:rFonts w:ascii="Times New Roman" w:cs="Times New Roman" w:eastAsia="Times New Roman" w:hAnsi="Times New Roman"/>
          <w:sz w:val="20"/>
          <w:szCs w:val="20"/>
          <w:b w:val="1"/>
          <w:bCs w:val="1"/>
          <w:color w:val="auto"/>
        </w:rPr>
      </w:pPr>
    </w:p>
    <w:p>
      <w:pPr>
        <w:jc w:val="both"/>
        <w:ind w:firstLine="8"/>
        <w:spacing w:after="0"/>
        <w:tabs>
          <w:tab w:leader="none" w:pos="252"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willful and continued failure or refusal to perform material, lawful duties required of you as an employee of the Company, which failure continues for, or is not permanently cured within, a period of 30 days after written notice given to you by Tempest, except in the case of your physical or mental illness; (ii) your gross negligence, willful misconduct or intentional misrepresentation in connection with the performance of your duties; (iii) the conviction of (x) a felony or (y) a misdemeanor involving moral turpitude, or fraud; (iv) the commission of an act of embezzlement or fraud; or (v) the material breach of any agreement between Tempest and you, which breach is not cured (if deemed curable by the Company in its reasonable discretion) within 30 days after written notice given to you by Tempest.</w:t>
      </w:r>
    </w:p>
    <w:p>
      <w:pPr>
        <w:spacing w:after="0" w:line="187" w:lineRule="exact"/>
        <w:rPr>
          <w:rFonts w:ascii="Times New Roman" w:cs="Times New Roman" w:eastAsia="Times New Roman" w:hAnsi="Times New Roman"/>
          <w:sz w:val="20"/>
          <w:szCs w:val="20"/>
          <w:color w:val="auto"/>
        </w:rPr>
      </w:pPr>
    </w:p>
    <w:p>
      <w:pPr>
        <w:ind w:firstLine="1505"/>
        <w:spacing w:after="0" w:line="253" w:lineRule="auto"/>
        <w:tabs>
          <w:tab w:leader="none" w:pos="2036" w:val="left"/>
        </w:tabs>
        <w:numPr>
          <w:ilvl w:val="2"/>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Good Reason. </w:t>
      </w: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color w:val="auto"/>
        </w:rPr>
        <w:t>” means, without your express prior written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consent, any of the following actions taken by the Company: (i)</w:t>
      </w:r>
    </w:p>
    <w:p>
      <w:pPr>
        <w:jc w:val="both"/>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reduction in your base salary unless pursuant to a salary reduction program applicable generally to the Company’s senior executive employees; (ii) a material reduction in your duties (including responsibilities and/or authorities); (iii) a material change in the geographic location at which you provide services to the Company; (iv) the material breach of this Agreement by the Company; (v) the appointment of an officer of the Company whose responsibilities, function, title, reports and reporting would indicate that you are subordinate to such officer; or (vi) you no longer serve as an officer with a similar title or responsibilities at the “</w:t>
      </w:r>
      <w:r>
        <w:rPr>
          <w:rFonts w:ascii="Times New Roman" w:cs="Times New Roman" w:eastAsia="Times New Roman" w:hAnsi="Times New Roman"/>
          <w:sz w:val="20"/>
          <w:szCs w:val="20"/>
          <w:b w:val="1"/>
          <w:bCs w:val="1"/>
          <w:i w:val="1"/>
          <w:iCs w:val="1"/>
          <w:color w:val="auto"/>
        </w:rPr>
        <w:t>top-level</w:t>
      </w:r>
      <w:r>
        <w:rPr>
          <w:rFonts w:ascii="Times New Roman" w:cs="Times New Roman" w:eastAsia="Times New Roman" w:hAnsi="Times New Roman"/>
          <w:sz w:val="20"/>
          <w:szCs w:val="20"/>
          <w:color w:val="auto"/>
        </w:rPr>
        <w:t>” corporate entity following a Change in Control of the Company. In order to resign for Good Reason, you must provide written notice to the Company within 30 days of the initial existence of the condition constituting Good Reason, allow the Company at least 30 days from receipt of such written notice to cure such event, and if such event is not reasonably cured within such period, you must resign from all positions, including the designation as the Company’s principal executive officer, you then hold with the Company not later than 30 days after the expiration of the cure period.</w:t>
      </w:r>
    </w:p>
    <w:p>
      <w:pPr>
        <w:spacing w:after="0" w:line="185" w:lineRule="exact"/>
        <w:rPr>
          <w:rFonts w:ascii="Times New Roman" w:cs="Times New Roman" w:eastAsia="Times New Roman" w:hAnsi="Times New Roman"/>
          <w:sz w:val="20"/>
          <w:szCs w:val="20"/>
          <w:b w:val="1"/>
          <w:bCs w:val="1"/>
          <w:color w:val="auto"/>
        </w:rPr>
      </w:pPr>
    </w:p>
    <w:p>
      <w:pPr>
        <w:ind w:left="2040" w:hanging="535"/>
        <w:spacing w:after="0"/>
        <w:tabs>
          <w:tab w:leader="none" w:pos="2040" w:val="left"/>
        </w:tabs>
        <w:numPr>
          <w:ilvl w:val="2"/>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Change in Control. </w:t>
      </w:r>
      <w:r>
        <w:rPr>
          <w:rFonts w:ascii="Times New Roman" w:cs="Times New Roman" w:eastAsia="Times New Roman" w:hAnsi="Times New Roman"/>
          <w:sz w:val="20"/>
          <w:szCs w:val="20"/>
          <w:color w:val="auto"/>
        </w:rPr>
        <w:t>For purposes of this Agreement, a “</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shall have the meaning set forth in</w:t>
      </w:r>
    </w:p>
    <w:p>
      <w:pPr>
        <w:spacing w:after="0" w:line="25"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Plan.</w:t>
      </w:r>
    </w:p>
    <w:p>
      <w:pPr>
        <w:spacing w:after="0" w:line="189" w:lineRule="exact"/>
        <w:rPr>
          <w:rFonts w:ascii="Times New Roman" w:cs="Times New Roman" w:eastAsia="Times New Roman" w:hAnsi="Times New Roman"/>
          <w:sz w:val="20"/>
          <w:szCs w:val="20"/>
          <w:b w:val="1"/>
          <w:bCs w:val="1"/>
          <w:color w:val="auto"/>
        </w:rPr>
      </w:pPr>
    </w:p>
    <w:p>
      <w:pPr>
        <w:ind w:firstLine="1505"/>
        <w:spacing w:after="0" w:line="273" w:lineRule="auto"/>
        <w:tabs>
          <w:tab w:leader="none" w:pos="2036" w:val="left"/>
        </w:tabs>
        <w:numPr>
          <w:ilvl w:val="2"/>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Change in Control Period. </w:t>
      </w:r>
      <w:r>
        <w:rPr>
          <w:rFonts w:ascii="Times New Roman" w:cs="Times New Roman" w:eastAsia="Times New Roman" w:hAnsi="Times New Roman"/>
          <w:sz w:val="20"/>
          <w:szCs w:val="20"/>
          <w:color w:val="auto"/>
        </w:rPr>
        <w:t>For purposes of this Agreement, a Change in Control Period means the 3 month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period prior to and 12 month period following, a Change in Control.</w:t>
      </w:r>
    </w:p>
    <w:p>
      <w:pPr>
        <w:spacing w:after="0" w:line="14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b w:val="1"/>
          <w:bCs w:val="1"/>
          <w:color w:val="auto"/>
        </w:rPr>
        <w:t>10.</w:t>
      </w:r>
      <w:r>
        <w:rPr>
          <w:rFonts w:ascii="Times New Roman" w:cs="Times New Roman" w:eastAsia="Times New Roman" w:hAnsi="Times New Roman"/>
          <w:sz w:val="19"/>
          <w:szCs w:val="19"/>
          <w:b w:val="1"/>
          <w:bCs w:val="1"/>
          <w:color w:val="auto"/>
        </w:rPr>
        <w:t>Section 409A.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The payments and benefits under this Agreement are intended to qualify for exemptions from the application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Section 409A of the Internal Revenue Code of 1986, as amended (the “</w:t>
      </w:r>
      <w:r>
        <w:rPr>
          <w:rFonts w:ascii="Times New Roman" w:cs="Times New Roman" w:eastAsia="Times New Roman" w:hAnsi="Times New Roman"/>
          <w:sz w:val="19"/>
          <w:szCs w:val="19"/>
          <w:b w:val="1"/>
          <w:bCs w:val="1"/>
          <w:i w:val="1"/>
          <w:iCs w:val="1"/>
          <w:color w:val="auto"/>
        </w:rPr>
        <w:t>Code</w:t>
      </w:r>
      <w:r>
        <w:rPr>
          <w:rFonts w:ascii="Times New Roman" w:cs="Times New Roman" w:eastAsia="Times New Roman" w:hAnsi="Times New Roman"/>
          <w:sz w:val="19"/>
          <w:szCs w:val="19"/>
          <w:color w:val="auto"/>
        </w:rPr>
        <w:t>”), and the final regulations and any guidance promulgated thereunder (“</w:t>
      </w:r>
      <w:r>
        <w:rPr>
          <w:rFonts w:ascii="Times New Roman" w:cs="Times New Roman" w:eastAsia="Times New Roman" w:hAnsi="Times New Roman"/>
          <w:sz w:val="19"/>
          <w:szCs w:val="19"/>
          <w:b w:val="1"/>
          <w:bCs w:val="1"/>
          <w:i w:val="1"/>
          <w:iCs w:val="1"/>
          <w:color w:val="auto"/>
        </w:rPr>
        <w:t>Section 409A</w:t>
      </w:r>
      <w:r>
        <w:rPr>
          <w:rFonts w:ascii="Times New Roman" w:cs="Times New Roman" w:eastAsia="Times New Roman" w:hAnsi="Times New Roman"/>
          <w:sz w:val="19"/>
          <w:szCs w:val="19"/>
          <w:color w:val="auto"/>
        </w:rPr>
        <w:t>”), and this Agreement will be construed to the greatest extent possible as consistent with those provisions, and to the extent not so exempt, this Agreement (and any definitions hereunder) will be construed in a manner that complies with Section 409A to the extent necessary to avoid adverse taxation under Section 409A. To the extent any payment under this Agreement may be classified as a “short-term deferral” within the meaning of Section 409A, such payment will be deemed a short-term deferral, even if it may also qualify for an exemption from Section 409A under another provision of Section 409A. Notwithstanding anything to the contrary herein, to the extent required to comply with Section 409A, a termination of employment will not be deemed to have occurred for purposes of any provision of this Agreement providing for the payment of amounts or benefits upon or following a termination of employment unless such termination is also a Separation from Service. Your right to receive any installment payments will be treated as a right to receive a series of separate payments and, accordingly, each installment payment will at all times be considered a separate and distinct payment. Notwithstanding any provision to the contrary in this Agreement, if you are deemed by the Company at the time of your Separation from Service to be a “specified employee”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9" w:name="page240"/>
    <w:bookmarkEnd w:id="239"/>
    <w:p>
      <w:pPr>
        <w:jc w:val="both"/>
        <w:spacing w:after="0" w:line="255" w:lineRule="auto"/>
        <w:rPr>
          <w:sz w:val="20"/>
          <w:szCs w:val="20"/>
          <w:color w:val="auto"/>
        </w:rPr>
      </w:pPr>
      <w:r>
        <w:rPr>
          <w:rFonts w:ascii="Times New Roman" w:cs="Times New Roman" w:eastAsia="Times New Roman" w:hAnsi="Times New Roman"/>
          <w:sz w:val="19"/>
          <w:szCs w:val="19"/>
          <w:color w:val="auto"/>
        </w:rPr>
        <w:t>purposes of Section 409A,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Section 409A and the related adverse taxation under Section 409A, such payments will not be provided to you prior to the earliest of (a) the expiration of the six-month period measured from the date of Separation from Service, (b) the date of your death or (c) such earlier date as permitted under Section 409A without the imposition of adverse taxation. With respect to payments to be made upon execution of an effective release, if the release revocation period spans two calendar years, payments will be made in the second of the two calendar years to the extent necessary to avoid adverse taxation under Section 409A. With respect to reimbursements or in-kind benefits provided hereunder (or otherwise) that are not exempt from Section 409A, the following rules will apply:</w:t>
      </w:r>
    </w:p>
    <w:p>
      <w:pPr>
        <w:spacing w:after="0" w:line="1" w:lineRule="exact"/>
        <w:rPr>
          <w:sz w:val="20"/>
          <w:szCs w:val="20"/>
          <w:color w:val="auto"/>
        </w:rPr>
      </w:pPr>
    </w:p>
    <w:p>
      <w:pPr>
        <w:jc w:val="both"/>
        <w:ind w:firstLine="8"/>
        <w:spacing w:after="0"/>
        <w:tabs>
          <w:tab w:leader="none" w:pos="285"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expenses eligible for reimbursement, or in-kind benefits provided, during any one taxable year will not affect the expenses eligible for reimbursement, or in-kind benefit to be provided in any other taxable year, (y) in the case of any reimbursements of eligible expenses, reimbursement will be made on or before the last day of the taxable year following the taxable year in which the expense was incurred and (z) the right to reimbursement or in-kind benefits will not be subject to liquidation or exchange for another benefit. Notwithstanding anything to the contrary in this Agreement, the Company reserves the right to amend this Agreement as it deems necessary or advisable, in its sole discretion and without your consent, to comply with Section 409A or to avoid income recognition under Section 409A prior to the actual payment of severance benefits hereunder or imposition of any additional tax. In no event will the Company reimburse you for any taxes or other costs that may be imposed on you as result of Section 409A.</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11.</w:t>
      </w:r>
      <w:r>
        <w:rPr>
          <w:rFonts w:ascii="Times New Roman" w:cs="Times New Roman" w:eastAsia="Times New Roman" w:hAnsi="Times New Roman"/>
          <w:sz w:val="19"/>
          <w:szCs w:val="19"/>
          <w:b w:val="1"/>
          <w:bCs w:val="1"/>
          <w:color w:val="auto"/>
        </w:rPr>
        <w:t>280G.</w:t>
      </w:r>
    </w:p>
    <w:p>
      <w:pPr>
        <w:spacing w:after="0" w:line="211" w:lineRule="exact"/>
        <w:rPr>
          <w:sz w:val="20"/>
          <w:szCs w:val="20"/>
          <w:color w:val="auto"/>
        </w:rPr>
      </w:pPr>
    </w:p>
    <w:p>
      <w:pPr>
        <w:jc w:val="both"/>
        <w:ind w:firstLine="1505"/>
        <w:spacing w:after="0" w:line="242" w:lineRule="auto"/>
        <w:tabs>
          <w:tab w:leader="none" w:pos="2036" w:val="left"/>
        </w:tabs>
        <w:numPr>
          <w:ilvl w:val="0"/>
          <w:numId w:val="1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any payment or benefit you will or may receive from the Company or from another source (a “</w:t>
      </w:r>
      <w:r>
        <w:rPr>
          <w:rFonts w:ascii="Times New Roman" w:cs="Times New Roman" w:eastAsia="Times New Roman" w:hAnsi="Times New Roman"/>
          <w:sz w:val="20"/>
          <w:szCs w:val="20"/>
          <w:b w:val="1"/>
          <w:bCs w:val="1"/>
          <w:i w:val="1"/>
          <w:iCs w:val="1"/>
          <w:color w:val="auto"/>
        </w:rPr>
        <w:t>280G Payment</w:t>
      </w:r>
      <w:r>
        <w:rPr>
          <w:rFonts w:ascii="Times New Roman" w:cs="Times New Roman" w:eastAsia="Times New Roman" w:hAnsi="Times New Roman"/>
          <w:sz w:val="20"/>
          <w:szCs w:val="20"/>
          <w:color w:val="auto"/>
        </w:rPr>
        <w:t>”) would (i) constitute a “parachute payment” within the meaning of Section 280G of Code, and (ii) but for this sentence, be subject to the excise tax imposed by Section 4999 of the Code (the “</w:t>
      </w:r>
      <w:r>
        <w:rPr>
          <w:rFonts w:ascii="Times New Roman" w:cs="Times New Roman" w:eastAsia="Times New Roman" w:hAnsi="Times New Roman"/>
          <w:sz w:val="20"/>
          <w:szCs w:val="20"/>
          <w:b w:val="1"/>
          <w:bCs w:val="1"/>
          <w:i w:val="1"/>
          <w:iCs w:val="1"/>
          <w:color w:val="auto"/>
        </w:rPr>
        <w:t>Excise Tax</w:t>
      </w:r>
      <w:r>
        <w:rPr>
          <w:rFonts w:ascii="Times New Roman" w:cs="Times New Roman" w:eastAsia="Times New Roman" w:hAnsi="Times New Roman"/>
          <w:sz w:val="20"/>
          <w:szCs w:val="20"/>
          <w:color w:val="auto"/>
        </w:rPr>
        <w:t>”), then any such 280G Payment pursuant to this Agreement (a “</w:t>
      </w:r>
      <w:r>
        <w:rPr>
          <w:rFonts w:ascii="Times New Roman" w:cs="Times New Roman" w:eastAsia="Times New Roman" w:hAnsi="Times New Roman"/>
          <w:sz w:val="20"/>
          <w:szCs w:val="20"/>
          <w:b w:val="1"/>
          <w:bCs w:val="1"/>
          <w:i w:val="1"/>
          <w:iCs w:val="1"/>
          <w:color w:val="auto"/>
        </w:rPr>
        <w:t>Payment</w:t>
      </w:r>
      <w:r>
        <w:rPr>
          <w:rFonts w:ascii="Times New Roman" w:cs="Times New Roman" w:eastAsia="Times New Roman" w:hAnsi="Times New Roman"/>
          <w:sz w:val="20"/>
          <w:szCs w:val="20"/>
          <w:color w:val="auto"/>
        </w:rPr>
        <w:t>”) will equal the Reduced Amount. The “</w:t>
      </w:r>
      <w:r>
        <w:rPr>
          <w:rFonts w:ascii="Times New Roman" w:cs="Times New Roman" w:eastAsia="Times New Roman" w:hAnsi="Times New Roman"/>
          <w:sz w:val="20"/>
          <w:szCs w:val="20"/>
          <w:b w:val="1"/>
          <w:bCs w:val="1"/>
          <w:i w:val="1"/>
          <w:iCs w:val="1"/>
          <w:color w:val="auto"/>
        </w:rPr>
        <w:t>Reduced Amount</w:t>
      </w:r>
      <w:r>
        <w:rPr>
          <w:rFonts w:ascii="Times New Roman" w:cs="Times New Roman" w:eastAsia="Times New Roman" w:hAnsi="Times New Roman"/>
          <w:sz w:val="20"/>
          <w:szCs w:val="20"/>
          <w:color w:val="auto"/>
        </w:rPr>
        <w:t>” will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will occur in the manner (the “</w:t>
      </w:r>
      <w:r>
        <w:rPr>
          <w:rFonts w:ascii="Times New Roman" w:cs="Times New Roman" w:eastAsia="Times New Roman" w:hAnsi="Times New Roman"/>
          <w:sz w:val="20"/>
          <w:szCs w:val="20"/>
          <w:b w:val="1"/>
          <w:bCs w:val="1"/>
          <w:i w:val="1"/>
          <w:iCs w:val="1"/>
          <w:color w:val="auto"/>
        </w:rPr>
        <w:t>Reduction Method</w:t>
      </w:r>
      <w:r>
        <w:rPr>
          <w:rFonts w:ascii="Times New Roman" w:cs="Times New Roman" w:eastAsia="Times New Roman" w:hAnsi="Times New Roman"/>
          <w:sz w:val="20"/>
          <w:szCs w:val="20"/>
          <w:color w:val="auto"/>
        </w:rPr>
        <w:t>”) that results in the greatest economic benefit for you. If more than one method of reduction will result in the same economic benefit, the items so reduced will be reduced pro rata (the “</w:t>
      </w:r>
      <w:r>
        <w:rPr>
          <w:rFonts w:ascii="Times New Roman" w:cs="Times New Roman" w:eastAsia="Times New Roman" w:hAnsi="Times New Roman"/>
          <w:sz w:val="20"/>
          <w:szCs w:val="20"/>
          <w:b w:val="1"/>
          <w:bCs w:val="1"/>
          <w:i w:val="1"/>
          <w:iCs w:val="1"/>
          <w:color w:val="auto"/>
        </w:rPr>
        <w:t>Pro Rata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Reduction Method</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b w:val="1"/>
          <w:bCs w:val="1"/>
          <w:color w:val="auto"/>
        </w:rPr>
      </w:pPr>
    </w:p>
    <w:p>
      <w:pPr>
        <w:jc w:val="both"/>
        <w:ind w:firstLine="1505"/>
        <w:spacing w:after="0" w:line="258" w:lineRule="auto"/>
        <w:tabs>
          <w:tab w:leader="none" w:pos="2036" w:val="left"/>
        </w:tabs>
        <w:numPr>
          <w:ilvl w:val="0"/>
          <w:numId w:val="10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Notwithstanding any provision of paragraph (a)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will be modified so as to avoid the imposition of taxes pursuant to Section 409A as follows: (A) as a first priority, the modification will preserve to the greatest extent possible, the greatest economic benefit for you as determined on an after-tax basis; (B) as a second priority, Payments that are contingent on future events (e.g., being terminated without cause), will be reduced (or eliminated) before Payments that are not contingent on future events; and (C) as a third priority, Payments that are “deferred compensation” within the meaning of Section 409A of the Code will be reduced (or eliminated) before Payments that are not deferred compensation within the meaning of Section 409A of the Code.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0" w:name="page241"/>
    <w:bookmarkEnd w:id="240"/>
    <w:p>
      <w:pPr>
        <w:jc w:val="both"/>
        <w:ind w:firstLine="1505"/>
        <w:spacing w:after="0" w:line="246" w:lineRule="auto"/>
        <w:tabs>
          <w:tab w:leader="none" w:pos="2036" w:val="left"/>
        </w:tabs>
        <w:numPr>
          <w:ilvl w:val="0"/>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you receive a Payment for which the Reduced Amount was determined pursuant to clause (x) of Section 10(a) and the Internal Revenue Service determines thereafter that some portion of the Payment is subject to the Excise Tax, you agree to promptly return to the Company a sufficient amount of the Payment (after reduction pursuant to clause (x) of Section 10(a)) so that no portion of the remaining Payment is subject to the Excise Tax. For the avoidance of doubt, if the Reduced Amount was determined pursuant to clause (y) of Section 10(a), you will have no obligation to return any portion of the Payment pursuant to the preceding sentence.</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2"/>
          <w:szCs w:val="22"/>
          <w:b w:val="1"/>
          <w:bCs w:val="1"/>
          <w:color w:val="auto"/>
        </w:rPr>
        <w:t>12.</w:t>
      </w:r>
      <w:r>
        <w:rPr>
          <w:rFonts w:ascii="Times New Roman" w:cs="Times New Roman" w:eastAsia="Times New Roman" w:hAnsi="Times New Roman"/>
          <w:sz w:val="19"/>
          <w:szCs w:val="19"/>
          <w:b w:val="1"/>
          <w:bCs w:val="1"/>
          <w:color w:val="auto"/>
        </w:rPr>
        <w:t>Outside Activities.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During your employment with Tempest, you will devote substantially all, but in no case less than 40 hours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 xml:space="preserve">per week, of your professional efforts to the business of Tempest, except that you may engage in the business activities described on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of this Agreement, and other activities that may be approved in advance by the Nominating and Governance Committee of the Company’s Board of Directors, in each case, so long as these activities do not interfere or conflict with your obligations to the Company. You will not be in violation of any obligation to the Company simply by virtue of your participation in the activities listed in Appendix A, but you remain subject to any obligations you have to the Company under any employee confidentiality and inventions assignment agreement between you and the Company and Company policies.</w:t>
      </w:r>
    </w:p>
    <w:p>
      <w:pPr>
        <w:spacing w:after="0" w:line="16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2"/>
          <w:szCs w:val="22"/>
          <w:b w:val="1"/>
          <w:bCs w:val="1"/>
          <w:color w:val="auto"/>
        </w:rPr>
        <w:t>13.</w:t>
      </w:r>
      <w:r>
        <w:rPr>
          <w:rFonts w:ascii="Times New Roman" w:cs="Times New Roman" w:eastAsia="Times New Roman" w:hAnsi="Times New Roman"/>
          <w:sz w:val="19"/>
          <w:szCs w:val="19"/>
          <w:b w:val="1"/>
          <w:bCs w:val="1"/>
          <w:color w:val="auto"/>
        </w:rPr>
        <w:t>Confidentiality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As condition of your employment, you must sign and abide by an employee confidentiality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inventions assignment agreement between you and the Company. By signing this Agreement, you are also representing that you have full authority to accept this position and perform the duties of the position without conflict with any other obligations and that you are not involved in any situation that might create, or appear to create, a conflict of interest with respect to your loyalty to or duties for the Company. You specifically warrant that you are not subject to an employment agreement or restrictive covenant preventing full performance of your duties to the Company. In addition, you agree not to bring to the Company or use in the performance of your responsibilities at the Company any materials or documents of a former employer that are not generally available to the public, unless you have obtained express written authorization from the former employer for their possession and use. You also agree to honor all obligations to former employers during your employment with the Company.</w:t>
      </w:r>
    </w:p>
    <w:p>
      <w:pPr>
        <w:spacing w:after="0" w:line="200" w:lineRule="exact"/>
        <w:rPr>
          <w:sz w:val="20"/>
          <w:szCs w:val="20"/>
          <w:color w:val="auto"/>
        </w:rPr>
      </w:pPr>
    </w:p>
    <w:p>
      <w:pPr>
        <w:spacing w:after="0" w:line="210"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2"/>
          <w:szCs w:val="22"/>
          <w:b w:val="1"/>
          <w:bCs w:val="1"/>
          <w:color w:val="auto"/>
        </w:rPr>
        <w:t>14.</w:t>
      </w:r>
      <w:r>
        <w:rPr>
          <w:rFonts w:ascii="Times New Roman" w:cs="Times New Roman" w:eastAsia="Times New Roman" w:hAnsi="Times New Roman"/>
          <w:sz w:val="19"/>
          <w:szCs w:val="19"/>
          <w:b w:val="1"/>
          <w:bCs w:val="1"/>
          <w:color w:val="auto"/>
        </w:rPr>
        <w:t>Arbitration.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To aid the rapid and economical resolution of disputes that may arise in connection with your employment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the Company, and in exchange for the mutual promises contained in this Agreement, you and the Company agree that any and all disputes, claims, or causes of action, in law or equity, including but not limited to statutory claims (including but not limited to, the Massachusetts Antidiscrimination Act, Mass. Gen. Laws ch.151B and the Massachusetts Wage Act,Mass. Gen. Laws ch. 149), arising from or relating to the enforcement, breach, performance, or interpretation of this Agreement, your employment with the Company, or the termination of your employment, shall be resolved to the fullest extent permitted by law, by final, binding and confidential arbitration conducted by JAMS, Inc. (“</w:t>
      </w:r>
      <w:r>
        <w:rPr>
          <w:rFonts w:ascii="Times New Roman" w:cs="Times New Roman" w:eastAsia="Times New Roman" w:hAnsi="Times New Roman"/>
          <w:sz w:val="19"/>
          <w:szCs w:val="19"/>
          <w:b w:val="1"/>
          <w:bCs w:val="1"/>
          <w:i w:val="1"/>
          <w:iCs w:val="1"/>
          <w:color w:val="auto"/>
        </w:rPr>
        <w:t>JAMS</w:t>
      </w:r>
      <w:r>
        <w:rPr>
          <w:rFonts w:ascii="Times New Roman" w:cs="Times New Roman" w:eastAsia="Times New Roman" w:hAnsi="Times New Roman"/>
          <w:sz w:val="19"/>
          <w:szCs w:val="19"/>
          <w:color w:val="auto"/>
        </w:rPr>
        <w:t xml:space="preserve">”) or its successor, under JAMS’ then applicable rules and procedures appropriate to the relief being sought (available upon request and also currently available at the following web address: (i) https://www.jamsadr.com/rules-employment-arbitration/) and (ii) https://www.jamsadr.com/rules-comprehensive-arbitration/) at a location closest to where you last worked for the Company or another mutually agreeable location. </w:t>
      </w:r>
      <w:r>
        <w:rPr>
          <w:rFonts w:ascii="Times New Roman" w:cs="Times New Roman" w:eastAsia="Times New Roman" w:hAnsi="Times New Roman"/>
          <w:sz w:val="19"/>
          <w:szCs w:val="19"/>
          <w:b w:val="1"/>
          <w:bCs w:val="1"/>
          <w:color w:val="auto"/>
        </w:rPr>
        <w:t>You acknowledge that by agreeing to this arbitration procedure, both you and the Company waive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right to resolve any such dispute through a trial by jury or judge. </w:t>
      </w:r>
      <w:r>
        <w:rPr>
          <w:rFonts w:ascii="Times New Roman" w:cs="Times New Roman" w:eastAsia="Times New Roman" w:hAnsi="Times New Roman"/>
          <w:sz w:val="19"/>
          <w:szCs w:val="19"/>
          <w:color w:val="auto"/>
        </w:rPr>
        <w:t>The Federal Arbitration Act, 9 U.S.C. § 1 et seq., will, to the fullest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extent permitted by law, govern the interpretation and enforcement of this arbitration agreement and any arbitration proceedings. This provision shall not be mandatory for any claim or cause of action to the extent applicable law prohibits subjecting such claim or cause of action to mandatory arbitration and such applicable law is not preempted by the Federal Arbitration Act or otherwise invalid (collectively, the “</w:t>
      </w:r>
      <w:r>
        <w:rPr>
          <w:rFonts w:ascii="Times New Roman" w:cs="Times New Roman" w:eastAsia="Times New Roman" w:hAnsi="Times New Roman"/>
          <w:sz w:val="19"/>
          <w:szCs w:val="19"/>
          <w:b w:val="1"/>
          <w:bCs w:val="1"/>
          <w:i w:val="1"/>
          <w:iCs w:val="1"/>
          <w:color w:val="auto"/>
        </w:rPr>
        <w:t>Excluded Claims</w:t>
      </w:r>
      <w:r>
        <w:rPr>
          <w:rFonts w:ascii="Times New Roman" w:cs="Times New Roman" w:eastAsia="Times New Roman" w:hAnsi="Times New Roman"/>
          <w:sz w:val="19"/>
          <w:szCs w:val="19"/>
          <w:color w:val="auto"/>
        </w:rPr>
        <w:t>”), such as non-individual claims that cannot be waived under applicable law, claims or causes of action alleging sexual harassment or a nonconsensual sexual act or sexual contact, or unemployment or workers’ compensation claims brought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1" w:name="page242"/>
    <w:bookmarkEnd w:id="241"/>
    <w:p>
      <w:pPr>
        <w:jc w:val="both"/>
        <w:spacing w:after="0"/>
        <w:rPr>
          <w:sz w:val="20"/>
          <w:szCs w:val="20"/>
          <w:color w:val="auto"/>
        </w:rPr>
      </w:pPr>
      <w:r>
        <w:rPr>
          <w:rFonts w:ascii="Times New Roman" w:cs="Times New Roman" w:eastAsia="Times New Roman" w:hAnsi="Times New Roman"/>
          <w:sz w:val="20"/>
          <w:szCs w:val="20"/>
          <w:color w:val="auto"/>
        </w:rPr>
        <w:t>before the applicable state governmental agency. In the event you or the Company intend to bring multiple claims, including one of the Excluded Claims listed above, the Excluded Claims may be filed with a court, while any other claims will remain subject to mandatory arbitration. You acknowledge and agree that proceedings of any non-individual claim(s) under the California Private Attorneys General Act (“</w:t>
      </w:r>
      <w:r>
        <w:rPr>
          <w:rFonts w:ascii="Times New Roman" w:cs="Times New Roman" w:eastAsia="Times New Roman" w:hAnsi="Times New Roman"/>
          <w:sz w:val="20"/>
          <w:szCs w:val="20"/>
          <w:b w:val="1"/>
          <w:bCs w:val="1"/>
          <w:i w:val="1"/>
          <w:iCs w:val="1"/>
          <w:color w:val="auto"/>
        </w:rPr>
        <w:t>PAGA</w:t>
      </w:r>
      <w:r>
        <w:rPr>
          <w:rFonts w:ascii="Times New Roman" w:cs="Times New Roman" w:eastAsia="Times New Roman" w:hAnsi="Times New Roman"/>
          <w:sz w:val="20"/>
          <w:szCs w:val="20"/>
          <w:color w:val="auto"/>
        </w:rPr>
        <w:t xml:space="preserve">”) that may be brought in court shall be stayed for the duration and pending a final resolution of the arbitration of any individual or individual PAGA claim. Nothing herein prevents you from filing and pursuing proceedings before a federal or state governmental agency, although if you choose to pursue a claim following the exhaustion of any applicable administrative remedies, that claim would be subject to this provision. In addition, with the exception of Excluded Claims arising out of 9 U.S.C. § 401 et seq., all claims, disputes, or causes of action under this section, whether by you or the Company, must be brought in an individual capacity, and shall not be brought as a plaintiff (or claimant) or class member in any purported class, representative, or collective proceeding, nor joined or consolidated with the claims of any other person or entity. </w:t>
      </w:r>
      <w:r>
        <w:rPr>
          <w:rFonts w:ascii="Times New Roman" w:cs="Times New Roman" w:eastAsia="Times New Roman" w:hAnsi="Times New Roman"/>
          <w:sz w:val="20"/>
          <w:szCs w:val="20"/>
          <w:b w:val="1"/>
          <w:bCs w:val="1"/>
          <w:color w:val="auto"/>
        </w:rPr>
        <w:t>You acknowledge that by agreeing to this arbitration procedure, both you and the Company waive all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rights to have any dispute be brought, heard, administered, resolved, or arbitrated on a class, representative, or collective action basis. </w:t>
      </w:r>
      <w:r>
        <w:rPr>
          <w:rFonts w:ascii="Times New Roman" w:cs="Times New Roman" w:eastAsia="Times New Roman" w:hAnsi="Times New Roman"/>
          <w:sz w:val="20"/>
          <w:szCs w:val="20"/>
          <w:color w:val="auto"/>
        </w:rPr>
        <w:t>The arbitrator may not consolidate the claims of more than one person or entity, and may not preside over any form of representative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class proceeding. If a court finds, by means of a final decision, not subject to any further appeal or recourse, that the preceding sentences regarding class, representative, or collective claims or proceedings violate applicable law or are otherwise unenforceable, as to a particular claim or request for relief, the parties agree that any such claim(s) or request(s) for relief be severed from the arbitration and may proceed in a court of law rather than by arbitration. All other claims or requests for relief shall be arbitrated. You will have the right to be represented by legal counsel at any arbitration proceeding. Questions of whether a claim is subject to arbitration and procedural questions which grow out of the dispute and bear on the final disposition are matters for the arbitrator to decide, provided however, that if required by applicable law, a court and not the arbitrator may determine the enforceability of this paragraph with respect to Excluded Claims. The arbitrator shall: (a) have the authority to compel adequate discovery for the resolution of the dispute and to award such relief as you or the Company would otherwise be entitled to seek in a court of law; and (b) issue a written statement signed by the arbitrator regarding the disposition of each claim and the relief, if any, awarded as to each claim, the reasons for the award, and the arbitrator’s essential findings and conclusions on which the award is based. The Company shall pay all JAMS arbitration administrative fees in excess of the administrative fees that you would be required to pay if the dispute were decided in a court of law. Each party is responsible for its own attorneys’ fees, except as may be expressly set forth in your Employee Confidential Information and Inventions Assignment Agreement or as otherwise provided under applicable law. Nothing in this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194"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b w:val="1"/>
          <w:bCs w:val="1"/>
          <w:color w:val="auto"/>
        </w:rPr>
        <w:t>15.</w:t>
      </w:r>
      <w:r>
        <w:rPr>
          <w:rFonts w:ascii="Times New Roman" w:cs="Times New Roman" w:eastAsia="Times New Roman" w:hAnsi="Times New Roman"/>
          <w:sz w:val="19"/>
          <w:szCs w:val="19"/>
          <w:b w:val="1"/>
          <w:bCs w:val="1"/>
          <w:color w:val="auto"/>
        </w:rPr>
        <w:t>Miscellaneous.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This Agreement (including the agreements referenced herein) is the complete and exclusive statement of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agreement with the Company on the subject matters herein, and supersedes and replaces any and all prior agreements or representations with regard to the subject matter hereof, whether written or oral. It is entered into without reliance on any promise or representation other than those expressly contained herein, and it cannot be modified, amended or extended except in a writing signed by you and the Chief Executive Officer. This Agreement is intended to bind and inure to the benefit of and be enforceable by you and the Company, and our respective successors, assigns, heirs, executors and administrators, except that you may not assign any of your duties or rights hereunder without the express written consent of the Company.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as if such invalid, illegal or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2" w:name="page243"/>
    <w:bookmarkEnd w:id="242"/>
    <w:p>
      <w:pPr>
        <w:spacing w:after="0" w:line="269" w:lineRule="auto"/>
        <w:rPr>
          <w:sz w:val="20"/>
          <w:szCs w:val="20"/>
          <w:color w:val="auto"/>
        </w:rPr>
      </w:pPr>
      <w:r>
        <w:rPr>
          <w:rFonts w:ascii="Times New Roman" w:cs="Times New Roman" w:eastAsia="Times New Roman" w:hAnsi="Times New Roman"/>
          <w:sz w:val="20"/>
          <w:szCs w:val="20"/>
          <w:color w:val="auto"/>
        </w:rPr>
        <w:t>unenforceable provisions had never been contained herein. This Agreement and the terms of your employment with the Company will be governed in all aspects by the laws of the Commonwealth of Massachusetts.</w:t>
      </w:r>
    </w:p>
    <w:p>
      <w:pPr>
        <w:spacing w:after="0" w:line="15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This offer is subject to satisfactory proof of your right to work in the United States and satisfactory completion of a Company-required background check. If you agree to the terms and conditions set forth herein, please sign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look forward to having you join us. If you have any questions about this Agreement, please do not hesitate to call 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Best regards,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Stephen R.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75895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9">
                      <a:extLst>
                        <a:ext uri="{28A0092B-C50C-407E-A947-70E740481C1C}"/>
                      </a:extLst>
                    </a:blip>
                    <a:srcRect/>
                    <a:stretch>
                      <a:fillRect/>
                    </a:stretch>
                  </pic:blipFill>
                  <pic:spPr bwMode="auto">
                    <a:xfrm>
                      <a:off x="0" y="0"/>
                      <a:ext cx="175895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Stephen R. Brady</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ccepted and agreed</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Matthew Angel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50749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00">
                      <a:extLst>
                        <a:ext uri="{28A0092B-C50C-407E-A947-70E740481C1C}"/>
                      </a:extLst>
                    </a:blip>
                    <a:srcRect/>
                    <a:stretch>
                      <a:fillRect/>
                    </a:stretch>
                  </pic:blipFill>
                  <pic:spPr bwMode="auto">
                    <a:xfrm>
                      <a:off x="0" y="0"/>
                      <a:ext cx="150749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Matthew Angel, Ph.D.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Date: </w:t>
      </w:r>
      <w:r>
        <w:rPr>
          <w:rFonts w:ascii="Times New Roman" w:cs="Times New Roman" w:eastAsia="Times New Roman" w:hAnsi="Times New Roman"/>
          <w:sz w:val="20"/>
          <w:szCs w:val="20"/>
          <w:u w:val="single" w:color="auto"/>
          <w:color w:val="auto"/>
        </w:rPr>
        <w:t>November 19,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3" w:name="page244"/>
    <w:bookmarkEnd w:id="243"/>
    <w:p>
      <w:pPr>
        <w:jc w:val="center"/>
        <w:spacing w:after="0"/>
        <w:rPr>
          <w:sz w:val="20"/>
          <w:szCs w:val="20"/>
          <w:color w:val="auto"/>
        </w:rPr>
      </w:pPr>
      <w:r>
        <w:rPr>
          <w:rFonts w:ascii="Times New Roman" w:cs="Times New Roman" w:eastAsia="Times New Roman" w:hAnsi="Times New Roman"/>
          <w:sz w:val="22"/>
          <w:szCs w:val="22"/>
          <w:u w:val="single" w:color="auto"/>
          <w:color w:val="auto"/>
        </w:rPr>
        <w:t>Appendix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APPROVED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20"/>
          <w:szCs w:val="20"/>
          <w:b w:val="1"/>
          <w:bCs w:val="1"/>
          <w:color w:val="auto"/>
        </w:rPr>
        <w:t>Exhibit 10.29</w:t>
      </w:r>
    </w:p>
    <w:p>
      <w:pPr>
        <w:spacing w:after="0" w:line="200" w:lineRule="exact"/>
        <w:rPr>
          <w:sz w:val="20"/>
          <w:szCs w:val="20"/>
          <w:color w:val="auto"/>
        </w:rPr>
      </w:pPr>
    </w:p>
    <w:p>
      <w:pPr>
        <w:spacing w:after="0" w:line="21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empest</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2000 Sierra Point Parkway, Suite 400</w:t>
      </w:r>
    </w:p>
    <w:p>
      <w:pPr>
        <w:ind w:left="4380"/>
        <w:spacing w:after="0"/>
        <w:rPr>
          <w:sz w:val="20"/>
          <w:szCs w:val="20"/>
          <w:color w:val="auto"/>
        </w:rPr>
      </w:pPr>
      <w:r>
        <w:rPr>
          <w:rFonts w:ascii="Times New Roman" w:cs="Times New Roman" w:eastAsia="Times New Roman" w:hAnsi="Times New Roman"/>
          <w:sz w:val="22"/>
          <w:szCs w:val="22"/>
          <w:b w:val="1"/>
          <w:bCs w:val="1"/>
          <w:color w:val="auto"/>
        </w:rPr>
        <w:t>Brisbane, California 94005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3, 2026</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Nicholas Maestas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on file]</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 Executive Employment Agreement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Nic:</w:t>
      </w:r>
    </w:p>
    <w:p>
      <w:pPr>
        <w:spacing w:after="0" w:line="22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This employment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sets forth the terms and conditions of your employment as the Chief Financial Officer and Head of Corporate Strategy of Tempest Therapeutics, Inc. (“</w:t>
      </w:r>
      <w:r>
        <w:rPr>
          <w:rFonts w:ascii="Times New Roman" w:cs="Times New Roman" w:eastAsia="Times New Roman" w:hAnsi="Times New Roman"/>
          <w:sz w:val="22"/>
          <w:szCs w:val="22"/>
          <w:b w:val="1"/>
          <w:bCs w:val="1"/>
          <w:i w:val="1"/>
          <w:iCs w:val="1"/>
          <w:color w:val="auto"/>
        </w:rPr>
        <w:t>Tempest</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reporting to the Company’s Chief Executive Officer (the “</w:t>
      </w:r>
      <w:r>
        <w:rPr>
          <w:rFonts w:ascii="Times New Roman" w:cs="Times New Roman" w:eastAsia="Times New Roman" w:hAnsi="Times New Roman"/>
          <w:sz w:val="22"/>
          <w:szCs w:val="22"/>
          <w:b w:val="1"/>
          <w:bCs w:val="1"/>
          <w:i w:val="1"/>
          <w:iCs w:val="1"/>
          <w:color w:val="auto"/>
        </w:rPr>
        <w:t>CEO</w:t>
      </w:r>
      <w:r>
        <w:rPr>
          <w:rFonts w:ascii="Times New Roman" w:cs="Times New Roman" w:eastAsia="Times New Roman" w:hAnsi="Times New Roman"/>
          <w:sz w:val="22"/>
          <w:szCs w:val="22"/>
          <w:color w:val="auto"/>
        </w:rPr>
        <w:t>”). The effective date of this Agreement shall be the closing of the Transaction (as defined herein).</w:t>
      </w:r>
    </w:p>
    <w:p>
      <w:pPr>
        <w:spacing w:after="0" w:line="17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During your employment with Tempest, you will devote substantially all of your professional efforts to the business of Tempest, except that you may engage in the business activities described on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of this Agreement, and other activities that may be approved in advance by the Company’s Chief Executive Officer, with advice from 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xml:space="preserve">”) (which together with the activities set forth on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may include one for-profit board membership), in each case, so long as these activities do not interfere or conflict with your obligations to the Company. Your employment under the terms of this Agreement shall continue until it terminates in accordance with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below.</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This Agreement supersedes, amends and restates in all respects all prior agreements and understandings between you and the Company regarding the subject matter herein, including any employment agreements that you may have previously entered into with the Company in connection with your prior employment with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nothing in this Agreement changes any benefits payable pursuant to the terms of the separation agreement that you entered into with the Company on June 13, 2025 (the “</w:t>
      </w:r>
      <w:r>
        <w:rPr>
          <w:rFonts w:ascii="Times New Roman" w:cs="Times New Roman" w:eastAsia="Times New Roman" w:hAnsi="Times New Roman"/>
          <w:sz w:val="22"/>
          <w:szCs w:val="22"/>
          <w:b w:val="1"/>
          <w:bCs w:val="1"/>
          <w:i w:val="1"/>
          <w:iCs w:val="1"/>
          <w:color w:val="auto"/>
        </w:rPr>
        <w:t>Separation Agreement</w:t>
      </w:r>
      <w:r>
        <w:rPr>
          <w:rFonts w:ascii="Times New Roman" w:cs="Times New Roman" w:eastAsia="Times New Roman" w:hAnsi="Times New Roman"/>
          <w:sz w:val="22"/>
          <w:szCs w:val="22"/>
          <w:color w:val="auto"/>
        </w:rPr>
        <w:t>”) or the success bonus agreement that you entered into with the Company on August 11,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Agreement is intended to summarize some of the terms and conditions of your employment.</w:t>
      </w:r>
    </w:p>
    <w:p>
      <w:pPr>
        <w:spacing w:after="0" w:line="206" w:lineRule="exact"/>
        <w:rPr>
          <w:sz w:val="20"/>
          <w:szCs w:val="20"/>
          <w:color w:val="auto"/>
        </w:rPr>
      </w:pPr>
    </w:p>
    <w:p>
      <w:pPr>
        <w:jc w:val="both"/>
        <w:ind w:firstLine="757"/>
        <w:spacing w:after="0" w:line="244" w:lineRule="auto"/>
        <w:tabs>
          <w:tab w:leader="none" w:pos="101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Location</w:t>
      </w:r>
      <w:r>
        <w:rPr>
          <w:rFonts w:ascii="Times New Roman" w:cs="Times New Roman" w:eastAsia="Times New Roman" w:hAnsi="Times New Roman"/>
          <w:sz w:val="22"/>
          <w:szCs w:val="22"/>
          <w:color w:val="auto"/>
        </w:rPr>
        <w:t>. Your place of employment will be at Tempest’s principal offices, currently located in Brisbane, California. You will be required to work from this location as reasonably determined by the Company in accordance with its “work from home” and “work from office” policies, taking into account relevant factors of your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45" w:name="page246"/>
    <w:bookmarkEnd w:id="245"/>
    <w:p>
      <w:pPr>
        <w:ind w:left="1020" w:hanging="263"/>
        <w:spacing w:after="0"/>
        <w:tabs>
          <w:tab w:leader="none" w:pos="102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Base Salary</w:t>
      </w:r>
      <w:r>
        <w:rPr>
          <w:rFonts w:ascii="Times New Roman" w:cs="Times New Roman" w:eastAsia="Times New Roman" w:hAnsi="Times New Roman"/>
          <w:sz w:val="22"/>
          <w:szCs w:val="22"/>
          <w:color w:val="auto"/>
        </w:rPr>
        <w:t>. Your annualized base salary rate is $425,000, less standard deductions and withholding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payable bi-weekly in accordance with Tempest’s regular payroll practices. Your salary shall be reviewed annually and may be adjusted in connection with any such review.</w:t>
      </w:r>
    </w:p>
    <w:p>
      <w:pPr>
        <w:spacing w:after="0" w:line="167"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6"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Bonus Program</w:t>
      </w:r>
      <w:r>
        <w:rPr>
          <w:rFonts w:ascii="Times New Roman" w:cs="Times New Roman" w:eastAsia="Times New Roman" w:hAnsi="Times New Roman"/>
          <w:sz w:val="22"/>
          <w:szCs w:val="22"/>
          <w:color w:val="auto"/>
        </w:rPr>
        <w:t>. You will be eligible for an annual target bonus of forty percent (40%) of your annual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base salary, as determined by the Board in its sole discretion based upon, among other things, the achievement of pre-determined performance milestones. Any annual bonus, if earned, shall be paid no later than March 15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of the year immediately following the year to which the applicable annual bonus relates.</w:t>
      </w:r>
    </w:p>
    <w:p>
      <w:pPr>
        <w:spacing w:after="0" w:line="171"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Withholding. </w:t>
      </w:r>
      <w:r>
        <w:rPr>
          <w:rFonts w:ascii="Times New Roman" w:cs="Times New Roman" w:eastAsia="Times New Roman" w:hAnsi="Times New Roman"/>
          <w:sz w:val="22"/>
          <w:szCs w:val="22"/>
          <w:color w:val="auto"/>
        </w:rPr>
        <w:t>Tempest shall withhold from any compensation or benefits payable to you by Tempest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federal, state and/or local income, employment and/or other similar taxes as may be required to be withheld pursuant to any applicable law or regulation.</w:t>
      </w:r>
    </w:p>
    <w:p>
      <w:pPr>
        <w:spacing w:after="0" w:line="171"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6"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Other</w:t>
      </w:r>
      <w:r>
        <w:rPr>
          <w:rFonts w:ascii="Times New Roman" w:cs="Times New Roman" w:eastAsia="Times New Roman" w:hAnsi="Times New Roman"/>
          <w:sz w:val="22"/>
          <w:szCs w:val="22"/>
          <w:color w:val="auto"/>
        </w:rPr>
        <w:t>. You will be eligible to participate in the benefits to be offered by Tempest on the same terms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conditions as it will make such benefits available to employees in positions similar to your position. The benefits are currently expected to include health insurance and such other benefits provided by similar companies of a similar stage, as approved by the Board.</w:t>
      </w:r>
    </w:p>
    <w:p>
      <w:pPr>
        <w:spacing w:after="0" w:line="171"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Expenses</w:t>
      </w:r>
      <w:r>
        <w:rPr>
          <w:rFonts w:ascii="Times New Roman" w:cs="Times New Roman" w:eastAsia="Times New Roman" w:hAnsi="Times New Roman"/>
          <w:sz w:val="22"/>
          <w:szCs w:val="22"/>
          <w:color w:val="auto"/>
        </w:rPr>
        <w:t>. Tempest shall reimburse you for all reasonable expenses of the type authorized by Tempest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incurred by you in the performance of your duties under this Agreement, all in accordance with the Company’s reimbursement policies.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As is the case of all employee benefits, such benefits will be governed by the terms and conditions of applicable Tempest plans or policies, which are subject to change or discontinuation at any time.</w:t>
      </w:r>
    </w:p>
    <w:p>
      <w:pPr>
        <w:spacing w:after="0" w:line="158" w:lineRule="exact"/>
        <w:rPr>
          <w:sz w:val="20"/>
          <w:szCs w:val="20"/>
          <w:color w:val="auto"/>
        </w:rPr>
      </w:pPr>
    </w:p>
    <w:p>
      <w:pPr>
        <w:ind w:left="1020" w:hanging="263"/>
        <w:spacing w:after="0"/>
        <w:tabs>
          <w:tab w:leader="none" w:pos="102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i w:val="1"/>
          <w:iCs w:val="1"/>
          <w:color w:val="auto"/>
        </w:rPr>
        <w:t>Definitions.</w:t>
      </w:r>
      <w:r>
        <w:rPr>
          <w:rFonts w:ascii="Times New Roman" w:cs="Times New Roman" w:eastAsia="Times New Roman" w:hAnsi="Times New Roman"/>
          <w:sz w:val="22"/>
          <w:szCs w:val="22"/>
          <w:color w:val="auto"/>
        </w:rPr>
        <w:t xml:space="preserve"> For purposes of this Agreement:</w:t>
      </w:r>
    </w:p>
    <w:p>
      <w:pPr>
        <w:spacing w:after="0" w:line="204" w:lineRule="exact"/>
        <w:rPr>
          <w:sz w:val="20"/>
          <w:szCs w:val="20"/>
          <w:color w:val="auto"/>
        </w:rPr>
      </w:pPr>
    </w:p>
    <w:p>
      <w:pPr>
        <w:jc w:val="both"/>
        <w:ind w:firstLine="2441"/>
        <w:spacing w:after="0" w:line="236"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b w:val="1"/>
          <w:bCs w:val="1"/>
          <w:i w:val="1"/>
          <w:iCs w:val="1"/>
          <w:color w:val="auto"/>
        </w:rPr>
        <w:t>Accrued Benefits</w:t>
      </w:r>
      <w:r>
        <w:rPr>
          <w:rFonts w:ascii="Times New Roman" w:cs="Times New Roman" w:eastAsia="Times New Roman" w:hAnsi="Times New Roman"/>
          <w:sz w:val="22"/>
          <w:szCs w:val="22"/>
          <w:color w:val="auto"/>
        </w:rPr>
        <w:t>” means: (i) any unpaid base salary for services rendered prior to the date of termination of employment; (ii) any earned but unpaid annual bonus for any completed fiscal year prior to the year in which termination of employment occurs; (iii) reimbursement of any unreimbursed business expenses incurred as of the date of termination of employment in accordance with Tempest’s reimbursement policy; (iv) accrued but unused vacation (if applicable), earned through the date of termination of employment; and (v) all other payments, benefits or fringe benefits to which you shall be entitled under the terms of any applicable compensation arrangement or benefit, equity or fringe benefit plan or program or grant with or by Tempest or this Agreement.</w:t>
      </w:r>
    </w:p>
    <w:p>
      <w:pPr>
        <w:spacing w:after="0" w:line="176" w:lineRule="exact"/>
        <w:rPr>
          <w:sz w:val="20"/>
          <w:szCs w:val="20"/>
          <w:color w:val="auto"/>
        </w:rPr>
      </w:pPr>
    </w:p>
    <w:p>
      <w:pPr>
        <w:jc w:val="both"/>
        <w:ind w:firstLine="2317"/>
        <w:spacing w:after="0" w:line="247" w:lineRule="auto"/>
        <w:tabs>
          <w:tab w:leader="none" w:pos="2546"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means conduct involving one or more of the following by you: (i) failure to perform a substantial portion of your duties and responsibilities in accordance with the terms or requirements of this Agreement and your position, which failure continues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6" w:name="page247"/>
    <w:bookmarkEnd w:id="246"/>
    <w:p>
      <w:pPr>
        <w:jc w:val="both"/>
        <w:spacing w:after="0" w:line="249" w:lineRule="auto"/>
        <w:rPr>
          <w:sz w:val="20"/>
          <w:szCs w:val="20"/>
          <w:color w:val="auto"/>
        </w:rPr>
      </w:pPr>
      <w:r>
        <w:rPr>
          <w:rFonts w:ascii="Times New Roman" w:cs="Times New Roman" w:eastAsia="Times New Roman" w:hAnsi="Times New Roman"/>
          <w:sz w:val="21"/>
          <w:szCs w:val="21"/>
          <w:color w:val="auto"/>
        </w:rPr>
        <w:t>or is not permanently cured within, a period of 30 days after written notice given to you by Tempest, except in the case of your physical or mental illness; (ii) disloyalty, gross negligence, willful misconduct, or dishonesty that materially injures Tempest or a breach of fiduciary duty to Tempest; (iii) the conviction of (x) a felony or (y) a misdemeanor involving moral turpitude, or fraud;</w:t>
      </w:r>
    </w:p>
    <w:p>
      <w:pPr>
        <w:spacing w:after="0" w:line="1" w:lineRule="exact"/>
        <w:rPr>
          <w:sz w:val="20"/>
          <w:szCs w:val="20"/>
          <w:color w:val="auto"/>
        </w:rPr>
      </w:pPr>
    </w:p>
    <w:p>
      <w:pPr>
        <w:ind w:left="380" w:hanging="372"/>
        <w:spacing w:after="0"/>
        <w:tabs>
          <w:tab w:leader="none" w:pos="380"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commission of an act of embezzlement or fraud; or (v) the material breach of any agreement between Tempest and you.</w:t>
      </w:r>
    </w:p>
    <w:p>
      <w:pPr>
        <w:spacing w:after="0" w:line="187" w:lineRule="exact"/>
        <w:rPr>
          <w:rFonts w:ascii="Times New Roman" w:cs="Times New Roman" w:eastAsia="Times New Roman" w:hAnsi="Times New Roman"/>
          <w:sz w:val="21"/>
          <w:szCs w:val="21"/>
          <w:color w:val="auto"/>
        </w:rPr>
      </w:pPr>
    </w:p>
    <w:p>
      <w:pPr>
        <w:ind w:firstLine="2287"/>
        <w:spacing w:after="0" w:line="264" w:lineRule="auto"/>
        <w:tabs>
          <w:tab w:leader="none" w:pos="2546"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color w:val="auto"/>
        </w:rPr>
        <w:t xml:space="preserve">” shall have the meaning set forth in the Company’s 2017 Equity Incentive Plan;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Transaction shall not constitute a Change in Control for purposes of this Agreement.</w:t>
      </w:r>
    </w:p>
    <w:p>
      <w:pPr>
        <w:spacing w:after="0" w:line="145" w:lineRule="exact"/>
        <w:rPr>
          <w:rFonts w:ascii="Times New Roman" w:cs="Times New Roman" w:eastAsia="Times New Roman" w:hAnsi="Times New Roman"/>
          <w:sz w:val="22"/>
          <w:szCs w:val="22"/>
          <w:color w:val="auto"/>
        </w:rPr>
      </w:pPr>
    </w:p>
    <w:p>
      <w:pPr>
        <w:ind w:firstLine="2293"/>
        <w:spacing w:after="0" w:line="264" w:lineRule="auto"/>
        <w:tabs>
          <w:tab w:leader="none" w:pos="2546"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in Control Period</w:t>
      </w:r>
      <w:r>
        <w:rPr>
          <w:rFonts w:ascii="Times New Roman" w:cs="Times New Roman" w:eastAsia="Times New Roman" w:hAnsi="Times New Roman"/>
          <w:sz w:val="22"/>
          <w:szCs w:val="22"/>
          <w:color w:val="auto"/>
        </w:rPr>
        <w:t>” means the three (3) month period prior to, and twelve (12) month period following, a Change in Control.</w:t>
      </w:r>
    </w:p>
    <w:p>
      <w:pPr>
        <w:spacing w:after="0" w:line="145" w:lineRule="exact"/>
        <w:rPr>
          <w:sz w:val="20"/>
          <w:szCs w:val="20"/>
          <w:color w:val="auto"/>
        </w:rPr>
      </w:pPr>
    </w:p>
    <w:p>
      <w:pPr>
        <w:jc w:val="both"/>
        <w:ind w:firstLine="2315"/>
        <w:spacing w:after="0" w:line="241" w:lineRule="auto"/>
        <w:rPr>
          <w:sz w:val="20"/>
          <w:szCs w:val="20"/>
          <w:color w:val="auto"/>
        </w:rPr>
      </w:pPr>
      <w:r>
        <w:rPr>
          <w:rFonts w:ascii="Times New Roman" w:cs="Times New Roman" w:eastAsia="Times New Roman" w:hAnsi="Times New Roman"/>
          <w:sz w:val="22"/>
          <w:szCs w:val="22"/>
          <w:color w:val="auto"/>
        </w:rPr>
        <w:t>v. “</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means, without your express written consent, (i) any reduction in your annual base salary other than a reduction which is proportional to general reductions affecting other senior executive officers of Tempest generally, or (ii) any material reduction in your title or scope of responsibilities without your consent (other than your removal from the Board).</w:t>
      </w:r>
    </w:p>
    <w:p>
      <w:pPr>
        <w:spacing w:after="0" w:line="172" w:lineRule="exact"/>
        <w:rPr>
          <w:sz w:val="20"/>
          <w:szCs w:val="20"/>
          <w:color w:val="auto"/>
        </w:rPr>
      </w:pPr>
    </w:p>
    <w:p>
      <w:pPr>
        <w:ind w:firstLine="2293"/>
        <w:spacing w:after="0" w:line="264" w:lineRule="auto"/>
        <w:tabs>
          <w:tab w:leader="none" w:pos="2546"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Transaction</w:t>
      </w:r>
      <w:r>
        <w:rPr>
          <w:rFonts w:ascii="Times New Roman" w:cs="Times New Roman" w:eastAsia="Times New Roman" w:hAnsi="Times New Roman"/>
          <w:sz w:val="22"/>
          <w:szCs w:val="22"/>
          <w:color w:val="auto"/>
        </w:rPr>
        <w:t>” shall refer to the transactions contemplated by the asset purchase agreement, entered into as of November 19, 2025, by and among the Company, Factor Bioscience Inc., and Erigen LLC.</w:t>
      </w:r>
    </w:p>
    <w:p>
      <w:pPr>
        <w:spacing w:after="0" w:line="147" w:lineRule="exact"/>
        <w:rPr>
          <w:rFonts w:ascii="Times New Roman" w:cs="Times New Roman" w:eastAsia="Times New Roman" w:hAnsi="Times New Roman"/>
          <w:sz w:val="22"/>
          <w:szCs w:val="22"/>
          <w:color w:val="auto"/>
        </w:rPr>
      </w:pPr>
    </w:p>
    <w:p>
      <w:pPr>
        <w:ind w:left="1960" w:hanging="829"/>
        <w:spacing w:after="0"/>
        <w:tabs>
          <w:tab w:leader="none" w:pos="19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Severance Benefits and Payment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2339"/>
        <w:spacing w:after="0" w:line="244" w:lineRule="auto"/>
        <w:rPr>
          <w:sz w:val="20"/>
          <w:szCs w:val="20"/>
          <w:color w:val="auto"/>
        </w:rPr>
      </w:pPr>
      <w:r>
        <w:rPr>
          <w:rFonts w:ascii="Times New Roman" w:cs="Times New Roman" w:eastAsia="Times New Roman" w:hAnsi="Times New Roman"/>
          <w:sz w:val="21"/>
          <w:szCs w:val="21"/>
          <w:color w:val="auto"/>
        </w:rPr>
        <w:t xml:space="preserve">i. </w:t>
      </w:r>
      <w:r>
        <w:rPr>
          <w:rFonts w:ascii="Times New Roman" w:cs="Times New Roman" w:eastAsia="Times New Roman" w:hAnsi="Times New Roman"/>
          <w:sz w:val="21"/>
          <w:szCs w:val="21"/>
          <w:i w:val="1"/>
          <w:iCs w:val="1"/>
          <w:color w:val="auto"/>
        </w:rPr>
        <w:t>Generally</w:t>
      </w:r>
      <w:r>
        <w:rPr>
          <w:rFonts w:ascii="Times New Roman" w:cs="Times New Roman" w:eastAsia="Times New Roman" w:hAnsi="Times New Roman"/>
          <w:sz w:val="21"/>
          <w:szCs w:val="21"/>
          <w:color w:val="auto"/>
        </w:rPr>
        <w:t xml:space="preserve">. If your employment with Tempest is terminated (x) by Tempest for any reason other than Cause, or (y) by you for Good Reason, Tempest will pay you (1) the Accrued Benefits; (2) subject to your compliance with </w:t>
      </w:r>
      <w:r>
        <w:rPr>
          <w:rFonts w:ascii="Times New Roman" w:cs="Times New Roman" w:eastAsia="Times New Roman" w:hAnsi="Times New Roman"/>
          <w:sz w:val="21"/>
          <w:szCs w:val="21"/>
          <w:u w:val="single" w:color="auto"/>
          <w:color w:val="auto"/>
        </w:rPr>
        <w:t>Section 4(c)</w:t>
      </w:r>
      <w:r>
        <w:rPr>
          <w:rFonts w:ascii="Times New Roman" w:cs="Times New Roman" w:eastAsia="Times New Roman" w:hAnsi="Times New Roman"/>
          <w:sz w:val="21"/>
          <w:szCs w:val="21"/>
          <w:color w:val="auto"/>
        </w:rPr>
        <w:t xml:space="preserve"> below, after the execution and delivery of the Separation Agreement and General Release in substantially the form attached hereto as </w:t>
      </w:r>
      <w:r>
        <w:rPr>
          <w:rFonts w:ascii="Times New Roman" w:cs="Times New Roman" w:eastAsia="Times New Roman" w:hAnsi="Times New Roman"/>
          <w:sz w:val="21"/>
          <w:szCs w:val="21"/>
          <w:u w:val="single" w:color="auto"/>
          <w:color w:val="auto"/>
        </w:rPr>
        <w:t>Appendix B</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i w:val="1"/>
          <w:iCs w:val="1"/>
          <w:color w:val="auto"/>
        </w:rPr>
        <w:t>Separation Agreement and General Release</w:t>
      </w:r>
      <w:r>
        <w:rPr>
          <w:rFonts w:ascii="Times New Roman" w:cs="Times New Roman" w:eastAsia="Times New Roman" w:hAnsi="Times New Roman"/>
          <w:sz w:val="21"/>
          <w:szCs w:val="21"/>
          <w:color w:val="auto"/>
        </w:rPr>
        <w:t>”) (as such form may be modified to take into account changes in the law) and the expiration of any revocation period without the release being revoked, nine (9) months’ base salary, plus a prorated portion of your bonus at target for the year of your termination, less standard deductions, payable in bi-weekly installments in accordance with the Company’s regular payroll policies; and (3) if you elect to continue your health insurance coverage pursuant to your rights under the Consolidated Omnibus Budget Reconciliation Act of 1985, as amended (“</w:t>
      </w:r>
      <w:r>
        <w:rPr>
          <w:rFonts w:ascii="Times New Roman" w:cs="Times New Roman" w:eastAsia="Times New Roman" w:hAnsi="Times New Roman"/>
          <w:sz w:val="21"/>
          <w:szCs w:val="21"/>
          <w:b w:val="1"/>
          <w:bCs w:val="1"/>
          <w:i w:val="1"/>
          <w:iCs w:val="1"/>
          <w:color w:val="auto"/>
        </w:rPr>
        <w:t>COBRA</w:t>
      </w:r>
      <w:r>
        <w:rPr>
          <w:rFonts w:ascii="Times New Roman" w:cs="Times New Roman" w:eastAsia="Times New Roman" w:hAnsi="Times New Roman"/>
          <w:sz w:val="21"/>
          <w:szCs w:val="21"/>
          <w:color w:val="auto"/>
        </w:rPr>
        <w:t>”), following the termination of your employment, your monthly premium under COBRA on a monthly basis until the earlier of (x) nine (9) months following the effective termination date, or (y) the date upon which you commence full-time employment (or employment that provides you with eligibility for healthcare benefits substantially comparable to those provided by Tempest). A termination of your employment by Tempest due to physical or mental illness which is not a Disability (as defined herein) shall be treated as an involuntary termination other than for Cause. The term “</w:t>
      </w:r>
      <w:r>
        <w:rPr>
          <w:rFonts w:ascii="Times New Roman" w:cs="Times New Roman" w:eastAsia="Times New Roman" w:hAnsi="Times New Roman"/>
          <w:sz w:val="21"/>
          <w:szCs w:val="21"/>
          <w:b w:val="1"/>
          <w:bCs w:val="1"/>
          <w:i w:val="1"/>
          <w:iCs w:val="1"/>
          <w:color w:val="auto"/>
        </w:rPr>
        <w:t>Disability</w:t>
      </w:r>
      <w:r>
        <w:rPr>
          <w:rFonts w:ascii="Times New Roman" w:cs="Times New Roman" w:eastAsia="Times New Roman" w:hAnsi="Times New Roman"/>
          <w:sz w:val="21"/>
          <w:szCs w:val="21"/>
          <w:color w:val="auto"/>
        </w:rPr>
        <w:t>” shall mean that you have not been able to materially engage in your duties and responsibilities by reason of any medically determinable physical or mental impairment for a period of not less than 120 consecutive days or not less than 180 days during any one-year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1012190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7" w:name="page248"/>
    <w:bookmarkEnd w:id="247"/>
    <w:p>
      <w:pPr>
        <w:jc w:val="both"/>
        <w:ind w:firstLine="1962"/>
        <w:spacing w:after="0" w:line="233" w:lineRule="auto"/>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22"/>
          <w:szCs w:val="22"/>
          <w:i w:val="1"/>
          <w:iCs w:val="1"/>
          <w:color w:val="auto"/>
        </w:rPr>
        <w:t>In connection with the Change in Control Period.</w:t>
      </w:r>
      <w:r>
        <w:rPr>
          <w:rFonts w:ascii="Times New Roman" w:cs="Times New Roman" w:eastAsia="Times New Roman" w:hAnsi="Times New Roman"/>
          <w:sz w:val="22"/>
          <w:szCs w:val="22"/>
          <w:color w:val="auto"/>
        </w:rPr>
        <w:t xml:space="preserve"> If your employment with Tempest is terminated (x) by Tempest for any reason other than Cause, or (y) by you for Good Reason, in either case during the Change in Control Period, except as otherwise set forth below in subsection 4(b)(iii) below, Tempest will (1) pay you the Accrued Benefits; (2) subject to your compliance with </w:t>
      </w:r>
      <w:r>
        <w:rPr>
          <w:rFonts w:ascii="Times New Roman" w:cs="Times New Roman" w:eastAsia="Times New Roman" w:hAnsi="Times New Roman"/>
          <w:sz w:val="22"/>
          <w:szCs w:val="22"/>
          <w:u w:val="single" w:color="auto"/>
          <w:color w:val="auto"/>
        </w:rPr>
        <w:t>Section 4(c)</w:t>
      </w:r>
      <w:r>
        <w:rPr>
          <w:rFonts w:ascii="Times New Roman" w:cs="Times New Roman" w:eastAsia="Times New Roman" w:hAnsi="Times New Roman"/>
          <w:sz w:val="22"/>
          <w:szCs w:val="22"/>
          <w:color w:val="auto"/>
        </w:rPr>
        <w:t xml:space="preserve"> below, after the execution and delivery of the Separation Agreement and General Release and the expiration of any revocation period without the release being revoked, pay you twelve (12) months’ base salary plus your annual bonus at one hundred percent (100%) of target, less standard deductions, payable in a single lump sum on the 60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day following the termination of your employment; (3) if you elect to continue your health insurance coverage pursuant to your rights under COBRA following the termination of your employment, pay your monthly premium under COBRA on a monthly basis until the earlier of (x) twelve (12) months following the effective termination date, or (y) the date upon which you commence full-time employment (or employment that provides you with eligibility for healthcare benefits substantially comparable to those provided by Tempest); and (4) </w:t>
      </w:r>
      <w:r>
        <w:rPr>
          <w:rFonts w:ascii="Times New Roman" w:cs="Times New Roman" w:eastAsia="Times New Roman" w:hAnsi="Times New Roman"/>
          <w:sz w:val="22"/>
          <w:szCs w:val="22"/>
          <w:u w:val="single" w:color="auto"/>
          <w:color w:val="auto"/>
        </w:rPr>
        <w:t>fully accelerate the vesting of any outstanding equity awards such that you will be deemed fully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vested in all such awards</w:t>
      </w:r>
      <w:r>
        <w:rPr>
          <w:rFonts w:ascii="Times New Roman" w:cs="Times New Roman" w:eastAsia="Times New Roman" w:hAnsi="Times New Roman"/>
          <w:sz w:val="22"/>
          <w:szCs w:val="22"/>
          <w:color w:val="auto"/>
        </w:rPr>
        <w:t>. A termination of your employment by Tempest due to physical or mental illness which is not a Disability shall be treated as an involuntary termination other than for Cause.</w:t>
      </w:r>
    </w:p>
    <w:p>
      <w:pPr>
        <w:spacing w:after="0" w:line="182" w:lineRule="exact"/>
        <w:rPr>
          <w:sz w:val="20"/>
          <w:szCs w:val="20"/>
          <w:color w:val="auto"/>
        </w:rPr>
      </w:pPr>
    </w:p>
    <w:p>
      <w:pPr>
        <w:jc w:val="both"/>
        <w:ind w:firstLine="2197"/>
        <w:spacing w:after="0" w:line="235" w:lineRule="auto"/>
        <w:tabs>
          <w:tab w:leader="none" w:pos="2546" w:val="left"/>
        </w:tabs>
        <w:numPr>
          <w:ilvl w:val="2"/>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Further Severance in Connection with Transaction. </w:t>
      </w:r>
      <w:r>
        <w:rPr>
          <w:rFonts w:ascii="Times New Roman" w:cs="Times New Roman" w:eastAsia="Times New Roman" w:hAnsi="Times New Roman"/>
          <w:sz w:val="22"/>
          <w:szCs w:val="22"/>
          <w:color w:val="auto"/>
        </w:rPr>
        <w:t>You acknowledge and agree that pursuant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Separation Agreement, you are already eligible for certain severance benefits as a result of and in connection with the Transaction. You and the Company have therefore agreed that the Transaction shall not constitute a Change in Control for purposes of this Agreement. By way of example, if your employment is terminated without Cause or as a result of Good Reason during the three (3) month period prior to, and twelve (12) month period following, the Transaction, you would not be eligible to receive the Change in Control-related severance benefits contemplated by Section 4(b)(ii), but would remain eligible to receive the non-Change in Control related severance benefits contemplated in Section 4(b)(i). Additionally, for the avoidance of doubt, any changes to your employment title or scope of responsibilities as a result of the Transaction shall not in and of itself give rise to Good Reason or any right to any further severance benefits under this section 4(b).</w:t>
      </w:r>
    </w:p>
    <w:p>
      <w:pPr>
        <w:spacing w:after="0" w:line="173" w:lineRule="exact"/>
        <w:rPr>
          <w:rFonts w:ascii="Times New Roman" w:cs="Times New Roman" w:eastAsia="Times New Roman" w:hAnsi="Times New Roman"/>
          <w:sz w:val="22"/>
          <w:szCs w:val="22"/>
          <w:color w:val="auto"/>
        </w:rPr>
      </w:pPr>
    </w:p>
    <w:p>
      <w:pPr>
        <w:jc w:val="both"/>
        <w:ind w:firstLine="1505"/>
        <w:spacing w:after="0" w:line="237" w:lineRule="auto"/>
        <w:tabs>
          <w:tab w:leader="none" w:pos="2036"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Eligibility for Severance</w:t>
      </w:r>
      <w:r>
        <w:rPr>
          <w:rFonts w:ascii="Times New Roman" w:cs="Times New Roman" w:eastAsia="Times New Roman" w:hAnsi="Times New Roman"/>
          <w:sz w:val="22"/>
          <w:szCs w:val="22"/>
          <w:color w:val="auto"/>
        </w:rPr>
        <w:t>. Eligibility for receipt of the items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4(b)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above shall be conditioned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 your (i) returning to Tempest promptly upon termination of your employment all of its property, including confidential information and all electronically stored information, and (ii) signing and not revoking the Separation Agreement and General Release within the applicable deadline set forth therein, but in no event later than forty-five (45) calendar days following your employment termination date. No benefits set forth in Section 4(b) above will be paid or provided hereunder prior to the effective date of the Separation Agreement and General Release (other than any Accrued Benefits required to be paid).</w:t>
      </w:r>
    </w:p>
    <w:p>
      <w:pPr>
        <w:spacing w:after="0" w:line="175" w:lineRule="exact"/>
        <w:rPr>
          <w:rFonts w:ascii="Times New Roman" w:cs="Times New Roman" w:eastAsia="Times New Roman" w:hAnsi="Times New Roman"/>
          <w:sz w:val="22"/>
          <w:szCs w:val="22"/>
          <w:color w:val="auto"/>
        </w:rPr>
      </w:pPr>
    </w:p>
    <w:p>
      <w:pPr>
        <w:ind w:right="20" w:firstLine="1505"/>
        <w:spacing w:after="0" w:line="262" w:lineRule="auto"/>
        <w:tabs>
          <w:tab w:leader="none" w:pos="2036"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Accrued Benefits</w:t>
      </w:r>
      <w:r>
        <w:rPr>
          <w:rFonts w:ascii="Times New Roman" w:cs="Times New Roman" w:eastAsia="Times New Roman" w:hAnsi="Times New Roman"/>
          <w:sz w:val="22"/>
          <w:szCs w:val="22"/>
          <w:color w:val="auto"/>
        </w:rPr>
        <w:t>. The Accrued Benefits shall be paid to you (or your estate in the event of your death)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upon termination of employment regardless of the circumstances giving rise to such termination.</w:t>
      </w:r>
    </w:p>
    <w:p>
      <w:pPr>
        <w:spacing w:after="0" w:line="153" w:lineRule="exact"/>
        <w:rPr>
          <w:rFonts w:ascii="Times New Roman" w:cs="Times New Roman" w:eastAsia="Times New Roman" w:hAnsi="Times New Roman"/>
          <w:sz w:val="22"/>
          <w:szCs w:val="22"/>
          <w:color w:val="auto"/>
        </w:rPr>
      </w:pPr>
    </w:p>
    <w:p>
      <w:pPr>
        <w:ind w:firstLine="757"/>
        <w:spacing w:after="0" w:line="258" w:lineRule="auto"/>
        <w:tabs>
          <w:tab w:leader="none" w:pos="1018"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xml:space="preserve">. Your employment with Tempest is at will, meaning it may be terminated by you or Tempest at any time, subject to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above, for any reason with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22"/>
          <w:szCs w:val="22"/>
          <w:color w:val="auto"/>
        </w:rPr>
        <w:t>without Cause. You understand that this Agreement is not a contract for employment for a definite term.</w:t>
      </w:r>
    </w:p>
    <w:p>
      <w:pPr>
        <w:spacing w:after="0" w:line="206" w:lineRule="exact"/>
        <w:rPr>
          <w:sz w:val="20"/>
          <w:szCs w:val="20"/>
          <w:color w:val="auto"/>
        </w:rPr>
      </w:pPr>
    </w:p>
    <w:p>
      <w:pPr>
        <w:ind w:firstLine="757"/>
        <w:spacing w:after="0" w:line="258" w:lineRule="auto"/>
        <w:tabs>
          <w:tab w:leader="none" w:pos="101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Proprietary Information and Inventions Agreement</w:t>
      </w:r>
      <w:r>
        <w:rPr>
          <w:rFonts w:ascii="Times New Roman" w:cs="Times New Roman" w:eastAsia="Times New Roman" w:hAnsi="Times New Roman"/>
          <w:sz w:val="22"/>
          <w:szCs w:val="22"/>
          <w:color w:val="auto"/>
        </w:rPr>
        <w:t xml:space="preserve">. This offer of employment is subject to the Proprietary Information and Inventions Agreement attached as </w:t>
      </w:r>
      <w:r>
        <w:rPr>
          <w:rFonts w:ascii="Times New Roman" w:cs="Times New Roman" w:eastAsia="Times New Roman" w:hAnsi="Times New Roman"/>
          <w:sz w:val="22"/>
          <w:szCs w:val="22"/>
          <w:u w:val="single" w:color="auto"/>
          <w:color w:val="auto"/>
        </w:rPr>
        <w:t>Appendix C</w:t>
      </w:r>
      <w:r>
        <w:rPr>
          <w:rFonts w:ascii="Times New Roman" w:cs="Times New Roman" w:eastAsia="Times New Roman" w:hAnsi="Times New Roman"/>
          <w:sz w:val="22"/>
          <w:szCs w:val="22"/>
          <w:color w:val="auto"/>
        </w:rPr>
        <w:t>, which shall be effective as of the date set forth therein.</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Inconsistent Obligations</w:t>
      </w:r>
      <w:r>
        <w:rPr>
          <w:rFonts w:ascii="Times New Roman" w:cs="Times New Roman" w:eastAsia="Times New Roman" w:hAnsi="Times New Roman"/>
          <w:sz w:val="22"/>
          <w:szCs w:val="22"/>
          <w:color w:val="auto"/>
        </w:rPr>
        <w:t>. By accepting this offer of employment, you represent and warrant to Tempest that you are under no obligations or commitments, whether contractual or otherwise, that are inconsistent with your obligations set forth in this Agreement or that would be violated by your employment by Tempest. You agree that you will not take any action on behalf of Tempest or cause Tempest to take any action that will violate any agreement that you have with a prior employer.</w:t>
      </w:r>
    </w:p>
    <w:p>
      <w:pPr>
        <w:spacing w:after="0" w:line="180"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Delayed Commencement Date for Payments and Benefits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45" w:lineRule="auto"/>
        <w:tabs>
          <w:tab w:leader="none" w:pos="2036"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The intent of the parties hereto is that payments and benefits under this Agreement comply with, or be exempt from, Section 409A of the Internal Revenue Code of 1986, as amended, and the regulations and guidance promulgated thereunder (collectively “</w:t>
      </w:r>
      <w:r>
        <w:rPr>
          <w:rFonts w:ascii="Times New Roman" w:cs="Times New Roman" w:eastAsia="Times New Roman" w:hAnsi="Times New Roman"/>
          <w:sz w:val="21"/>
          <w:szCs w:val="21"/>
          <w:b w:val="1"/>
          <w:bCs w:val="1"/>
          <w:i w:val="1"/>
          <w:iCs w:val="1"/>
          <w:color w:val="auto"/>
        </w:rPr>
        <w:t>Code Section 409A</w:t>
      </w:r>
      <w:r>
        <w:rPr>
          <w:rFonts w:ascii="Times New Roman" w:cs="Times New Roman" w:eastAsia="Times New Roman" w:hAnsi="Times New Roman"/>
          <w:sz w:val="21"/>
          <w:szCs w:val="21"/>
          <w:color w:val="auto"/>
        </w:rPr>
        <w:t>”) and, accordingly, to the maximum extent permitted, this Agreement shall be interpreted to be in compliance therewith or exempt therefrom. If you notify Tempest (with specificity as to the reason therefor) that you believe that any provision of this Agreement (or of any award of compensation, including equity compensation or benefits) would cause you to incur any additional tax or interest under Code Section 409A and Tempest concurs with such belief or Tempest independently makes such determination, Tempest shall, after consulting with you, reform such provision to try to comply with Code Section 409A through good faith modifications to the minimum extent reasonably appropriate to conform with Code Section 409A. To the extent that any provision hereof is modified in order to comply with Code Section 409A, such modification shall be made in good faith and shall, to the maximum extent reasonably possible, maintain the original intent and economic benefit to you and Tempest of the applicable provision without violating the provisions of Code Section 409A.</w:t>
      </w:r>
    </w:p>
    <w:p>
      <w:pPr>
        <w:spacing w:after="0" w:line="177" w:lineRule="exact"/>
        <w:rPr>
          <w:rFonts w:ascii="Times New Roman" w:cs="Times New Roman" w:eastAsia="Times New Roman" w:hAnsi="Times New Roman"/>
          <w:sz w:val="20"/>
          <w:szCs w:val="20"/>
          <w:color w:val="auto"/>
        </w:rPr>
      </w:pPr>
    </w:p>
    <w:p>
      <w:pPr>
        <w:jc w:val="both"/>
        <w:ind w:firstLine="1505"/>
        <w:spacing w:after="0" w:line="233" w:lineRule="auto"/>
        <w:tabs>
          <w:tab w:leader="none" w:pos="2036" w:val="left"/>
        </w:tabs>
        <w:numPr>
          <w:ilvl w:val="1"/>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 termination of employment shall not be deemed to have occurred for purposes of any provision of this Agreement providing for the payment of any amounts or benefits upon or following a termination of employment that are considered “nonqualified deferred compensation” under Code Section 409A unless such termination is also a “separation from service” within the meaning of Code Section 409A and, for purposes of any such provision of this Agreement, references to a “termination,” “termination of employment” or like terms shall mean “separation from service.” Notwithstanding any provision to the contrary in this Agreement, no payments or benefits that are considered “nonqualified deferred compensation” under Code Section 409A to which you otherwise become entitled under this Agreement in connection with your termination of employment, shall be made or provided to you prior to the earlier of (i) the expiration of the 6 month period measured from the date of your “separation from service” with Tempest (as such term is defined in Code Section 409A) or (ii) the date of your death, if you are deemed at the time of such separation from service to be a “specified employee” under Code Section 409A and if, in the absence of such delay, the payments would be subject to additional tax under Code Section 409A. Upon the expiration of the applicable Code Section 409A(a)(2) deferral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9" w:name="page250"/>
    <w:bookmarkEnd w:id="249"/>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period, all payments and benefits deferred pursuant to this </w:t>
      </w:r>
      <w:r>
        <w:rPr>
          <w:rFonts w:ascii="Times New Roman" w:cs="Times New Roman" w:eastAsia="Times New Roman" w:hAnsi="Times New Roman"/>
          <w:sz w:val="22"/>
          <w:szCs w:val="22"/>
          <w:u w:val="single" w:color="auto"/>
          <w:color w:val="auto"/>
        </w:rPr>
        <w:t>Section 8(b)</w:t>
      </w:r>
      <w:r>
        <w:rPr>
          <w:rFonts w:ascii="Times New Roman" w:cs="Times New Roman" w:eastAsia="Times New Roman" w:hAnsi="Times New Roman"/>
          <w:sz w:val="22"/>
          <w:szCs w:val="22"/>
          <w:color w:val="auto"/>
        </w:rPr>
        <w:t xml:space="preserve"> (whether they would have otherwise been payable in a single sum or in installments in the absence of such deferral) shall be paid or reimbursed to you in a lump sum, and any remaining payments and benefits due under this Agreement shall be paid or provided in accordance with the normal payment dates specified for them herein. In addition to the above, to the extent required to comply with Code Section 409A and the applicable regulations and guidance issued thereunder, if the applicable deadline for you to execute (and not revoke) the applicable Separation Agreement and General Release spans two calendar years, your severance benefits set forth in Section 4(b) above shall commence to be paid on the first regularly scheduled payroll date that occurs in the second calendar year.</w:t>
      </w:r>
    </w:p>
    <w:p>
      <w:pPr>
        <w:spacing w:after="0" w:line="183" w:lineRule="exact"/>
        <w:rPr>
          <w:sz w:val="20"/>
          <w:szCs w:val="20"/>
          <w:color w:val="auto"/>
        </w:rPr>
      </w:pPr>
    </w:p>
    <w:p>
      <w:pPr>
        <w:ind w:left="2040" w:hanging="535"/>
        <w:spacing w:after="0"/>
        <w:tabs>
          <w:tab w:leader="none" w:pos="2040"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For purposes of Code Section 409A, your right to receive any installment</w:t>
      </w:r>
    </w:p>
    <w:p>
      <w:pPr>
        <w:spacing w:after="0" w:line="1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payment pursuant to this Agreement shall be treated as a right to receive a series of separate and distinct payments. Whenever a payment under this Agreement specifies a payment period with reference to a number of days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“payment shall be made within 30 days following the date of termination”), the actual date of payment within the specified period shall be within the sole discretion of Tempest. Notwithstanding any other provision of this Agreement to the contrary, in no event shall any payment under this Agreement that constitutes “nonqualified deferred compensation” for purposes of Code Section 409A be subject to offset, counterclaim or recoupment by any other amount payable to you unless otherwise permitted by Code Section 409A.</w:t>
      </w:r>
    </w:p>
    <w:p>
      <w:pPr>
        <w:spacing w:after="0" w:line="177" w:lineRule="exact"/>
        <w:rPr>
          <w:sz w:val="20"/>
          <w:szCs w:val="20"/>
          <w:color w:val="auto"/>
        </w:rPr>
      </w:pPr>
    </w:p>
    <w:p>
      <w:pPr>
        <w:jc w:val="both"/>
        <w:ind w:firstLine="1505"/>
        <w:spacing w:after="0" w:line="249" w:lineRule="auto"/>
        <w:tabs>
          <w:tab w:leader="none" w:pos="2036"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All in-kind benefits provided and expenses eligible for reimbursement under this Agreement shall be provided by Tempest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w:t>
      </w:r>
    </w:p>
    <w:p>
      <w:pPr>
        <w:spacing w:after="0" w:line="170" w:lineRule="exact"/>
        <w:rPr>
          <w:rFonts w:ascii="Times New Roman" w:cs="Times New Roman" w:eastAsia="Times New Roman" w:hAnsi="Times New Roman"/>
          <w:sz w:val="20"/>
          <w:szCs w:val="20"/>
          <w:color w:val="auto"/>
        </w:rPr>
      </w:pPr>
    </w:p>
    <w:p>
      <w:pPr>
        <w:ind w:firstLine="1505"/>
        <w:spacing w:after="0" w:line="258" w:lineRule="auto"/>
        <w:tabs>
          <w:tab w:leader="none" w:pos="2036"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If under this Agreement an amount is to be paid in installments, each installment shall be treated as a separate payment for purposes of Treasury Regulation Section 1.409A-2(b)(2)(iii).</w:t>
      </w:r>
    </w:p>
    <w:p>
      <w:pPr>
        <w:spacing w:after="0" w:line="154" w:lineRule="exact"/>
        <w:rPr>
          <w:rFonts w:ascii="Times New Roman" w:cs="Times New Roman" w:eastAsia="Times New Roman" w:hAnsi="Times New Roman"/>
          <w:sz w:val="21"/>
          <w:szCs w:val="21"/>
          <w:color w:val="auto"/>
        </w:rPr>
      </w:pPr>
    </w:p>
    <w:p>
      <w:pPr>
        <w:jc w:val="both"/>
        <w:ind w:firstLine="757"/>
        <w:spacing w:after="0" w:line="234" w:lineRule="auto"/>
        <w:tabs>
          <w:tab w:leader="none" w:pos="118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280G</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In the event that the amount of any compensation, payment or distribution by Tempest or its affiliates to or for your benefit, whether paid or payable or distributed or distributable pursuant to the terms of this Agreement or otherwise, calculated in a manner consistent with Section 280G of the Code and the applicable regulations thereunder (the “</w:t>
      </w:r>
      <w:r>
        <w:rPr>
          <w:rFonts w:ascii="Times New Roman" w:cs="Times New Roman" w:eastAsia="Times New Roman" w:hAnsi="Times New Roman"/>
          <w:sz w:val="22"/>
          <w:szCs w:val="22"/>
          <w:b w:val="1"/>
          <w:bCs w:val="1"/>
          <w:i w:val="1"/>
          <w:iCs w:val="1"/>
          <w:color w:val="auto"/>
        </w:rPr>
        <w:t>Aggregate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Payments</w:t>
      </w:r>
      <w:r>
        <w:rPr>
          <w:rFonts w:ascii="Times New Roman" w:cs="Times New Roman" w:eastAsia="Times New Roman" w:hAnsi="Times New Roman"/>
          <w:sz w:val="22"/>
          <w:szCs w:val="22"/>
          <w:color w:val="auto"/>
        </w:rPr>
        <w:t>”) would be subject to the excise tax imposed by Section 4999 of the Code, then the Aggregate Payments shall be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reduced (but not below zero) so that the sum of all of the Aggregate Payments shall be $1.00 less than the amount at which you become subject to the excise tax imposed by Section 4999 of the Code; provided that such reduction shall only occur if it would result in you receiving a higher After Tax Amount (as defined below) than you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(i) cash payments not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0" w:name="page251"/>
    <w:bookmarkEnd w:id="250"/>
    <w:p>
      <w:pPr>
        <w:jc w:val="both"/>
        <w:spacing w:after="0" w:line="232" w:lineRule="auto"/>
        <w:rPr>
          <w:sz w:val="20"/>
          <w:szCs w:val="20"/>
          <w:color w:val="auto"/>
        </w:rPr>
      </w:pPr>
      <w:r>
        <w:rPr>
          <w:rFonts w:ascii="Times New Roman" w:cs="Times New Roman" w:eastAsia="Times New Roman" w:hAnsi="Times New Roman"/>
          <w:sz w:val="22"/>
          <w:szCs w:val="22"/>
          <w:color w:val="auto"/>
        </w:rPr>
        <w:t>Section 409A of the Code; (ii) cash payments subject to Section 409A of the Code; (iii) equity-based payments and acceleration; and (iv) non-cash forms of benefits; provided that in the case of all the foregoing Aggregate Payments all amounts or payments that are not subject to calculation under Treas. Reg. § 1.280G-1, Q&amp;A-24(b) or (c) shall be reduced before any amounts that are subject to calculation under Treasury Regulation §1.280G-1, Q&amp;A- 24(b) or (c). For purposes of this Section 9, the “</w:t>
      </w:r>
      <w:r>
        <w:rPr>
          <w:rFonts w:ascii="Times New Roman" w:cs="Times New Roman" w:eastAsia="Times New Roman" w:hAnsi="Times New Roman"/>
          <w:sz w:val="22"/>
          <w:szCs w:val="22"/>
          <w:b w:val="1"/>
          <w:bCs w:val="1"/>
          <w:i w:val="1"/>
          <w:iCs w:val="1"/>
          <w:color w:val="auto"/>
        </w:rPr>
        <w:t>After Tax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Amount</w:t>
      </w:r>
      <w:r>
        <w:rPr>
          <w:rFonts w:ascii="Times New Roman" w:cs="Times New Roman" w:eastAsia="Times New Roman" w:hAnsi="Times New Roman"/>
          <w:sz w:val="22"/>
          <w:szCs w:val="22"/>
          <w:color w:val="auto"/>
        </w:rPr>
        <w:t>” means the amount of the Aggregate Payments less all federal, state, and local income, excise and employment taxes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imposed on you as a result of your receipt of the Aggregate Payments. For purposes of determining the After Tax Amount, you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 The determination as to whether a reduction in the Aggregate Payments shall be made pursuant to this Section 9 shall be made by a nationally recognized accounting firm or a firm specializing in Section 280G calculations selected by Tempest, which shall provide detailed supporting calculations both to Tempest and you. The costs of obtaining such determination and all related fees and expenses (including related fees and expenses incurred in any later audit) shall be borne by Tempest. Notwithstanding the foregoing, if (i) Tempest is not publicly traded prior to the occurrence of a change in control such that the private company exception pursuant to Q &amp; A #7 of the regulations promulgated under Section 280G of the Code is applicable and (ii) you request that Tempest seek shareholder approval of the portion of any payments to be made to you which are parachute payments under Section 280G and exceed 2.99 times your “base amount” (as such term is defined in Section 280G) in order that, upon obtaining such approval, all of the payments will be exempt from the excise taxes imposed under Sections 280G and 4999 of the Code, Tempest shall use its reasonable best efforts to obtain such approval.</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040" w:hanging="535"/>
        <w:spacing w:after="0"/>
        <w:tabs>
          <w:tab w:leader="none" w:pos="2040"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This offer of employment is made subject to you having the legal right to work in the United States.</w:t>
      </w:r>
    </w:p>
    <w:p>
      <w:pPr>
        <w:spacing w:after="0" w:line="206" w:lineRule="exact"/>
        <w:rPr>
          <w:rFonts w:ascii="Times New Roman" w:cs="Times New Roman" w:eastAsia="Times New Roman" w:hAnsi="Times New Roman"/>
          <w:sz w:val="21"/>
          <w:szCs w:val="21"/>
          <w:color w:val="auto"/>
        </w:rPr>
      </w:pPr>
    </w:p>
    <w:p>
      <w:pPr>
        <w:ind w:firstLine="1505"/>
        <w:spacing w:after="0" w:line="258" w:lineRule="auto"/>
        <w:tabs>
          <w:tab w:leader="none" w:pos="2036"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Your employment with Tempest is subject to all Company policies and procedures, and Tempest retains the right to change its policies or procedures at any time.</w:t>
      </w:r>
    </w:p>
    <w:p>
      <w:pPr>
        <w:spacing w:after="0" w:line="158" w:lineRule="exact"/>
        <w:rPr>
          <w:rFonts w:ascii="Times New Roman" w:cs="Times New Roman" w:eastAsia="Times New Roman" w:hAnsi="Times New Roman"/>
          <w:sz w:val="21"/>
          <w:szCs w:val="21"/>
          <w:color w:val="auto"/>
        </w:rPr>
      </w:pPr>
    </w:p>
    <w:p>
      <w:pPr>
        <w:jc w:val="both"/>
        <w:ind w:firstLine="1505"/>
        <w:spacing w:after="0" w:line="244" w:lineRule="auto"/>
        <w:tabs>
          <w:tab w:leader="none" w:pos="2036"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This Agreement may be executed in separate counterparts, any one of which need not contain signatures of more than one party, but all of which taken together will constitute one and the same Agreement. Facsimile and electronic image copies of signatures shall be equivalent to original signatures.</w:t>
      </w:r>
    </w:p>
    <w:p>
      <w:pPr>
        <w:spacing w:after="0" w:line="173" w:lineRule="exact"/>
        <w:rPr>
          <w:rFonts w:ascii="Times New Roman" w:cs="Times New Roman" w:eastAsia="Times New Roman" w:hAnsi="Times New Roman"/>
          <w:sz w:val="21"/>
          <w:szCs w:val="21"/>
          <w:color w:val="auto"/>
        </w:rPr>
      </w:pPr>
    </w:p>
    <w:p>
      <w:pPr>
        <w:jc w:val="both"/>
        <w:ind w:firstLine="1505"/>
        <w:spacing w:after="0" w:line="238" w:lineRule="auto"/>
        <w:tabs>
          <w:tab w:leader="none" w:pos="2036"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Neither this Agreement nor any of your rights or obligations hereunder shall be assignable by you. Tempest may assign this Agreement or any of its obligations hereunder to any subsidiary of Tempest, or to any successor (whether by merger, purchase or otherwise) to all or substantially all of the equity, assets or businesses of Tempest. This Agreement is intended to bind and inure to the benefit of and be enforceable to you and Tempest and Tempest’s permitted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1" w:name="page252"/>
    <w:bookmarkEnd w:id="251"/>
    <w:p>
      <w:pPr>
        <w:jc w:val="both"/>
        <w:ind w:firstLine="1505"/>
        <w:spacing w:after="0" w:line="238" w:lineRule="auto"/>
        <w:tabs>
          <w:tab w:leader="none" w:pos="2036"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No provision of this Agreement may be modified, waived or discharged unless such waiver, modification or discharge is agreed to in writing and signed by you and such officer or director as may be designated by the Board.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w:t>
      </w:r>
    </w:p>
    <w:p>
      <w:pPr>
        <w:spacing w:after="0" w:line="176" w:lineRule="exact"/>
        <w:rPr>
          <w:rFonts w:ascii="Times New Roman" w:cs="Times New Roman" w:eastAsia="Times New Roman" w:hAnsi="Times New Roman"/>
          <w:sz w:val="21"/>
          <w:szCs w:val="21"/>
          <w:color w:val="auto"/>
        </w:rPr>
      </w:pPr>
    </w:p>
    <w:p>
      <w:pPr>
        <w:ind w:firstLine="1505"/>
        <w:spacing w:after="0" w:line="258" w:lineRule="auto"/>
        <w:tabs>
          <w:tab w:leader="none" w:pos="2036"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validity, interpretation, construction and performance of this Agreement shall be governed by the laws of the State of California without regard to the choice of law principles thereof.</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TEMPEST THERAPEUTICS, INC.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Stephen R.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-13970</wp:posOffset>
            </wp:positionV>
            <wp:extent cx="219456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10">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22"/>
          <w:szCs w:val="22"/>
          <w:color w:val="auto"/>
        </w:rPr>
        <w:t>Stephen R. Brady</w:t>
      </w:r>
    </w:p>
    <w:p>
      <w:pPr>
        <w:ind w:left="76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AND AGREED</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46888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1">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Nicholas Maestas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February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-13970</wp:posOffset>
            </wp:positionV>
            <wp:extent cx="18630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2">
                      <a:extLst>
                        <a:ext uri="{28A0092B-C50C-407E-A947-70E740481C1C}"/>
                      </a:extLst>
                    </a:blip>
                    <a:srcRect/>
                    <a:stretch>
                      <a:fillRect/>
                    </a:stretch>
                  </pic:blipFill>
                  <pic:spPr bwMode="auto">
                    <a:xfrm>
                      <a:off x="0" y="0"/>
                      <a:ext cx="18630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Appendices:</w:t>
      </w:r>
      <w:r>
        <w:rPr>
          <w:sz w:val="20"/>
          <w:szCs w:val="20"/>
          <w:color w:val="auto"/>
        </w:rPr>
        <w:tab/>
      </w:r>
      <w:r>
        <w:rPr>
          <w:rFonts w:ascii="Times New Roman" w:cs="Times New Roman" w:eastAsia="Times New Roman" w:hAnsi="Times New Roman"/>
          <w:sz w:val="21"/>
          <w:szCs w:val="21"/>
          <w:color w:val="auto"/>
        </w:rPr>
        <w:t>Appendix A — Approved Activities</w:t>
      </w:r>
    </w:p>
    <w:p>
      <w:pPr>
        <w:spacing w:after="0" w:line="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Appendix B — Separation Agreement and General Release</w:t>
      </w:r>
    </w:p>
    <w:p>
      <w:pPr>
        <w:ind w:left="440"/>
        <w:spacing w:after="0"/>
        <w:rPr>
          <w:sz w:val="20"/>
          <w:szCs w:val="20"/>
          <w:color w:val="auto"/>
        </w:rPr>
      </w:pPr>
      <w:r>
        <w:rPr>
          <w:rFonts w:ascii="Times New Roman" w:cs="Times New Roman" w:eastAsia="Times New Roman" w:hAnsi="Times New Roman"/>
          <w:sz w:val="22"/>
          <w:szCs w:val="22"/>
          <w:color w:val="auto"/>
        </w:rPr>
        <w:t>Appendix C — Proprietary Information and Inventions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2" w:name="page253"/>
    <w:bookmarkEnd w:id="25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ind w:right="3260" w:firstLine="3644"/>
        <w:spacing w:after="0" w:line="375" w:lineRule="auto"/>
        <w:rPr>
          <w:sz w:val="20"/>
          <w:szCs w:val="20"/>
          <w:color w:val="auto"/>
        </w:rPr>
      </w:pPr>
      <w:r>
        <w:rPr>
          <w:rFonts w:ascii="Times New Roman" w:cs="Times New Roman" w:eastAsia="Times New Roman" w:hAnsi="Times New Roman"/>
          <w:sz w:val="18"/>
          <w:szCs w:val="18"/>
          <w:color w:val="333333"/>
        </w:rPr>
        <w:t>Consent of Independent Registered Public Accounting Firm We consent to the incorporation by reference in the following Registration Statements:</w:t>
      </w:r>
    </w:p>
    <w:p>
      <w:pPr>
        <w:spacing w:after="0" w:line="1" w:lineRule="exact"/>
        <w:rPr>
          <w:sz w:val="20"/>
          <w:szCs w:val="20"/>
          <w:color w:val="auto"/>
        </w:rPr>
      </w:pPr>
    </w:p>
    <w:p>
      <w:pPr>
        <w:ind w:left="960" w:hanging="563"/>
        <w:spacing w:after="0"/>
        <w:tabs>
          <w:tab w:leader="none" w:pos="9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S-1 No. 333-292026) of Tempest Therapeutics, Inc.,</w:t>
      </w:r>
    </w:p>
    <w:p>
      <w:pPr>
        <w:spacing w:after="0" w:line="63" w:lineRule="exact"/>
        <w:rPr>
          <w:rFonts w:ascii="Times New Roman" w:cs="Times New Roman" w:eastAsia="Times New Roman" w:hAnsi="Times New Roman"/>
          <w:sz w:val="18"/>
          <w:szCs w:val="18"/>
          <w:color w:val="auto"/>
        </w:rPr>
      </w:pPr>
    </w:p>
    <w:p>
      <w:pPr>
        <w:ind w:left="960" w:right="20" w:hanging="563"/>
        <w:spacing w:after="0" w:line="281" w:lineRule="auto"/>
        <w:tabs>
          <w:tab w:leader="none" w:pos="9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333-286186) pertaining to the Tempest Therapeutics, Inc. Amended and Restated 2023 Equity Incentive Plan, Tempest Therapeutics, Inc. Amended and Restated 2019 Employee Stock Purchase Plan,</w:t>
      </w:r>
    </w:p>
    <w:p>
      <w:pPr>
        <w:spacing w:after="0" w:line="1" w:lineRule="exact"/>
        <w:rPr>
          <w:rFonts w:ascii="Times New Roman" w:cs="Times New Roman" w:eastAsia="Times New Roman" w:hAnsi="Times New Roman"/>
          <w:sz w:val="18"/>
          <w:szCs w:val="18"/>
          <w:color w:val="auto"/>
        </w:rPr>
      </w:pPr>
    </w:p>
    <w:p>
      <w:pPr>
        <w:ind w:left="960" w:hanging="563"/>
        <w:spacing w:after="0"/>
        <w:tabs>
          <w:tab w:leader="none" w:pos="9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333-280918) of Tempest Therapeutics, Inc.,</w:t>
      </w:r>
    </w:p>
    <w:p>
      <w:pPr>
        <w:spacing w:after="0" w:line="63" w:lineRule="exact"/>
        <w:rPr>
          <w:rFonts w:ascii="Times New Roman" w:cs="Times New Roman" w:eastAsia="Times New Roman" w:hAnsi="Times New Roman"/>
          <w:sz w:val="18"/>
          <w:szCs w:val="18"/>
          <w:color w:val="auto"/>
        </w:rPr>
      </w:pPr>
    </w:p>
    <w:p>
      <w:pPr>
        <w:ind w:left="960" w:right="20" w:hanging="563"/>
        <w:spacing w:after="0" w:line="281" w:lineRule="auto"/>
        <w:tabs>
          <w:tab w:leader="none" w:pos="9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333-278071) pertaining to the Tempest Therapeutics, Inc. Amended and Restated 2023 Equity Incentive Plan, Tempest Therapeutics, Inc. Amended and Restated 2019 Employee Stock Purchase Plan,</w:t>
      </w:r>
    </w:p>
    <w:p>
      <w:pPr>
        <w:spacing w:after="0" w:line="1" w:lineRule="exact"/>
        <w:rPr>
          <w:rFonts w:ascii="Times New Roman" w:cs="Times New Roman" w:eastAsia="Times New Roman" w:hAnsi="Times New Roman"/>
          <w:sz w:val="18"/>
          <w:szCs w:val="18"/>
          <w:color w:val="auto"/>
        </w:rPr>
      </w:pPr>
    </w:p>
    <w:p>
      <w:pPr>
        <w:jc w:val="both"/>
        <w:ind w:left="960" w:hanging="563"/>
        <w:spacing w:after="0" w:line="266" w:lineRule="auto"/>
        <w:tabs>
          <w:tab w:leader="none" w:pos="9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333-275637) pertaining to the Tempest Therapeutics, Inc. Amended and Restated 2019 Equity Incentive Plan, Tempest Therapeutics, Inc. Amended and Restated 2023 Equity Incentive Plan, Tempest Therapeutics, Inc. 2023 Inducement Plan, and Inducement Stock Options,</w:t>
      </w:r>
    </w:p>
    <w:p>
      <w:pPr>
        <w:spacing w:after="0" w:line="13" w:lineRule="exact"/>
        <w:rPr>
          <w:rFonts w:ascii="Times New Roman" w:cs="Times New Roman" w:eastAsia="Times New Roman" w:hAnsi="Times New Roman"/>
          <w:sz w:val="18"/>
          <w:szCs w:val="18"/>
          <w:color w:val="auto"/>
        </w:rPr>
      </w:pPr>
    </w:p>
    <w:p>
      <w:pPr>
        <w:jc w:val="both"/>
        <w:ind w:left="960" w:hanging="563"/>
        <w:spacing w:after="0" w:line="266" w:lineRule="auto"/>
        <w:tabs>
          <w:tab w:leader="none" w:pos="9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333-265718) pertaining to the Tempest Therapeutics, Inc. Amended and Restated 2019 Equity Incentive Plan and Tempest Therapeutics, Inc. 2019 Employee Stock Purchase Plan, as amended by Post-Effective Amendment No. 1 filed on November 17, 2023,</w:t>
      </w:r>
    </w:p>
    <w:p>
      <w:pPr>
        <w:spacing w:after="0" w:line="13" w:lineRule="exact"/>
        <w:rPr>
          <w:rFonts w:ascii="Times New Roman" w:cs="Times New Roman" w:eastAsia="Times New Roman" w:hAnsi="Times New Roman"/>
          <w:sz w:val="18"/>
          <w:szCs w:val="18"/>
          <w:color w:val="auto"/>
        </w:rPr>
      </w:pPr>
    </w:p>
    <w:p>
      <w:pPr>
        <w:ind w:left="960" w:hanging="563"/>
        <w:spacing w:after="0" w:line="281" w:lineRule="auto"/>
        <w:tabs>
          <w:tab w:leader="none" w:pos="9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333-264943) pertaining to the Millendo Therapeutics, Inc. 2019 Equity Incentive Plan and Millendo Therapeutics, Inc. 2019 Employee Stock Purchase Plan, as amended by Post-Effective Amendment No. 1 filed on November 17, 2023,</w:t>
      </w:r>
    </w:p>
    <w:p>
      <w:pPr>
        <w:spacing w:after="0" w:line="1" w:lineRule="exact"/>
        <w:rPr>
          <w:rFonts w:ascii="Times New Roman" w:cs="Times New Roman" w:eastAsia="Times New Roman" w:hAnsi="Times New Roman"/>
          <w:sz w:val="18"/>
          <w:szCs w:val="18"/>
          <w:color w:val="auto"/>
        </w:rPr>
      </w:pPr>
    </w:p>
    <w:p>
      <w:pPr>
        <w:ind w:left="960" w:hanging="563"/>
        <w:spacing w:after="0" w:line="281" w:lineRule="auto"/>
        <w:tabs>
          <w:tab w:leader="none" w:pos="9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333-257727) pertaining to the Tempest Therapeutics, Inc. 2017 Equity Incentive Plan and Inception 2, Inc. 2011 Equity Incentive Plan,</w:t>
      </w:r>
    </w:p>
    <w:p>
      <w:pPr>
        <w:spacing w:after="0" w:line="1" w:lineRule="exact"/>
        <w:rPr>
          <w:rFonts w:ascii="Times New Roman" w:cs="Times New Roman" w:eastAsia="Times New Roman" w:hAnsi="Times New Roman"/>
          <w:sz w:val="18"/>
          <w:szCs w:val="18"/>
          <w:color w:val="auto"/>
        </w:rPr>
      </w:pPr>
    </w:p>
    <w:p>
      <w:pPr>
        <w:ind w:left="960" w:hanging="563"/>
        <w:spacing w:after="0" w:line="281" w:lineRule="auto"/>
        <w:tabs>
          <w:tab w:leader="none" w:pos="9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333-255261) pertaining to the Millendo Therapeutics, Inc. 2019 Equity Incentive Plan and Millendo Therapeutics, Inc. 2019 Employee Stock Purchase Plan, as amended by Post-Effective Amendment No. 1 filed on November 17, 2023,</w:t>
      </w:r>
    </w:p>
    <w:p>
      <w:pPr>
        <w:spacing w:after="0" w:line="1" w:lineRule="exact"/>
        <w:rPr>
          <w:rFonts w:ascii="Times New Roman" w:cs="Times New Roman" w:eastAsia="Times New Roman" w:hAnsi="Times New Roman"/>
          <w:sz w:val="18"/>
          <w:szCs w:val="18"/>
          <w:color w:val="auto"/>
        </w:rPr>
      </w:pPr>
    </w:p>
    <w:p>
      <w:pPr>
        <w:jc w:val="both"/>
        <w:ind w:left="960" w:hanging="563"/>
        <w:spacing w:after="0" w:line="266" w:lineRule="auto"/>
        <w:tabs>
          <w:tab w:leader="none" w:pos="9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333-235515) pertaining to the Millendo Therapeutics, Inc. 2019 Equity Incentive Plan, Millendo Therapeutics, Inc. 2019 Employee Stock Purchase Plan, and New Hire Inducement Stock Options Grants of Millendo Therapeutics, Inc., as amended by Post-Effective Amendment No. 1 filed on November 17, 2023, and</w:t>
      </w:r>
    </w:p>
    <w:p>
      <w:pPr>
        <w:spacing w:after="0" w:line="13" w:lineRule="exact"/>
        <w:rPr>
          <w:rFonts w:ascii="Times New Roman" w:cs="Times New Roman" w:eastAsia="Times New Roman" w:hAnsi="Times New Roman"/>
          <w:sz w:val="18"/>
          <w:szCs w:val="18"/>
          <w:color w:val="auto"/>
        </w:rPr>
      </w:pPr>
    </w:p>
    <w:p>
      <w:pPr>
        <w:jc w:val="both"/>
        <w:ind w:left="960" w:hanging="563"/>
        <w:spacing w:after="0" w:line="266" w:lineRule="auto"/>
        <w:tabs>
          <w:tab w:leader="none" w:pos="9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333-249993) pertaining to the Millendo Therapeutics, Inc. 2019 Equity Incentive Plan, Millendo Therapeutics, Inc. 2019 Employee Stock Purchase Plan, and New Hire Inducement Stock Options Grant of Millendo Therapeutics, Inc., as amended by Post-Effective Amendment No. 1 filed on November 17, 2023;</w:t>
      </w:r>
    </w:p>
    <w:p>
      <w:pPr>
        <w:spacing w:after="0" w:line="200" w:lineRule="exact"/>
        <w:rPr>
          <w:sz w:val="20"/>
          <w:szCs w:val="20"/>
          <w:color w:val="auto"/>
        </w:rPr>
      </w:pPr>
    </w:p>
    <w:p>
      <w:pPr>
        <w:spacing w:after="0" w:line="35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333333"/>
        </w:rPr>
        <w:t>of our report dated March 30, 2026, with respect to the consolidated financial statements of Tempest Therapeutics, Inc. included in this Annual Report (Form 10-K) of Tempest Therapeutics, Inc. for the year ended December 31, 2025.</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Chicago, Illinois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March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Angel, certify that:</w:t>
      </w:r>
    </w:p>
    <w:p>
      <w:pPr>
        <w:spacing w:after="0" w:line="225" w:lineRule="exact"/>
        <w:rPr>
          <w:sz w:val="20"/>
          <w:szCs w:val="20"/>
          <w:color w:val="auto"/>
        </w:rPr>
      </w:pPr>
    </w:p>
    <w:p>
      <w:pPr>
        <w:ind w:left="380" w:hanging="372"/>
        <w:spacing w:after="0"/>
        <w:tabs>
          <w:tab w:leader="none" w:pos="3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Tempest Therapeutics, Inc.;</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30, 2026</w:t>
      </w:r>
    </w:p>
    <w:p>
      <w:pPr>
        <w:spacing w:after="0" w:line="225" w:lineRule="exact"/>
        <w:rPr>
          <w:sz w:val="20"/>
          <w:szCs w:val="20"/>
          <w:color w:val="auto"/>
        </w:rPr>
      </w:pPr>
    </w:p>
    <w:p>
      <w:pPr>
        <w:ind w:left="6980"/>
        <w:spacing w:after="0"/>
        <w:tabs>
          <w:tab w:leader="none" w:pos="7420" w:val="left"/>
        </w:tabs>
        <w:rPr>
          <w:sz w:val="20"/>
          <w:szCs w:val="20"/>
          <w:color w:val="auto"/>
        </w:rPr>
      </w:pPr>
      <w:r>
        <w:rPr>
          <w:rFonts w:ascii="Times New Roman" w:cs="Times New Roman" w:eastAsia="Times New Roman" w:hAnsi="Times New Roman"/>
          <w:sz w:val="18"/>
          <w:szCs w:val="18"/>
          <w:color w:val="auto"/>
        </w:rPr>
        <w:t>By:</w:t>
        <w:tab/>
        <w:t>/s/ Matthew Angel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5">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Matthew Angel</w:t>
      </w:r>
    </w:p>
    <w:p>
      <w:pPr>
        <w:spacing w:after="0" w:line="2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Chief Executive Officer &amp; President</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4" w:name="page255"/>
    <w:bookmarkEnd w:id="2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Nicholas Maestas, certify that:</w:t>
      </w:r>
    </w:p>
    <w:p>
      <w:pPr>
        <w:spacing w:after="0" w:line="225" w:lineRule="exact"/>
        <w:rPr>
          <w:sz w:val="20"/>
          <w:szCs w:val="20"/>
          <w:color w:val="auto"/>
        </w:rPr>
      </w:pPr>
    </w:p>
    <w:p>
      <w:pPr>
        <w:ind w:left="380" w:hanging="372"/>
        <w:spacing w:after="0"/>
        <w:tabs>
          <w:tab w:leader="none" w:pos="3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Tempest Therapeutics, Inc.;</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30, 2026</w:t>
      </w:r>
    </w:p>
    <w:p>
      <w:pPr>
        <w:spacing w:after="0" w:line="225" w:lineRule="exact"/>
        <w:rPr>
          <w:sz w:val="20"/>
          <w:szCs w:val="20"/>
          <w:color w:val="auto"/>
        </w:rPr>
      </w:pPr>
    </w:p>
    <w:p>
      <w:pPr>
        <w:ind w:left="6980"/>
        <w:spacing w:after="0"/>
        <w:tabs>
          <w:tab w:leader="none" w:pos="7420" w:val="left"/>
        </w:tabs>
        <w:rPr>
          <w:sz w:val="20"/>
          <w:szCs w:val="20"/>
          <w:color w:val="auto"/>
        </w:rPr>
      </w:pPr>
      <w:r>
        <w:rPr>
          <w:rFonts w:ascii="Times New Roman" w:cs="Times New Roman" w:eastAsia="Times New Roman" w:hAnsi="Times New Roman"/>
          <w:sz w:val="18"/>
          <w:szCs w:val="18"/>
          <w:color w:val="auto"/>
        </w:rPr>
        <w:t>By:</w:t>
        <w:tab/>
        <w:t>/s/ 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7">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Nicholas Maestas</w:t>
      </w:r>
    </w:p>
    <w:p>
      <w:pPr>
        <w:spacing w:after="0" w:line="2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Chief Financial Officer &amp; Head of Corporate</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Strategy</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5" w:name="page256"/>
    <w:bookmarkEnd w:id="2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1927860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Matthew Angel, Chief Executive Officer of Tempest Therapeutics, Inc. (the “Company”), and Nicholas Maestas, Vice President, Strategy and Finance, of the Company, each hereby certifies that, to the best of his or her knowledge:</w:t>
      </w:r>
    </w:p>
    <w:p>
      <w:pPr>
        <w:spacing w:after="0" w:line="176" w:lineRule="exact"/>
        <w:rPr>
          <w:sz w:val="20"/>
          <w:szCs w:val="20"/>
          <w:color w:val="auto"/>
        </w:rPr>
      </w:pPr>
    </w:p>
    <w:p>
      <w:pPr>
        <w:ind w:left="380" w:right="20" w:hanging="372"/>
        <w:spacing w:after="0" w:line="282" w:lineRule="auto"/>
        <w:tabs>
          <w:tab w:leader="none" w:pos="3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fiscal year ended December 31, 2025, to which this Certification is attached as Exhibit 32.1 (the “Annual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Dated: March 30, 2026</w:t>
            </w:r>
          </w:p>
        </w:tc>
        <w:tc>
          <w:tcPr>
            <w:tcW w:w="3240" w:type="dxa"/>
            <w:vAlign w:val="bottom"/>
          </w:tcPr>
          <w:p>
            <w:pPr>
              <w:spacing w:after="0"/>
              <w:rPr>
                <w:sz w:val="20"/>
                <w:szCs w:val="20"/>
                <w:color w:val="auto"/>
              </w:rPr>
            </w:pPr>
          </w:p>
        </w:tc>
        <w:tc>
          <w:tcPr>
            <w:tcW w:w="3860" w:type="dxa"/>
            <w:vAlign w:val="bottom"/>
          </w:tcPr>
          <w:p>
            <w:pPr>
              <w:spacing w:after="0"/>
              <w:rPr>
                <w:sz w:val="20"/>
                <w:szCs w:val="20"/>
                <w:color w:val="auto"/>
              </w:rPr>
            </w:pPr>
          </w:p>
        </w:tc>
      </w:tr>
      <w:tr>
        <w:trPr>
          <w:trHeight w:val="48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 Matthew Angel</w:t>
            </w:r>
          </w:p>
        </w:tc>
        <w:tc>
          <w:tcPr>
            <w:tcW w:w="324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 Nicholas Maestas</w:t>
            </w:r>
          </w:p>
        </w:tc>
      </w:tr>
      <w:tr>
        <w:trPr>
          <w:trHeight w:val="27"/>
        </w:trPr>
        <w:tc>
          <w:tcPr>
            <w:tcW w:w="4140" w:type="dxa"/>
            <w:vAlign w:val="bottom"/>
            <w:tcBorders>
              <w:bottom w:val="single" w:sz="8" w:color="auto"/>
            </w:tcBorders>
          </w:tcPr>
          <w:p>
            <w:pPr>
              <w:spacing w:after="0"/>
              <w:rPr>
                <w:sz w:val="2"/>
                <w:szCs w:val="2"/>
                <w:color w:val="auto"/>
              </w:rPr>
            </w:pPr>
          </w:p>
        </w:tc>
        <w:tc>
          <w:tcPr>
            <w:tcW w:w="324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r>
      <w:tr>
        <w:trPr>
          <w:trHeight w:val="26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Matthew Angel</w:t>
            </w:r>
          </w:p>
        </w:tc>
        <w:tc>
          <w:tcPr>
            <w:tcW w:w="3240" w:type="dxa"/>
            <w:vAlign w:val="bottom"/>
          </w:tcPr>
          <w:p>
            <w:pPr>
              <w:spacing w:after="0"/>
              <w:rPr>
                <w:sz w:val="22"/>
                <w:szCs w:val="22"/>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Nicholas Maestas</w:t>
            </w:r>
          </w:p>
        </w:tc>
      </w:tr>
      <w:tr>
        <w:trPr>
          <w:trHeight w:val="279"/>
        </w:trPr>
        <w:tc>
          <w:tcPr>
            <w:tcW w:w="4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&amp; Head of Corporate</w:t>
            </w: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&amp; President</w:t>
            </w:r>
          </w:p>
        </w:tc>
        <w:tc>
          <w:tcPr>
            <w:tcW w:w="324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Strategy</w:t>
            </w:r>
          </w:p>
        </w:tc>
      </w:tr>
      <w:tr>
        <w:trPr>
          <w:trHeight w:val="24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240" w:type="dxa"/>
            <w:vAlign w:val="bottom"/>
          </w:tcPr>
          <w:p>
            <w:pPr>
              <w:spacing w:after="0"/>
              <w:rPr>
                <w:sz w:val="21"/>
                <w:szCs w:val="21"/>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Tempest Therapeutics, Inc.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7" w:name="page258"/>
    <w:bookmarkEnd w:id="2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
      <w:numFmt w:val="bullet"/>
      <w:start w:val="1"/>
    </w:lvl>
    <w:lvl w:ilvl="1">
      <w:lvlJc w:val="left"/>
      <w:lvlText w:val="•"/>
      <w:numFmt w:val="bullet"/>
      <w:start w:val="1"/>
    </w:lvl>
  </w:abstractNum>
  <w:abstractNum w:abstractNumId="4">
    <w:nsid w:val="310C50B3"/>
    <w:multiLevelType w:val="hybridMultilevel"/>
    <w:lvl w:ilvl="0">
      <w:lvlJc w:val="left"/>
      <w:lvlText w:val="•"/>
      <w:numFmt w:val="bullet"/>
      <w:start w:val="1"/>
    </w:lvl>
  </w:abstractNum>
  <w:abstractNum w:abstractNumId="5">
    <w:nsid w:val="5FF87E05"/>
    <w:multiLevelType w:val="hybridMultilevel"/>
    <w:lvl w:ilvl="0">
      <w:lvlJc w:val="left"/>
      <w:lvlText w:val="•"/>
      <w:numFmt w:val="bullet"/>
      <w:start w:val="1"/>
    </w:lvl>
  </w:abstractNum>
  <w:abstractNum w:abstractNumId="6">
    <w:nsid w:val="2F305DEF"/>
    <w:multiLevelType w:val="hybridMultilevel"/>
    <w:lvl w:ilvl="0">
      <w:lvlJc w:val="left"/>
      <w:lvlText w:val="•"/>
      <w:numFmt w:val="bullet"/>
      <w:start w:val="1"/>
    </w:lvl>
  </w:abstractNum>
  <w:abstractNum w:abstractNumId="7">
    <w:nsid w:val="25A70BF7"/>
    <w:multiLevelType w:val="hybridMultilevel"/>
    <w:lvl w:ilvl="0">
      <w:lvlJc w:val="left"/>
      <w:lvlText w:val="•"/>
      <w:numFmt w:val="bullet"/>
      <w:start w:val="1"/>
    </w:lvl>
  </w:abstractNum>
  <w:abstractNum w:abstractNumId="8">
    <w:nsid w:val="1DBABF00"/>
    <w:multiLevelType w:val="hybridMultilevel"/>
    <w:lvl w:ilvl="0">
      <w:lvlJc w:val="left"/>
      <w:lvlText w:val="•"/>
      <w:numFmt w:val="bullet"/>
      <w:start w:val="1"/>
    </w:lvl>
  </w:abstractNum>
  <w:abstractNum w:abstractNumId="9">
    <w:nsid w:val="4AD084E9"/>
    <w:multiLevelType w:val="hybridMultilevel"/>
    <w:lvl w:ilvl="0">
      <w:lvlJc w:val="left"/>
      <w:lvlText w:val="•"/>
      <w:numFmt w:val="bullet"/>
      <w:start w:val="1"/>
    </w:lvl>
  </w:abstractNum>
  <w:abstractNum w:abstractNumId="10">
    <w:nsid w:val="1F48EAA1"/>
    <w:multiLevelType w:val="hybridMultilevel"/>
    <w:lvl w:ilvl="0">
      <w:lvlJc w:val="left"/>
      <w:lvlText w:val="•"/>
      <w:numFmt w:val="bullet"/>
      <w:start w:val="1"/>
    </w:lvl>
  </w:abstractNum>
  <w:abstractNum w:abstractNumId="11">
    <w:nsid w:val="1381823A"/>
    <w:multiLevelType w:val="hybridMultilevel"/>
    <w:lvl w:ilvl="0">
      <w:lvlJc w:val="left"/>
      <w:lvlText w:val="•"/>
      <w:numFmt w:val="bullet"/>
      <w:start w:val="1"/>
    </w:lvl>
  </w:abstractNum>
  <w:abstractNum w:abstractNumId="12">
    <w:nsid w:val="5DB70AE5"/>
    <w:multiLevelType w:val="hybridMultilevel"/>
    <w:lvl w:ilvl="0">
      <w:lvlJc w:val="left"/>
      <w:lvlText w:val="•"/>
      <w:numFmt w:val="bullet"/>
      <w:start w:val="1"/>
    </w:lvl>
  </w:abstractNum>
  <w:abstractNum w:abstractNumId="13">
    <w:nsid w:val="100F8FCA"/>
    <w:multiLevelType w:val="hybridMultilevel"/>
    <w:lvl w:ilvl="0">
      <w:lvlJc w:val="left"/>
      <w:lvlText w:val="•"/>
      <w:numFmt w:val="bullet"/>
      <w:start w:val="1"/>
    </w:lvl>
  </w:abstractNum>
  <w:abstractNum w:abstractNumId="14">
    <w:nsid w:val="6590700B"/>
    <w:multiLevelType w:val="hybridMultilevel"/>
    <w:lvl w:ilvl="0">
      <w:lvlJc w:val="left"/>
      <w:lvlText w:val="•"/>
      <w:numFmt w:val="bullet"/>
      <w:start w:val="1"/>
    </w:lvl>
  </w:abstractNum>
  <w:abstractNum w:abstractNumId="15">
    <w:nsid w:val="15014ACB"/>
    <w:multiLevelType w:val="hybridMultilevel"/>
    <w:lvl w:ilvl="0">
      <w:lvlJc w:val="left"/>
      <w:lvlText w:val="•"/>
      <w:numFmt w:val="bullet"/>
      <w:start w:val="1"/>
    </w:lvl>
  </w:abstractNum>
  <w:abstractNum w:abstractNumId="16">
    <w:nsid w:val="5F5E7FD0"/>
    <w:multiLevelType w:val="hybridMultilevel"/>
    <w:lvl w:ilvl="0">
      <w:lvlJc w:val="left"/>
      <w:lvlText w:val="•"/>
      <w:numFmt w:val="bullet"/>
      <w:start w:val="1"/>
    </w:lvl>
  </w:abstractNum>
  <w:abstractNum w:abstractNumId="17">
    <w:nsid w:val="98A3148"/>
    <w:multiLevelType w:val="hybridMultilevel"/>
    <w:lvl w:ilvl="0">
      <w:lvlJc w:val="left"/>
      <w:lvlText w:val="•"/>
      <w:numFmt w:val="bullet"/>
      <w:start w:val="1"/>
    </w:lvl>
  </w:abstractNum>
  <w:abstractNum w:abstractNumId="18">
    <w:nsid w:val="799D0247"/>
    <w:multiLevelType w:val="hybridMultilevel"/>
    <w:lvl w:ilvl="0">
      <w:lvlJc w:val="left"/>
      <w:lvlText w:val="•"/>
      <w:numFmt w:val="bullet"/>
      <w:start w:val="1"/>
    </w:lvl>
  </w:abstractNum>
  <w:abstractNum w:abstractNumId="19">
    <w:nsid w:val="6B94764"/>
    <w:multiLevelType w:val="hybridMultilevel"/>
    <w:lvl w:ilvl="0">
      <w:lvlJc w:val="left"/>
      <w:lvlText w:val="•"/>
      <w:numFmt w:val="bullet"/>
      <w:start w:val="1"/>
    </w:lvl>
  </w:abstractNum>
  <w:abstractNum w:abstractNumId="20">
    <w:nsid w:val="42C296BD"/>
    <w:multiLevelType w:val="hybridMultilevel"/>
    <w:lvl w:ilvl="0">
      <w:lvlJc w:val="left"/>
      <w:lvlText w:val="•"/>
      <w:numFmt w:val="bullet"/>
      <w:start w:val="1"/>
    </w:lvl>
  </w:abstractNum>
  <w:abstractNum w:abstractNumId="21">
    <w:nsid w:val="168E121F"/>
    <w:multiLevelType w:val="hybridMultilevel"/>
    <w:lvl w:ilvl="0">
      <w:lvlJc w:val="left"/>
      <w:lvlText w:val="•"/>
      <w:numFmt w:val="bullet"/>
      <w:start w:val="1"/>
    </w:lvl>
  </w:abstractNum>
  <w:abstractNum w:abstractNumId="22">
    <w:nsid w:val="1EBA5D23"/>
    <w:multiLevelType w:val="hybridMultilevel"/>
    <w:lvl w:ilvl="0">
      <w:lvlJc w:val="left"/>
      <w:lvlText w:val="•"/>
      <w:numFmt w:val="bullet"/>
      <w:start w:val="1"/>
    </w:lvl>
  </w:abstractNum>
  <w:abstractNum w:abstractNumId="23">
    <w:nsid w:val="661E3F1E"/>
    <w:multiLevelType w:val="hybridMultilevel"/>
    <w:lvl w:ilvl="0">
      <w:lvlJc w:val="left"/>
      <w:lvlText w:val="•"/>
      <w:numFmt w:val="bullet"/>
      <w:start w:val="1"/>
    </w:lvl>
  </w:abstractNum>
  <w:abstractNum w:abstractNumId="24">
    <w:nsid w:val="5DC79EA8"/>
    <w:multiLevelType w:val="hybridMultilevel"/>
    <w:lvl w:ilvl="0">
      <w:lvlJc w:val="left"/>
      <w:lvlText w:val="•"/>
      <w:numFmt w:val="bullet"/>
      <w:start w:val="1"/>
    </w:lvl>
  </w:abstractNum>
  <w:abstractNum w:abstractNumId="25">
    <w:nsid w:val="540A471C"/>
    <w:multiLevelType w:val="hybridMultilevel"/>
    <w:lvl w:ilvl="0">
      <w:lvlJc w:val="left"/>
      <w:lvlText w:val="•"/>
      <w:numFmt w:val="bullet"/>
      <w:start w:val="1"/>
    </w:lvl>
  </w:abstractNum>
  <w:abstractNum w:abstractNumId="26">
    <w:nsid w:val="7BD3EE7B"/>
    <w:multiLevelType w:val="hybridMultilevel"/>
    <w:lvl w:ilvl="0">
      <w:lvlJc w:val="left"/>
      <w:lvlText w:val="•"/>
      <w:numFmt w:val="bullet"/>
      <w:start w:val="1"/>
    </w:lvl>
  </w:abstractNum>
  <w:abstractNum w:abstractNumId="27">
    <w:nsid w:val="51D9C564"/>
    <w:multiLevelType w:val="hybridMultilevel"/>
    <w:lvl w:ilvl="0">
      <w:lvlJc w:val="left"/>
      <w:lvlText w:val="•"/>
      <w:numFmt w:val="bullet"/>
      <w:start w:val="1"/>
    </w:lvl>
  </w:abstractNum>
  <w:abstractNum w:abstractNumId="28">
    <w:nsid w:val="613EFDC5"/>
    <w:multiLevelType w:val="hybridMultilevel"/>
    <w:lvl w:ilvl="0">
      <w:lvlJc w:val="left"/>
      <w:lvlText w:val="•"/>
      <w:numFmt w:val="bullet"/>
      <w:start w:val="1"/>
    </w:lvl>
  </w:abstractNum>
  <w:abstractNum w:abstractNumId="29">
    <w:nsid w:val="BF72B14"/>
    <w:multiLevelType w:val="hybridMultilevel"/>
    <w:lvl w:ilvl="0">
      <w:lvlJc w:val="left"/>
      <w:lvlText w:val="•"/>
      <w:numFmt w:val="bullet"/>
      <w:start w:val="1"/>
    </w:lvl>
  </w:abstractNum>
  <w:abstractNum w:abstractNumId="30">
    <w:nsid w:val="11447B73"/>
    <w:multiLevelType w:val="hybridMultilevel"/>
    <w:lvl w:ilvl="0">
      <w:lvlJc w:val="left"/>
      <w:lvlText w:val="•"/>
      <w:numFmt w:val="bullet"/>
      <w:start w:val="1"/>
    </w:lvl>
  </w:abstractNum>
  <w:abstractNum w:abstractNumId="31">
    <w:nsid w:val="42963E5A"/>
    <w:multiLevelType w:val="hybridMultilevel"/>
    <w:lvl w:ilvl="0">
      <w:lvlJc w:val="left"/>
      <w:lvlText w:val="•"/>
      <w:numFmt w:val="bullet"/>
      <w:start w:val="1"/>
    </w:lvl>
  </w:abstractNum>
  <w:abstractNum w:abstractNumId="32">
    <w:nsid w:val="A0382C5"/>
    <w:multiLevelType w:val="hybridMultilevel"/>
    <w:lvl w:ilvl="0">
      <w:lvlJc w:val="left"/>
      <w:lvlText w:val="•"/>
      <w:numFmt w:val="bullet"/>
      <w:start w:val="1"/>
    </w:lvl>
  </w:abstractNum>
  <w:abstractNum w:abstractNumId="33">
    <w:nsid w:val="8F2B15E"/>
    <w:multiLevelType w:val="hybridMultilevel"/>
    <w:lvl w:ilvl="0">
      <w:lvlJc w:val="left"/>
      <w:lvlText w:val="•"/>
      <w:numFmt w:val="bullet"/>
      <w:start w:val="1"/>
    </w:lvl>
  </w:abstractNum>
  <w:abstractNum w:abstractNumId="34">
    <w:nsid w:val="1A32234B"/>
    <w:multiLevelType w:val="hybridMultilevel"/>
    <w:lvl w:ilvl="0">
      <w:lvlJc w:val="left"/>
      <w:lvlText w:val="•"/>
      <w:numFmt w:val="bullet"/>
      <w:start w:val="1"/>
    </w:lvl>
  </w:abstractNum>
  <w:abstractNum w:abstractNumId="35">
    <w:nsid w:val="3B0FD379"/>
    <w:multiLevelType w:val="hybridMultilevel"/>
    <w:lvl w:ilvl="0">
      <w:lvlJc w:val="left"/>
      <w:lvlText w:val="•"/>
      <w:numFmt w:val="bullet"/>
      <w:start w:val="1"/>
    </w:lvl>
  </w:abstractNum>
  <w:abstractNum w:abstractNumId="36">
    <w:nsid w:val="68EB2F63"/>
    <w:multiLevelType w:val="hybridMultilevel"/>
    <w:lvl w:ilvl="0">
      <w:lvlJc w:val="left"/>
      <w:lvlText w:val="•"/>
      <w:numFmt w:val="bullet"/>
      <w:start w:val="1"/>
    </w:lvl>
  </w:abstractNum>
  <w:abstractNum w:abstractNumId="37">
    <w:nsid w:val="4962813B"/>
    <w:multiLevelType w:val="hybridMultilevel"/>
    <w:lvl w:ilvl="0">
      <w:lvlJc w:val="left"/>
      <w:lvlText w:val="•"/>
      <w:numFmt w:val="bullet"/>
      <w:start w:val="1"/>
    </w:lvl>
  </w:abstractNum>
  <w:abstractNum w:abstractNumId="38">
    <w:nsid w:val="60B6DF70"/>
    <w:multiLevelType w:val="hybridMultilevel"/>
    <w:lvl w:ilvl="0">
      <w:lvlJc w:val="left"/>
      <w:lvlText w:val="•"/>
      <w:numFmt w:val="bullet"/>
      <w:start w:val="1"/>
    </w:lvl>
  </w:abstractNum>
  <w:abstractNum w:abstractNumId="39">
    <w:nsid w:val="6A5EE64"/>
    <w:multiLevelType w:val="hybridMultilevel"/>
    <w:lvl w:ilvl="0">
      <w:lvlJc w:val="left"/>
      <w:lvlText w:val="•"/>
      <w:numFmt w:val="bullet"/>
      <w:start w:val="1"/>
    </w:lvl>
  </w:abstractNum>
  <w:abstractNum w:abstractNumId="40">
    <w:nsid w:val="14330624"/>
    <w:multiLevelType w:val="hybridMultilevel"/>
    <w:lvl w:ilvl="0">
      <w:lvlJc w:val="left"/>
      <w:lvlText w:val="•"/>
      <w:numFmt w:val="bullet"/>
      <w:start w:val="1"/>
    </w:lvl>
  </w:abstractNum>
  <w:abstractNum w:abstractNumId="41">
    <w:nsid w:val="7FFFCA11"/>
    <w:multiLevelType w:val="hybridMultilevel"/>
    <w:lvl w:ilvl="0">
      <w:lvlJc w:val="left"/>
      <w:lvlText w:val="•"/>
      <w:numFmt w:val="bullet"/>
      <w:start w:val="1"/>
    </w:lvl>
  </w:abstractNum>
  <w:abstractNum w:abstractNumId="42">
    <w:nsid w:val="1A27709E"/>
    <w:multiLevelType w:val="hybridMultilevel"/>
    <w:lvl w:ilvl="0">
      <w:lvlJc w:val="left"/>
      <w:lvlText w:val="•"/>
      <w:numFmt w:val="bullet"/>
      <w:start w:val="1"/>
    </w:lvl>
  </w:abstractNum>
  <w:abstractNum w:abstractNumId="43">
    <w:nsid w:val="71EA1109"/>
    <w:multiLevelType w:val="hybridMultilevel"/>
    <w:lvl w:ilvl="0">
      <w:lvlJc w:val="left"/>
      <w:lvlText w:val="•"/>
      <w:numFmt w:val="bullet"/>
      <w:start w:val="1"/>
    </w:lvl>
  </w:abstractNum>
  <w:abstractNum w:abstractNumId="44">
    <w:nsid w:val="100F59DC"/>
    <w:multiLevelType w:val="hybridMultilevel"/>
    <w:lvl w:ilvl="0">
      <w:lvlJc w:val="left"/>
      <w:lvlText w:val="•"/>
      <w:numFmt w:val="bullet"/>
      <w:start w:val="1"/>
    </w:lvl>
  </w:abstractNum>
  <w:abstractNum w:abstractNumId="45">
    <w:nsid w:val="7FB7E0AA"/>
    <w:multiLevelType w:val="hybridMultilevel"/>
    <w:lvl w:ilvl="0">
      <w:lvlJc w:val="left"/>
      <w:lvlText w:val="(%1)"/>
      <w:numFmt w:val="decimal"/>
      <w:start w:val="1"/>
    </w:lvl>
  </w:abstractNum>
  <w:abstractNum w:abstractNumId="46">
    <w:nsid w:val="6EB5BD4"/>
    <w:multiLevelType w:val="hybridMultilevel"/>
    <w:lvl w:ilvl="0">
      <w:lvlJc w:val="left"/>
      <w:lvlText w:val="(%1)"/>
      <w:numFmt w:val="decimal"/>
      <w:start w:val="1"/>
    </w:lvl>
  </w:abstractNum>
  <w:abstractNum w:abstractNumId="47">
    <w:nsid w:val="6F6DD9AC"/>
    <w:multiLevelType w:val="hybridMultilevel"/>
    <w:lvl w:ilvl="0">
      <w:lvlJc w:val="left"/>
      <w:lvlText w:val="(%1)"/>
      <w:numFmt w:val="decimal"/>
      <w:start w:val="1"/>
    </w:lvl>
  </w:abstractNum>
  <w:abstractNum w:abstractNumId="48">
    <w:nsid w:val="94211F2"/>
    <w:multiLevelType w:val="hybridMultilevel"/>
    <w:lvl w:ilvl="0">
      <w:lvlJc w:val="left"/>
      <w:lvlText w:val="(%1)"/>
      <w:numFmt w:val="lowerRoman"/>
      <w:start w:val="1"/>
    </w:lvl>
  </w:abstractNum>
  <w:abstractNum w:abstractNumId="49">
    <w:nsid w:val="885E1B"/>
    <w:multiLevelType w:val="hybridMultilevel"/>
    <w:lvl w:ilvl="0">
      <w:lvlJc w:val="left"/>
      <w:lvlText w:val="%1."/>
      <w:numFmt w:val="decimal"/>
      <w:start w:val="7"/>
    </w:lvl>
  </w:abstractNum>
  <w:abstractNum w:abstractNumId="50">
    <w:nsid w:val="76272110"/>
    <w:multiLevelType w:val="hybridMultilevel"/>
    <w:lvl w:ilvl="0">
      <w:lvlJc w:val="left"/>
      <w:lvlText w:val="%1."/>
      <w:numFmt w:val="decimal"/>
      <w:start w:val="8"/>
    </w:lvl>
  </w:abstractNum>
  <w:abstractNum w:abstractNumId="51">
    <w:nsid w:val="4C04A8AF"/>
    <w:multiLevelType w:val="hybridMultilevel"/>
    <w:lvl w:ilvl="0">
      <w:lvlJc w:val="left"/>
      <w:lvlText w:val="%1."/>
      <w:numFmt w:val="decimal"/>
      <w:start w:val="13"/>
    </w:lvl>
  </w:abstractNum>
  <w:abstractNum w:abstractNumId="52">
    <w:nsid w:val="1716703B"/>
    <w:multiLevelType w:val="hybridMultilevel"/>
    <w:lvl w:ilvl="0">
      <w:lvlJc w:val="left"/>
      <w:lvlText w:val="(%1)"/>
      <w:numFmt w:val="lowerRoman"/>
      <w:start w:val="2"/>
    </w:lvl>
  </w:abstractNum>
  <w:abstractNum w:abstractNumId="53">
    <w:nsid w:val="14E17E33"/>
    <w:multiLevelType w:val="hybridMultilevel"/>
    <w:lvl w:ilvl="0">
      <w:lvlJc w:val="left"/>
      <w:lvlText w:val="(%1)"/>
      <w:numFmt w:val="lowerLetter"/>
      <w:start w:val="6"/>
    </w:lvl>
  </w:abstractNum>
  <w:abstractNum w:abstractNumId="54">
    <w:nsid w:val="3222E7CD"/>
    <w:multiLevelType w:val="hybridMultilevel"/>
    <w:lvl w:ilvl="0">
      <w:lvlJc w:val="left"/>
      <w:lvlText w:val="(%1)"/>
      <w:numFmt w:val="decimal"/>
      <w:start w:val="1"/>
    </w:lvl>
  </w:abstractNum>
  <w:abstractNum w:abstractNumId="55">
    <w:nsid w:val="74DE0EE3"/>
    <w:multiLevelType w:val="hybridMultilevel"/>
    <w:lvl w:ilvl="0">
      <w:lvlJc w:val="left"/>
      <w:lvlText w:val="(%1)"/>
      <w:numFmt w:val="decimal"/>
      <w:start w:val="1"/>
    </w:lvl>
  </w:abstractNum>
  <w:abstractNum w:abstractNumId="56">
    <w:nsid w:val="68EBC550"/>
    <w:multiLevelType w:val="hybridMultilevel"/>
    <w:lvl w:ilvl="0">
      <w:lvlJc w:val="left"/>
      <w:lvlText w:val="&amp;"/>
      <w:numFmt w:val="bullet"/>
      <w:start w:val="1"/>
    </w:lvl>
  </w:abstractNum>
  <w:abstractNum w:abstractNumId="57">
    <w:nsid w:val="2DF6D648"/>
    <w:multiLevelType w:val="hybridMultilevel"/>
    <w:lvl w:ilvl="0">
      <w:lvlJc w:val="left"/>
      <w:lvlText w:val="(%1)"/>
      <w:numFmt w:val="decimal"/>
      <w:start w:val="1"/>
    </w:lvl>
  </w:abstractNum>
  <w:abstractNum w:abstractNumId="58">
    <w:nsid w:val="46B7D447"/>
    <w:multiLevelType w:val="hybridMultilevel"/>
    <w:lvl w:ilvl="0">
      <w:lvlJc w:val="left"/>
      <w:lvlText w:val="(%1)"/>
      <w:numFmt w:val="decimal"/>
      <w:start w:val="1"/>
    </w:lvl>
  </w:abstractNum>
  <w:abstractNum w:abstractNumId="59">
    <w:nsid w:val="4A2AC315"/>
    <w:multiLevelType w:val="hybridMultilevel"/>
    <w:lvl w:ilvl="0">
      <w:lvlJc w:val="left"/>
      <w:lvlText w:val="(%1)"/>
      <w:numFmt w:val="decimal"/>
      <w:start w:val="1"/>
    </w:lvl>
  </w:abstractNum>
  <w:abstractNum w:abstractNumId="60">
    <w:nsid w:val="39EE015C"/>
    <w:multiLevelType w:val="hybridMultilevel"/>
    <w:lvl w:ilvl="0">
      <w:lvlJc w:val="left"/>
      <w:lvlText w:val="•"/>
      <w:numFmt w:val="bullet"/>
      <w:start w:val="1"/>
    </w:lvl>
  </w:abstractNum>
  <w:abstractNum w:abstractNumId="61">
    <w:nsid w:val="57FC4FBB"/>
    <w:multiLevelType w:val="hybridMultilevel"/>
    <w:lvl w:ilvl="0">
      <w:lvlJc w:val="left"/>
      <w:lvlText w:val="•"/>
      <w:numFmt w:val="bullet"/>
      <w:start w:val="1"/>
    </w:lvl>
  </w:abstractNum>
  <w:abstractNum w:abstractNumId="62">
    <w:nsid w:val="CC1016F"/>
    <w:multiLevelType w:val="hybridMultilevel"/>
    <w:lvl w:ilvl="0">
      <w:lvlJc w:val="left"/>
      <w:lvlText w:val="•"/>
      <w:numFmt w:val="bullet"/>
      <w:start w:val="1"/>
    </w:lvl>
  </w:abstractNum>
  <w:abstractNum w:abstractNumId="63">
    <w:nsid w:val="43F18422"/>
    <w:multiLevelType w:val="hybridMultilevel"/>
    <w:lvl w:ilvl="0">
      <w:lvlJc w:val="left"/>
      <w:lvlText w:val="(%1)"/>
      <w:numFmt w:val="decimal"/>
      <w:start w:val="1"/>
    </w:lvl>
  </w:abstractNum>
  <w:abstractNum w:abstractNumId="64">
    <w:nsid w:val="60EF0119"/>
    <w:multiLevelType w:val="hybridMultilevel"/>
    <w:lvl w:ilvl="0">
      <w:lvlJc w:val="left"/>
      <w:lvlText w:val="(%1)"/>
      <w:numFmt w:val="decimal"/>
      <w:start w:val="2"/>
    </w:lvl>
  </w:abstractNum>
  <w:abstractNum w:abstractNumId="65">
    <w:nsid w:val="26F324BA"/>
    <w:multiLevelType w:val="hybridMultilevel"/>
    <w:lvl w:ilvl="0">
      <w:lvlJc w:val="left"/>
      <w:lvlText w:val="•"/>
      <w:numFmt w:val="bullet"/>
      <w:start w:val="1"/>
    </w:lvl>
  </w:abstractNum>
  <w:abstractNum w:abstractNumId="66">
    <w:nsid w:val="7F01579B"/>
    <w:multiLevelType w:val="hybridMultilevel"/>
    <w:lvl w:ilvl="0">
      <w:lvlJc w:val="left"/>
      <w:lvlText w:val="*"/>
      <w:numFmt w:val="bullet"/>
      <w:start w:val="1"/>
    </w:lvl>
  </w:abstractNum>
  <w:abstractNum w:abstractNumId="67">
    <w:nsid w:val="49DA307D"/>
    <w:multiLevelType w:val="hybridMultilevel"/>
    <w:lvl w:ilvl="0">
      <w:lvlJc w:val="left"/>
      <w:lvlText w:val="(%1)"/>
      <w:numFmt w:val="decimal"/>
      <w:start w:val="1"/>
    </w:lvl>
  </w:abstractNum>
  <w:abstractNum w:abstractNumId="68">
    <w:nsid w:val="7055A5F5"/>
    <w:multiLevelType w:val="hybridMultilevel"/>
    <w:lvl w:ilvl="0">
      <w:lvlJc w:val="left"/>
      <w:lvlText w:val="(%1)"/>
      <w:numFmt w:val="decimal"/>
      <w:start w:val="3"/>
    </w:lvl>
  </w:abstractNum>
  <w:abstractNum w:abstractNumId="69">
    <w:nsid w:val="5FB8370B"/>
    <w:multiLevelType w:val="hybridMultilevel"/>
    <w:lvl w:ilvl="0">
      <w:lvlJc w:val="left"/>
      <w:lvlText w:val="(%1)"/>
      <w:numFmt w:val="decimal"/>
      <w:start w:val="1"/>
    </w:lvl>
  </w:abstractNum>
  <w:abstractNum w:abstractNumId="70">
    <w:nsid w:val="50801EE1"/>
    <w:multiLevelType w:val="hybridMultilevel"/>
    <w:lvl w:ilvl="0">
      <w:lvlJc w:val="left"/>
      <w:lvlText w:val="(%1)"/>
      <w:numFmt w:val="decimal"/>
      <w:start w:val="1"/>
    </w:lvl>
  </w:abstractNum>
  <w:abstractNum w:abstractNumId="71">
    <w:nsid w:val="488AC1A"/>
    <w:multiLevelType w:val="hybridMultilevel"/>
    <w:lvl w:ilvl="0">
      <w:lvlJc w:val="left"/>
      <w:lvlText w:val="+"/>
      <w:numFmt w:val="bullet"/>
      <w:start w:val="1"/>
    </w:lvl>
  </w:abstractNum>
  <w:abstractNum w:abstractNumId="72">
    <w:nsid w:val="5FB8011C"/>
    <w:multiLevelType w:val="hybridMultilevel"/>
    <w:lvl w:ilvl="0">
      <w:lvlJc w:val="left"/>
      <w:lvlText w:val="*"/>
      <w:numFmt w:val="bullet"/>
      <w:start w:val="1"/>
    </w:lvl>
  </w:abstractNum>
  <w:abstractNum w:abstractNumId="73">
    <w:nsid w:val="6AA78F7F"/>
    <w:multiLevelType w:val="hybridMultilevel"/>
    <w:lvl w:ilvl="0">
      <w:lvlJc w:val="left"/>
      <w:lvlText w:val="+"/>
      <w:numFmt w:val="bullet"/>
      <w:start w:val="1"/>
    </w:lvl>
  </w:abstractNum>
  <w:abstractNum w:abstractNumId="74">
    <w:nsid w:val="7672BD23"/>
    <w:multiLevelType w:val="hybridMultilevel"/>
    <w:lvl w:ilvl="0">
      <w:lvlJc w:val="left"/>
      <w:lvlText w:val="^"/>
      <w:numFmt w:val="bullet"/>
      <w:start w:val="1"/>
    </w:lvl>
  </w:abstractNum>
  <w:abstractNum w:abstractNumId="75">
    <w:nsid w:val="6FC75AF8"/>
    <w:multiLevelType w:val="hybridMultilevel"/>
    <w:lvl w:ilvl="0">
      <w:lvlJc w:val="left"/>
      <w:lvlText w:val="#"/>
      <w:numFmt w:val="bullet"/>
      <w:start w:val="1"/>
    </w:lvl>
  </w:abstractNum>
  <w:abstractNum w:abstractNumId="76">
    <w:nsid w:val="6A5F7029"/>
    <w:multiLevelType w:val="hybridMultilevel"/>
    <w:lvl w:ilvl="0">
      <w:lvlJc w:val="left"/>
      <w:lvlText w:val="•"/>
      <w:numFmt w:val="bullet"/>
      <w:start w:val="1"/>
    </w:lvl>
  </w:abstractNum>
  <w:abstractNum w:abstractNumId="77">
    <w:nsid w:val="7D5E18F8"/>
    <w:multiLevelType w:val="hybridMultilevel"/>
    <w:lvl w:ilvl="0">
      <w:lvlJc w:val="left"/>
      <w:lvlText w:val="•"/>
      <w:numFmt w:val="bullet"/>
      <w:start w:val="1"/>
    </w:lvl>
  </w:abstractNum>
  <w:abstractNum w:abstractNumId="78">
    <w:nsid w:val="5F3534A4"/>
    <w:multiLevelType w:val="hybridMultilevel"/>
    <w:lvl w:ilvl="0">
      <w:lvlJc w:val="left"/>
      <w:lvlText w:val="(%1)"/>
      <w:numFmt w:val="lowerRoman"/>
      <w:start w:val="4"/>
    </w:lvl>
  </w:abstractNum>
  <w:abstractNum w:abstractNumId="79">
    <w:nsid w:val="73A1821B"/>
    <w:multiLevelType w:val="hybridMultilevel"/>
    <w:lvl w:ilvl="0">
      <w:lvlJc w:val="left"/>
      <w:lvlText w:val="•"/>
      <w:numFmt w:val="bullet"/>
      <w:start w:val="1"/>
    </w:lvl>
  </w:abstractNum>
  <w:abstractNum w:abstractNumId="80">
    <w:nsid w:val="7DE67713"/>
    <w:multiLevelType w:val="hybridMultilevel"/>
    <w:lvl w:ilvl="0">
      <w:lvlJc w:val="left"/>
      <w:lvlText w:val="•"/>
      <w:numFmt w:val="bullet"/>
      <w:start w:val="1"/>
    </w:lvl>
  </w:abstractNum>
  <w:abstractNum w:abstractNumId="81">
    <w:nsid w:val="555C55B5"/>
    <w:multiLevelType w:val="hybridMultilevel"/>
    <w:lvl w:ilvl="0">
      <w:lvlJc w:val="left"/>
      <w:lvlText w:val="•"/>
      <w:numFmt w:val="bullet"/>
      <w:start w:val="1"/>
    </w:lvl>
  </w:abstractNum>
  <w:abstractNum w:abstractNumId="82">
    <w:nsid w:val="3FA62ACA"/>
    <w:multiLevelType w:val="hybridMultilevel"/>
    <w:lvl w:ilvl="0">
      <w:lvlJc w:val="left"/>
      <w:lvlText w:val="%1"/>
      <w:numFmt w:val="lowerLetter"/>
      <w:start w:val="1"/>
    </w:lvl>
    <w:lvl w:ilvl="1">
      <w:lvlJc w:val="left"/>
      <w:lvlText w:val="(%2)"/>
      <w:numFmt w:val="lowerLetter"/>
      <w:start w:val="9"/>
    </w:lvl>
  </w:abstractNum>
  <w:abstractNum w:abstractNumId="83">
    <w:nsid w:val="14FCE74E"/>
    <w:multiLevelType w:val="hybridMultilevel"/>
    <w:lvl w:ilvl="0">
      <w:lvlJc w:val="left"/>
      <w:lvlText w:val="(%1)"/>
      <w:numFmt w:val="lowerLetter"/>
      <w:start w:val="25"/>
    </w:lvl>
    <w:lvl w:ilvl="1">
      <w:lvlJc w:val="left"/>
      <w:lvlText w:val="(%2)"/>
      <w:numFmt w:val="lowerLetter"/>
      <w:start w:val="35"/>
    </w:lvl>
  </w:abstractNum>
  <w:abstractNum w:abstractNumId="84">
    <w:nsid w:val="6A3DD3E8"/>
    <w:multiLevelType w:val="hybridMultilevel"/>
    <w:lvl w:ilvl="0">
      <w:lvlJc w:val="left"/>
      <w:lvlText w:val="(%1)"/>
      <w:numFmt w:val="lowerLetter"/>
      <w:start w:val="2"/>
    </w:lvl>
  </w:abstractNum>
  <w:abstractNum w:abstractNumId="85">
    <w:nsid w:val="71C91298"/>
    <w:multiLevelType w:val="hybridMultilevel"/>
    <w:lvl w:ilvl="0">
      <w:lvlJc w:val="left"/>
      <w:lvlText w:val="[***]"/>
      <w:numFmt w:val="bullet"/>
      <w:start w:val="1"/>
    </w:lvl>
  </w:abstractNum>
  <w:abstractNum w:abstractNumId="86">
    <w:nsid w:val="9DAF632"/>
    <w:multiLevelType w:val="hybridMultilevel"/>
    <w:lvl w:ilvl="0">
      <w:lvlJc w:val="left"/>
      <w:lvlText w:val="[***]"/>
      <w:numFmt w:val="bullet"/>
      <w:start w:val="1"/>
    </w:lvl>
  </w:abstractNum>
  <w:abstractNum w:abstractNumId="87">
    <w:nsid w:val="53299938"/>
    <w:multiLevelType w:val="hybridMultilevel"/>
    <w:lvl w:ilvl="0">
      <w:lvlJc w:val="left"/>
      <w:lvlText w:val="(%1)"/>
      <w:numFmt w:val="lowerLetter"/>
      <w:start w:val="1"/>
    </w:lvl>
  </w:abstractNum>
  <w:abstractNum w:abstractNumId="88">
    <w:nsid w:val="1FBFE8E0"/>
    <w:multiLevelType w:val="hybridMultilevel"/>
    <w:lvl w:ilvl="0">
      <w:lvlJc w:val="left"/>
      <w:lvlText w:val="(%1)"/>
      <w:numFmt w:val="lowerLetter"/>
      <w:start w:val="3"/>
    </w:lvl>
  </w:abstractNum>
  <w:abstractNum w:abstractNumId="89">
    <w:nsid w:val="5092CA79"/>
    <w:multiLevelType w:val="hybridMultilevel"/>
    <w:lvl w:ilvl="0">
      <w:lvlJc w:val="left"/>
      <w:lvlText w:val="(%1)"/>
      <w:numFmt w:val="lowerRoman"/>
      <w:start w:val="1"/>
    </w:lvl>
  </w:abstractNum>
  <w:abstractNum w:abstractNumId="90">
    <w:nsid w:val="1D545C4D"/>
    <w:multiLevelType w:val="hybridMultilevel"/>
    <w:lvl w:ilvl="0">
      <w:lvlJc w:val="left"/>
      <w:lvlText w:val="(%1)"/>
      <w:numFmt w:val="lowerLetter"/>
      <w:start w:val="2"/>
    </w:lvl>
  </w:abstractNum>
  <w:abstractNum w:abstractNumId="91">
    <w:nsid w:val="59ADEA3D"/>
    <w:multiLevelType w:val="hybridMultilevel"/>
    <w:lvl w:ilvl="0">
      <w:lvlJc w:val="left"/>
      <w:lvlText w:val="[***]"/>
      <w:numFmt w:val="bullet"/>
      <w:start w:val="1"/>
    </w:lvl>
  </w:abstractNum>
  <w:abstractNum w:abstractNumId="92">
    <w:nsid w:val="288F1A34"/>
    <w:multiLevelType w:val="hybridMultilevel"/>
    <w:lvl w:ilvl="0">
      <w:lvlJc w:val="left"/>
      <w:lvlText w:val="(%1)"/>
      <w:numFmt w:val="lowerLetter"/>
      <w:start w:val="1"/>
    </w:lvl>
  </w:abstractNum>
  <w:abstractNum w:abstractNumId="93">
    <w:nsid w:val="2A155DBC"/>
    <w:multiLevelType w:val="hybridMultilevel"/>
    <w:lvl w:ilvl="0">
      <w:lvlJc w:val="left"/>
      <w:lvlText w:val="(%1)"/>
      <w:numFmt w:val="lowerRoman"/>
      <w:start w:val="3"/>
    </w:lvl>
  </w:abstractNum>
  <w:abstractNum w:abstractNumId="94">
    <w:nsid w:val="1D9F6E5F"/>
    <w:multiLevelType w:val="hybridMultilevel"/>
    <w:lvl w:ilvl="0">
      <w:lvlJc w:val="left"/>
      <w:lvlText w:val="%1."/>
      <w:numFmt w:val="decimal"/>
      <w:start w:val="1"/>
    </w:lvl>
  </w:abstractNum>
  <w:abstractNum w:abstractNumId="95">
    <w:nsid w:val="97E1B4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96">
    <w:nsid w:val="51088277"/>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97">
    <w:nsid w:val="1CA0C5F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98">
    <w:nsid w:val="53584BCB"/>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99">
    <w:nsid w:val="415E286C"/>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100">
    <w:nsid w:val="7C58FD05"/>
    <w:multiLevelType w:val="hybridMultilevel"/>
    <w:lvl w:ilvl="0">
      <w:lvlJc w:val="left"/>
      <w:lvlText w:val="(%1)"/>
      <w:numFmt w:val="lowerRoman"/>
      <w:start w:val="10"/>
    </w:lvl>
  </w:abstractNum>
  <w:abstractNum w:abstractNumId="101">
    <w:nsid w:val="23D86AAC"/>
    <w:multiLevelType w:val="hybridMultilevel"/>
    <w:lvl w:ilvl="0">
      <w:lvlJc w:val="left"/>
      <w:lvlText w:val="(%1)"/>
      <w:numFmt w:val="lowerLetter"/>
      <w:start w:val="1"/>
    </w:lvl>
  </w:abstractNum>
  <w:abstractNum w:abstractNumId="102">
    <w:nsid w:val="45E6D486"/>
    <w:multiLevelType w:val="hybridMultilevel"/>
    <w:lvl w:ilvl="0">
      <w:lvlJc w:val="left"/>
      <w:lvlText w:val="(%1)"/>
      <w:numFmt w:val="lowerLetter"/>
      <w:start w:val="3"/>
    </w:lvl>
  </w:abstractNum>
  <w:abstractNum w:abstractNumId="103">
    <w:nsid w:val="5C10FE21"/>
    <w:multiLevelType w:val="hybridMultilevel"/>
    <w:lvl w:ilvl="0">
      <w:lvlJc w:val="left"/>
      <w:lvlText w:val="%1."/>
      <w:numFmt w:val="decimal"/>
      <w:start w:val="1"/>
    </w:lvl>
  </w:abstractNum>
  <w:abstractNum w:abstractNumId="104">
    <w:nsid w:val="E7FFA2B"/>
    <w:multiLevelType w:val="hybridMultilevel"/>
    <w:lvl w:ilvl="0">
      <w:lvlJc w:val="left"/>
      <w:lvlText w:val="%1."/>
      <w:numFmt w:val="decimal"/>
      <w:start w:val="2"/>
    </w:lvl>
    <w:lvl w:ilvl="1">
      <w:lvlJc w:val="left"/>
      <w:lvlText w:val="%2."/>
      <w:numFmt w:val="lowerLetter"/>
      <w:start w:val="1"/>
    </w:lvl>
  </w:abstractNum>
  <w:abstractNum w:abstractNumId="105">
    <w:nsid w:val="3C5991AA"/>
    <w:multiLevelType w:val="hybridMultilevel"/>
    <w:lvl w:ilvl="0">
      <w:lvlJc w:val="left"/>
      <w:lvlText w:val="%1."/>
      <w:numFmt w:val="decimal"/>
      <w:start w:val="4"/>
    </w:lvl>
    <w:lvl w:ilvl="1">
      <w:lvlJc w:val="left"/>
      <w:lvlText w:val="%2"/>
      <w:numFmt w:val="lowerLetter"/>
      <w:start w:val="1"/>
    </w:lvl>
  </w:abstractNum>
  <w:abstractNum w:abstractNumId="106">
    <w:nsid w:val="4BD8591A"/>
    <w:multiLevelType w:val="hybridMultilevel"/>
    <w:lvl w:ilvl="0">
      <w:lvlJc w:val="left"/>
      <w:lvlText w:val="%1."/>
      <w:numFmt w:val="lowerRoman"/>
      <w:start w:val="2"/>
    </w:lvl>
  </w:abstractNum>
  <w:abstractNum w:abstractNumId="107">
    <w:nsid w:val="78DF6A55"/>
    <w:multiLevelType w:val="hybridMultilevel"/>
    <w:lvl w:ilvl="0">
      <w:lvlJc w:val="left"/>
      <w:lvlText w:val="(%1)"/>
      <w:numFmt w:val="lowerRoman"/>
      <w:start w:val="4"/>
    </w:lvl>
    <w:lvl w:ilvl="1">
      <w:lvlJc w:val="left"/>
      <w:lvlText w:val="%2."/>
      <w:numFmt w:val="lowerRoman"/>
      <w:start w:val="3"/>
    </w:lvl>
  </w:abstractNum>
  <w:abstractNum w:abstractNumId="108">
    <w:nsid w:val="39B7AAA2"/>
    <w:multiLevelType w:val="hybridMultilevel"/>
    <w:lvl w:ilvl="0">
      <w:lvlJc w:val="left"/>
      <w:lvlText w:val="%1"/>
      <w:numFmt w:val="lowerLetter"/>
      <w:start w:val="1"/>
    </w:lvl>
    <w:lvl w:ilvl="1">
      <w:lvlJc w:val="left"/>
      <w:lvlText w:val="%2."/>
      <w:numFmt w:val="lowerRoman"/>
      <w:start w:val="6"/>
    </w:lvl>
  </w:abstractNum>
  <w:abstractNum w:abstractNumId="109">
    <w:nsid w:val="2B0D8DBE"/>
    <w:multiLevelType w:val="hybridMultilevel"/>
    <w:lvl w:ilvl="0">
      <w:lvlJc w:val="left"/>
      <w:lvlText w:val="%1."/>
      <w:numFmt w:val="lowerLetter"/>
      <w:start w:val="2"/>
    </w:lvl>
    <w:lvl w:ilvl="1">
      <w:lvlJc w:val="left"/>
      <w:lvlText w:val="%2"/>
      <w:numFmt w:val="lowerRoman"/>
      <w:start w:val="1"/>
    </w:lvl>
  </w:abstractNum>
  <w:abstractNum w:abstractNumId="110">
    <w:nsid w:val="6C80EC7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11">
    <w:nsid w:val="379E21B5"/>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12">
    <w:nsid w:val="69E373"/>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13">
    <w:nsid w:val="2C27173B"/>
    <w:multiLevelType w:val="hybridMultilevel"/>
    <w:lvl w:ilvl="0">
      <w:lvlJc w:val="left"/>
      <w:lvlText w:val="%1."/>
      <w:numFmt w:val="decimal"/>
      <w:start w:val="6"/>
    </w:lvl>
    <w:lvl w:ilvl="1">
      <w:lvlJc w:val="left"/>
      <w:lvlText w:val="%2."/>
      <w:numFmt w:val="lowerLetter"/>
      <w:start w:val="1"/>
    </w:lvl>
  </w:abstractNum>
  <w:abstractNum w:abstractNumId="114">
    <w:nsid w:val="4C9B0904"/>
    <w:multiLevelType w:val="hybridMultilevel"/>
    <w:lvl w:ilvl="0">
      <w:lvlJc w:val="left"/>
      <w:lvlText w:val="%1."/>
      <w:numFmt w:val="lowerLetter"/>
      <w:start w:val="3"/>
    </w:lvl>
  </w:abstractNum>
  <w:abstractNum w:abstractNumId="115">
    <w:nsid w:val="6AA7B75C"/>
    <w:multiLevelType w:val="hybridMultilevel"/>
    <w:lvl w:ilvl="0">
      <w:lvlJc w:val="left"/>
      <w:lvlText w:val="%1"/>
      <w:numFmt w:val="decimal"/>
      <w:start w:val="1"/>
    </w:lvl>
    <w:lvl w:ilvl="1">
      <w:lvlJc w:val="left"/>
      <w:lvlText w:val="%2."/>
      <w:numFmt w:val="lowerLetter"/>
      <w:start w:val="4"/>
    </w:lvl>
  </w:abstractNum>
  <w:abstractNum w:abstractNumId="116">
    <w:nsid w:val="1DF029D3"/>
    <w:multiLevelType w:val="hybridMultilevel"/>
    <w:lvl w:ilvl="0">
      <w:lvlJc w:val="left"/>
      <w:lvlText w:val="%1."/>
      <w:numFmt w:val="decimal"/>
      <w:start w:val="9"/>
    </w:lvl>
    <w:lvl w:ilvl="1">
      <w:lvlJc w:val="left"/>
      <w:lvlText w:val="%2"/>
      <w:numFmt w:val="lowerLetter"/>
      <w:start w:val="1"/>
    </w:lvl>
  </w:abstractNum>
  <w:abstractNum w:abstractNumId="117">
    <w:nsid w:val="5675FF36"/>
    <w:multiLevelType w:val="hybridMultilevel"/>
    <w:lvl w:ilvl="0">
      <w:lvlJc w:val="left"/>
      <w:lvlText w:val="%1."/>
      <w:numFmt w:val="lowerLetter"/>
      <w:start w:val="1"/>
    </w:lvl>
  </w:abstractNum>
  <w:abstractNum w:abstractNumId="118">
    <w:nsid w:val="3DD15094"/>
    <w:multiLevelType w:val="hybridMultilevel"/>
    <w:lvl w:ilvl="0">
      <w:lvlJc w:val="left"/>
      <w:lvlText w:val="%1."/>
      <w:numFmt w:val="lowerLetter"/>
      <w:start w:val="5"/>
    </w:lvl>
  </w:abstractNum>
  <w:abstractNum w:abstractNumId="119">
    <w:nsid w:val="3DB012B3"/>
    <w:multiLevelType w:val="hybridMultilevel"/>
    <w:lvl w:ilvl="0">
      <w:lvlJc w:val="left"/>
      <w:lvlText w:val="(%1)"/>
      <w:numFmt w:val="decimal"/>
      <w:start w:val="1"/>
    </w:lvl>
  </w:abstractNum>
  <w:abstractNum w:abstractNumId="120">
    <w:nsid w:val="2708C9AF"/>
    <w:multiLevelType w:val="hybridMultilevel"/>
    <w:lvl w:ilvl="0">
      <w:lvlJc w:val="left"/>
      <w:lvlText w:val="%1."/>
      <w:numFmt w:val="decimal"/>
      <w:start w:val="1"/>
    </w:lvl>
    <w:lvl w:ilvl="1">
      <w:lvlJc w:val="left"/>
      <w:lvlText w:val="(%2)"/>
      <w:numFmt w:val="lowerLetter"/>
      <w:start w:val="1"/>
    </w:lvl>
  </w:abstractNum>
  <w:abstractNum w:abstractNumId="121">
    <w:nsid w:val="5B25ACE2"/>
    <w:multiLevelType w:val="hybridMultilevel"/>
    <w:lvl w:ilvl="0">
      <w:lvlJc w:val="left"/>
      <w:lvlText w:val="%1."/>
      <w:numFmt w:val="decimal"/>
      <w:start w:val="1"/>
    </w:lvl>
    <w:lvl w:ilvl="1">
      <w:lvlJc w:val="left"/>
      <w:lvlText w:val="(%2)"/>
      <w:numFmt w:val="lowerLetter"/>
      <w:start w:val="1"/>
    </w:lvl>
  </w:abstractNum>
  <w:abstractNum w:abstractNumId="122">
    <w:nsid w:val="175DFCF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37" Type="http://schemas.openxmlformats.org/officeDocument/2006/relationships/image" Target="media/image315.png"/><Relationship Id="rId348" Type="http://schemas.openxmlformats.org/officeDocument/2006/relationships/image" Target="media/image316.png"/><Relationship Id="rId349" Type="http://schemas.openxmlformats.org/officeDocument/2006/relationships/image" Target="media/image317.png"/><Relationship Id="rId364" Type="http://schemas.openxmlformats.org/officeDocument/2006/relationships/image" Target="media/image318.png"/><Relationship Id="rId365" Type="http://schemas.openxmlformats.org/officeDocument/2006/relationships/image" Target="media/image319.png"/><Relationship Id="rId366" Type="http://schemas.openxmlformats.org/officeDocument/2006/relationships/image" Target="media/image320.png"/><Relationship Id="rId367" Type="http://schemas.openxmlformats.org/officeDocument/2006/relationships/image" Target="media/image321.png"/><Relationship Id="rId368" Type="http://schemas.openxmlformats.org/officeDocument/2006/relationships/image" Target="media/image322.png"/><Relationship Id="rId369" Type="http://schemas.openxmlformats.org/officeDocument/2006/relationships/image" Target="media/image323.png"/><Relationship Id="rId370" Type="http://schemas.openxmlformats.org/officeDocument/2006/relationships/image" Target="media/image324.png"/><Relationship Id="rId371" Type="http://schemas.openxmlformats.org/officeDocument/2006/relationships/image" Target="media/image325.png"/><Relationship Id="rId372" Type="http://schemas.openxmlformats.org/officeDocument/2006/relationships/image" Target="media/image326.png"/><Relationship Id="rId373" Type="http://schemas.openxmlformats.org/officeDocument/2006/relationships/image" Target="media/image327.png"/><Relationship Id="rId374" Type="http://schemas.openxmlformats.org/officeDocument/2006/relationships/image" Target="media/image328.png"/><Relationship Id="rId375" Type="http://schemas.openxmlformats.org/officeDocument/2006/relationships/image" Target="media/image329.png"/><Relationship Id="rId376" Type="http://schemas.openxmlformats.org/officeDocument/2006/relationships/image" Target="media/image330.png"/><Relationship Id="rId377" Type="http://schemas.openxmlformats.org/officeDocument/2006/relationships/image" Target="media/image331.png"/><Relationship Id="rId378" Type="http://schemas.openxmlformats.org/officeDocument/2006/relationships/image" Target="media/image332.png"/><Relationship Id="rId379" Type="http://schemas.openxmlformats.org/officeDocument/2006/relationships/image" Target="media/image333.png"/><Relationship Id="rId380" Type="http://schemas.openxmlformats.org/officeDocument/2006/relationships/image" Target="media/image334.png"/><Relationship Id="rId381" Type="http://schemas.openxmlformats.org/officeDocument/2006/relationships/image" Target="media/image335.png"/><Relationship Id="rId382" Type="http://schemas.openxmlformats.org/officeDocument/2006/relationships/image" Target="media/image336.png"/><Relationship Id="rId383" Type="http://schemas.openxmlformats.org/officeDocument/2006/relationships/image" Target="media/image337.png"/><Relationship Id="rId384" Type="http://schemas.openxmlformats.org/officeDocument/2006/relationships/image" Target="media/image338.png"/><Relationship Id="rId385" Type="http://schemas.openxmlformats.org/officeDocument/2006/relationships/image" Target="media/image339.png"/><Relationship Id="rId386" Type="http://schemas.openxmlformats.org/officeDocument/2006/relationships/image" Target="media/image340.png"/><Relationship Id="rId387" Type="http://schemas.openxmlformats.org/officeDocument/2006/relationships/image" Target="media/image341.png"/><Relationship Id="rId388" Type="http://schemas.openxmlformats.org/officeDocument/2006/relationships/image" Target="media/image342.png"/><Relationship Id="rId389" Type="http://schemas.openxmlformats.org/officeDocument/2006/relationships/image" Target="media/image343.png"/><Relationship Id="rId390" Type="http://schemas.openxmlformats.org/officeDocument/2006/relationships/image" Target="media/image344.png"/><Relationship Id="rId391" Type="http://schemas.openxmlformats.org/officeDocument/2006/relationships/image" Target="media/image345.png"/><Relationship Id="rId392" Type="http://schemas.openxmlformats.org/officeDocument/2006/relationships/image" Target="media/image346.png"/><Relationship Id="rId393" Type="http://schemas.openxmlformats.org/officeDocument/2006/relationships/image" Target="media/image347.png"/><Relationship Id="rId394" Type="http://schemas.openxmlformats.org/officeDocument/2006/relationships/image" Target="media/image348.png"/><Relationship Id="rId395" Type="http://schemas.openxmlformats.org/officeDocument/2006/relationships/image" Target="media/image349.png"/><Relationship Id="rId396" Type="http://schemas.openxmlformats.org/officeDocument/2006/relationships/image" Target="media/image350.png"/><Relationship Id="rId397" Type="http://schemas.openxmlformats.org/officeDocument/2006/relationships/image" Target="media/image351.png"/><Relationship Id="rId398" Type="http://schemas.openxmlformats.org/officeDocument/2006/relationships/image" Target="media/image352.png"/><Relationship Id="rId399" Type="http://schemas.openxmlformats.org/officeDocument/2006/relationships/image" Target="media/image353.png"/><Relationship Id="rId400" Type="http://schemas.openxmlformats.org/officeDocument/2006/relationships/image" Target="media/image354.png"/><Relationship Id="rId401" Type="http://schemas.openxmlformats.org/officeDocument/2006/relationships/image" Target="media/image355.png"/><Relationship Id="rId402" Type="http://schemas.openxmlformats.org/officeDocument/2006/relationships/image" Target="media/image356.png"/><Relationship Id="rId403" Type="http://schemas.openxmlformats.org/officeDocument/2006/relationships/image" Target="media/image357.png"/><Relationship Id="rId404" Type="http://schemas.openxmlformats.org/officeDocument/2006/relationships/image" Target="media/image358.png"/><Relationship Id="rId405" Type="http://schemas.openxmlformats.org/officeDocument/2006/relationships/image" Target="media/image359.png"/><Relationship Id="rId406" Type="http://schemas.openxmlformats.org/officeDocument/2006/relationships/image" Target="media/image360.png"/><Relationship Id="rId407" Type="http://schemas.openxmlformats.org/officeDocument/2006/relationships/image" Target="media/image361.png"/><Relationship Id="rId408" Type="http://schemas.openxmlformats.org/officeDocument/2006/relationships/image" Target="media/image362.png"/><Relationship Id="rId409" Type="http://schemas.openxmlformats.org/officeDocument/2006/relationships/image" Target="media/image363.png"/><Relationship Id="rId410" Type="http://schemas.openxmlformats.org/officeDocument/2006/relationships/image" Target="media/image364.png"/><Relationship Id="rId411" Type="http://schemas.openxmlformats.org/officeDocument/2006/relationships/image" Target="media/image365.png"/><Relationship Id="rId412" Type="http://schemas.openxmlformats.org/officeDocument/2006/relationships/image" Target="media/image366.png"/><Relationship Id="rId413" Type="http://schemas.openxmlformats.org/officeDocument/2006/relationships/image" Target="media/image367.png"/><Relationship Id="rId414" Type="http://schemas.openxmlformats.org/officeDocument/2006/relationships/image" Target="media/image368.png"/><Relationship Id="rId415" Type="http://schemas.openxmlformats.org/officeDocument/2006/relationships/image" Target="media/image369.png"/><Relationship Id="rId416" Type="http://schemas.openxmlformats.org/officeDocument/2006/relationships/image" Target="media/image370.png"/><Relationship Id="rId417" Type="http://schemas.openxmlformats.org/officeDocument/2006/relationships/image" Target="media/image371.png"/><Relationship Id="rId418" Type="http://schemas.openxmlformats.org/officeDocument/2006/relationships/image" Target="media/image372.png"/><Relationship Id="rId419" Type="http://schemas.openxmlformats.org/officeDocument/2006/relationships/image" Target="media/image373.png"/><Relationship Id="rId420" Type="http://schemas.openxmlformats.org/officeDocument/2006/relationships/image" Target="media/image374.png"/><Relationship Id="rId421" Type="http://schemas.openxmlformats.org/officeDocument/2006/relationships/image" Target="media/image375.png"/><Relationship Id="rId422" Type="http://schemas.openxmlformats.org/officeDocument/2006/relationships/image" Target="media/image376.png"/><Relationship Id="rId423" Type="http://schemas.openxmlformats.org/officeDocument/2006/relationships/image" Target="media/image377.png"/><Relationship Id="rId424" Type="http://schemas.openxmlformats.org/officeDocument/2006/relationships/image" Target="media/image378.png"/><Relationship Id="rId425" Type="http://schemas.openxmlformats.org/officeDocument/2006/relationships/image" Target="media/image379.png"/><Relationship Id="rId426" Type="http://schemas.openxmlformats.org/officeDocument/2006/relationships/image" Target="media/image380.png"/><Relationship Id="rId427" Type="http://schemas.openxmlformats.org/officeDocument/2006/relationships/image" Target="media/image381.png"/><Relationship Id="rId428" Type="http://schemas.openxmlformats.org/officeDocument/2006/relationships/image" Target="media/image382.png"/><Relationship Id="rId429" Type="http://schemas.openxmlformats.org/officeDocument/2006/relationships/image" Target="media/image383.png"/><Relationship Id="rId430" Type="http://schemas.openxmlformats.org/officeDocument/2006/relationships/image" Target="media/image384.png"/><Relationship Id="rId431" Type="http://schemas.openxmlformats.org/officeDocument/2006/relationships/image" Target="media/image385.png"/><Relationship Id="rId432" Type="http://schemas.openxmlformats.org/officeDocument/2006/relationships/image" Target="media/image386.png"/><Relationship Id="rId433" Type="http://schemas.openxmlformats.org/officeDocument/2006/relationships/image" Target="media/image387.png"/><Relationship Id="rId434" Type="http://schemas.openxmlformats.org/officeDocument/2006/relationships/image" Target="media/image388.png"/><Relationship Id="rId435" Type="http://schemas.openxmlformats.org/officeDocument/2006/relationships/image" Target="media/image389.png"/><Relationship Id="rId436" Type="http://schemas.openxmlformats.org/officeDocument/2006/relationships/image" Target="media/image390.png"/><Relationship Id="rId437" Type="http://schemas.openxmlformats.org/officeDocument/2006/relationships/image" Target="media/image391.png"/><Relationship Id="rId438" Type="http://schemas.openxmlformats.org/officeDocument/2006/relationships/image" Target="media/image392.png"/><Relationship Id="rId439" Type="http://schemas.openxmlformats.org/officeDocument/2006/relationships/image" Target="media/image393.png"/><Relationship Id="rId440" Type="http://schemas.openxmlformats.org/officeDocument/2006/relationships/image" Target="media/image394.png"/><Relationship Id="rId441" Type="http://schemas.openxmlformats.org/officeDocument/2006/relationships/image" Target="media/image395.png"/><Relationship Id="rId442" Type="http://schemas.openxmlformats.org/officeDocument/2006/relationships/image" Target="media/image396.png"/><Relationship Id="rId443" Type="http://schemas.openxmlformats.org/officeDocument/2006/relationships/image" Target="media/image397.png"/><Relationship Id="rId444" Type="http://schemas.openxmlformats.org/officeDocument/2006/relationships/image" Target="media/image398.png"/><Relationship Id="rId445" Type="http://schemas.openxmlformats.org/officeDocument/2006/relationships/image" Target="media/image399.png"/><Relationship Id="rId446" Type="http://schemas.openxmlformats.org/officeDocument/2006/relationships/image" Target="media/image400.png"/><Relationship Id="rId447" Type="http://schemas.openxmlformats.org/officeDocument/2006/relationships/image" Target="media/image401.png"/><Relationship Id="rId448" Type="http://schemas.openxmlformats.org/officeDocument/2006/relationships/image" Target="media/image402.png"/><Relationship Id="rId449" Type="http://schemas.openxmlformats.org/officeDocument/2006/relationships/image" Target="media/image403.png"/><Relationship Id="rId450" Type="http://schemas.openxmlformats.org/officeDocument/2006/relationships/image" Target="media/image404.png"/><Relationship Id="rId451" Type="http://schemas.openxmlformats.org/officeDocument/2006/relationships/image" Target="media/image405.png"/><Relationship Id="rId452" Type="http://schemas.openxmlformats.org/officeDocument/2006/relationships/image" Target="media/image406.png"/><Relationship Id="rId453" Type="http://schemas.openxmlformats.org/officeDocument/2006/relationships/image" Target="media/image407.png"/><Relationship Id="rId454" Type="http://schemas.openxmlformats.org/officeDocument/2006/relationships/image" Target="media/image408.png"/><Relationship Id="rId455" Type="http://schemas.openxmlformats.org/officeDocument/2006/relationships/image" Target="media/image409.png"/><Relationship Id="rId456" Type="http://schemas.openxmlformats.org/officeDocument/2006/relationships/image" Target="media/image410.png"/><Relationship Id="rId457" Type="http://schemas.openxmlformats.org/officeDocument/2006/relationships/image" Target="media/image411.png"/><Relationship Id="rId458" Type="http://schemas.openxmlformats.org/officeDocument/2006/relationships/image" Target="media/image412.png"/><Relationship Id="rId459" Type="http://schemas.openxmlformats.org/officeDocument/2006/relationships/image" Target="media/image413.png"/><Relationship Id="rId460" Type="http://schemas.openxmlformats.org/officeDocument/2006/relationships/image" Target="media/image414.png"/><Relationship Id="rId461" Type="http://schemas.openxmlformats.org/officeDocument/2006/relationships/image" Target="media/image415.png"/><Relationship Id="rId462" Type="http://schemas.openxmlformats.org/officeDocument/2006/relationships/image" Target="media/image416.png"/><Relationship Id="rId463" Type="http://schemas.openxmlformats.org/officeDocument/2006/relationships/image" Target="media/image417.png"/><Relationship Id="rId464" Type="http://schemas.openxmlformats.org/officeDocument/2006/relationships/image" Target="media/image418.png"/><Relationship Id="rId465" Type="http://schemas.openxmlformats.org/officeDocument/2006/relationships/image" Target="media/image419.png"/><Relationship Id="rId466" Type="http://schemas.openxmlformats.org/officeDocument/2006/relationships/image" Target="media/image420.png"/><Relationship Id="rId467" Type="http://schemas.openxmlformats.org/officeDocument/2006/relationships/image" Target="media/image421.png"/><Relationship Id="rId468" Type="http://schemas.openxmlformats.org/officeDocument/2006/relationships/image" Target="media/image422.png"/><Relationship Id="rId469" Type="http://schemas.openxmlformats.org/officeDocument/2006/relationships/image" Target="media/image423.png"/><Relationship Id="rId470" Type="http://schemas.openxmlformats.org/officeDocument/2006/relationships/image" Target="media/image424.png"/><Relationship Id="rId471" Type="http://schemas.openxmlformats.org/officeDocument/2006/relationships/image" Target="media/image425.png"/><Relationship Id="rId472" Type="http://schemas.openxmlformats.org/officeDocument/2006/relationships/image" Target="media/image426.png"/><Relationship Id="rId473" Type="http://schemas.openxmlformats.org/officeDocument/2006/relationships/image" Target="media/image427.png"/><Relationship Id="rId474" Type="http://schemas.openxmlformats.org/officeDocument/2006/relationships/image" Target="media/image428.png"/><Relationship Id="rId475" Type="http://schemas.openxmlformats.org/officeDocument/2006/relationships/image" Target="media/image429.png"/><Relationship Id="rId476" Type="http://schemas.openxmlformats.org/officeDocument/2006/relationships/image" Target="media/image430.png"/><Relationship Id="rId477" Type="http://schemas.openxmlformats.org/officeDocument/2006/relationships/image" Target="media/image431.png"/><Relationship Id="rId478" Type="http://schemas.openxmlformats.org/officeDocument/2006/relationships/image" Target="media/image432.png"/><Relationship Id="rId479" Type="http://schemas.openxmlformats.org/officeDocument/2006/relationships/image" Target="media/image433.png"/><Relationship Id="rId480" Type="http://schemas.openxmlformats.org/officeDocument/2006/relationships/image" Target="media/image434.png"/><Relationship Id="rId481" Type="http://schemas.openxmlformats.org/officeDocument/2006/relationships/image" Target="media/image435.png"/><Relationship Id="rId482" Type="http://schemas.openxmlformats.org/officeDocument/2006/relationships/image" Target="media/image436.png"/><Relationship Id="rId483" Type="http://schemas.openxmlformats.org/officeDocument/2006/relationships/image" Target="media/image437.png"/><Relationship Id="rId484" Type="http://schemas.openxmlformats.org/officeDocument/2006/relationships/image" Target="media/image438.png"/><Relationship Id="rId485" Type="http://schemas.openxmlformats.org/officeDocument/2006/relationships/image" Target="media/image439.png"/><Relationship Id="rId486" Type="http://schemas.openxmlformats.org/officeDocument/2006/relationships/image" Target="media/image440.png"/><Relationship Id="rId487" Type="http://schemas.openxmlformats.org/officeDocument/2006/relationships/image" Target="media/image441.png"/><Relationship Id="rId488" Type="http://schemas.openxmlformats.org/officeDocument/2006/relationships/image" Target="media/image442.png"/><Relationship Id="rId489" Type="http://schemas.openxmlformats.org/officeDocument/2006/relationships/image" Target="media/image443.png"/><Relationship Id="rId490" Type="http://schemas.openxmlformats.org/officeDocument/2006/relationships/image" Target="media/image444.png"/><Relationship Id="rId491" Type="http://schemas.openxmlformats.org/officeDocument/2006/relationships/image" Target="media/image445.png"/><Relationship Id="rId492" Type="http://schemas.openxmlformats.org/officeDocument/2006/relationships/image" Target="media/image446.png"/><Relationship Id="rId493" Type="http://schemas.openxmlformats.org/officeDocument/2006/relationships/image" Target="media/image447.png"/><Relationship Id="rId494" Type="http://schemas.openxmlformats.org/officeDocument/2006/relationships/image" Target="media/image448.png"/><Relationship Id="rId495" Type="http://schemas.openxmlformats.org/officeDocument/2006/relationships/image" Target="media/image449.png"/><Relationship Id="rId496" Type="http://schemas.openxmlformats.org/officeDocument/2006/relationships/image" Target="media/image450.png"/><Relationship Id="rId497" Type="http://schemas.openxmlformats.org/officeDocument/2006/relationships/image" Target="media/image451.png"/><Relationship Id="rId498" Type="http://schemas.openxmlformats.org/officeDocument/2006/relationships/image" Target="media/image452.png"/><Relationship Id="rId499" Type="http://schemas.openxmlformats.org/officeDocument/2006/relationships/image" Target="media/image453.png"/><Relationship Id="rId500" Type="http://schemas.openxmlformats.org/officeDocument/2006/relationships/image" Target="media/image454.png"/><Relationship Id="rId501" Type="http://schemas.openxmlformats.org/officeDocument/2006/relationships/image" Target="media/image455.png"/><Relationship Id="rId502" Type="http://schemas.openxmlformats.org/officeDocument/2006/relationships/image" Target="media/image456.png"/><Relationship Id="rId503" Type="http://schemas.openxmlformats.org/officeDocument/2006/relationships/image" Target="media/image457.png"/><Relationship Id="rId504" Type="http://schemas.openxmlformats.org/officeDocument/2006/relationships/image" Target="media/image458.png"/><Relationship Id="rId505" Type="http://schemas.openxmlformats.org/officeDocument/2006/relationships/image" Target="media/image459.png"/><Relationship Id="rId506" Type="http://schemas.openxmlformats.org/officeDocument/2006/relationships/image" Target="media/image460.png"/><Relationship Id="rId507" Type="http://schemas.openxmlformats.org/officeDocument/2006/relationships/image" Target="media/image461.png"/><Relationship Id="rId508" Type="http://schemas.openxmlformats.org/officeDocument/2006/relationships/image" Target="media/image462.png"/><Relationship Id="rId509" Type="http://schemas.openxmlformats.org/officeDocument/2006/relationships/image" Target="media/image463.png"/><Relationship Id="rId510" Type="http://schemas.openxmlformats.org/officeDocument/2006/relationships/image" Target="media/image464.png"/><Relationship Id="rId511" Type="http://schemas.openxmlformats.org/officeDocument/2006/relationships/image" Target="media/image465.png"/><Relationship Id="rId512" Type="http://schemas.openxmlformats.org/officeDocument/2006/relationships/image" Target="media/image466.png"/><Relationship Id="rId513" Type="http://schemas.openxmlformats.org/officeDocument/2006/relationships/image" Target="media/image467.png"/><Relationship Id="rId514" Type="http://schemas.openxmlformats.org/officeDocument/2006/relationships/image" Target="media/image468.png"/><Relationship Id="rId515" Type="http://schemas.openxmlformats.org/officeDocument/2006/relationships/image" Target="media/image469.png"/><Relationship Id="rId516" Type="http://schemas.openxmlformats.org/officeDocument/2006/relationships/image" Target="media/image470.png"/><Relationship Id="rId517" Type="http://schemas.openxmlformats.org/officeDocument/2006/relationships/image" Target="media/image471.png"/><Relationship Id="rId518" Type="http://schemas.openxmlformats.org/officeDocument/2006/relationships/image" Target="media/image472.png"/><Relationship Id="rId519" Type="http://schemas.openxmlformats.org/officeDocument/2006/relationships/image" Target="media/image473.png"/><Relationship Id="rId520" Type="http://schemas.openxmlformats.org/officeDocument/2006/relationships/image" Target="media/image474.png"/><Relationship Id="rId322" Type="http://schemas.openxmlformats.org/officeDocument/2006/relationships/hyperlink" Target="https://www.sec.gov/Archives/edgar/data/1544227/000110465921042768/tm2111026d1_ex2-1.htm" TargetMode="External"/><Relationship Id="rId323" Type="http://schemas.openxmlformats.org/officeDocument/2006/relationships/hyperlink" Target="https://www.sec.gov/Archives/edgar/data/1544227/000155837019005038/mlnd-20190331ex31b53fa83.htm" TargetMode="External"/><Relationship Id="rId324" Type="http://schemas.openxmlformats.org/officeDocument/2006/relationships/hyperlink" Target="https://www.sec.gov/Archives/edgar/data/1544227/000119312521201157/d196630dex31.htm" TargetMode="External"/><Relationship Id="rId325" Type="http://schemas.openxmlformats.org/officeDocument/2006/relationships/hyperlink" Target="https://www.sec.gov/Archives/edgar/data/1544227/000119312521201157/d196630dex32.htm" TargetMode="External"/><Relationship Id="rId326" Type="http://schemas.openxmlformats.org/officeDocument/2006/relationships/hyperlink" Target="https://www.sec.gov/Archives/edgar/data/1544227/000119312523253882/d547808dex31.htm" TargetMode="External"/><Relationship Id="rId327" Type="http://schemas.openxmlformats.org/officeDocument/2006/relationships/hyperlink" Target="https://www.sec.gov/Archives/edgar/data/1544227/000119312525073987/d905141dex31.htm" TargetMode="External"/><Relationship Id="rId328" Type="http://schemas.openxmlformats.org/officeDocument/2006/relationships/hyperlink" Target="https://www.sec.gov/Archives/edgar/data/1544227/000119312521281694/d222030dex31.htm" TargetMode="External"/><Relationship Id="rId329" Type="http://schemas.openxmlformats.org/officeDocument/2006/relationships/hyperlink" Target="https://www.sec.gov/ix?doc=/Archives/edgar/data/0001544227/000095017024033555/tpst-20231231.htm" TargetMode="External"/><Relationship Id="rId330" Type="http://schemas.openxmlformats.org/officeDocument/2006/relationships/hyperlink" Target="https://www.sec.gov/Archives/edgar/data/1544227/000119312523253882/d547808dex41.htm" TargetMode="External"/><Relationship Id="rId331" Type="http://schemas.openxmlformats.org/officeDocument/2006/relationships/hyperlink" Target="https://www.sec.gov/ix?doc=/Archives/edgar/data/0001544227/000119312524235598/d877681d8k.htm" TargetMode="External"/><Relationship Id="rId332" Type="http://schemas.openxmlformats.org/officeDocument/2006/relationships/hyperlink" Target="https://www.sec.gov/ix?doc=/Archives/edgar/data/0001544227/000119312524272464/d899818d8k.htm" TargetMode="External"/><Relationship Id="rId333" Type="http://schemas.openxmlformats.org/officeDocument/2006/relationships/hyperlink" Target="https://www.sec.gov/Archives/edgar/data/1544227/000119312525298604/d37881dex42.htm" TargetMode="External"/><Relationship Id="rId334" Type="http://schemas.openxmlformats.org/officeDocument/2006/relationships/hyperlink" Target="https://www.sec.gov/Archives/edgar/data/1544227/000119312525298604/d37881dex43.htm" TargetMode="External"/><Relationship Id="rId335" Type="http://schemas.openxmlformats.org/officeDocument/2006/relationships/hyperlink" Target="https://www.sec.gov/Archives/edgar/data/1544227/000119312526041190/d159400dex41.htm" TargetMode="External"/><Relationship Id="rId336" Type="http://schemas.openxmlformats.org/officeDocument/2006/relationships/hyperlink" Target="https://www.sec.gov/Archives/edgar/data/1544227/000119312521208968/d184348dex102.htm" TargetMode="External"/><Relationship Id="rId338" Type="http://schemas.openxmlformats.org/officeDocument/2006/relationships/hyperlink" Target="https://www.sec.gov/Archives/edgar/data/1544227/000119312521208968/d184348dex101.htm" TargetMode="External"/><Relationship Id="rId339" Type="http://schemas.openxmlformats.org/officeDocument/2006/relationships/hyperlink" Target="https://www.sec.gov/Archives/edgar/data/1544227/000162828022007717/tempest-2017eipxformofst.htm" TargetMode="External"/><Relationship Id="rId340" Type="http://schemas.openxmlformats.org/officeDocument/2006/relationships/hyperlink" Target="https://www.sec.gov/Archives/edgar/data/1544227/000119312522177053/d370249dex101.htm" TargetMode="External"/><Relationship Id="rId341" Type="http://schemas.openxmlformats.org/officeDocument/2006/relationships/hyperlink" Target="https://www.sec.gov/Archives/edgar/data/1544227/000155837019007932/mlnd-20190630ex107cfce16.htm" TargetMode="External"/><Relationship Id="rId342" Type="http://schemas.openxmlformats.org/officeDocument/2006/relationships/hyperlink" Target="https://www.sec.gov/Archives/edgar/data/1544227/000154422720000004/mlnd-20191231xex1016.htm" TargetMode="External"/><Relationship Id="rId343" Type="http://schemas.openxmlformats.org/officeDocument/2006/relationships/hyperlink" Target="https://www.sec.gov/Archives/edgar/data/1544227/000154422720000004/mlnd-201912x31xex1017.htm" TargetMode="External"/><Relationship Id="rId344" Type="http://schemas.openxmlformats.org/officeDocument/2006/relationships/hyperlink" Target="https://www.sec.gov/Archives/edgar/data/1544227/000119312522177053/d370249dex102.htm" TargetMode="External"/><Relationship Id="rId345" Type="http://schemas.openxmlformats.org/officeDocument/2006/relationships/hyperlink" Target="https://www.sec.gov/Archives/edgar/data/1544227/000119312521209988/d69289dex101.htm" TargetMode="External"/><Relationship Id="rId346" Type="http://schemas.openxmlformats.org/officeDocument/2006/relationships/hyperlink" Target="https://www.sec.gov/Archives/edgar/data/1544227/000095017023009237/tpst-ex10_24.htm" TargetMode="External"/><Relationship Id="rId347" Type="http://schemas.openxmlformats.org/officeDocument/2006/relationships/hyperlink" Target="https://www.sec.gov/Archives/edgar/data/1544227/000095017023041429/tpst-ex10_1.htm" TargetMode="External"/><Relationship Id="rId350" Type="http://schemas.openxmlformats.org/officeDocument/2006/relationships/hyperlink" Target="https://www.sec.gov/Archives/edgar/data/1544227/000095017023041429/tpst-ex10_2.htm" TargetMode="External"/><Relationship Id="rId351" Type="http://schemas.openxmlformats.org/officeDocument/2006/relationships/hyperlink" Target="https://www.sec.gov/Archives/edgar/data/1544227/000095017023041429/tpst-ex10_3.htm" TargetMode="External"/><Relationship Id="rId352" Type="http://schemas.openxmlformats.org/officeDocument/2006/relationships/hyperlink" Target="https://www.sec.gov/Archives/edgar/data/1544227/000095017023041429/tpst-ex10_4.htm" TargetMode="External"/><Relationship Id="rId353" Type="http://schemas.openxmlformats.org/officeDocument/2006/relationships/hyperlink" Target="https://www.sec.gov/Archives/edgar/data/1544227/000095017025046144/tpst-ex10_32.htm" TargetMode="External"/><Relationship Id="rId354" Type="http://schemas.openxmlformats.org/officeDocument/2006/relationships/hyperlink" Target="https://www.sec.gov/Archives/edgar/data/1544227/000095017025106558/tpst-ex10_7.htm" TargetMode="External"/><Relationship Id="rId355" Type="http://schemas.openxmlformats.org/officeDocument/2006/relationships/hyperlink" Target="https://www.sec.gov/Archives/edgar/data/1544227/000095017025106558/tpst-ex10_3.htm" TargetMode="External"/><Relationship Id="rId356" Type="http://schemas.openxmlformats.org/officeDocument/2006/relationships/hyperlink" Target="https://www.sec.gov/Archives/edgar/data/1544227/000095017025106558/tpst-ex10_4.htm" TargetMode="External"/><Relationship Id="rId357" Type="http://schemas.openxmlformats.org/officeDocument/2006/relationships/hyperlink" Target="https://www.sec.gov/Archives/edgar/data/1544227/000095017025106558/tpst-ex10_5.htm" TargetMode="External"/><Relationship Id="rId358" Type="http://schemas.openxmlformats.org/officeDocument/2006/relationships/hyperlink" Target="https://www.sec.gov/Archives/edgar/data/1544227/000095017025106558/tpst-ex10_2.htm" TargetMode="External"/><Relationship Id="rId359" Type="http://schemas.openxmlformats.org/officeDocument/2006/relationships/hyperlink" Target="https://www.sec.gov/Archives/edgar/data/1544227/000095017025106558/tpst-ex10_6.htm" TargetMode="External"/><Relationship Id="rId360" Type="http://schemas.openxmlformats.org/officeDocument/2006/relationships/hyperlink" Target="https://www.sec.gov/Archives/edgar/data/1544227/000119312525287163/d97617dex101.htm" TargetMode="External"/><Relationship Id="rId361" Type="http://schemas.openxmlformats.org/officeDocument/2006/relationships/hyperlink" Target="https://www.sec.gov/Archives/edgar/data/1544227/000119312525287163/d97617dex102.htm" TargetMode="External"/><Relationship Id="rId362" Type="http://schemas.openxmlformats.org/officeDocument/2006/relationships/hyperlink" Target="https://www.sec.gov/Archives/edgar/data/1544227/000095017025046144/tpst-ex19_1.htm" TargetMode="External"/><Relationship Id="rId363" Type="http://schemas.openxmlformats.org/officeDocument/2006/relationships/hyperlink" Target="https://www.sec.gov/Archives/edgar/data/1544227/000119312522092417/d328059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2026-03-30T07:41:14Z</dcterms:created>
  <dcterms:modified xsi:type="dcterms:W3CDTF">2026-03-30T07:41:14Z</dcterms:modified>
</cp:coreProperties>
</file>