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75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757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RAAB MICHAEL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4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Millendo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TPST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4.97</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06/25/2021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jc w:val="center"/>
              <w:ind w:left="21"/>
              <w:spacing w:after="0"/>
              <w:rPr>
                <w:sz w:val="20"/>
                <w:szCs w:val="20"/>
                <w:color w:val="auto"/>
              </w:rPr>
            </w:pPr>
            <w:r>
              <w:rPr>
                <w:rFonts w:ascii="Arial" w:cs="Arial" w:eastAsia="Arial" w:hAnsi="Arial"/>
                <w:sz w:val="13"/>
                <w:szCs w:val="13"/>
                <w:color w:val="0000FF"/>
                <w:w w:val="85"/>
              </w:rPr>
              <w:t>16,784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12/18/2028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12"/>
              <w:spacing w:after="0" w:line="189" w:lineRule="exact"/>
              <w:rPr>
                <w:sz w:val="20"/>
                <w:szCs w:val="20"/>
                <w:color w:val="auto"/>
              </w:rPr>
            </w:pPr>
            <w:r>
              <w:rPr>
                <w:rFonts w:ascii="Arial" w:cs="Arial" w:eastAsia="Arial" w:hAnsi="Arial"/>
                <w:sz w:val="17"/>
                <w:szCs w:val="17"/>
                <w:color w:val="0000FF"/>
                <w:w w:val="88"/>
              </w:rPr>
              <w:t>16,784</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(1)</w:t>
            </w:r>
          </w:p>
        </w:tc>
        <w:tc>
          <w:tcPr>
            <w:tcW w:w="580" w:type="dxa"/>
            <w:vAlign w:val="bottom"/>
          </w:tcPr>
          <w:p>
            <w:pPr>
              <w:jc w:val="center"/>
              <w:ind w:left="160"/>
              <w:spacing w:after="0"/>
              <w:rPr>
                <w:sz w:val="20"/>
                <w:szCs w:val="20"/>
                <w:color w:val="auto"/>
              </w:rPr>
            </w:pPr>
            <w:r>
              <w:rPr>
                <w:rFonts w:ascii="Arial" w:cs="Arial" w:eastAsia="Arial" w:hAnsi="Arial"/>
                <w:sz w:val="13"/>
                <w:szCs w:val="13"/>
                <w:color w:val="0000FF"/>
                <w:w w:val="90"/>
              </w:rPr>
              <w:t>16,784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5.9</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06/25/2021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21"/>
              <w:spacing w:after="0"/>
              <w:rPr>
                <w:sz w:val="20"/>
                <w:szCs w:val="20"/>
                <w:color w:val="auto"/>
              </w:rPr>
            </w:pPr>
            <w:r>
              <w:rPr>
                <w:rFonts w:ascii="Arial" w:cs="Arial" w:eastAsia="Arial" w:hAnsi="Arial"/>
                <w:sz w:val="13"/>
                <w:szCs w:val="13"/>
                <w:color w:val="0000FF"/>
                <w:w w:val="92"/>
              </w:rPr>
              <w:t>9,660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8"/>
              </w:rPr>
              <w:t>03/29/2030</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2"/>
              <w:spacing w:after="0"/>
              <w:rPr>
                <w:sz w:val="20"/>
                <w:szCs w:val="20"/>
                <w:color w:val="auto"/>
              </w:rPr>
            </w:pPr>
            <w:r>
              <w:rPr>
                <w:rFonts w:ascii="Arial" w:cs="Arial" w:eastAsia="Arial" w:hAnsi="Arial"/>
                <w:sz w:val="17"/>
                <w:szCs w:val="17"/>
                <w:color w:val="0000FF"/>
                <w:w w:val="89"/>
              </w:rPr>
              <w:t>9,660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008000"/>
              </w:rPr>
              <w:t>(1)</w:t>
            </w:r>
          </w:p>
        </w:tc>
        <w:tc>
          <w:tcPr>
            <w:tcW w:w="580" w:type="dxa"/>
            <w:vAlign w:val="bottom"/>
            <w:vMerge w:val="restart"/>
          </w:tcPr>
          <w:p>
            <w:pPr>
              <w:jc w:val="center"/>
              <w:ind w:left="140"/>
              <w:spacing w:after="0"/>
              <w:rPr>
                <w:sz w:val="20"/>
                <w:szCs w:val="20"/>
                <w:color w:val="auto"/>
              </w:rPr>
            </w:pPr>
            <w:r>
              <w:rPr>
                <w:rFonts w:ascii="Arial" w:cs="Arial" w:eastAsia="Arial" w:hAnsi="Arial"/>
                <w:sz w:val="13"/>
                <w:szCs w:val="13"/>
                <w:color w:val="0000FF"/>
                <w:w w:val="92"/>
              </w:rPr>
              <w:t>9,660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10.25</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06/25/2021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21"/>
              <w:spacing w:after="0"/>
              <w:rPr>
                <w:sz w:val="20"/>
                <w:szCs w:val="20"/>
                <w:color w:val="auto"/>
              </w:rPr>
            </w:pPr>
            <w:r>
              <w:rPr>
                <w:rFonts w:ascii="Arial" w:cs="Arial" w:eastAsia="Arial" w:hAnsi="Arial"/>
                <w:sz w:val="13"/>
                <w:szCs w:val="13"/>
                <w:color w:val="0000FF"/>
                <w:w w:val="92"/>
              </w:rPr>
              <w:t>4,830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8"/>
              </w:rPr>
              <w:t>03/09/2031</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2"/>
              <w:spacing w:after="0"/>
              <w:rPr>
                <w:sz w:val="20"/>
                <w:szCs w:val="20"/>
                <w:color w:val="auto"/>
              </w:rPr>
            </w:pPr>
            <w:r>
              <w:rPr>
                <w:rFonts w:ascii="Arial" w:cs="Arial" w:eastAsia="Arial" w:hAnsi="Arial"/>
                <w:sz w:val="17"/>
                <w:szCs w:val="17"/>
                <w:color w:val="0000FF"/>
                <w:w w:val="89"/>
              </w:rPr>
              <w:t>4,830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008000"/>
              </w:rPr>
              <w:t>(1)</w:t>
            </w:r>
          </w:p>
        </w:tc>
        <w:tc>
          <w:tcPr>
            <w:tcW w:w="580" w:type="dxa"/>
            <w:vAlign w:val="bottom"/>
            <w:vMerge w:val="restart"/>
          </w:tcPr>
          <w:p>
            <w:pPr>
              <w:jc w:val="center"/>
              <w:ind w:left="140"/>
              <w:spacing w:after="0"/>
              <w:rPr>
                <w:sz w:val="20"/>
                <w:szCs w:val="20"/>
                <w:color w:val="auto"/>
              </w:rPr>
            </w:pPr>
            <w:r>
              <w:rPr>
                <w:rFonts w:ascii="Arial" w:cs="Arial" w:eastAsia="Arial" w:hAnsi="Arial"/>
                <w:sz w:val="13"/>
                <w:szCs w:val="13"/>
                <w:color w:val="0000FF"/>
                <w:w w:val="92"/>
              </w:rPr>
              <w:t>4,830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00" w:firstLine="2"/>
        <w:spacing w:after="0" w:line="257"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merger of Millendo Therapeutics, Inc. ("Millendo") and private company Tempest Therapeutics, Inc. ("Tempest"), pursuant to the Agreement and Plan of Merger dated March 29, 2021 (the "Merger Agreement"), which closed on June 25, 2021 ("Closing"), (i) each share of Tempest's common stock converted into the right to receive approximately 0.0322 shares of Millendo common stock (the "Exchange Ratio"), and (ii) each outstanding and unexercised option to purchase shares of Tempest common stock converted into an option to purchase shares of Millendo's common stock, with necessary adjustments to reflect the Exchange Ratio but otherwise the same terms and conditions. The Exchange Ratio gives effect to the 15-to-1 reverse stock split of Millendo's common stock. On the Closing date, the closing price of Millendo common stock was $1.06 (unadjusted). Upon Closing, Millendo was renamed "Tempest Therapeutics, Inc."</w:t>
      </w:r>
    </w:p>
    <w:p>
      <w:pPr>
        <w:spacing w:after="0" w:line="21" w:lineRule="exact"/>
        <w:rPr>
          <w:rFonts w:ascii="Arial" w:cs="Arial" w:eastAsia="Arial" w:hAnsi="Arial"/>
          <w:sz w:val="12"/>
          <w:szCs w:val="12"/>
          <w:color w:val="008000"/>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vest in a series of 48 equal monthly installments measured from the vesting commencement date of January 1, 2019, subject to the reporting person's continued service. These stock options provide for an early exercise provision of unvested shares, subject to the Issuer's right to repurchase.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stock options vest in a series of 48 equal monthly installments measured from the vesting commencement date of February 20, 2020, subject to the reporting person's continued service.</w:t>
      </w:r>
    </w:p>
    <w:p>
      <w:pPr>
        <w:spacing w:after="0" w:line="55"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vest in a series of 48 equal monthly installments measured from the vesting commencement date of March 5, 2021, subject to the reporting person's continued service.</w:t>
      </w:r>
    </w:p>
    <w:p>
      <w:pPr>
        <w:spacing w:after="0" w:line="1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Pierre Lorenzo, attorney-in-</w:t>
      </w:r>
      <w:r>
        <w:rPr>
          <w:sz w:val="20"/>
          <w:szCs w:val="20"/>
          <w:color w:val="auto"/>
        </w:rPr>
        <w:tab/>
      </w:r>
      <w:r>
        <w:rPr>
          <w:rFonts w:ascii="Arial" w:cs="Arial" w:eastAsia="Arial" w:hAnsi="Arial"/>
          <w:sz w:val="22"/>
          <w:szCs w:val="22"/>
          <w:color w:val="0000FF"/>
          <w:vertAlign w:val="subscript"/>
        </w:rPr>
        <w:t>06/29/2021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for Michael 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30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091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2021-06-29T21:06:10Z</dcterms:created>
  <dcterms:modified xsi:type="dcterms:W3CDTF">2021-06-29T21:06:10Z</dcterms:modified>
</cp:coreProperties>
</file>