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540" w:right="60" w:hanging="424"/>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4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001-35890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Tempest Therapeutics,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4360" w:type="dxa"/>
            <w:vAlign w:val="bottom"/>
          </w:tcPr>
          <w:p>
            <w:pPr>
              <w:jc w:val="center"/>
              <w:ind w:right="1799"/>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right"/>
              <w:ind w:right="41"/>
              <w:spacing w:after="0"/>
              <w:rPr>
                <w:sz w:val="20"/>
                <w:szCs w:val="20"/>
                <w:color w:val="auto"/>
              </w:rPr>
            </w:pPr>
            <w:r>
              <w:rPr>
                <w:rFonts w:ascii="Arial" w:cs="Arial" w:eastAsia="Arial" w:hAnsi="Arial"/>
                <w:sz w:val="18"/>
                <w:szCs w:val="18"/>
                <w:b w:val="1"/>
                <w:bCs w:val="1"/>
                <w:color w:val="auto"/>
              </w:rPr>
              <w:t>45-1472564</w:t>
            </w:r>
          </w:p>
        </w:tc>
      </w:tr>
      <w:tr>
        <w:trPr>
          <w:trHeight w:val="148"/>
        </w:trPr>
        <w:tc>
          <w:tcPr>
            <w:tcW w:w="436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00" w:type="dxa"/>
            <w:vAlign w:val="bottom"/>
          </w:tcPr>
          <w:p>
            <w:pPr>
              <w:jc w:val="center"/>
              <w:ind w:left="18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Incorporation or Organization)</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4360" w:type="dxa"/>
            <w:vAlign w:val="bottom"/>
          </w:tcPr>
          <w:p>
            <w:pPr>
              <w:jc w:val="center"/>
              <w:ind w:right="1799"/>
              <w:spacing w:after="0"/>
              <w:rPr>
                <w:sz w:val="20"/>
                <w:szCs w:val="20"/>
                <w:color w:val="auto"/>
              </w:rPr>
            </w:pPr>
            <w:r>
              <w:rPr>
                <w:rFonts w:ascii="Arial" w:cs="Arial" w:eastAsia="Arial" w:hAnsi="Arial"/>
                <w:sz w:val="18"/>
                <w:szCs w:val="18"/>
                <w:b w:val="1"/>
                <w:bCs w:val="1"/>
                <w:color w:val="auto"/>
                <w:w w:val="90"/>
              </w:rPr>
              <w:t>7000 Shoreline Court, Suite 275</w:t>
            </w:r>
          </w:p>
        </w:tc>
        <w:tc>
          <w:tcPr>
            <w:tcW w:w="3000" w:type="dxa"/>
            <w:vAlign w:val="bottom"/>
          </w:tcPr>
          <w:p>
            <w:pPr>
              <w:spacing w:after="0"/>
              <w:rPr>
                <w:sz w:val="24"/>
                <w:szCs w:val="24"/>
                <w:color w:val="auto"/>
              </w:rPr>
            </w:pPr>
          </w:p>
        </w:tc>
      </w:tr>
      <w:tr>
        <w:trPr>
          <w:trHeight w:val="225"/>
        </w:trPr>
        <w:tc>
          <w:tcPr>
            <w:tcW w:w="4360" w:type="dxa"/>
            <w:vAlign w:val="bottom"/>
          </w:tcPr>
          <w:p>
            <w:pPr>
              <w:jc w:val="center"/>
              <w:ind w:right="1819"/>
              <w:spacing w:after="0"/>
              <w:rPr>
                <w:sz w:val="20"/>
                <w:szCs w:val="20"/>
                <w:color w:val="auto"/>
              </w:rPr>
            </w:pPr>
            <w:r>
              <w:rPr>
                <w:rFonts w:ascii="Arial" w:cs="Arial" w:eastAsia="Arial" w:hAnsi="Arial"/>
                <w:sz w:val="18"/>
                <w:szCs w:val="18"/>
                <w:b w:val="1"/>
                <w:bCs w:val="1"/>
                <w:color w:val="auto"/>
                <w:w w:val="90"/>
              </w:rPr>
              <w:t>South San Francisco, California</w:t>
            </w:r>
          </w:p>
        </w:tc>
        <w:tc>
          <w:tcPr>
            <w:tcW w:w="300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86"/>
        </w:trPr>
        <w:tc>
          <w:tcPr>
            <w:tcW w:w="4360" w:type="dxa"/>
            <w:vAlign w:val="bottom"/>
          </w:tcPr>
          <w:p>
            <w:pPr>
              <w:jc w:val="center"/>
              <w:ind w:right="18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(415) 798-8589</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229235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1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TPST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Capital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82" w:lineRule="exact"/>
        <w:rPr>
          <w:sz w:val="24"/>
          <w:szCs w:val="24"/>
          <w:color w:val="auto"/>
        </w:rPr>
      </w:pPr>
    </w:p>
    <w:p>
      <w:pPr>
        <w:ind w:left="120"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140"/>
          </w:cols>
          <w:pgMar w:left="320" w:top="230" w:right="439" w:bottom="0" w:gutter="0" w:footer="0" w:header="0"/>
        </w:sectPr>
      </w:pPr>
    </w:p>
    <w:bookmarkStart w:id="1" w:name="page2"/>
    <w:bookmarkEnd w:id="1"/>
    <w:p>
      <w:pPr>
        <w:spacing w:after="0" w:line="207" w:lineRule="exact"/>
        <w:tabs>
          <w:tab w:leader="none" w:pos="7560" w:val="left"/>
          <w:tab w:leader="none" w:pos="82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Registrant’s Common Stock, $0.001 par value per share, outstanding as of August 10, 2021 was 6,703,242.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175260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217805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9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FORM 10-Q</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60" w:type="dxa"/>
            <w:vAlign w:val="bottom"/>
            <w:gridSpan w:val="13"/>
            <w:vMerge w:val="restart"/>
          </w:tcPr>
          <w:p>
            <w:pPr>
              <w:jc w:val="center"/>
              <w:ind w:right="2540"/>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PART I — FINANCIAL INFORMATION</w:t>
              </w:r>
            </w:hyperlink>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60" w:type="dxa"/>
            <w:vAlign w:val="bottom"/>
            <w:gridSpan w:val="13"/>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Financial Statements (unaudited):</w:t>
              </w:r>
            </w:hyperlink>
          </w:p>
        </w:tc>
        <w:tc>
          <w:tcPr>
            <w:tcW w:w="840" w:type="dxa"/>
            <w:vAlign w:val="bottom"/>
          </w:tcPr>
          <w:p>
            <w:pPr>
              <w:spacing w:after="0"/>
              <w:rPr>
                <w:sz w:val="17"/>
                <w:szCs w:val="17"/>
                <w:color w:val="auto"/>
              </w:rPr>
            </w:pPr>
          </w:p>
        </w:tc>
        <w:tc>
          <w:tcPr>
            <w:tcW w:w="3040" w:type="dxa"/>
            <w:vAlign w:val="bottom"/>
            <w:tcBorders>
              <w:top w:val="single" w:sz="8" w:color="0000EE"/>
            </w:tcBorders>
            <w:gridSpan w:val="7"/>
          </w:tcPr>
          <w:p>
            <w:pPr>
              <w:spacing w:after="0"/>
              <w:rPr>
                <w:sz w:val="17"/>
                <w:szCs w:val="17"/>
                <w:color w:val="auto"/>
              </w:rPr>
            </w:pPr>
          </w:p>
        </w:tc>
        <w:tc>
          <w:tcPr>
            <w:tcW w:w="338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Balance Sheets as of June 30, 2021 and December 31, 2020</w:t>
              </w:r>
            </w:hyperlink>
          </w:p>
        </w:tc>
        <w:tc>
          <w:tcPr>
            <w:tcW w:w="440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Operations for the Three and Six Months Ended June 30, 2021 and 2020</w:t>
              </w:r>
            </w:hyperlink>
          </w:p>
        </w:tc>
        <w:tc>
          <w:tcPr>
            <w:tcW w:w="24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00" w:type="dxa"/>
            <w:vAlign w:val="bottom"/>
            <w:gridSpan w:val="22"/>
          </w:tcPr>
          <w:p>
            <w:pPr>
              <w:spacing w:after="0" w:line="19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Consolidated Statements of Convertible Preferred Stock and Stockholders’ Equity (Deficit) for the Three and Six Months Ended</w:t>
              </w:r>
            </w:hyperlink>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0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June 30, 2021 and 2020</w:t>
              </w:r>
            </w:hyperlink>
          </w:p>
        </w:tc>
        <w:tc>
          <w:tcPr>
            <w:tcW w:w="4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54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Consolidated Statements of Cash Flows for the Six Months Ended June 30, 2021 and 2020</w:t>
              </w:r>
            </w:hyperlink>
          </w:p>
        </w:tc>
        <w:tc>
          <w:tcPr>
            <w:tcW w:w="316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00" w:type="dxa"/>
            <w:vAlign w:val="bottom"/>
            <w:gridSpan w:val="2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Notes to Unaudited Interim Consolidated Financial Statements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700" w:type="dxa"/>
            <w:vAlign w:val="bottom"/>
            <w:gridSpan w:val="2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5"/>
          </w:tcPr>
          <w:p>
            <w:pPr>
              <w:spacing w:after="0"/>
              <w:rPr>
                <w:sz w:val="17"/>
                <w:szCs w:val="17"/>
                <w:color w:val="auto"/>
              </w:rPr>
            </w:pPr>
          </w:p>
        </w:tc>
        <w:tc>
          <w:tcPr>
            <w:tcW w:w="324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700" w:type="dxa"/>
            <w:vAlign w:val="bottom"/>
            <w:gridSpan w:val="2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Borders>
              <w:bottom w:val="single" w:sz="8" w:color="0000EE"/>
            </w:tcBorders>
            <w:gridSpan w:val="5"/>
          </w:tcPr>
          <w:p>
            <w:pPr>
              <w:jc w:val="cente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PART II — OTHER INFORMATION</w:t>
              </w:r>
            </w:hyperlink>
          </w:p>
        </w:tc>
        <w:tc>
          <w:tcPr>
            <w:tcW w:w="3520" w:type="dxa"/>
            <w:vAlign w:val="bottom"/>
            <w:gridSpan w:val="6"/>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700" w:type="dxa"/>
            <w:vAlign w:val="bottom"/>
            <w:gridSpan w:val="2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836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Unregistered Sales of Equity Securities and Use of Proceeds</w:t>
              </w:r>
            </w:hyperlink>
          </w:p>
        </w:tc>
        <w:tc>
          <w:tcPr>
            <w:tcW w:w="534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Defaults Upon Senior Securities</w:t>
              </w:r>
            </w:hyperlink>
          </w:p>
        </w:tc>
        <w:tc>
          <w:tcPr>
            <w:tcW w:w="736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Mine Safety Disclosures</w:t>
              </w:r>
            </w:hyperlink>
          </w:p>
        </w:tc>
        <w:tc>
          <w:tcPr>
            <w:tcW w:w="792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9700" w:type="dxa"/>
            <w:vAlign w:val="bottom"/>
            <w:gridSpan w:val="22"/>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Other Information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Exhibits</w:t>
              </w:r>
            </w:hyperlink>
          </w:p>
        </w:tc>
        <w:tc>
          <w:tcPr>
            <w:tcW w:w="838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5300" w:type="dxa"/>
            <w:vAlign w:val="bottom"/>
            <w:gridSpan w:val="15"/>
          </w:tcPr>
          <w:p>
            <w:pPr>
              <w:ind w:left="4500"/>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Unless the context suggests otherwise, references in this Quarterly Report on Form 10-Q to “Tempest,” “the Company,” “we,” “us,” and “our” refer to Tempest Therapeutics, Inc. and, where appropriate, its subsidiaries.</w:t>
      </w:r>
    </w:p>
    <w:p>
      <w:pPr>
        <w:spacing w:after="0" w:line="170"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This Quarterly Report on Form 10-Q contains forward-looking statements (including within the meaning of Section 21E of the Securities Exchange Act of 1934, as amended, and Section 27A of the Securities Act of 1933, as amended (the Securities Act)) about us and our industry that involve substantial risks and uncertainties. These statements may discuss goals, intentions and expectations as to future plans, trends, events, results of operations or financial condition, or otherwise, based on current beliefs of our management, as well as assumptions made by, and information currently available to, our management. Forward-looking statements generally include statements that are predictive in nature and depend upon or refer to future events or conditions, and include words such as “may,” “will,” “should,” “would,” “could”, “expect,” “anticipate,” “plan,” “likely,” “believe,” “estimate,”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our strategies, prospects, plans, expectations or objectives for future operations; the progress, scope or timing of the development of our product candidates; the benefits that may be derived from any future products or the commercial or market opportunity with respect to any of our future products; our ability to protect our intellectual property rights; our anticipated operations, financial position, ability to raise capital to fund operations, revenues, costs or expenses; statements regarding future economic conditions or performance; statements of belief and any statement of assumptions underlying any of the foregoing. These risks and uncertainties include, but are not limited to, the risks included in this Quarterly Report on Form 10-Q under Part II, Item 1A, “Risk Factors.” Other sections of this Quarterly Report on Form 10-Q, as well as our other disclosures and filings,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7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update or revise any forward-looking statements contained in this report, whether as a result of new information, future events or otherwise.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Forward-looking statements contained in this Quarterly Report on Form 10-Q include, but are not limited to, statements about:</w:t>
      </w:r>
    </w:p>
    <w:p>
      <w:pPr>
        <w:spacing w:after="0" w:line="131"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future growth and our ability to manage such growth;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obtain regulatory approval for and commercialize TPST-1495 and TPST-1120 and our future product candidates;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regulatory approval, efficacy and commercialization of competing products;</w:t>
      </w:r>
    </w:p>
    <w:p>
      <w:pPr>
        <w:spacing w:after="0" w:line="130"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sales and marketing capabilities or enter into agreements with third parties to market and sell our product candidates.</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regulatory approval for our product candidates or future product candidates in the United States and in any foreign countries in which we make seek to do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hire our board of directors, senior management, or operational personnel;</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integrate TempestTx, Inc. and Millendo Therapeutics, Inc. (now the Company) successfully and realize the anticipated benefits of the merger of the two entities, which close in July 2021;</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period during which we will qualify as a smaller reporting company under the federal securities laws;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86"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maintain our corporate infrastructure, including our ability to remediate our existing material weakness and to design and maintain an effective system of internal controls;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 capital requirements; and</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You should read this Quarterly Report on Form 10-Q as well as the documents that we reference in,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86"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 – Financial Statements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TEMPEST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(Unaudited)</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8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9"/>
              </w:rPr>
              <w:t>June 30,</w:t>
            </w: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68,413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18,820</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23"/>
        </w:trPr>
        <w:tc>
          <w:tcPr>
            <w:tcW w:w="8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70,494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3,673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75,497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6,695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948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operating lease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Early option exercise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Loan payable (net of issuance costs of $85)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14,915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30"/>
        </w:trPr>
        <w:tc>
          <w:tcPr>
            <w:tcW w:w="890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27,383</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900" w:type="dxa"/>
            <w:vAlign w:val="bottom"/>
          </w:tcPr>
          <w:p>
            <w:pPr>
              <w:spacing w:after="0"/>
              <w:rPr>
                <w:sz w:val="20"/>
                <w:szCs w:val="20"/>
                <w:color w:val="auto"/>
              </w:rPr>
            </w:pPr>
            <w:r>
              <w:rPr>
                <w:rFonts w:ascii="Arial" w:cs="Arial" w:eastAsia="Arial" w:hAnsi="Arial"/>
                <w:sz w:val="18"/>
                <w:szCs w:val="18"/>
                <w:color w:val="auto"/>
                <w:w w:val="97"/>
              </w:rPr>
              <w:t>Convertible preferred stock, $0.001 par value; 5,000,000 and 135,936,731 shares authorized at June 30, 2021 and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180"/>
              <w:spacing w:after="0"/>
              <w:rPr>
                <w:sz w:val="20"/>
                <w:szCs w:val="20"/>
                <w:color w:val="auto"/>
              </w:rPr>
            </w:pPr>
            <w:r>
              <w:rPr>
                <w:rFonts w:ascii="Arial" w:cs="Arial" w:eastAsia="Arial" w:hAnsi="Arial"/>
                <w:sz w:val="18"/>
                <w:szCs w:val="18"/>
                <w:color w:val="auto"/>
              </w:rPr>
              <w:t>December 31, 2020, respectively; nil and 114,686,731 shares issued and outstanding at June 30, 2021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180"/>
              <w:spacing w:after="0"/>
              <w:rPr>
                <w:sz w:val="20"/>
                <w:szCs w:val="20"/>
                <w:color w:val="auto"/>
              </w:rPr>
            </w:pPr>
            <w:r>
              <w:rPr>
                <w:rFonts w:ascii="Arial" w:cs="Arial" w:eastAsia="Arial" w:hAnsi="Arial"/>
                <w:sz w:val="18"/>
                <w:szCs w:val="18"/>
                <w:color w:val="auto"/>
                <w:w w:val="93"/>
              </w:rPr>
              <w:t>December 31, 2020, respectively; liquidation preference of $0 and $100,186,732 at June 30, 2021 and 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180"/>
              <w:spacing w:after="0"/>
              <w:rPr>
                <w:sz w:val="20"/>
                <w:szCs w:val="20"/>
                <w:color w:val="auto"/>
              </w:rPr>
            </w:pPr>
            <w:r>
              <w:rPr>
                <w:rFonts w:ascii="Arial" w:cs="Arial" w:eastAsia="Arial" w:hAnsi="Arial"/>
                <w:sz w:val="18"/>
                <w:szCs w:val="18"/>
                <w:color w:val="auto"/>
              </w:rPr>
              <w:t>2020,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86,707</w:t>
            </w:r>
          </w:p>
        </w:tc>
        <w:tc>
          <w:tcPr>
            <w:tcW w:w="0" w:type="dxa"/>
            <w:vAlign w:val="bottom"/>
          </w:tcPr>
          <w:p>
            <w:pPr>
              <w:spacing w:after="0"/>
              <w:rPr>
                <w:sz w:val="1"/>
                <w:szCs w:val="1"/>
                <w:color w:val="auto"/>
              </w:rPr>
            </w:pPr>
          </w:p>
        </w:tc>
      </w:tr>
      <w:tr>
        <w:trPr>
          <w:trHeight w:val="115"/>
        </w:trPr>
        <w:tc>
          <w:tcPr>
            <w:tcW w:w="8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900" w:type="dxa"/>
            <w:vAlign w:val="bottom"/>
          </w:tcPr>
          <w:p>
            <w:pPr>
              <w:ind w:left="360"/>
              <w:spacing w:after="0"/>
              <w:rPr>
                <w:sz w:val="20"/>
                <w:szCs w:val="20"/>
                <w:color w:val="auto"/>
              </w:rPr>
            </w:pPr>
            <w:r>
              <w:rPr>
                <w:rFonts w:ascii="Arial" w:cs="Arial" w:eastAsia="Arial" w:hAnsi="Arial"/>
                <w:sz w:val="18"/>
                <w:szCs w:val="18"/>
                <w:color w:val="auto"/>
              </w:rPr>
              <w:t>Common stock, $0.001 par value; 100,000,000 and 196,000,000 shares authorized at June 30, 2021 and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8"/>
                <w:szCs w:val="18"/>
                <w:color w:val="auto"/>
                <w:w w:val="97"/>
              </w:rPr>
              <w:t>December 31, 2020, respectively; 6,637,081 and 527,265 shares issued and outstanding, 8,767 and 29,041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540"/>
              <w:spacing w:after="0"/>
              <w:rPr>
                <w:sz w:val="20"/>
                <w:szCs w:val="20"/>
                <w:color w:val="auto"/>
              </w:rPr>
            </w:pPr>
            <w:r>
              <w:rPr>
                <w:rFonts w:ascii="Arial" w:cs="Arial" w:eastAsia="Arial" w:hAnsi="Arial"/>
                <w:sz w:val="18"/>
                <w:szCs w:val="18"/>
                <w:color w:val="auto"/>
              </w:rPr>
              <w:t>subject to repurchase at June 30, 2021 and December 31, 2020,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132,281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(84,174)</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(71,761)</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(68,793)</w:t>
            </w:r>
          </w:p>
        </w:tc>
        <w:tc>
          <w:tcPr>
            <w:tcW w:w="0" w:type="dxa"/>
            <w:vAlign w:val="bottom"/>
          </w:tcPr>
          <w:p>
            <w:pPr>
              <w:spacing w:after="0"/>
              <w:rPr>
                <w:sz w:val="1"/>
                <w:szCs w:val="1"/>
                <w:color w:val="auto"/>
              </w:rPr>
            </w:pPr>
          </w:p>
        </w:tc>
      </w:tr>
      <w:tr>
        <w:trPr>
          <w:trHeight w:val="223"/>
        </w:trPr>
        <w:tc>
          <w:tcPr>
            <w:tcW w:w="8900" w:type="dxa"/>
            <w:vAlign w:val="bottom"/>
          </w:tcPr>
          <w:p>
            <w:pPr>
              <w:ind w:left="720"/>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75,497</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Interim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TEMPEST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7"/>
          </w:tcPr>
          <w:p>
            <w:pPr>
              <w:jc w:val="right"/>
              <w:ind w:right="301"/>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32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6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4,229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1"/>
              <w:spacing w:after="0"/>
              <w:rPr>
                <w:sz w:val="20"/>
                <w:szCs w:val="20"/>
                <w:color w:val="auto"/>
              </w:rPr>
            </w:pPr>
            <w:r>
              <w:rPr>
                <w:rFonts w:ascii="Arial" w:cs="Arial" w:eastAsia="Arial" w:hAnsi="Arial"/>
                <w:sz w:val="18"/>
                <w:szCs w:val="18"/>
                <w:color w:val="auto"/>
              </w:rPr>
              <w:t>4,094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1"/>
              <w:spacing w:after="0"/>
              <w:rPr>
                <w:sz w:val="20"/>
                <w:szCs w:val="20"/>
                <w:color w:val="auto"/>
              </w:rPr>
            </w:pPr>
            <w:r>
              <w:rPr>
                <w:rFonts w:ascii="Arial" w:cs="Arial" w:eastAsia="Arial" w:hAnsi="Arial"/>
                <w:sz w:val="18"/>
                <w:szCs w:val="18"/>
                <w:color w:val="auto"/>
              </w:rPr>
              <w:t>7,821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7,121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4,091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23"/>
        </w:trPr>
        <w:tc>
          <w:tcPr>
            <w:tcW w:w="6260" w:type="dxa"/>
            <w:vAlign w:val="bottom"/>
          </w:tcPr>
          <w:p>
            <w:pPr>
              <w:ind w:left="720"/>
              <w:spacing w:after="0"/>
              <w:rPr>
                <w:sz w:val="20"/>
                <w:szCs w:val="20"/>
                <w:color w:val="auto"/>
              </w:rPr>
            </w:pPr>
            <w:r>
              <w:rPr>
                <w:rFonts w:ascii="Arial" w:cs="Arial" w:eastAsia="Arial" w:hAnsi="Arial"/>
                <w:sz w:val="18"/>
                <w:szCs w:val="18"/>
                <w:color w:val="auto"/>
              </w:rPr>
              <w:t>Loss from operations</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(276)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(507)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and other income (expense), net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(7,058</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(5,229</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(12,413</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Weighted-average shares of common stock outstanding, basic and diluted</w:t>
            </w: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925,432</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457,998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717,618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444,466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Interim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TEMPEST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Three Months Ended June 30, 2021</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Series A</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Series B</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Series B1</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15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Convertible</w:t>
            </w:r>
          </w:p>
        </w:tc>
        <w:tc>
          <w:tcPr>
            <w:tcW w:w="15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Convertible</w:t>
            </w:r>
          </w:p>
        </w:tc>
        <w:tc>
          <w:tcPr>
            <w:tcW w:w="15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Convertible</w:t>
            </w:r>
          </w:p>
        </w:tc>
        <w:tc>
          <w:tcPr>
            <w:tcW w:w="116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7"/>
              </w:rPr>
              <w:t>Common 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5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Preferred Stock</w:t>
            </w:r>
          </w:p>
        </w:tc>
        <w:tc>
          <w:tcPr>
            <w:tcW w:w="15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Prefer110red Stock</w:t>
            </w:r>
          </w:p>
        </w:tc>
        <w:tc>
          <w:tcPr>
            <w:tcW w:w="15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Preferred Stock</w:t>
            </w:r>
          </w:p>
        </w:tc>
        <w:tc>
          <w:tcPr>
            <w:tcW w:w="11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66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Capital</w:t>
            </w:r>
          </w:p>
        </w:tc>
        <w:tc>
          <w:tcPr>
            <w:tcW w:w="9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BALANCE—March 31, 2021</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17,000,000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16,982</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25,186,738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12,235</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72,499,993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57,490</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514,508</w:t>
            </w:r>
          </w:p>
        </w:tc>
        <w:tc>
          <w:tcPr>
            <w:tcW w:w="50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3,164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(77,116)</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(73,951)</w:t>
            </w:r>
          </w:p>
        </w:tc>
        <w:tc>
          <w:tcPr>
            <w:tcW w:w="0" w:type="dxa"/>
            <w:vAlign w:val="bottom"/>
          </w:tcPr>
          <w:p>
            <w:pPr>
              <w:spacing w:after="0"/>
              <w:rPr>
                <w:sz w:val="1"/>
                <w:szCs w:val="1"/>
                <w:color w:val="auto"/>
              </w:rPr>
            </w:pPr>
          </w:p>
        </w:tc>
      </w:tr>
      <w:tr>
        <w:trPr>
          <w:trHeight w:val="148"/>
        </w:trPr>
        <w:tc>
          <w:tcPr>
            <w:tcW w:w="2160" w:type="dxa"/>
            <w:vAlign w:val="bottom"/>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6,285</w:t>
            </w:r>
          </w:p>
        </w:tc>
        <w:tc>
          <w:tcPr>
            <w:tcW w:w="40" w:type="dxa"/>
            <w:vAlign w:val="bottom"/>
          </w:tcPr>
          <w:p>
            <w:pPr>
              <w:spacing w:after="0"/>
              <w:rPr>
                <w:sz w:val="12"/>
                <w:szCs w:val="12"/>
                <w:color w:val="auto"/>
              </w:rPr>
            </w:pPr>
          </w:p>
        </w:tc>
        <w:tc>
          <w:tcPr>
            <w:tcW w:w="460" w:type="dxa"/>
            <w:vAlign w:val="bottom"/>
          </w:tcPr>
          <w:p>
            <w:pPr>
              <w:ind w:left="30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30"/>
        </w:trPr>
        <w:tc>
          <w:tcPr>
            <w:tcW w:w="21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Vesting of early exercised</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stock options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8,314</w:t>
            </w: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0"/>
        </w:trPr>
        <w:tc>
          <w:tcPr>
            <w:tcW w:w="2160" w:type="dxa"/>
            <w:vAlign w:val="bottom"/>
          </w:tcPr>
          <w:p>
            <w:pPr>
              <w:ind w:left="280"/>
              <w:spacing w:after="0" w:line="130" w:lineRule="exact"/>
              <w:rPr>
                <w:sz w:val="20"/>
                <w:szCs w:val="20"/>
                <w:color w:val="auto"/>
              </w:rPr>
            </w:pPr>
            <w:r>
              <w:rPr>
                <w:rFonts w:ascii="Arial" w:cs="Arial" w:eastAsia="Arial" w:hAnsi="Arial"/>
                <w:sz w:val="14"/>
                <w:szCs w:val="14"/>
                <w:color w:val="auto"/>
              </w:rPr>
              <w:t>Conversion of preferred stock</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tcPr>
          <w:p>
            <w:pPr>
              <w:ind w:left="420"/>
              <w:spacing w:after="0"/>
              <w:rPr>
                <w:sz w:val="20"/>
                <w:szCs w:val="20"/>
                <w:color w:val="auto"/>
              </w:rPr>
            </w:pPr>
            <w:r>
              <w:rPr>
                <w:rFonts w:ascii="Arial" w:cs="Arial" w:eastAsia="Arial" w:hAnsi="Arial"/>
                <w:sz w:val="14"/>
                <w:szCs w:val="14"/>
                <w:color w:val="auto"/>
              </w:rPr>
              <w:t>to common stock</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(17,000,000)</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(16,982)</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(25,186,738)</w:t>
            </w: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(12,235)</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(72,499,993)</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(57,490)</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3,692,912</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0"/>
                <w:szCs w:val="10"/>
                <w:color w:val="auto"/>
                <w:w w:val="71"/>
              </w:rPr>
              <w:t>4</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86,703</w:t>
            </w:r>
          </w:p>
        </w:tc>
        <w:tc>
          <w:tcPr>
            <w:tcW w:w="1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86,707</w:t>
            </w:r>
          </w:p>
        </w:tc>
        <w:tc>
          <w:tcPr>
            <w:tcW w:w="0" w:type="dxa"/>
            <w:vAlign w:val="bottom"/>
          </w:tcPr>
          <w:p>
            <w:pPr>
              <w:spacing w:after="0"/>
              <w:rPr>
                <w:sz w:val="1"/>
                <w:szCs w:val="1"/>
                <w:color w:val="auto"/>
              </w:rPr>
            </w:pPr>
          </w:p>
        </w:tc>
      </w:tr>
      <w:tr>
        <w:trPr>
          <w:trHeight w:val="130"/>
        </w:trPr>
        <w:tc>
          <w:tcPr>
            <w:tcW w:w="21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w w:val="99"/>
              </w:rPr>
              <w:t>Issuance of common stock for</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cash</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6"/>
              </w:rPr>
              <w:t>1,136,849</w:t>
            </w: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1</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30,009</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30,010</w:t>
            </w:r>
          </w:p>
        </w:tc>
        <w:tc>
          <w:tcPr>
            <w:tcW w:w="0" w:type="dxa"/>
            <w:vAlign w:val="bottom"/>
          </w:tcPr>
          <w:p>
            <w:pPr>
              <w:spacing w:after="0"/>
              <w:rPr>
                <w:sz w:val="1"/>
                <w:szCs w:val="1"/>
                <w:color w:val="auto"/>
              </w:rPr>
            </w:pPr>
          </w:p>
        </w:tc>
      </w:tr>
      <w:tr>
        <w:trPr>
          <w:trHeight w:val="149"/>
        </w:trPr>
        <w:tc>
          <w:tcPr>
            <w:tcW w:w="2160" w:type="dxa"/>
            <w:vAlign w:val="bottom"/>
          </w:tcPr>
          <w:p>
            <w:pPr>
              <w:ind w:left="280"/>
              <w:spacing w:after="0" w:line="149" w:lineRule="exact"/>
              <w:rPr>
                <w:sz w:val="20"/>
                <w:szCs w:val="20"/>
                <w:color w:val="auto"/>
              </w:rPr>
            </w:pPr>
            <w:r>
              <w:rPr>
                <w:rFonts w:ascii="Arial" w:cs="Arial" w:eastAsia="Arial" w:hAnsi="Arial"/>
                <w:sz w:val="14"/>
                <w:szCs w:val="14"/>
                <w:color w:val="auto"/>
              </w:rPr>
              <w:t>Share-based compensation</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60" w:type="dxa"/>
            <w:vAlign w:val="bottom"/>
          </w:tcPr>
          <w:p>
            <w:pPr>
              <w:ind w:left="30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411</w:t>
            </w: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30"/>
        </w:trPr>
        <w:tc>
          <w:tcPr>
            <w:tcW w:w="21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Reverse recapitalization</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transaction costs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(6,074)</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(6,074)</w:t>
            </w:r>
          </w:p>
        </w:tc>
        <w:tc>
          <w:tcPr>
            <w:tcW w:w="0" w:type="dxa"/>
            <w:vAlign w:val="bottom"/>
          </w:tcPr>
          <w:p>
            <w:pPr>
              <w:spacing w:after="0"/>
              <w:rPr>
                <w:sz w:val="1"/>
                <w:szCs w:val="1"/>
                <w:color w:val="auto"/>
              </w:rPr>
            </w:pPr>
          </w:p>
        </w:tc>
      </w:tr>
      <w:tr>
        <w:trPr>
          <w:trHeight w:val="130"/>
        </w:trPr>
        <w:tc>
          <w:tcPr>
            <w:tcW w:w="2160" w:type="dxa"/>
            <w:vAlign w:val="bottom"/>
          </w:tcPr>
          <w:p>
            <w:pPr>
              <w:ind w:left="280"/>
              <w:spacing w:after="0" w:line="130" w:lineRule="exact"/>
              <w:rPr>
                <w:sz w:val="20"/>
                <w:szCs w:val="20"/>
                <w:color w:val="auto"/>
              </w:rPr>
            </w:pPr>
            <w:r>
              <w:rPr>
                <w:rFonts w:ascii="Arial" w:cs="Arial" w:eastAsia="Arial" w:hAnsi="Arial"/>
                <w:sz w:val="14"/>
                <w:szCs w:val="14"/>
                <w:color w:val="auto"/>
              </w:rPr>
              <w:t>Record pre-merger Millendo</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60" w:type="dxa"/>
            <w:vAlign w:val="bottom"/>
          </w:tcPr>
          <w:p>
            <w:pPr>
              <w:ind w:left="440"/>
              <w:spacing w:after="0" w:line="149" w:lineRule="exact"/>
              <w:rPr>
                <w:sz w:val="20"/>
                <w:szCs w:val="20"/>
                <w:color w:val="auto"/>
              </w:rPr>
            </w:pPr>
            <w:r>
              <w:rPr>
                <w:rFonts w:ascii="Arial" w:cs="Arial" w:eastAsia="Arial" w:hAnsi="Arial"/>
                <w:sz w:val="14"/>
                <w:szCs w:val="14"/>
                <w:color w:val="auto"/>
              </w:rPr>
              <w:t>stockholders’ equity and</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ind w:left="440"/>
              <w:spacing w:after="0" w:line="149" w:lineRule="exact"/>
              <w:rPr>
                <w:sz w:val="20"/>
                <w:szCs w:val="20"/>
                <w:color w:val="auto"/>
              </w:rPr>
            </w:pPr>
            <w:r>
              <w:rPr>
                <w:rFonts w:ascii="Arial" w:cs="Arial" w:eastAsia="Arial" w:hAnsi="Arial"/>
                <w:sz w:val="14"/>
                <w:szCs w:val="14"/>
                <w:color w:val="auto"/>
              </w:rPr>
              <w:t>elimination of Millendo</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440"/>
              <w:spacing w:after="0" w:line="149" w:lineRule="exact"/>
              <w:rPr>
                <w:sz w:val="20"/>
                <w:szCs w:val="20"/>
                <w:color w:val="auto"/>
              </w:rPr>
            </w:pPr>
            <w:r>
              <w:rPr>
                <w:rFonts w:ascii="Arial" w:cs="Arial" w:eastAsia="Arial" w:hAnsi="Arial"/>
                <w:sz w:val="14"/>
                <w:szCs w:val="14"/>
                <w:color w:val="auto"/>
              </w:rPr>
              <w:t>historical accumulated</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tcPr>
          <w:p>
            <w:pPr>
              <w:ind w:left="440"/>
              <w:spacing w:after="0"/>
              <w:rPr>
                <w:sz w:val="20"/>
                <w:szCs w:val="20"/>
                <w:color w:val="auto"/>
              </w:rPr>
            </w:pPr>
            <w:r>
              <w:rPr>
                <w:rFonts w:ascii="Arial" w:cs="Arial" w:eastAsia="Arial" w:hAnsi="Arial"/>
                <w:sz w:val="14"/>
                <w:szCs w:val="14"/>
                <w:color w:val="auto"/>
              </w:rPr>
              <w:t>deficit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1,269,446</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0"/>
                <w:szCs w:val="10"/>
                <w:color w:val="auto"/>
                <w:w w:val="71"/>
              </w:rPr>
              <w:t>1</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18,000</w:t>
            </w:r>
          </w:p>
        </w:tc>
        <w:tc>
          <w:tcPr>
            <w:tcW w:w="1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18,001</w:t>
            </w: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loss</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(7,058)</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(7,058)</w:t>
            </w:r>
          </w:p>
        </w:tc>
        <w:tc>
          <w:tcPr>
            <w:tcW w:w="0" w:type="dxa"/>
            <w:vAlign w:val="bottom"/>
          </w:tcPr>
          <w:p>
            <w:pPr>
              <w:spacing w:after="0"/>
              <w:rPr>
                <w:sz w:val="1"/>
                <w:szCs w:val="1"/>
                <w:color w:val="auto"/>
              </w:rPr>
            </w:pPr>
          </w:p>
        </w:tc>
      </w:tr>
      <w:tr>
        <w:trPr>
          <w:trHeight w:val="156"/>
        </w:trPr>
        <w:tc>
          <w:tcPr>
            <w:tcW w:w="2160" w:type="dxa"/>
            <w:vAlign w:val="bottom"/>
          </w:tcPr>
          <w:p>
            <w:pPr>
              <w:spacing w:after="0" w:line="155" w:lineRule="exact"/>
              <w:rPr>
                <w:sz w:val="20"/>
                <w:szCs w:val="20"/>
                <w:color w:val="auto"/>
              </w:rPr>
            </w:pPr>
            <w:r>
              <w:rPr>
                <w:rFonts w:ascii="Arial" w:cs="Arial" w:eastAsia="Arial" w:hAnsi="Arial"/>
                <w:sz w:val="14"/>
                <w:szCs w:val="14"/>
                <w:color w:val="auto"/>
              </w:rPr>
              <w:t>BALANCE—June 30, 2021</w:t>
            </w:r>
          </w:p>
        </w:tc>
        <w:tc>
          <w:tcPr>
            <w:tcW w:w="74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6,628,314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7</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132,281</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(84,174)</w:t>
            </w:r>
          </w:p>
        </w:tc>
        <w:tc>
          <w:tcPr>
            <w:tcW w:w="1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48,114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Three Months Ended June 30, 2020</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5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Series A</w:t>
            </w:r>
          </w:p>
        </w:tc>
        <w:tc>
          <w:tcPr>
            <w:tcW w:w="15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Series B</w:t>
            </w:r>
          </w:p>
        </w:tc>
        <w:tc>
          <w:tcPr>
            <w:tcW w:w="1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Series B1</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15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Convertible</w:t>
            </w:r>
          </w:p>
        </w:tc>
        <w:tc>
          <w:tcPr>
            <w:tcW w:w="15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6"/>
              </w:rPr>
              <w:t>Convertible</w:t>
            </w:r>
          </w:p>
        </w:tc>
        <w:tc>
          <w:tcPr>
            <w:tcW w:w="1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Convertible</w:t>
            </w:r>
          </w:p>
        </w:tc>
        <w:tc>
          <w:tcPr>
            <w:tcW w:w="122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5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Preferred Stock</w:t>
            </w:r>
          </w:p>
        </w:tc>
        <w:tc>
          <w:tcPr>
            <w:tcW w:w="15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Preferred Stock</w:t>
            </w:r>
          </w:p>
        </w:tc>
        <w:tc>
          <w:tcPr>
            <w:tcW w:w="1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Preferred Stock</w:t>
            </w:r>
          </w:p>
        </w:tc>
        <w:tc>
          <w:tcPr>
            <w:tcW w:w="12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8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90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90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66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9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BALANCE—March 31, 2020</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17,000,000</w:t>
            </w:r>
          </w:p>
        </w:tc>
        <w:tc>
          <w:tcPr>
            <w:tcW w:w="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$ 16,982</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25,186,738</w:t>
            </w:r>
          </w:p>
        </w:tc>
        <w:tc>
          <w:tcPr>
            <w:tcW w:w="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$ 12,235</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72,499,993</w:t>
            </w:r>
          </w:p>
        </w:tc>
        <w:tc>
          <w:tcPr>
            <w:tcW w:w="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$ 57,490</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440,292</w:t>
            </w:r>
          </w:p>
        </w:tc>
        <w:tc>
          <w:tcPr>
            <w:tcW w:w="2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2,315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(56,781)</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(54,466)</w:t>
            </w:r>
          </w:p>
        </w:tc>
        <w:tc>
          <w:tcPr>
            <w:tcW w:w="0" w:type="dxa"/>
            <w:vAlign w:val="bottom"/>
          </w:tcPr>
          <w:p>
            <w:pPr>
              <w:spacing w:after="0"/>
              <w:rPr>
                <w:sz w:val="1"/>
                <w:szCs w:val="1"/>
                <w:color w:val="auto"/>
              </w:rPr>
            </w:pPr>
          </w:p>
        </w:tc>
      </w:tr>
      <w:tr>
        <w:trPr>
          <w:trHeight w:val="130"/>
        </w:trPr>
        <w:tc>
          <w:tcPr>
            <w:tcW w:w="2160" w:type="dxa"/>
            <w:vAlign w:val="bottom"/>
          </w:tcPr>
          <w:p>
            <w:pPr>
              <w:ind w:left="280"/>
              <w:spacing w:after="0" w:line="130" w:lineRule="exact"/>
              <w:rPr>
                <w:sz w:val="20"/>
                <w:szCs w:val="20"/>
                <w:color w:val="auto"/>
              </w:rPr>
            </w:pPr>
            <w:r>
              <w:rPr>
                <w:rFonts w:ascii="Arial" w:cs="Arial" w:eastAsia="Arial" w:hAnsi="Arial"/>
                <w:sz w:val="14"/>
                <w:szCs w:val="14"/>
                <w:color w:val="auto"/>
              </w:rPr>
              <w:t>Vesting of early exercised</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tcPr>
          <w:p>
            <w:pPr>
              <w:ind w:left="420"/>
              <w:spacing w:after="0"/>
              <w:rPr>
                <w:sz w:val="20"/>
                <w:szCs w:val="20"/>
                <w:color w:val="auto"/>
              </w:rPr>
            </w:pPr>
            <w:r>
              <w:rPr>
                <w:rFonts w:ascii="Arial" w:cs="Arial" w:eastAsia="Arial" w:hAnsi="Arial"/>
                <w:sz w:val="14"/>
                <w:szCs w:val="14"/>
                <w:color w:val="auto"/>
              </w:rPr>
              <w:t>stock options</w:t>
            </w: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36,675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103</w:t>
            </w:r>
          </w:p>
        </w:tc>
        <w:tc>
          <w:tcPr>
            <w:tcW w:w="1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Share-based compensation</w:t>
            </w: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227</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48"/>
        </w:trPr>
        <w:tc>
          <w:tcPr>
            <w:tcW w:w="216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(5,229)</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(5,229)</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BALANCE—June 30, 2020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17,000,000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$ 16,982</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25,186,738</w:t>
            </w:r>
          </w:p>
        </w:tc>
        <w:tc>
          <w:tcPr>
            <w:tcW w:w="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$ 12,235</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72,499,993</w:t>
            </w:r>
          </w:p>
        </w:tc>
        <w:tc>
          <w:tcPr>
            <w:tcW w:w="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$ 57,490</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476,967</w:t>
            </w:r>
          </w:p>
        </w:tc>
        <w:tc>
          <w:tcPr>
            <w:tcW w:w="2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2,645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(62,010)</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(59,365)</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Interim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TEMPEST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Six Months Ended June 30, 2021</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Series A</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Series B</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Series B1</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15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Convertible</w:t>
            </w:r>
          </w:p>
        </w:tc>
        <w:tc>
          <w:tcPr>
            <w:tcW w:w="15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Convertible</w:t>
            </w:r>
          </w:p>
        </w:tc>
        <w:tc>
          <w:tcPr>
            <w:tcW w:w="15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Convertible</w:t>
            </w:r>
          </w:p>
        </w:tc>
        <w:tc>
          <w:tcPr>
            <w:tcW w:w="116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7"/>
              </w:rPr>
              <w:t>Common 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5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Preferred Stock</w:t>
            </w:r>
          </w:p>
        </w:tc>
        <w:tc>
          <w:tcPr>
            <w:tcW w:w="15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Preferred Stock</w:t>
            </w:r>
          </w:p>
        </w:tc>
        <w:tc>
          <w:tcPr>
            <w:tcW w:w="15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Preferred Stock</w:t>
            </w:r>
          </w:p>
        </w:tc>
        <w:tc>
          <w:tcPr>
            <w:tcW w:w="11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66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Capital</w:t>
            </w:r>
          </w:p>
        </w:tc>
        <w:tc>
          <w:tcPr>
            <w:tcW w:w="9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BALANCE—December 31, 2020</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17,000,000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16,982</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25,186,738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12,235</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72,499,993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57,490</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498,224</w:t>
            </w:r>
          </w:p>
        </w:tc>
        <w:tc>
          <w:tcPr>
            <w:tcW w:w="50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2,967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(71,761)</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(68,793)</w:t>
            </w:r>
          </w:p>
        </w:tc>
        <w:tc>
          <w:tcPr>
            <w:tcW w:w="0" w:type="dxa"/>
            <w:vAlign w:val="bottom"/>
          </w:tcPr>
          <w:p>
            <w:pPr>
              <w:spacing w:after="0"/>
              <w:rPr>
                <w:sz w:val="1"/>
                <w:szCs w:val="1"/>
                <w:color w:val="auto"/>
              </w:rPr>
            </w:pPr>
          </w:p>
        </w:tc>
      </w:tr>
      <w:tr>
        <w:trPr>
          <w:trHeight w:val="148"/>
        </w:trPr>
        <w:tc>
          <w:tcPr>
            <w:tcW w:w="2160" w:type="dxa"/>
            <w:vAlign w:val="bottom"/>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10,654</w:t>
            </w:r>
          </w:p>
        </w:tc>
        <w:tc>
          <w:tcPr>
            <w:tcW w:w="40" w:type="dxa"/>
            <w:vAlign w:val="bottom"/>
          </w:tcPr>
          <w:p>
            <w:pPr>
              <w:spacing w:after="0"/>
              <w:rPr>
                <w:sz w:val="12"/>
                <w:szCs w:val="12"/>
                <w:color w:val="auto"/>
              </w:rPr>
            </w:pPr>
          </w:p>
        </w:tc>
        <w:tc>
          <w:tcPr>
            <w:tcW w:w="460" w:type="dxa"/>
            <w:vAlign w:val="bottom"/>
          </w:tcPr>
          <w:p>
            <w:pPr>
              <w:ind w:left="30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140" w:type="dxa"/>
            <w:vAlign w:val="bottom"/>
          </w:tcPr>
          <w:p>
            <w:pPr>
              <w:spacing w:after="0"/>
              <w:rPr>
                <w:sz w:val="12"/>
                <w:szCs w:val="12"/>
                <w:color w:val="auto"/>
              </w:rPr>
            </w:pP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30"/>
        </w:trPr>
        <w:tc>
          <w:tcPr>
            <w:tcW w:w="21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Vesting of early exercised</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stock options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20,229</w:t>
            </w: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96</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30"/>
        </w:trPr>
        <w:tc>
          <w:tcPr>
            <w:tcW w:w="2160" w:type="dxa"/>
            <w:vAlign w:val="bottom"/>
          </w:tcPr>
          <w:p>
            <w:pPr>
              <w:ind w:left="280"/>
              <w:spacing w:after="0" w:line="130" w:lineRule="exact"/>
              <w:rPr>
                <w:sz w:val="20"/>
                <w:szCs w:val="20"/>
                <w:color w:val="auto"/>
              </w:rPr>
            </w:pPr>
            <w:r>
              <w:rPr>
                <w:rFonts w:ascii="Arial" w:cs="Arial" w:eastAsia="Arial" w:hAnsi="Arial"/>
                <w:sz w:val="14"/>
                <w:szCs w:val="14"/>
                <w:color w:val="auto"/>
              </w:rPr>
              <w:t>Conversion of preferred stock</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tcPr>
          <w:p>
            <w:pPr>
              <w:ind w:left="420"/>
              <w:spacing w:after="0"/>
              <w:rPr>
                <w:sz w:val="20"/>
                <w:szCs w:val="20"/>
                <w:color w:val="auto"/>
              </w:rPr>
            </w:pPr>
            <w:r>
              <w:rPr>
                <w:rFonts w:ascii="Arial" w:cs="Arial" w:eastAsia="Arial" w:hAnsi="Arial"/>
                <w:sz w:val="14"/>
                <w:szCs w:val="14"/>
                <w:color w:val="auto"/>
              </w:rPr>
              <w:t>to common stock</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(17,000,000)</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(16,982)</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(25,186,738)</w:t>
            </w: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(12,235)</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(72,499,993)</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(57,490)</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3,692,912</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0"/>
                <w:szCs w:val="10"/>
                <w:color w:val="auto"/>
                <w:w w:val="71"/>
              </w:rPr>
              <w:t>4</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86,703</w:t>
            </w:r>
          </w:p>
        </w:tc>
        <w:tc>
          <w:tcPr>
            <w:tcW w:w="140" w:type="dxa"/>
            <w:vAlign w:val="bottom"/>
          </w:tcPr>
          <w:p>
            <w:pPr>
              <w:spacing w:after="0"/>
              <w:rPr>
                <w:sz w:val="14"/>
                <w:szCs w:val="14"/>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86,707</w:t>
            </w:r>
          </w:p>
        </w:tc>
        <w:tc>
          <w:tcPr>
            <w:tcW w:w="0" w:type="dxa"/>
            <w:vAlign w:val="bottom"/>
          </w:tcPr>
          <w:p>
            <w:pPr>
              <w:spacing w:after="0"/>
              <w:rPr>
                <w:sz w:val="1"/>
                <w:szCs w:val="1"/>
                <w:color w:val="auto"/>
              </w:rPr>
            </w:pPr>
          </w:p>
        </w:tc>
      </w:tr>
      <w:tr>
        <w:trPr>
          <w:trHeight w:val="130"/>
        </w:trPr>
        <w:tc>
          <w:tcPr>
            <w:tcW w:w="21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w w:val="99"/>
              </w:rPr>
              <w:t>Issuance of common stock for</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cash</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6"/>
              </w:rPr>
              <w:t>1,136,849</w:t>
            </w: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1</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30,009</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30,010</w:t>
            </w:r>
          </w:p>
        </w:tc>
        <w:tc>
          <w:tcPr>
            <w:tcW w:w="0" w:type="dxa"/>
            <w:vAlign w:val="bottom"/>
          </w:tcPr>
          <w:p>
            <w:pPr>
              <w:spacing w:after="0"/>
              <w:rPr>
                <w:sz w:val="1"/>
                <w:szCs w:val="1"/>
                <w:color w:val="auto"/>
              </w:rPr>
            </w:pPr>
          </w:p>
        </w:tc>
      </w:tr>
      <w:tr>
        <w:trPr>
          <w:trHeight w:val="149"/>
        </w:trPr>
        <w:tc>
          <w:tcPr>
            <w:tcW w:w="2160" w:type="dxa"/>
            <w:vAlign w:val="bottom"/>
          </w:tcPr>
          <w:p>
            <w:pPr>
              <w:ind w:left="280"/>
              <w:spacing w:after="0" w:line="149" w:lineRule="exact"/>
              <w:rPr>
                <w:sz w:val="20"/>
                <w:szCs w:val="20"/>
                <w:color w:val="auto"/>
              </w:rPr>
            </w:pPr>
            <w:r>
              <w:rPr>
                <w:rFonts w:ascii="Arial" w:cs="Arial" w:eastAsia="Arial" w:hAnsi="Arial"/>
                <w:sz w:val="14"/>
                <w:szCs w:val="14"/>
                <w:color w:val="auto"/>
              </w:rPr>
              <w:t>Share-based compensation</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60" w:type="dxa"/>
            <w:vAlign w:val="bottom"/>
          </w:tcPr>
          <w:p>
            <w:pPr>
              <w:ind w:left="30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531</w:t>
            </w:r>
          </w:p>
        </w:tc>
        <w:tc>
          <w:tcPr>
            <w:tcW w:w="140" w:type="dxa"/>
            <w:vAlign w:val="bottom"/>
          </w:tcPr>
          <w:p>
            <w:pPr>
              <w:spacing w:after="0"/>
              <w:rPr>
                <w:sz w:val="12"/>
                <w:szCs w:val="12"/>
                <w:color w:val="auto"/>
              </w:rPr>
            </w:pP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30"/>
        </w:trPr>
        <w:tc>
          <w:tcPr>
            <w:tcW w:w="21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Reverse recapitalization</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transaction costs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(6,074)</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(6,074)</w:t>
            </w:r>
          </w:p>
        </w:tc>
        <w:tc>
          <w:tcPr>
            <w:tcW w:w="0" w:type="dxa"/>
            <w:vAlign w:val="bottom"/>
          </w:tcPr>
          <w:p>
            <w:pPr>
              <w:spacing w:after="0"/>
              <w:rPr>
                <w:sz w:val="1"/>
                <w:szCs w:val="1"/>
                <w:color w:val="auto"/>
              </w:rPr>
            </w:pPr>
          </w:p>
        </w:tc>
      </w:tr>
      <w:tr>
        <w:trPr>
          <w:trHeight w:val="130"/>
        </w:trPr>
        <w:tc>
          <w:tcPr>
            <w:tcW w:w="2160" w:type="dxa"/>
            <w:vAlign w:val="bottom"/>
          </w:tcPr>
          <w:p>
            <w:pPr>
              <w:ind w:left="280"/>
              <w:spacing w:after="0" w:line="130" w:lineRule="exact"/>
              <w:rPr>
                <w:sz w:val="20"/>
                <w:szCs w:val="20"/>
                <w:color w:val="auto"/>
              </w:rPr>
            </w:pPr>
            <w:r>
              <w:rPr>
                <w:rFonts w:ascii="Arial" w:cs="Arial" w:eastAsia="Arial" w:hAnsi="Arial"/>
                <w:sz w:val="14"/>
                <w:szCs w:val="14"/>
                <w:color w:val="auto"/>
              </w:rPr>
              <w:t>Record pre-merger Millendo</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60" w:type="dxa"/>
            <w:vAlign w:val="bottom"/>
          </w:tcPr>
          <w:p>
            <w:pPr>
              <w:ind w:left="440"/>
              <w:spacing w:after="0" w:line="149" w:lineRule="exact"/>
              <w:rPr>
                <w:sz w:val="20"/>
                <w:szCs w:val="20"/>
                <w:color w:val="auto"/>
              </w:rPr>
            </w:pPr>
            <w:r>
              <w:rPr>
                <w:rFonts w:ascii="Arial" w:cs="Arial" w:eastAsia="Arial" w:hAnsi="Arial"/>
                <w:sz w:val="14"/>
                <w:szCs w:val="14"/>
                <w:color w:val="auto"/>
              </w:rPr>
              <w:t>stockholders’ equity and</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ind w:left="440"/>
              <w:spacing w:after="0" w:line="149" w:lineRule="exact"/>
              <w:rPr>
                <w:sz w:val="20"/>
                <w:szCs w:val="20"/>
                <w:color w:val="auto"/>
              </w:rPr>
            </w:pPr>
            <w:r>
              <w:rPr>
                <w:rFonts w:ascii="Arial" w:cs="Arial" w:eastAsia="Arial" w:hAnsi="Arial"/>
                <w:sz w:val="14"/>
                <w:szCs w:val="14"/>
                <w:color w:val="auto"/>
              </w:rPr>
              <w:t>elimination of Millendo</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440"/>
              <w:spacing w:after="0" w:line="149" w:lineRule="exact"/>
              <w:rPr>
                <w:sz w:val="20"/>
                <w:szCs w:val="20"/>
                <w:color w:val="auto"/>
              </w:rPr>
            </w:pPr>
            <w:r>
              <w:rPr>
                <w:rFonts w:ascii="Arial" w:cs="Arial" w:eastAsia="Arial" w:hAnsi="Arial"/>
                <w:sz w:val="14"/>
                <w:szCs w:val="14"/>
                <w:color w:val="auto"/>
              </w:rPr>
              <w:t>historical accumulated</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tcPr>
          <w:p>
            <w:pPr>
              <w:ind w:left="440"/>
              <w:spacing w:after="0"/>
              <w:rPr>
                <w:sz w:val="20"/>
                <w:szCs w:val="20"/>
                <w:color w:val="auto"/>
              </w:rPr>
            </w:pPr>
            <w:r>
              <w:rPr>
                <w:rFonts w:ascii="Arial" w:cs="Arial" w:eastAsia="Arial" w:hAnsi="Arial"/>
                <w:sz w:val="14"/>
                <w:szCs w:val="14"/>
                <w:color w:val="auto"/>
              </w:rPr>
              <w:t>deficit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1,269,446</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0"/>
                <w:szCs w:val="10"/>
                <w:color w:val="auto"/>
                <w:w w:val="71"/>
              </w:rPr>
              <w:t>1</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18,000</w:t>
            </w:r>
          </w:p>
        </w:tc>
        <w:tc>
          <w:tcPr>
            <w:tcW w:w="140" w:type="dxa"/>
            <w:vAlign w:val="bottom"/>
          </w:tcPr>
          <w:p>
            <w:pPr>
              <w:spacing w:after="0"/>
              <w:rPr>
                <w:sz w:val="14"/>
                <w:szCs w:val="14"/>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18,001</w:t>
            </w: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loss</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(12,413)</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(12,413)</w:t>
            </w:r>
          </w:p>
        </w:tc>
        <w:tc>
          <w:tcPr>
            <w:tcW w:w="0" w:type="dxa"/>
            <w:vAlign w:val="bottom"/>
          </w:tcPr>
          <w:p>
            <w:pPr>
              <w:spacing w:after="0"/>
              <w:rPr>
                <w:sz w:val="1"/>
                <w:szCs w:val="1"/>
                <w:color w:val="auto"/>
              </w:rPr>
            </w:pPr>
          </w:p>
        </w:tc>
      </w:tr>
      <w:tr>
        <w:trPr>
          <w:trHeight w:val="156"/>
        </w:trPr>
        <w:tc>
          <w:tcPr>
            <w:tcW w:w="2160" w:type="dxa"/>
            <w:vAlign w:val="bottom"/>
          </w:tcPr>
          <w:p>
            <w:pPr>
              <w:spacing w:after="0" w:line="155" w:lineRule="exact"/>
              <w:rPr>
                <w:sz w:val="20"/>
                <w:szCs w:val="20"/>
                <w:color w:val="auto"/>
              </w:rPr>
            </w:pPr>
            <w:r>
              <w:rPr>
                <w:rFonts w:ascii="Arial" w:cs="Arial" w:eastAsia="Arial" w:hAnsi="Arial"/>
                <w:sz w:val="14"/>
                <w:szCs w:val="14"/>
                <w:color w:val="auto"/>
              </w:rPr>
              <w:t>BALANCE—June 30, 2021</w:t>
            </w:r>
          </w:p>
        </w:tc>
        <w:tc>
          <w:tcPr>
            <w:tcW w:w="74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6,628,314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7</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132,281</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ind w:left="240"/>
              <w:spacing w:after="0" w:line="155" w:lineRule="exact"/>
              <w:rPr>
                <w:sz w:val="20"/>
                <w:szCs w:val="20"/>
                <w:color w:val="auto"/>
              </w:rPr>
            </w:pPr>
            <w:r>
              <w:rPr>
                <w:rFonts w:ascii="Arial" w:cs="Arial" w:eastAsia="Arial" w:hAnsi="Arial"/>
                <w:sz w:val="14"/>
                <w:szCs w:val="14"/>
                <w:color w:val="auto"/>
                <w:w w:val="84"/>
              </w:rPr>
              <w:t>(84,174)</w:t>
            </w:r>
          </w:p>
        </w:tc>
        <w:tc>
          <w:tcPr>
            <w:tcW w:w="1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48,114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Six Months Ended June 30, 2020</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5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Series A</w:t>
            </w:r>
          </w:p>
        </w:tc>
        <w:tc>
          <w:tcPr>
            <w:tcW w:w="15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Series B</w:t>
            </w:r>
          </w:p>
        </w:tc>
        <w:tc>
          <w:tcPr>
            <w:tcW w:w="1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Series B1</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15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Convertible</w:t>
            </w:r>
          </w:p>
        </w:tc>
        <w:tc>
          <w:tcPr>
            <w:tcW w:w="15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6"/>
              </w:rPr>
              <w:t>Convertible</w:t>
            </w:r>
          </w:p>
        </w:tc>
        <w:tc>
          <w:tcPr>
            <w:tcW w:w="1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Convertible</w:t>
            </w:r>
          </w:p>
        </w:tc>
        <w:tc>
          <w:tcPr>
            <w:tcW w:w="122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5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Preferred Stock</w:t>
            </w:r>
          </w:p>
        </w:tc>
        <w:tc>
          <w:tcPr>
            <w:tcW w:w="15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Preferred Stock</w:t>
            </w:r>
          </w:p>
        </w:tc>
        <w:tc>
          <w:tcPr>
            <w:tcW w:w="1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Preferred Stock</w:t>
            </w:r>
          </w:p>
        </w:tc>
        <w:tc>
          <w:tcPr>
            <w:tcW w:w="12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8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90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90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66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9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BALANCE—December 31, 2019</w:t>
            </w:r>
          </w:p>
        </w:tc>
        <w:tc>
          <w:tcPr>
            <w:tcW w:w="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17,000,000</w:t>
            </w:r>
          </w:p>
        </w:tc>
        <w:tc>
          <w:tcPr>
            <w:tcW w:w="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$ 16,982</w:t>
            </w:r>
          </w:p>
        </w:tc>
        <w:tc>
          <w:tcPr>
            <w:tcW w:w="9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25,186,738</w:t>
            </w:r>
          </w:p>
        </w:tc>
        <w:tc>
          <w:tcPr>
            <w:tcW w:w="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$ 12,235</w:t>
            </w:r>
          </w:p>
        </w:tc>
        <w:tc>
          <w:tcPr>
            <w:tcW w:w="9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28,749,997</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$ 22,755</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410,429</w:t>
            </w:r>
          </w:p>
        </w:tc>
        <w:tc>
          <w:tcPr>
            <w:tcW w:w="2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2,188</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(52,553)</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(50,365)</w:t>
            </w:r>
          </w:p>
        </w:tc>
        <w:tc>
          <w:tcPr>
            <w:tcW w:w="0" w:type="dxa"/>
            <w:vAlign w:val="bottom"/>
          </w:tcPr>
          <w:p>
            <w:pPr>
              <w:spacing w:after="0"/>
              <w:rPr>
                <w:sz w:val="1"/>
                <w:szCs w:val="1"/>
                <w:color w:val="auto"/>
              </w:rPr>
            </w:pPr>
          </w:p>
        </w:tc>
      </w:tr>
      <w:tr>
        <w:trPr>
          <w:trHeight w:val="148"/>
        </w:trPr>
        <w:tc>
          <w:tcPr>
            <w:tcW w:w="2160" w:type="dxa"/>
            <w:vAlign w:val="bottom"/>
          </w:tcPr>
          <w:p>
            <w:pPr>
              <w:ind w:left="280"/>
              <w:spacing w:after="0" w:line="149" w:lineRule="exact"/>
              <w:rPr>
                <w:sz w:val="20"/>
                <w:szCs w:val="20"/>
                <w:color w:val="auto"/>
              </w:rPr>
            </w:pPr>
            <w:r>
              <w:rPr>
                <w:rFonts w:ascii="Arial" w:cs="Arial" w:eastAsia="Arial" w:hAnsi="Arial"/>
                <w:sz w:val="14"/>
                <w:szCs w:val="14"/>
                <w:color w:val="auto"/>
              </w:rPr>
              <w:t>Exercise of options—net of</w:t>
            </w: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6,132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30"/>
        </w:trPr>
        <w:tc>
          <w:tcPr>
            <w:tcW w:w="21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w w:val="98"/>
              </w:rPr>
              <w:t>Issuance of preferred stock for</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8"/>
              </w:rPr>
              <w:t>cash—net of issuance costs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of $265</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43,749,996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34,735</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60" w:type="dxa"/>
            <w:vAlign w:val="bottom"/>
          </w:tcPr>
          <w:p>
            <w:pPr>
              <w:ind w:left="280"/>
              <w:spacing w:after="0" w:line="130" w:lineRule="exact"/>
              <w:rPr>
                <w:sz w:val="20"/>
                <w:szCs w:val="20"/>
                <w:color w:val="auto"/>
              </w:rPr>
            </w:pPr>
            <w:r>
              <w:rPr>
                <w:rFonts w:ascii="Arial" w:cs="Arial" w:eastAsia="Arial" w:hAnsi="Arial"/>
                <w:sz w:val="14"/>
                <w:szCs w:val="14"/>
                <w:color w:val="auto"/>
              </w:rPr>
              <w:t>Vesting of early exercised</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tcPr>
          <w:p>
            <w:pPr>
              <w:ind w:left="420"/>
              <w:spacing w:after="0"/>
              <w:rPr>
                <w:sz w:val="20"/>
                <w:szCs w:val="20"/>
                <w:color w:val="auto"/>
              </w:rPr>
            </w:pPr>
            <w:r>
              <w:rPr>
                <w:rFonts w:ascii="Arial" w:cs="Arial" w:eastAsia="Arial" w:hAnsi="Arial"/>
                <w:sz w:val="14"/>
                <w:szCs w:val="14"/>
                <w:color w:val="auto"/>
              </w:rPr>
              <w:t>stock options</w:t>
            </w: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60,406</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200</w:t>
            </w:r>
          </w:p>
        </w:tc>
        <w:tc>
          <w:tcPr>
            <w:tcW w:w="1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Share-based compensation</w:t>
            </w: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49"/>
        </w:trPr>
        <w:tc>
          <w:tcPr>
            <w:tcW w:w="216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(9,457)</w:t>
            </w:r>
          </w:p>
        </w:tc>
        <w:tc>
          <w:tcPr>
            <w:tcW w:w="2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(9,457)</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BALANCE—June 30, 2020</w:t>
            </w:r>
          </w:p>
        </w:tc>
        <w:tc>
          <w:tcPr>
            <w:tcW w:w="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8"/>
              </w:rPr>
              <w:t>17,000,000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$ 16,982</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25,186,738</w:t>
            </w:r>
          </w:p>
        </w:tc>
        <w:tc>
          <w:tcPr>
            <w:tcW w:w="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$ 12,235</w:t>
            </w:r>
          </w:p>
        </w:tc>
        <w:tc>
          <w:tcPr>
            <w:tcW w:w="9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72,499,993</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$ 57,490</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476,967</w:t>
            </w:r>
          </w:p>
        </w:tc>
        <w:tc>
          <w:tcPr>
            <w:tcW w:w="2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2,645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(62,010)</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(59,365)</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Interim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86"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TEMPEST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Six Months Ended</w:t>
      </w:r>
    </w:p>
    <w:p>
      <w:pPr>
        <w:jc w:val="center"/>
        <w:ind w:left="92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20" w:type="dxa"/>
        <w:tblCellMar>
          <w:top w:w="0" w:type="dxa"/>
          <w:left w:w="0" w:type="dxa"/>
          <w:bottom w:w="0" w:type="dxa"/>
          <w:right w:w="0" w:type="dxa"/>
        </w:tblCellMar>
      </w:tblPr>
      <w:tr>
        <w:trPr>
          <w:trHeight w:val="156"/>
        </w:trPr>
        <w:tc>
          <w:tcPr>
            <w:tcW w:w="93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209"/>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(12,413)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(9,457)</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Depreciation expense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Noncash lease expense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264</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related party interest income</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Noncash interest and other expense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6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(891)</w:t>
            </w:r>
          </w:p>
        </w:tc>
      </w:tr>
      <w:tr>
        <w:trPr>
          <w:trHeight w:val="216"/>
        </w:trPr>
        <w:tc>
          <w:tcPr>
            <w:tcW w:w="9360" w:type="dxa"/>
            <w:vAlign w:val="bottom"/>
          </w:tcPr>
          <w:p>
            <w:pPr>
              <w:ind w:left="7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(1,197)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(625)</w:t>
            </w: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payable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tcPr>
          <w:p>
            <w:pPr>
              <w:ind w:left="72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363</w:t>
            </w:r>
          </w:p>
        </w:tc>
      </w:tr>
      <w:tr>
        <w:trPr>
          <w:trHeight w:val="27"/>
        </w:trPr>
        <w:tc>
          <w:tcPr>
            <w:tcW w:w="9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Cash used in operating activities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(10,121)</w:t>
            </w:r>
          </w:p>
        </w:tc>
      </w:tr>
      <w:tr>
        <w:trPr>
          <w:trHeight w:val="223"/>
        </w:trPr>
        <w:tc>
          <w:tcPr>
            <w:tcW w:w="93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Repayment of note receivable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r>
      <w:tr>
        <w:trPr>
          <w:trHeight w:val="27"/>
        </w:trPr>
        <w:tc>
          <w:tcPr>
            <w:tcW w:w="9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Cash (used in) provided by investing activities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r>
      <w:tr>
        <w:trPr>
          <w:trHeight w:val="223"/>
        </w:trPr>
        <w:tc>
          <w:tcPr>
            <w:tcW w:w="93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preferred stock</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35,000</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Payment of preferred stock issuance costs</w:t>
            </w:r>
          </w:p>
        </w:tc>
        <w:tc>
          <w:tcPr>
            <w:tcW w:w="100" w:type="dxa"/>
            <w:vAlign w:val="bottom"/>
          </w:tcPr>
          <w:p>
            <w:pPr>
              <w:spacing w:after="0"/>
              <w:rPr>
                <w:sz w:val="18"/>
                <w:szCs w:val="18"/>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(469)</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common stock</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30,010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Borrowings on loan payable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Payment of loan issuance costs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Cash acquired in connection with the reverse recapitalization</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17,045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Payment of reverse recapitalization transaction costs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Proceeds from option exercises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r>
      <w:tr>
        <w:trPr>
          <w:trHeight w:val="27"/>
        </w:trPr>
        <w:tc>
          <w:tcPr>
            <w:tcW w:w="9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Cash provided by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55,905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34,558</w:t>
            </w:r>
          </w:p>
        </w:tc>
      </w:tr>
      <w:tr>
        <w:trPr>
          <w:trHeight w:val="223"/>
        </w:trPr>
        <w:tc>
          <w:tcPr>
            <w:tcW w:w="93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49,638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24,444</w:t>
            </w:r>
          </w:p>
        </w:tc>
        <w:tc>
          <w:tcPr>
            <w:tcW w:w="120" w:type="dxa"/>
            <w:vAlign w:val="bottom"/>
          </w:tcPr>
          <w:p>
            <w:pPr>
              <w:spacing w:after="0"/>
              <w:rPr>
                <w:sz w:val="19"/>
                <w:szCs w:val="19"/>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18,820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3,244</w:t>
            </w:r>
          </w:p>
        </w:tc>
      </w:tr>
      <w:tr>
        <w:trPr>
          <w:trHeight w:val="223"/>
        </w:trPr>
        <w:tc>
          <w:tcPr>
            <w:tcW w:w="9360" w:type="dxa"/>
            <w:vAlign w:val="bottom"/>
          </w:tcPr>
          <w:p>
            <w:pPr>
              <w:spacing w:after="0"/>
              <w:rPr>
                <w:sz w:val="20"/>
                <w:szCs w:val="20"/>
                <w:color w:val="auto"/>
              </w:rPr>
            </w:pPr>
            <w:r>
              <w:rPr>
                <w:rFonts w:ascii="Arial" w:cs="Arial" w:eastAsia="Arial" w:hAnsi="Arial"/>
                <w:sz w:val="18"/>
                <w:szCs w:val="18"/>
                <w:color w:val="auto"/>
              </w:rPr>
              <w:t>Cash and cash equivalents and restricted 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68,458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27,688</w:t>
            </w:r>
          </w:p>
        </w:tc>
        <w:tc>
          <w:tcPr>
            <w:tcW w:w="12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cashflow information: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9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Vesting of early exercise stock options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r>
      <w:tr>
        <w:trPr>
          <w:trHeight w:val="20"/>
        </w:trPr>
        <w:tc>
          <w:tcPr>
            <w:tcW w:w="9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Interim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86"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TEMPEST THERAPEUTICS, INC.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Unaudited Interim Consolidated Financial Statements</w:t>
      </w:r>
    </w:p>
    <w:p>
      <w:pPr>
        <w:spacing w:after="0" w:line="131" w:lineRule="exact"/>
        <w:rPr>
          <w:sz w:val="20"/>
          <w:szCs w:val="20"/>
          <w:color w:val="auto"/>
        </w:rPr>
      </w:pPr>
    </w:p>
    <w:p>
      <w:pPr>
        <w:ind w:left="540" w:hanging="424"/>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BUSINESS</w:t>
      </w:r>
    </w:p>
    <w:p>
      <w:pPr>
        <w:spacing w:after="0" w:line="117" w:lineRule="exact"/>
        <w:rPr>
          <w:rFonts w:ascii="Arial" w:cs="Arial" w:eastAsia="Arial" w:hAnsi="Arial"/>
          <w:sz w:val="18"/>
          <w:szCs w:val="18"/>
          <w:b w:val="1"/>
          <w:bCs w:val="1"/>
          <w:color w:val="auto"/>
        </w:rPr>
      </w:pPr>
    </w:p>
    <w:p>
      <w:pPr>
        <w:ind w:left="560"/>
        <w:spacing w:after="0" w:line="272" w:lineRule="auto"/>
        <w:rPr>
          <w:rFonts w:ascii="Arial" w:cs="Arial" w:eastAsia="Arial" w:hAnsi="Arial"/>
          <w:sz w:val="18"/>
          <w:szCs w:val="18"/>
          <w:b w:val="1"/>
          <w:bCs w:val="1"/>
          <w:color w:val="auto"/>
        </w:rPr>
      </w:pPr>
      <w:r>
        <w:rPr>
          <w:rFonts w:ascii="Arial" w:cs="Arial" w:eastAsia="Arial" w:hAnsi="Arial"/>
          <w:sz w:val="17"/>
          <w:szCs w:val="17"/>
          <w:b w:val="1"/>
          <w:bCs w:val="1"/>
          <w:color w:val="auto"/>
        </w:rPr>
        <w:t>Description of Business</w:t>
      </w:r>
      <w:r>
        <w:rPr>
          <w:rFonts w:ascii="Arial" w:cs="Arial" w:eastAsia="Arial" w:hAnsi="Arial"/>
          <w:sz w:val="17"/>
          <w:szCs w:val="17"/>
          <w:color w:val="auto"/>
        </w:rPr>
        <w:t>—Tempest Therapeutics, Inc. (“Tempest,” or the “Company”) is a clinical-stage oncology company focused on</w:t>
      </w:r>
      <w:r>
        <w:rPr>
          <w:rFonts w:ascii="Arial" w:cs="Arial" w:eastAsia="Arial" w:hAnsi="Arial"/>
          <w:sz w:val="17"/>
          <w:szCs w:val="17"/>
          <w:b w:val="1"/>
          <w:bCs w:val="1"/>
          <w:color w:val="auto"/>
        </w:rPr>
        <w:t xml:space="preserve"> </w:t>
      </w:r>
      <w:r>
        <w:rPr>
          <w:rFonts w:ascii="Arial" w:cs="Arial" w:eastAsia="Arial" w:hAnsi="Arial"/>
          <w:sz w:val="17"/>
          <w:szCs w:val="17"/>
          <w:color w:val="auto"/>
        </w:rPr>
        <w:t>developing novel, orally available therapies for the treatment of solid tumors. Tempest has three programs currently in development, TPST-1495, TPST-1120 and a TREX-1 antagonist. TPST-1495 is a dual antagonist of the EP2 and EP4 prostaglandin E2 receptors, and to the Company’s knowledge, is the only such dual antagonist in clinical development. TPST-1495 is currently in a Phase 1 trial in solid tumors. Tempest’s second clinical program, TPST-1120, is a selective antagonist of peroxisome proliferator-activated receptor alpha (“PPARα”) and is also in a Phase 1 trial in solid tumors. Similar to TPST-1495, Tempest believes TPST-1120 is the only PPARα antagonist in clinical development. The Company also has a third program in preclinical studies that could be the first to target TREX-1, a cellular enzyme that regulates the innate immune response in tumors. Tempest is headquartered in South San Francisco, California.</w:t>
      </w:r>
    </w:p>
    <w:p>
      <w:pPr>
        <w:spacing w:after="0" w:line="63" w:lineRule="exact"/>
        <w:rPr>
          <w:rFonts w:ascii="Arial" w:cs="Arial" w:eastAsia="Arial" w:hAnsi="Arial"/>
          <w:sz w:val="18"/>
          <w:szCs w:val="18"/>
          <w:b w:val="1"/>
          <w:bCs w:val="1"/>
          <w:color w:val="auto"/>
        </w:rPr>
      </w:pPr>
    </w:p>
    <w:p>
      <w:pPr>
        <w:ind w:left="560" w:right="1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Merger with Millendo</w:t>
      </w:r>
      <w:r>
        <w:rPr>
          <w:rFonts w:ascii="Arial" w:cs="Arial" w:eastAsia="Arial" w:hAnsi="Arial"/>
          <w:sz w:val="18"/>
          <w:szCs w:val="18"/>
          <w:color w:val="auto"/>
        </w:rPr>
        <w:t>—On March 29, 2021, TempestTx, Inc. (“Private Tempest”) entered into an Agreement and Plan of Merger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with Millendo Therapeutics, Inc. (“Millendo”).</w:t>
      </w:r>
    </w:p>
    <w:p>
      <w:pPr>
        <w:spacing w:after="0" w:line="57" w:lineRule="exact"/>
        <w:rPr>
          <w:rFonts w:ascii="Arial" w:cs="Arial" w:eastAsia="Arial" w:hAnsi="Arial"/>
          <w:sz w:val="18"/>
          <w:szCs w:val="18"/>
          <w:b w:val="1"/>
          <w:bCs w:val="1"/>
          <w:color w:val="auto"/>
        </w:rPr>
      </w:pPr>
    </w:p>
    <w:p>
      <w:pPr>
        <w:ind w:left="560" w:right="3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Concurrent with the execution and delivery of the Merger Agreement, Private Tempest entered into funding agreements with certain investors named therein, pursuant to which the investors agreed to purchase, in the aggregate, $30.0 million of common stock of Private Tempest, convertible into securities of Millendo.</w:t>
      </w:r>
    </w:p>
    <w:p>
      <w:pPr>
        <w:spacing w:after="0" w:line="75" w:lineRule="exact"/>
        <w:rPr>
          <w:rFonts w:ascii="Arial" w:cs="Arial" w:eastAsia="Arial" w:hAnsi="Arial"/>
          <w:sz w:val="18"/>
          <w:szCs w:val="18"/>
          <w:b w:val="1"/>
          <w:bCs w:val="1"/>
          <w:color w:val="auto"/>
        </w:rPr>
      </w:pPr>
    </w:p>
    <w:p>
      <w:pPr>
        <w:ind w:left="560" w:right="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On June 25, 2021, Private Tempest completed the merger with Millendo in accordance with the Merger Agreement. Prior to the effective time of the merger, Millendo effected a 1-for-15 reverse stock split, and right after the merger, Millendo changed its name to Tempest Therapeutics, Inc. Under the terms of the Merger Agreement, immediately prior to the effective time of the merger, each share Private Tempest’s preferred stock was converted into a share of Private Tempest’s common stock. At closing of the merger, the Company issued an aggregate of approximately</w:t>
      </w:r>
    </w:p>
    <w:p>
      <w:pPr>
        <w:spacing w:after="0" w:line="1" w:lineRule="exact"/>
        <w:rPr>
          <w:rFonts w:ascii="Arial" w:cs="Arial" w:eastAsia="Arial" w:hAnsi="Arial"/>
          <w:sz w:val="18"/>
          <w:szCs w:val="18"/>
          <w:b w:val="1"/>
          <w:bCs w:val="1"/>
          <w:color w:val="auto"/>
        </w:rPr>
      </w:pPr>
    </w:p>
    <w:p>
      <w:pPr>
        <w:ind w:left="560" w:right="14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5,365,899 shares of its common stock to Private Tempest stockholders, based on an exchange ratio of 0.0322 shares of the Company’s common stock for each share of Private Tempest common stock outstanding immediately prior to the merger, including those shares of common stock issued upon conversion of the Private Tempest preferred stock, resulting in approximately 6,635,345 shares of the Company’s common stock being issued and outstanding immediately following the effective time of the merger. The Company also assumed all of the outstanding and unexercised stock options and warrants to purchase shares of Private Tempest capital stock. The assumed options continue to be governed by the terms of the 2011 and 2017 Equity Incentive Plans (as discussed more in Note 12) under which the options were originally granted, with such options hence forth representing the right to purchase a number of shares of the Company’s common stock equal to 0.0322 multiplied by the number of share of Private Tempest common stock previously represented by such options.</w:t>
      </w:r>
    </w:p>
    <w:p>
      <w:pPr>
        <w:spacing w:after="0" w:line="61" w:lineRule="exact"/>
        <w:rPr>
          <w:rFonts w:ascii="Arial" w:cs="Arial" w:eastAsia="Arial" w:hAnsi="Arial"/>
          <w:sz w:val="18"/>
          <w:szCs w:val="18"/>
          <w:b w:val="1"/>
          <w:bCs w:val="1"/>
          <w:color w:val="auto"/>
        </w:rPr>
      </w:pPr>
    </w:p>
    <w:p>
      <w:pPr>
        <w:ind w:left="560" w:right="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merger was accounted for as a reverse recapitalization in accordance with U.S. generally accepted accounting principles (“GAAP”). Under this method of accounting, Private Tempest was be deemed to be the accounting acquirer for financial reporting purposes. This determination was primarily based on the expectation that, immediately following the merger: (i) Private Tempest stockholders would own a substantial majority of the voting rights; (ii) Private Tempest would designate a substantial majority of the initial members of the board of directors of the combined company; (iii) Private Tempest’s executive management team would become the management of the combined company; and (iv) the combined company would be named Tempest Therapeutics, Inc. Accordingly, for accounting purposes, the merger was treated as the equivalent of Tempest issuing stock to acquire the net assets of Millendo. As a result of the merger, the net assets of Millendo were recorded at their acquisition-date fair value in the financial statements of Private Tempest and the reported operating results prior to the merger will be those of Private Tempest. Historical per share figures of Private Tempest have been retroactively restated based on the exchange ratio of 0.0322.</w:t>
      </w:r>
    </w:p>
    <w:p>
      <w:pPr>
        <w:spacing w:after="0" w:line="310" w:lineRule="exact"/>
        <w:rPr>
          <w:rFonts w:ascii="Arial" w:cs="Arial" w:eastAsia="Arial" w:hAnsi="Arial"/>
          <w:sz w:val="18"/>
          <w:szCs w:val="18"/>
          <w:b w:val="1"/>
          <w:bCs w:val="1"/>
          <w:color w:val="auto"/>
        </w:rPr>
      </w:pPr>
    </w:p>
    <w:p>
      <w:pPr>
        <w:ind w:left="540" w:hanging="424"/>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unaudited interim financial statements have been prepared in accordance with GAAP.</w:t>
      </w:r>
    </w:p>
    <w:p>
      <w:pPr>
        <w:spacing w:after="0" w:line="117" w:lineRule="exact"/>
        <w:rPr>
          <w:rFonts w:ascii="Arial" w:cs="Arial" w:eastAsia="Arial" w:hAnsi="Arial"/>
          <w:sz w:val="18"/>
          <w:szCs w:val="18"/>
          <w:b w:val="1"/>
          <w:bCs w:val="1"/>
          <w:color w:val="auto"/>
        </w:rPr>
      </w:pPr>
    </w:p>
    <w:p>
      <w:pPr>
        <w:ind w:left="56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Unaudited Interim Financial Statements</w:t>
      </w:r>
      <w:r>
        <w:rPr>
          <w:rFonts w:ascii="Arial" w:cs="Arial" w:eastAsia="Arial" w:hAnsi="Arial"/>
          <w:sz w:val="18"/>
          <w:szCs w:val="18"/>
          <w:color w:val="auto"/>
        </w:rPr>
        <w:t>—The Company has prepared the accompanying unaudited interim financial statements on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basis as the audited financial statements, and the unaudited interim financial statements include, in the Company’s opinion, all adjustments, consisting only of normal recurring adjustments that the Company considers necessary for a fair presentation of its financial position and results of operations for these periods. The unaudited interim financial statements, presented herein, do not contain the required disclosures under GAAP for annual financial statements.</w:t>
      </w:r>
    </w:p>
    <w:p>
      <w:pPr>
        <w:spacing w:after="0" w:line="75" w:lineRule="exact"/>
        <w:rPr>
          <w:rFonts w:ascii="Arial" w:cs="Arial" w:eastAsia="Arial" w:hAnsi="Arial"/>
          <w:sz w:val="18"/>
          <w:szCs w:val="18"/>
          <w:b w:val="1"/>
          <w:bCs w:val="1"/>
          <w:color w:val="auto"/>
        </w:rPr>
      </w:pPr>
    </w:p>
    <w:p>
      <w:pPr>
        <w:ind w:left="560" w:right="140"/>
        <w:spacing w:after="0" w:line="272" w:lineRule="auto"/>
        <w:rPr>
          <w:rFonts w:ascii="Arial" w:cs="Arial" w:eastAsia="Arial" w:hAnsi="Arial"/>
          <w:sz w:val="18"/>
          <w:szCs w:val="18"/>
          <w:b w:val="1"/>
          <w:bCs w:val="1"/>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—The preparation of financial statements in conformity with GAAP requires management to make estimates and assumptions</w:t>
      </w:r>
      <w:r>
        <w:rPr>
          <w:rFonts w:ascii="Arial" w:cs="Arial" w:eastAsia="Arial" w:hAnsi="Arial"/>
          <w:sz w:val="17"/>
          <w:szCs w:val="17"/>
          <w:b w:val="1"/>
          <w:bCs w:val="1"/>
          <w:color w:val="auto"/>
        </w:rPr>
        <w:t xml:space="preserve"> </w:t>
      </w:r>
      <w:r>
        <w:rPr>
          <w:rFonts w:ascii="Arial" w:cs="Arial" w:eastAsia="Arial" w:hAnsi="Arial"/>
          <w:sz w:val="17"/>
          <w:szCs w:val="17"/>
          <w:color w:val="auto"/>
        </w:rPr>
        <w:t>that affect 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fair value of common stock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63" w:lineRule="exact"/>
        <w:rPr>
          <w:rFonts w:ascii="Arial" w:cs="Arial" w:eastAsia="Arial" w:hAnsi="Arial"/>
          <w:sz w:val="18"/>
          <w:szCs w:val="18"/>
          <w:b w:val="1"/>
          <w:bCs w:val="1"/>
          <w:color w:val="auto"/>
        </w:rPr>
      </w:pPr>
    </w:p>
    <w:p>
      <w:pPr>
        <w:ind w:left="560" w:right="28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Risks and Uncertainties – </w:t>
      </w:r>
      <w:r>
        <w:rPr>
          <w:rFonts w:ascii="Arial" w:cs="Arial" w:eastAsia="Arial" w:hAnsi="Arial"/>
          <w:sz w:val="18"/>
          <w:szCs w:val="18"/>
          <w:color w:val="auto"/>
        </w:rPr>
        <w:t>The Company is subject to risks and uncertainties common to early-stage companies in the biotechnology industry,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development by competitors of new technological innovations,</w:t>
      </w:r>
    </w:p>
    <w:p>
      <w:pPr>
        <w:sectPr>
          <w:pgSz w:w="11900" w:h="16838" w:orient="portrait"/>
          <w:cols w:equalWidth="0" w:num="1">
            <w:col w:w="11120"/>
          </w:cols>
          <w:pgMar w:left="320" w:top="486" w:right="459" w:bottom="1440" w:gutter="0" w:footer="0" w:header="0"/>
        </w:sectPr>
      </w:pP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20"/>
          </w:cols>
          <w:pgMar w:left="320" w:top="486" w:right="4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268" w:lineRule="auto"/>
        <w:rPr>
          <w:sz w:val="20"/>
          <w:szCs w:val="20"/>
          <w:color w:val="auto"/>
        </w:rPr>
      </w:pPr>
      <w:r>
        <w:rPr>
          <w:rFonts w:ascii="Arial" w:cs="Arial" w:eastAsia="Arial" w:hAnsi="Arial"/>
          <w:sz w:val="17"/>
          <w:szCs w:val="17"/>
          <w:color w:val="auto"/>
        </w:rPr>
        <w:t>protection of proprietary technology, dependence on key personnel, reliance on single-source vendors, availability of raw materials, patentability of the Company’s products and processes and clinical efficacy and safety of the Company’s products under development,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will require significant amounts of additional capital, adequate personnel infrastructure and extensive compliance and reporting. The Company’s product candidates are still in development and, to date, none of the Company’s product candidates have been approved for sale and, therefore, the Company has not generated any revenue from product sales.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revenue from product sales. The Company operates in an environment of rapid technological change and substantial competition from other pharmaceutical and biotechnology companies. In addition, the Company is dependent upon the services of its employees, consultants and other third parties.</w:t>
      </w:r>
    </w:p>
    <w:p>
      <w:pPr>
        <w:spacing w:after="0" w:line="78" w:lineRule="exact"/>
        <w:rPr>
          <w:sz w:val="20"/>
          <w:szCs w:val="20"/>
          <w:color w:val="auto"/>
        </w:rPr>
      </w:pPr>
    </w:p>
    <w:p>
      <w:pPr>
        <w:ind w:left="560" w:right="100"/>
        <w:spacing w:after="0" w:line="301" w:lineRule="auto"/>
        <w:rPr>
          <w:sz w:val="20"/>
          <w:szCs w:val="20"/>
          <w:color w:val="auto"/>
        </w:rPr>
      </w:pPr>
      <w:r>
        <w:rPr>
          <w:rFonts w:ascii="Arial" w:cs="Arial" w:eastAsia="Arial" w:hAnsi="Arial"/>
          <w:sz w:val="16"/>
          <w:szCs w:val="16"/>
          <w:color w:val="auto"/>
        </w:rPr>
        <w:t>Moreover, the current COVID-19 (“coronavirus”) pandemic, which is impacting worldwide economic activity, poses risk that the Company or its employees, contractors, suppliers, and other partners may be prevented from conducting business activities for an indefinite period of time, including due to shutdowns that may be requested or mandated by governmental authorities. The extent to which the COVID-19 pandemic will impact the Company’s business will depend on future developments that are highly uncertain and cannot be predicted at this time.</w:t>
      </w:r>
    </w:p>
    <w:p>
      <w:pPr>
        <w:spacing w:after="0" w:line="45" w:lineRule="exact"/>
        <w:rPr>
          <w:sz w:val="20"/>
          <w:szCs w:val="20"/>
          <w:color w:val="auto"/>
        </w:rPr>
      </w:pPr>
    </w:p>
    <w:p>
      <w:pPr>
        <w:jc w:val="both"/>
        <w:ind w:left="560" w:right="400"/>
        <w:spacing w:after="0" w:line="266"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—The Company considers all highly liquid investments purchased with original maturities of 90 days or less at</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to be cash equivalents. As of June 30, 2021 and December 31, 2020, the Company’s cash and cash equivalents consisted of bank deposits and a money market funds.</w:t>
      </w:r>
    </w:p>
    <w:p>
      <w:pPr>
        <w:spacing w:after="0" w:line="68" w:lineRule="exact"/>
        <w:rPr>
          <w:sz w:val="20"/>
          <w:szCs w:val="20"/>
          <w:color w:val="auto"/>
        </w:rPr>
      </w:pPr>
    </w:p>
    <w:p>
      <w:pPr>
        <w:ind w:left="560" w:right="80"/>
        <w:spacing w:after="0" w:line="258"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is recorded at cost and depreciated over the estimated useful lives of the related assets using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straight-line method. Upon disposal of an asset, the related cost and accumulated depreciation are removed from the asset accounts and any resulting gain or loss is included in the statement of operations. Repair and maintenance costs are expensed as incurred, whereas major improvements are capitalized as additions to property and equipment. The estimated useful lives of the Company’s respective assets are as follows:</w:t>
      </w:r>
    </w:p>
    <w:p>
      <w:pPr>
        <w:spacing w:after="0" w:line="93"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5560" w:type="dxa"/>
            <w:vAlign w:val="bottom"/>
          </w:tcPr>
          <w:p>
            <w:pPr>
              <w:jc w:val="center"/>
              <w:ind w:left="1270"/>
              <w:spacing w:after="0"/>
              <w:rPr>
                <w:sz w:val="20"/>
                <w:szCs w:val="20"/>
                <w:color w:val="auto"/>
              </w:rPr>
            </w:pPr>
            <w:r>
              <w:rPr>
                <w:rFonts w:ascii="Arial" w:cs="Arial" w:eastAsia="Arial" w:hAnsi="Arial"/>
                <w:sz w:val="18"/>
                <w:szCs w:val="18"/>
                <w:color w:val="auto"/>
                <w:w w:val="88"/>
              </w:rPr>
              <w:t>3 years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560" w:type="dxa"/>
            <w:vAlign w:val="bottom"/>
          </w:tcPr>
          <w:p>
            <w:pPr>
              <w:jc w:val="center"/>
              <w:ind w:left="1270"/>
              <w:spacing w:after="0"/>
              <w:rPr>
                <w:sz w:val="20"/>
                <w:szCs w:val="20"/>
                <w:color w:val="auto"/>
              </w:rPr>
            </w:pPr>
            <w:r>
              <w:rPr>
                <w:rFonts w:ascii="Arial" w:cs="Arial" w:eastAsia="Arial" w:hAnsi="Arial"/>
                <w:sz w:val="18"/>
                <w:szCs w:val="18"/>
                <w:color w:val="auto"/>
                <w:w w:val="88"/>
              </w:rPr>
              <w:t>7 years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Laboratory equipment</w:t>
            </w:r>
          </w:p>
        </w:tc>
        <w:tc>
          <w:tcPr>
            <w:tcW w:w="5560" w:type="dxa"/>
            <w:vAlign w:val="bottom"/>
          </w:tcPr>
          <w:p>
            <w:pPr>
              <w:jc w:val="center"/>
              <w:ind w:left="1270"/>
              <w:spacing w:after="0"/>
              <w:rPr>
                <w:sz w:val="20"/>
                <w:szCs w:val="20"/>
                <w:color w:val="auto"/>
              </w:rPr>
            </w:pPr>
            <w:r>
              <w:rPr>
                <w:rFonts w:ascii="Arial" w:cs="Arial" w:eastAsia="Arial" w:hAnsi="Arial"/>
                <w:sz w:val="18"/>
                <w:szCs w:val="18"/>
                <w:color w:val="auto"/>
                <w:w w:val="88"/>
              </w:rPr>
              <w:t>5 years</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560" w:type="dxa"/>
            <w:vAlign w:val="bottom"/>
          </w:tcPr>
          <w:p>
            <w:pPr>
              <w:jc w:val="center"/>
              <w:ind w:left="1250"/>
              <w:spacing w:after="0"/>
              <w:rPr>
                <w:sz w:val="20"/>
                <w:szCs w:val="20"/>
                <w:color w:val="auto"/>
              </w:rPr>
            </w:pPr>
            <w:r>
              <w:rPr>
                <w:rFonts w:ascii="Arial" w:cs="Arial" w:eastAsia="Arial" w:hAnsi="Arial"/>
                <w:sz w:val="18"/>
                <w:szCs w:val="18"/>
                <w:color w:val="auto"/>
                <w:w w:val="90"/>
              </w:rPr>
              <w:t>Shorter of the useful life of the asset or the life of the lease</w:t>
            </w:r>
          </w:p>
        </w:tc>
      </w:tr>
    </w:tbl>
    <w:p>
      <w:pPr>
        <w:spacing w:after="0" w:line="90" w:lineRule="exact"/>
        <w:rPr>
          <w:sz w:val="20"/>
          <w:szCs w:val="20"/>
          <w:color w:val="auto"/>
        </w:rPr>
      </w:pPr>
    </w:p>
    <w:p>
      <w:pPr>
        <w:ind w:left="560" w:right="60"/>
        <w:spacing w:after="0" w:line="298" w:lineRule="auto"/>
        <w:rPr>
          <w:sz w:val="20"/>
          <w:szCs w:val="20"/>
          <w:color w:val="auto"/>
        </w:rPr>
      </w:pPr>
      <w:r>
        <w:rPr>
          <w:rFonts w:ascii="Arial" w:cs="Arial" w:eastAsia="Arial" w:hAnsi="Arial"/>
          <w:sz w:val="16"/>
          <w:szCs w:val="16"/>
          <w:b w:val="1"/>
          <w:bCs w:val="1"/>
          <w:color w:val="auto"/>
        </w:rPr>
        <w:t>Impairment of Long-Lived Assets</w:t>
      </w:r>
      <w:r>
        <w:rPr>
          <w:rFonts w:ascii="Arial" w:cs="Arial" w:eastAsia="Arial" w:hAnsi="Arial"/>
          <w:sz w:val="16"/>
          <w:szCs w:val="16"/>
          <w:color w:val="auto"/>
        </w:rPr>
        <w:t>—Long-lived assets are reviewed for impairment if events or circumstances indicate the carrying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these assets may not be recoverable. If this review indicates that these assets will not be recoverable, based on the forecasted undiscounted future operating cash flows expected to result from the use of long-lived assets and their eventual disposition, the Company’s carrying value of the long-lived assets is reduced to fair value based on a discounted future cash flow approach or quoted market values. For the six months ended June 30, 2021 and 2020, there were no events or circumstances which required an impairment test of long-lived assets.</w:t>
      </w:r>
    </w:p>
    <w:p>
      <w:pPr>
        <w:spacing w:after="0" w:line="46" w:lineRule="exact"/>
        <w:rPr>
          <w:sz w:val="20"/>
          <w:szCs w:val="20"/>
          <w:color w:val="auto"/>
        </w:rPr>
      </w:pPr>
    </w:p>
    <w:p>
      <w:pPr>
        <w:ind w:left="560" w:right="20"/>
        <w:spacing w:after="0" w:line="274" w:lineRule="auto"/>
        <w:rPr>
          <w:sz w:val="20"/>
          <w:szCs w:val="20"/>
          <w:color w:val="auto"/>
        </w:rPr>
      </w:pPr>
      <w:r>
        <w:rPr>
          <w:rFonts w:ascii="Arial" w:cs="Arial" w:eastAsia="Arial" w:hAnsi="Arial"/>
          <w:sz w:val="17"/>
          <w:szCs w:val="17"/>
          <w:b w:val="1"/>
          <w:bCs w:val="1"/>
          <w:color w:val="auto"/>
        </w:rPr>
        <w:t>Convertible Preferred Stock</w:t>
      </w:r>
      <w:r>
        <w:rPr>
          <w:rFonts w:ascii="Arial" w:cs="Arial" w:eastAsia="Arial" w:hAnsi="Arial"/>
          <w:sz w:val="17"/>
          <w:szCs w:val="17"/>
          <w:color w:val="auto"/>
        </w:rPr>
        <w:t>—The Company records convertible preferred stock at fair value on the dates of issuance, net of issuance costs. The</w:t>
      </w:r>
      <w:r>
        <w:rPr>
          <w:rFonts w:ascii="Arial" w:cs="Arial" w:eastAsia="Arial" w:hAnsi="Arial"/>
          <w:sz w:val="17"/>
          <w:szCs w:val="17"/>
          <w:b w:val="1"/>
          <w:bCs w:val="1"/>
          <w:color w:val="auto"/>
        </w:rPr>
        <w:t xml:space="preserve"> </w:t>
      </w:r>
      <w:r>
        <w:rPr>
          <w:rFonts w:ascii="Arial" w:cs="Arial" w:eastAsia="Arial" w:hAnsi="Arial"/>
          <w:sz w:val="17"/>
          <w:szCs w:val="17"/>
          <w:color w:val="auto"/>
        </w:rPr>
        <w:t>convertible preferred stock is recorded outside of stockholders’ deficit because the shares contain liquidation features that are not solely within the Company’s control.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65" w:lineRule="exact"/>
        <w:rPr>
          <w:sz w:val="20"/>
          <w:szCs w:val="20"/>
          <w:color w:val="auto"/>
        </w:rPr>
      </w:pPr>
    </w:p>
    <w:p>
      <w:pPr>
        <w:jc w:val="both"/>
        <w:ind w:left="560" w:right="180"/>
        <w:spacing w:after="0" w:line="266" w:lineRule="auto"/>
        <w:rPr>
          <w:sz w:val="20"/>
          <w:szCs w:val="20"/>
          <w:color w:val="auto"/>
        </w:rPr>
      </w:pPr>
      <w:r>
        <w:rPr>
          <w:rFonts w:ascii="Arial" w:cs="Arial" w:eastAsia="Arial" w:hAnsi="Arial"/>
          <w:sz w:val="18"/>
          <w:szCs w:val="18"/>
          <w:b w:val="1"/>
          <w:bCs w:val="1"/>
          <w:color w:val="auto"/>
        </w:rPr>
        <w:t>Comprehensive Loss</w:t>
      </w:r>
      <w:r>
        <w:rPr>
          <w:rFonts w:ascii="Arial" w:cs="Arial" w:eastAsia="Arial" w:hAnsi="Arial"/>
          <w:sz w:val="18"/>
          <w:szCs w:val="18"/>
          <w:color w:val="auto"/>
        </w:rPr>
        <w:t>—Comprehensive loss includes net loss as well as other changes in stockholders’ deficit that results from transactions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economic events other than those with stockholders. There was no other comprehensive income or loss for the six months ended June 30, 2021 and 2020.</w:t>
      </w:r>
    </w:p>
    <w:p>
      <w:pPr>
        <w:spacing w:after="0" w:line="68" w:lineRule="exact"/>
        <w:rPr>
          <w:sz w:val="20"/>
          <w:szCs w:val="20"/>
          <w:color w:val="auto"/>
        </w:rPr>
      </w:pPr>
    </w:p>
    <w:p>
      <w:pPr>
        <w:ind w:left="560" w:right="40"/>
        <w:spacing w:after="0" w:line="298" w:lineRule="auto"/>
        <w:rPr>
          <w:sz w:val="20"/>
          <w:szCs w:val="20"/>
          <w:color w:val="auto"/>
        </w:rPr>
      </w:pPr>
      <w:r>
        <w:rPr>
          <w:rFonts w:ascii="Arial" w:cs="Arial" w:eastAsia="Arial" w:hAnsi="Arial"/>
          <w:sz w:val="16"/>
          <w:szCs w:val="16"/>
          <w:b w:val="1"/>
          <w:bCs w:val="1"/>
          <w:color w:val="auto"/>
        </w:rPr>
        <w:t>Research and Development Expenses and Accrued Research and Development</w:t>
      </w:r>
      <w:r>
        <w:rPr>
          <w:rFonts w:ascii="Arial" w:cs="Arial" w:eastAsia="Arial" w:hAnsi="Arial"/>
          <w:sz w:val="16"/>
          <w:szCs w:val="16"/>
          <w:color w:val="auto"/>
        </w:rPr>
        <w:t>—Research and development expenses are charged to expense</w:t>
      </w:r>
      <w:r>
        <w:rPr>
          <w:rFonts w:ascii="Arial" w:cs="Arial" w:eastAsia="Arial" w:hAnsi="Arial"/>
          <w:sz w:val="16"/>
          <w:szCs w:val="16"/>
          <w:b w:val="1"/>
          <w:bCs w:val="1"/>
          <w:color w:val="auto"/>
        </w:rPr>
        <w:t xml:space="preserve"> </w:t>
      </w:r>
      <w:r>
        <w:rPr>
          <w:rFonts w:ascii="Arial" w:cs="Arial" w:eastAsia="Arial" w:hAnsi="Arial"/>
          <w:sz w:val="16"/>
          <w:szCs w:val="16"/>
          <w:color w:val="auto"/>
        </w:rPr>
        <w:t>as incurred. Research and development expenses include certain payroll and personnel expenses, laboratory supplies, consulting costs, external contract research and development expenses. In-licensing fees and other costs to acquire technologies that are utilized in research and development, and that are not expected to have alternative future use, are expensed when incurred. Advance payments for goods or services for future research and development activities are deferred and expensed as the goods are delivered or the related services are performed.</w:t>
      </w:r>
    </w:p>
    <w:p>
      <w:pPr>
        <w:spacing w:after="0" w:line="50" w:lineRule="exact"/>
        <w:rPr>
          <w:sz w:val="20"/>
          <w:szCs w:val="20"/>
          <w:color w:val="auto"/>
        </w:rPr>
      </w:pPr>
    </w:p>
    <w:p>
      <w:pPr>
        <w:ind w:left="560"/>
        <w:spacing w:after="0" w:line="290" w:lineRule="auto"/>
        <w:rPr>
          <w:sz w:val="20"/>
          <w:szCs w:val="20"/>
          <w:color w:val="auto"/>
        </w:rPr>
      </w:pPr>
      <w:r>
        <w:rPr>
          <w:rFonts w:ascii="Arial" w:cs="Arial" w:eastAsia="Arial" w:hAnsi="Arial"/>
          <w:sz w:val="16"/>
          <w:szCs w:val="16"/>
          <w:color w:val="auto"/>
        </w:rPr>
        <w:t>The Company estimates preclinical studies and clinical trial expenses based on the services performed pursuant to contracts with research institutions and clinical research organizations that conduct and manage preclinical studies and clinical trials on the Company’s behalf. In accruing service fees, the Company estimates the time period over which services will be performed and the level of effort to be expended in each period. These estimates are based on communications with the third-party service providers, the Company’s estimates of accrued expenses and on information available at each balance sheet date. If the actual timing of the performance of services or the level of effort varies from the estimate, the Company will adjust the accrual accordingly. The estimates are trued up to reflect the best information available at the time of the financial statement issuance. Although the Company does not expect its estimates to be materially different from amounts actually incurred, the Company’s estimate of the status and timing of services performed relative to the actual status and timing of services performed may vary.</w:t>
      </w:r>
    </w:p>
    <w:p>
      <w:pPr>
        <w:sectPr>
          <w:pgSz w:w="11900" w:h="16838" w:orient="portrait"/>
          <w:cols w:equalWidth="0" w:num="1">
            <w:col w:w="11120"/>
          </w:cols>
          <w:pgMar w:left="320" w:top="486" w:right="459" w:bottom="1440" w:gutter="0" w:footer="0" w:header="0"/>
        </w:sectPr>
      </w:pP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20"/>
          </w:cols>
          <w:pgMar w:left="320" w:top="486" w:right="4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right="680"/>
        <w:spacing w:after="0" w:line="312" w:lineRule="auto"/>
        <w:rPr>
          <w:sz w:val="20"/>
          <w:szCs w:val="20"/>
          <w:color w:val="auto"/>
        </w:rPr>
      </w:pPr>
      <w:r>
        <w:rPr>
          <w:rFonts w:ascii="Arial" w:cs="Arial" w:eastAsia="Arial" w:hAnsi="Arial"/>
          <w:sz w:val="17"/>
          <w:szCs w:val="17"/>
          <w:b w:val="1"/>
          <w:bCs w:val="1"/>
          <w:color w:val="auto"/>
        </w:rPr>
        <w:t xml:space="preserve">Patent Costs – </w:t>
      </w:r>
      <w:r>
        <w:rPr>
          <w:rFonts w:ascii="Arial" w:cs="Arial" w:eastAsia="Arial" w:hAnsi="Arial"/>
          <w:sz w:val="17"/>
          <w:szCs w:val="17"/>
          <w:color w:val="auto"/>
        </w:rPr>
        <w:t>Costs related to filing and pursuing patent applications are expensed as incurred, as recoverability of such expenditures is</w:t>
      </w:r>
      <w:r>
        <w:rPr>
          <w:rFonts w:ascii="Arial" w:cs="Arial" w:eastAsia="Arial" w:hAnsi="Arial"/>
          <w:sz w:val="17"/>
          <w:szCs w:val="17"/>
          <w:b w:val="1"/>
          <w:bCs w:val="1"/>
          <w:color w:val="auto"/>
        </w:rPr>
        <w:t xml:space="preserve"> </w:t>
      </w:r>
      <w:r>
        <w:rPr>
          <w:rFonts w:ascii="Arial" w:cs="Arial" w:eastAsia="Arial" w:hAnsi="Arial"/>
          <w:sz w:val="17"/>
          <w:szCs w:val="17"/>
          <w:color w:val="auto"/>
        </w:rPr>
        <w:t>uncertain. These patent-related legal costs are reported as a component of general and administrative expense.</w:t>
      </w:r>
    </w:p>
    <w:p>
      <w:pPr>
        <w:spacing w:after="0" w:line="32" w:lineRule="exact"/>
        <w:rPr>
          <w:sz w:val="20"/>
          <w:szCs w:val="20"/>
          <w:color w:val="auto"/>
        </w:rPr>
      </w:pPr>
    </w:p>
    <w:p>
      <w:pPr>
        <w:ind w:left="560" w:right="200"/>
        <w:spacing w:after="0" w:line="281" w:lineRule="auto"/>
        <w:rPr>
          <w:sz w:val="20"/>
          <w:szCs w:val="20"/>
          <w:color w:val="auto"/>
        </w:rPr>
      </w:pPr>
      <w:r>
        <w:rPr>
          <w:rFonts w:ascii="Arial" w:cs="Arial" w:eastAsia="Arial" w:hAnsi="Arial"/>
          <w:sz w:val="17"/>
          <w:szCs w:val="17"/>
          <w:b w:val="1"/>
          <w:bCs w:val="1"/>
          <w:color w:val="auto"/>
        </w:rPr>
        <w:t xml:space="preserve">General and Administrative Expense – </w:t>
      </w:r>
      <w:r>
        <w:rPr>
          <w:rFonts w:ascii="Arial" w:cs="Arial" w:eastAsia="Arial" w:hAnsi="Arial"/>
          <w:sz w:val="17"/>
          <w:szCs w:val="17"/>
          <w:color w:val="auto"/>
        </w:rPr>
        <w:t>General and administrative costs are expensed as incurred and include employee-related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salaries, benefits, travel and stock-based compensation for the Company’s personnel in executive, finance and accounting, and other administrative functions, as well as fees paid for legal, accounting and tax services, consulting fees and facilities costs not otherwise included in research and development expense. Legal costs include general corporate legal fees and patent costs.</w:t>
      </w:r>
    </w:p>
    <w:p>
      <w:pPr>
        <w:spacing w:after="0" w:line="57" w:lineRule="exact"/>
        <w:rPr>
          <w:sz w:val="20"/>
          <w:szCs w:val="20"/>
          <w:color w:val="auto"/>
        </w:rPr>
      </w:pPr>
    </w:p>
    <w:p>
      <w:pPr>
        <w:ind w:left="560" w:right="260"/>
        <w:spacing w:after="0" w:line="261" w:lineRule="auto"/>
        <w:rPr>
          <w:sz w:val="20"/>
          <w:szCs w:val="20"/>
          <w:color w:val="auto"/>
        </w:rPr>
      </w:pPr>
      <w:r>
        <w:rPr>
          <w:rFonts w:ascii="Arial" w:cs="Arial" w:eastAsia="Arial" w:hAnsi="Arial"/>
          <w:sz w:val="18"/>
          <w:szCs w:val="18"/>
          <w:b w:val="1"/>
          <w:bCs w:val="1"/>
          <w:color w:val="auto"/>
        </w:rPr>
        <w:t>Fair Value Measurements</w:t>
      </w:r>
      <w:r>
        <w:rPr>
          <w:rFonts w:ascii="Arial" w:cs="Arial" w:eastAsia="Arial" w:hAnsi="Arial"/>
          <w:sz w:val="18"/>
          <w:szCs w:val="18"/>
          <w:color w:val="auto"/>
        </w:rPr>
        <w:t>—Fair value is defined as the price that would be received to sell an asset or paid to transfer a liability in an orderly</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between market participants at the measurement date. As such, fair value is a market-based measurement that should be determined based on assumptions that market participants would use in pricing an asset or liability. The carrying amounts of the Company’s financial instruments approximate fair value due to their short-term maturities.</w:t>
      </w:r>
    </w:p>
    <w:p>
      <w:pPr>
        <w:spacing w:after="0" w:line="72" w:lineRule="exact"/>
        <w:rPr>
          <w:sz w:val="20"/>
          <w:szCs w:val="20"/>
          <w:color w:val="auto"/>
        </w:rPr>
      </w:pPr>
    </w:p>
    <w:p>
      <w:pPr>
        <w:ind w:left="560" w:right="180"/>
        <w:spacing w:after="0" w:line="261" w:lineRule="auto"/>
        <w:rPr>
          <w:sz w:val="20"/>
          <w:szCs w:val="20"/>
          <w:color w:val="auto"/>
        </w:rPr>
      </w:pPr>
      <w:r>
        <w:rPr>
          <w:rFonts w:ascii="Arial" w:cs="Arial" w:eastAsia="Arial" w:hAnsi="Arial"/>
          <w:sz w:val="18"/>
          <w:szCs w:val="18"/>
          <w:b w:val="1"/>
          <w:bCs w:val="1"/>
          <w:color w:val="auto"/>
        </w:rPr>
        <w:t>Stock-Based Compensation Expense</w:t>
      </w:r>
      <w:r>
        <w:rPr>
          <w:rFonts w:ascii="Arial" w:cs="Arial" w:eastAsia="Arial" w:hAnsi="Arial"/>
          <w:sz w:val="18"/>
          <w:szCs w:val="18"/>
          <w:color w:val="auto"/>
        </w:rPr>
        <w:t>—The Company accounts for stock-based compensation by measuring and recognizing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for all share-based payments made to employees, directors and non-employees based on estimated grant-date fair values. The Company uses the straight-line method to allocate compensation cost to reporting periods over each optionee’s requisite service period, which is generally the vesting period.</w:t>
      </w:r>
    </w:p>
    <w:p>
      <w:pPr>
        <w:spacing w:after="0" w:line="76" w:lineRule="exact"/>
        <w:rPr>
          <w:sz w:val="20"/>
          <w:szCs w:val="20"/>
          <w:color w:val="auto"/>
        </w:rPr>
      </w:pPr>
    </w:p>
    <w:p>
      <w:pPr>
        <w:ind w:left="560" w:right="20"/>
        <w:spacing w:after="0" w:line="286" w:lineRule="auto"/>
        <w:rPr>
          <w:sz w:val="20"/>
          <w:szCs w:val="20"/>
          <w:color w:val="auto"/>
        </w:rPr>
      </w:pPr>
      <w:r>
        <w:rPr>
          <w:rFonts w:ascii="Arial" w:cs="Arial" w:eastAsia="Arial" w:hAnsi="Arial"/>
          <w:sz w:val="16"/>
          <w:szCs w:val="16"/>
          <w:color w:val="auto"/>
        </w:rPr>
        <w:t>The Company estimates the fair value of stock options to employees, directors and non-employees using the Black-Scholes option-valuation model. The Black-Scholes model requires the input of subjective assumptions, including expected volatility, expected dividend yield, expected term, risk-free rate of return, and the estimated fair value of the underlying common stock on the date of grant. Due to the lack of company-specific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life science industry. The Company uses the simplified method to calculate the expected term for options granted to employees as it does not have sufficient historical exercise data to provide a reasonable basis upon which to estimate the expected term. The simplified method is based on the vesting period and the contractual term for each grant, or for each vesting 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w:t>
      </w:r>
    </w:p>
    <w:p>
      <w:pPr>
        <w:spacing w:after="0" w:line="66"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color w:val="auto"/>
        </w:rPr>
        <w:t>The Company accounts for forfeitures as they occur. The fair value of restricted stock awards granted to employees are valued as of the grant date using the estimated fair value of the Company’s common stock.</w:t>
      </w:r>
    </w:p>
    <w:p>
      <w:pPr>
        <w:spacing w:after="0" w:line="58" w:lineRule="exact"/>
        <w:rPr>
          <w:sz w:val="20"/>
          <w:szCs w:val="20"/>
          <w:color w:val="auto"/>
        </w:rPr>
      </w:pPr>
    </w:p>
    <w:p>
      <w:pPr>
        <w:ind w:left="560"/>
        <w:spacing w:after="0" w:line="298" w:lineRule="auto"/>
        <w:rPr>
          <w:sz w:val="20"/>
          <w:szCs w:val="20"/>
          <w:color w:val="auto"/>
        </w:rPr>
      </w:pPr>
      <w:r>
        <w:rPr>
          <w:rFonts w:ascii="Arial" w:cs="Arial" w:eastAsia="Arial" w:hAnsi="Arial"/>
          <w:sz w:val="16"/>
          <w:szCs w:val="16"/>
          <w:b w:val="1"/>
          <w:bCs w:val="1"/>
          <w:color w:val="auto"/>
        </w:rPr>
        <w:t>Net Loss per Share Attributable to Common Stockholders</w:t>
      </w:r>
      <w:r>
        <w:rPr>
          <w:rFonts w:ascii="Arial" w:cs="Arial" w:eastAsia="Arial" w:hAnsi="Arial"/>
          <w:sz w:val="16"/>
          <w:szCs w:val="16"/>
          <w:color w:val="auto"/>
        </w:rPr>
        <w:t>—The Company follows the two-class method when computing net loss per share as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50" w:lineRule="exact"/>
        <w:rPr>
          <w:sz w:val="20"/>
          <w:szCs w:val="20"/>
          <w:color w:val="auto"/>
        </w:rPr>
      </w:pPr>
    </w:p>
    <w:p>
      <w:pPr>
        <w:jc w:val="both"/>
        <w:ind w:left="560" w:right="340"/>
        <w:spacing w:after="0" w:line="287" w:lineRule="auto"/>
        <w:rPr>
          <w:sz w:val="20"/>
          <w:szCs w:val="20"/>
          <w:color w:val="auto"/>
        </w:rPr>
      </w:pPr>
      <w:r>
        <w:rPr>
          <w:rFonts w:ascii="Arial" w:cs="Arial" w:eastAsia="Arial" w:hAnsi="Arial"/>
          <w:sz w:val="16"/>
          <w:szCs w:val="16"/>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w:t>
      </w:r>
    </w:p>
    <w:p>
      <w:pPr>
        <w:spacing w:after="0" w:line="2" w:lineRule="exact"/>
        <w:rPr>
          <w:sz w:val="20"/>
          <w:szCs w:val="20"/>
          <w:color w:val="auto"/>
        </w:rPr>
      </w:pPr>
    </w:p>
    <w:p>
      <w:pPr>
        <w:jc w:val="both"/>
        <w:ind w:left="560" w:right="180"/>
        <w:spacing w:after="0" w:line="253" w:lineRule="auto"/>
        <w:rPr>
          <w:sz w:val="20"/>
          <w:szCs w:val="20"/>
          <w:color w:val="auto"/>
        </w:rPr>
      </w:pPr>
      <w:r>
        <w:rPr>
          <w:rFonts w:ascii="Arial" w:cs="Arial" w:eastAsia="Arial" w:hAnsi="Arial"/>
          <w:sz w:val="18"/>
          <w:szCs w:val="18"/>
          <w:color w:val="auto"/>
        </w:rPr>
        <w:t>Diluted net loss per share attributable to common stockholders is computed by dividing the diluted net loss attributable to common stockholders by the weighted average number of common shares outstanding for the period, including potential dilutive common shares. For purpose of this calculation, outstanding stock options, convertible preferred stock and warrants to purchase shares of convertible preferred stock are considered potential dilutive common shares.</w:t>
      </w:r>
    </w:p>
    <w:p>
      <w:pPr>
        <w:spacing w:after="0" w:line="81" w:lineRule="exact"/>
        <w:rPr>
          <w:sz w:val="20"/>
          <w:szCs w:val="20"/>
          <w:color w:val="auto"/>
        </w:rPr>
      </w:pPr>
    </w:p>
    <w:p>
      <w:pPr>
        <w:ind w:left="560" w:right="80"/>
        <w:spacing w:after="0" w:line="272" w:lineRule="auto"/>
        <w:rPr>
          <w:sz w:val="20"/>
          <w:szCs w:val="20"/>
          <w:color w:val="auto"/>
        </w:rPr>
      </w:pPr>
      <w:r>
        <w:rPr>
          <w:rFonts w:ascii="Arial" w:cs="Arial" w:eastAsia="Arial" w:hAnsi="Arial"/>
          <w:sz w:val="17"/>
          <w:szCs w:val="17"/>
          <w:b w:val="1"/>
          <w:bCs w:val="1"/>
          <w:color w:val="auto"/>
        </w:rPr>
        <w:t>Income Taxes</w:t>
      </w:r>
      <w:r>
        <w:rPr>
          <w:rFonts w:ascii="Arial" w:cs="Arial" w:eastAsia="Arial" w:hAnsi="Arial"/>
          <w:sz w:val="17"/>
          <w:szCs w:val="17"/>
          <w:color w:val="auto"/>
        </w:rPr>
        <w:t>—The Company accounts for income taxes using the asset and liability method. The Company recognizes deferred tax assets and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for the expected future tax consequences of events that have been included in the financial statements or tax returns. Deferred tax assets and liabilities are determined based on the difference between the financial statement and tax basis of</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assets and liabilities using enacted tax rates in effect for the year in which the differences are expected to reverse.</w:t>
      </w:r>
    </w:p>
    <w:p>
      <w:pPr>
        <w:spacing w:after="0" w:line="103" w:lineRule="exact"/>
        <w:rPr>
          <w:sz w:val="20"/>
          <w:szCs w:val="20"/>
          <w:color w:val="auto"/>
        </w:rPr>
      </w:pPr>
    </w:p>
    <w:p>
      <w:pPr>
        <w:ind w:left="560" w:right="20"/>
        <w:spacing w:after="0" w:line="254" w:lineRule="auto"/>
        <w:rPr>
          <w:sz w:val="20"/>
          <w:szCs w:val="20"/>
          <w:color w:val="auto"/>
        </w:rPr>
      </w:pPr>
      <w:r>
        <w:rPr>
          <w:rFonts w:ascii="Arial" w:cs="Arial" w:eastAsia="Arial" w:hAnsi="Arial"/>
          <w:sz w:val="18"/>
          <w:szCs w:val="18"/>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June 30, 2021 and December 31, 2020, the Company has recorded a full valuation allowance on its deferred tax assets.</w:t>
      </w:r>
    </w:p>
    <w:p>
      <w:pPr>
        <w:sectPr>
          <w:pgSz w:w="11900" w:h="16838" w:orient="portrait"/>
          <w:cols w:equalWidth="0" w:num="1">
            <w:col w:w="11120"/>
          </w:cols>
          <w:pgMar w:left="320" w:top="486" w:right="459" w:bottom="1440" w:gutter="0" w:footer="0" w:header="0"/>
        </w:sectPr>
      </w:pP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20"/>
          </w:cols>
          <w:pgMar w:left="320" w:top="486" w:right="4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Tax benefits related to uncertain tax positions are recognized when it is more likely than not that a tax position will be sustained during an audit.</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and penalties related to unrecognized tax benefits are included within the provision for income tax.</w:t>
      </w:r>
    </w:p>
    <w:p>
      <w:pPr>
        <w:spacing w:after="0" w:line="99" w:lineRule="exact"/>
        <w:rPr>
          <w:sz w:val="20"/>
          <w:szCs w:val="20"/>
          <w:color w:val="auto"/>
        </w:rPr>
      </w:pPr>
    </w:p>
    <w:p>
      <w:pPr>
        <w:ind w:left="560" w:right="320"/>
        <w:spacing w:after="0" w:line="312" w:lineRule="auto"/>
        <w:rPr>
          <w:sz w:val="20"/>
          <w:szCs w:val="20"/>
          <w:color w:val="auto"/>
        </w:rPr>
      </w:pPr>
      <w:r>
        <w:rPr>
          <w:rFonts w:ascii="Arial" w:cs="Arial" w:eastAsia="Arial" w:hAnsi="Arial"/>
          <w:sz w:val="17"/>
          <w:szCs w:val="17"/>
          <w:b w:val="1"/>
          <w:bCs w:val="1"/>
          <w:color w:val="auto"/>
        </w:rPr>
        <w:t>Recently Issued Accounting Pronouncements</w:t>
      </w:r>
      <w:r>
        <w:rPr>
          <w:rFonts w:ascii="Arial" w:cs="Arial" w:eastAsia="Arial" w:hAnsi="Arial"/>
          <w:sz w:val="17"/>
          <w:szCs w:val="17"/>
          <w:color w:val="auto"/>
        </w:rPr>
        <w:t>—From time to time, new accounting pronouncements are issued by the Financial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Standards Board, or FASB, or other standard setting bodies and adopted by the Company as of the specified effective date.</w:t>
      </w:r>
    </w:p>
    <w:p>
      <w:pPr>
        <w:spacing w:after="0" w:line="36" w:lineRule="exact"/>
        <w:rPr>
          <w:sz w:val="20"/>
          <w:szCs w:val="20"/>
          <w:color w:val="auto"/>
        </w:rPr>
      </w:pPr>
    </w:p>
    <w:p>
      <w:pPr>
        <w:ind w:left="560"/>
        <w:spacing w:after="0" w:line="254" w:lineRule="auto"/>
        <w:rPr>
          <w:sz w:val="20"/>
          <w:szCs w:val="20"/>
          <w:color w:val="auto"/>
        </w:rPr>
      </w:pPr>
      <w:r>
        <w:rPr>
          <w:rFonts w:ascii="Arial" w:cs="Arial" w:eastAsia="Arial" w:hAnsi="Arial"/>
          <w:sz w:val="18"/>
          <w:szCs w:val="18"/>
          <w:color w:val="auto"/>
        </w:rPr>
        <w:t>In August 2020, the FASB issued ASU 2020-06</w:t>
      </w:r>
      <w:r>
        <w:rPr>
          <w:rFonts w:ascii="Arial" w:cs="Arial" w:eastAsia="Arial" w:hAnsi="Arial"/>
          <w:sz w:val="18"/>
          <w:szCs w:val="18"/>
          <w:i w:val="1"/>
          <w:iCs w:val="1"/>
          <w:color w:val="auto"/>
        </w:rPr>
        <w:t>, Debt-Debt With Conversions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Hedging-Contracts in Entity’s Own Equity (Subtopic 815-40)</w:t>
      </w:r>
      <w:r>
        <w:rPr>
          <w:rFonts w:ascii="Arial" w:cs="Arial" w:eastAsia="Arial" w:hAnsi="Arial"/>
          <w:sz w:val="18"/>
          <w:szCs w:val="18"/>
          <w:color w:val="auto"/>
        </w:rPr>
        <w:t>. The ASU simplifies the accounting for certain financial instruments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liabilities and equity, including convertible instruments and contracts on an entity’s own equity. Under the new ASU, convertible instruments will now more frequently accounted for as a single unit of account. That is, a conversion feature and the host instrument in which it is embedded now generally will be treated as a single unit of account unless the conversion feature requires bifurcation under Topic 815. The ASU is effective for fiscal years beginning after December 15, 2021 for public business entities, and for fiscal years beginning after December 15, 2023 for all other entities. Early adoption is permitted. The Company is in the process of evaluating the impact of this new guidance on its financial statements and related disclosures.</w:t>
      </w:r>
    </w:p>
    <w:p>
      <w:pPr>
        <w:spacing w:after="0" w:line="336"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MILLENDO MERGER</w:t>
      </w:r>
    </w:p>
    <w:p>
      <w:pPr>
        <w:spacing w:after="0" w:line="121" w:lineRule="exact"/>
        <w:rPr>
          <w:rFonts w:ascii="Arial" w:cs="Arial" w:eastAsia="Arial" w:hAnsi="Arial"/>
          <w:sz w:val="18"/>
          <w:szCs w:val="18"/>
          <w:b w:val="1"/>
          <w:bCs w:val="1"/>
          <w:color w:val="auto"/>
        </w:rPr>
      </w:pPr>
    </w:p>
    <w:p>
      <w:pPr>
        <w:ind w:left="560" w:right="8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As described in Note 1, Private Tempest merged with the Company on June 25, 2021. The merger was accounted for as a reverse recapitalization with Private Tempest as the accounting acquirer. The primary pre-combination assets of Millendo were cash, cash equivalents and restricted cash. Under reverse recapitalization accounting, the assets and liabilities of Millendo were recorded at their fair value which approximated book value due to the short-term nature of the instruments. No goodwill or intangible assets were recognized. Consequently, the consolidated financial statements of Tempest reflect the operations of Millendo for accounting purposes together with a deemed issuance of shares, equivalent to the shares held by the former stockholders of the legal acquirer and a recapitalization of the equity of the accounting acquirer.</w:t>
      </w:r>
    </w:p>
    <w:p>
      <w:pPr>
        <w:spacing w:after="0" w:line="56" w:lineRule="exact"/>
        <w:rPr>
          <w:rFonts w:ascii="Arial" w:cs="Arial" w:eastAsia="Arial" w:hAnsi="Arial"/>
          <w:sz w:val="18"/>
          <w:szCs w:val="18"/>
          <w:b w:val="1"/>
          <w:bCs w:val="1"/>
          <w:color w:val="auto"/>
        </w:rPr>
      </w:pPr>
    </w:p>
    <w:p>
      <w:pPr>
        <w:ind w:left="5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As part of the reverse recapitalization, the Company obtained approximately $17.0 million of cash, cash equivalents and restricted cash. The Company also obtained prepaids and other assets of approximately $1.4 million and assumed payables and accruals of approximately $0.5 million. The Company also acquired operating lease right-of-use asset of $2.1 million and the related operating lease liability of $2.1 million.</w:t>
      </w:r>
    </w:p>
    <w:p>
      <w:pPr>
        <w:ind w:left="560" w:right="38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All of the development programs and associated collaboration arrangements were terminated prior to the merger and were deemed to have no value at the transaction date and the Company is winding down the legacy Millendo operations.</w:t>
      </w:r>
    </w:p>
    <w:p>
      <w:pPr>
        <w:spacing w:after="0" w:line="77" w:lineRule="exact"/>
        <w:rPr>
          <w:rFonts w:ascii="Arial" w:cs="Arial" w:eastAsia="Arial" w:hAnsi="Arial"/>
          <w:sz w:val="18"/>
          <w:szCs w:val="18"/>
          <w:b w:val="1"/>
          <w:bCs w:val="1"/>
          <w:color w:val="auto"/>
        </w:rPr>
      </w:pPr>
    </w:p>
    <w:p>
      <w:pPr>
        <w:ind w:left="5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In addition, the Company incurred approximately $0.2 million in share-based compensation expense as a result of the acceleration of vesting of stock options at the time of merger. This amount was recorded in general and administrative expense in the accompanying consolidated statements of operations for the three months and six months period ended June 30, 2021. The Company also incurred transaction costs of approximately $6.1 million and this amount is recorded in additional paid-in capital in the accompanying consolidated statements of convertible preferred stock and stockholders’ equity (deficit) for the three months and six months period ended June 30, 2021.</w:t>
      </w:r>
    </w:p>
    <w:p>
      <w:pPr>
        <w:spacing w:after="0" w:line="320" w:lineRule="exact"/>
        <w:rPr>
          <w:rFonts w:ascii="Arial" w:cs="Arial" w:eastAsia="Arial" w:hAnsi="Arial"/>
          <w:sz w:val="18"/>
          <w:szCs w:val="18"/>
          <w:b w:val="1"/>
          <w:bCs w:val="1"/>
          <w:color w:val="auto"/>
        </w:rPr>
      </w:pPr>
    </w:p>
    <w:p>
      <w:pPr>
        <w:ind w:left="540" w:hanging="424"/>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rFonts w:ascii="Arial" w:cs="Arial" w:eastAsia="Arial" w:hAnsi="Arial"/>
          <w:sz w:val="18"/>
          <w:szCs w:val="18"/>
          <w:b w:val="1"/>
          <w:bCs w:val="1"/>
          <w:color w:val="auto"/>
        </w:rPr>
      </w:pPr>
    </w:p>
    <w:p>
      <w:pPr>
        <w:ind w:left="560" w:right="8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tables present the Company’s fair value hierarchy for assets and liabilities measured at fair value on a recurring basis (in thousands):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June 30, 2021</w:t>
            </w: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7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3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340" w:type="dxa"/>
            <w:vAlign w:val="bottom"/>
          </w:tcPr>
          <w:p>
            <w:pPr>
              <w:spacing w:after="0"/>
              <w:rPr>
                <w:sz w:val="12"/>
                <w:szCs w:val="12"/>
                <w:color w:val="auto"/>
              </w:rPr>
            </w:pPr>
          </w:p>
        </w:tc>
        <w:tc>
          <w:tcPr>
            <w:tcW w:w="60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$68,413</w:t>
            </w:r>
          </w:p>
        </w:tc>
        <w:tc>
          <w:tcPr>
            <w:tcW w:w="6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$68,413</w:t>
            </w: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Short-term restricted cash</w:t>
            </w:r>
          </w:p>
        </w:tc>
        <w:tc>
          <w:tcPr>
            <w:tcW w:w="35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$68,458</w:t>
            </w:r>
          </w:p>
        </w:tc>
        <w:tc>
          <w:tcPr>
            <w:tcW w:w="6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$68,458</w:t>
            </w:r>
          </w:p>
        </w:tc>
      </w:tr>
      <w:tr>
        <w:trPr>
          <w:trHeight w:val="378"/>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December 31, 2020</w:t>
            </w: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7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3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340" w:type="dxa"/>
            <w:vAlign w:val="bottom"/>
          </w:tcPr>
          <w:p>
            <w:pPr>
              <w:spacing w:after="0"/>
              <w:rPr>
                <w:sz w:val="12"/>
                <w:szCs w:val="12"/>
                <w:color w:val="auto"/>
              </w:rPr>
            </w:pPr>
          </w:p>
        </w:tc>
        <w:tc>
          <w:tcPr>
            <w:tcW w:w="60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18,820</w:t>
            </w:r>
          </w:p>
        </w:tc>
        <w:tc>
          <w:tcPr>
            <w:tcW w:w="6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18,820</w:t>
            </w:r>
          </w:p>
        </w:tc>
      </w:tr>
      <w:tr>
        <w:trPr>
          <w:trHeight w:val="224"/>
        </w:trPr>
        <w:tc>
          <w:tcPr>
            <w:tcW w:w="34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5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$18,820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w w:val="96"/>
              </w:rPr>
              <w:t>$ —</w:t>
            </w:r>
          </w:p>
        </w:tc>
        <w:tc>
          <w:tcPr>
            <w:tcW w:w="34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$18,820</w:t>
            </w:r>
          </w:p>
        </w:tc>
        <w:tc>
          <w:tcPr>
            <w:tcW w:w="40" w:type="dxa"/>
            <w:vAlign w:val="bottom"/>
          </w:tcPr>
          <w:p>
            <w:pPr>
              <w:spacing w:after="0"/>
              <w:rPr>
                <w:sz w:val="19"/>
                <w:szCs w:val="19"/>
                <w:color w:val="auto"/>
              </w:rPr>
            </w:pPr>
          </w:p>
        </w:tc>
      </w:tr>
      <w:tr>
        <w:trPr>
          <w:trHeight w:val="364"/>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540" w:type="dxa"/>
            <w:vAlign w:val="bottom"/>
          </w:tcPr>
          <w:p>
            <w:pPr>
              <w:jc w:val="right"/>
              <w:ind w:right="1730"/>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 (AMOUNTS IN THOUSANDS)</w:t>
      </w:r>
    </w:p>
    <w:p>
      <w:pPr>
        <w:spacing w:after="0" w:line="117" w:lineRule="exact"/>
        <w:rPr>
          <w:rFonts w:ascii="Arial" w:cs="Arial" w:eastAsia="Arial" w:hAnsi="Arial"/>
          <w:sz w:val="18"/>
          <w:szCs w:val="18"/>
          <w:b w:val="1"/>
          <w:bCs w:val="1"/>
          <w:color w:val="auto"/>
        </w:rPr>
      </w:pPr>
    </w:p>
    <w:p>
      <w:pPr>
        <w:ind w:left="560" w:right="20"/>
        <w:spacing w:after="0" w:line="294" w:lineRule="auto"/>
        <w:rPr>
          <w:rFonts w:ascii="Arial" w:cs="Arial" w:eastAsia="Arial" w:hAnsi="Arial"/>
          <w:sz w:val="18"/>
          <w:szCs w:val="18"/>
          <w:b w:val="1"/>
          <w:bCs w:val="1"/>
          <w:color w:val="auto"/>
        </w:rPr>
      </w:pPr>
      <w:r>
        <w:rPr>
          <w:rFonts w:ascii="Arial" w:cs="Arial" w:eastAsia="Arial" w:hAnsi="Arial"/>
          <w:sz w:val="16"/>
          <w:szCs w:val="16"/>
          <w:b w:val="1"/>
          <w:bCs w:val="1"/>
          <w:color w:val="auto"/>
        </w:rPr>
        <w:t>Inception Sciences Service Agreements</w:t>
      </w:r>
      <w:r>
        <w:rPr>
          <w:rFonts w:ascii="Arial" w:cs="Arial" w:eastAsia="Arial" w:hAnsi="Arial"/>
          <w:sz w:val="16"/>
          <w:szCs w:val="16"/>
          <w:color w:val="auto"/>
        </w:rPr>
        <w:t>—Inception Sciences, Inc. (Inception Sciences US) and Inception Sciences Canada, Inc. (Inception</w:t>
      </w:r>
      <w:r>
        <w:rPr>
          <w:rFonts w:ascii="Arial" w:cs="Arial" w:eastAsia="Arial" w:hAnsi="Arial"/>
          <w:sz w:val="16"/>
          <w:szCs w:val="16"/>
          <w:b w:val="1"/>
          <w:bCs w:val="1"/>
          <w:color w:val="auto"/>
        </w:rPr>
        <w:t xml:space="preserve"> </w:t>
      </w:r>
      <w:r>
        <w:rPr>
          <w:rFonts w:ascii="Arial" w:cs="Arial" w:eastAsia="Arial" w:hAnsi="Arial"/>
          <w:sz w:val="16"/>
          <w:szCs w:val="16"/>
          <w:color w:val="auto"/>
        </w:rPr>
        <w:t>Sciences Canada) are subsidiaries of Versant Ventures, affiliates of which, together, are a holder of more than 5% of our capital stock. The Company has service agreements with Inception Sciences US, and Inception Sciences Canada whereby research and support services are provided to the Company. On June 30, 2020, the Company terminated these Inception Sciences service agreements. Total expenses under the service agreements consist of charges for services, equipment usage, lab supplies and other out of pocket expenses as incurred. For the six months ended June 30, 2021 and 2020, the Company incurred nil and $1,315, respectively, in expenses under the Inception Sciences service agreements.</w:t>
      </w:r>
    </w:p>
    <w:p>
      <w:pPr>
        <w:spacing w:after="0" w:line="51" w:lineRule="exact"/>
        <w:rPr>
          <w:rFonts w:ascii="Arial" w:cs="Arial" w:eastAsia="Arial" w:hAnsi="Arial"/>
          <w:sz w:val="18"/>
          <w:szCs w:val="18"/>
          <w:b w:val="1"/>
          <w:bCs w:val="1"/>
          <w:color w:val="auto"/>
        </w:rPr>
      </w:pPr>
    </w:p>
    <w:p>
      <w:pPr>
        <w:ind w:left="560" w:right="20"/>
        <w:spacing w:after="0" w:line="298" w:lineRule="auto"/>
        <w:rPr>
          <w:rFonts w:ascii="Arial" w:cs="Arial" w:eastAsia="Arial" w:hAnsi="Arial"/>
          <w:sz w:val="18"/>
          <w:szCs w:val="18"/>
          <w:b w:val="1"/>
          <w:bCs w:val="1"/>
          <w:color w:val="auto"/>
        </w:rPr>
      </w:pPr>
      <w:r>
        <w:rPr>
          <w:rFonts w:ascii="Arial" w:cs="Arial" w:eastAsia="Arial" w:hAnsi="Arial"/>
          <w:sz w:val="16"/>
          <w:szCs w:val="16"/>
          <w:b w:val="1"/>
          <w:bCs w:val="1"/>
          <w:color w:val="auto"/>
        </w:rPr>
        <w:t>Related Party Notes Receivable</w:t>
      </w:r>
      <w:r>
        <w:rPr>
          <w:rFonts w:ascii="Arial" w:cs="Arial" w:eastAsia="Arial" w:hAnsi="Arial"/>
          <w:sz w:val="16"/>
          <w:szCs w:val="16"/>
          <w:color w:val="auto"/>
        </w:rPr>
        <w:t>—On November 19, 2017, the Company loaned three employees a total of $353 pursuant to promissory notes in</w:t>
      </w:r>
      <w:r>
        <w:rPr>
          <w:rFonts w:ascii="Arial" w:cs="Arial" w:eastAsia="Arial" w:hAnsi="Arial"/>
          <w:sz w:val="16"/>
          <w:szCs w:val="16"/>
          <w:b w:val="1"/>
          <w:bCs w:val="1"/>
          <w:color w:val="auto"/>
        </w:rPr>
        <w:t xml:space="preserve"> </w:t>
      </w:r>
      <w:r>
        <w:rPr>
          <w:rFonts w:ascii="Arial" w:cs="Arial" w:eastAsia="Arial" w:hAnsi="Arial"/>
          <w:sz w:val="16"/>
          <w:szCs w:val="16"/>
          <w:color w:val="auto"/>
        </w:rPr>
        <w:t>order for such employees to early exercise certain stock options which had a total exercise cost of $652. Two employees paid $298 which represents 50% of the exercise cost and the other 50% totaling $298 was recorded as notes receivable. The other employee did not pay any portion of the exercise cost and $55 was recorded as note receivable. The three notes receivable accrue interest at 2% per year and will mature on November 29, 2022. The notes receivable vest over time until maturity in conjunction with the vesting of the early-exercised stock options.</w:t>
      </w:r>
    </w:p>
    <w:p>
      <w:pPr>
        <w:spacing w:after="0" w:line="49" w:lineRule="exact"/>
        <w:rPr>
          <w:rFonts w:ascii="Arial" w:cs="Arial" w:eastAsia="Arial" w:hAnsi="Arial"/>
          <w:sz w:val="18"/>
          <w:szCs w:val="18"/>
          <w:b w:val="1"/>
          <w:bCs w:val="1"/>
          <w:color w:val="auto"/>
        </w:rPr>
      </w:pPr>
    </w:p>
    <w:p>
      <w:pPr>
        <w:ind w:left="56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In February 2020, one of the employees left the Company in May 2019 and repaid her note balance of $44, of which $43 was the vested portion of the note receivable and $1 was accrued interest. On June 25, 2021, prior to the closing of the Merger Agreement, one of the employees’ note receivable plus accrued interest totaling $278 was forgiven by the Company. This amount was recognized as compensation included in general and administrative expense in the accompanying consolidated statements of operations for the three and six months period ended June 30, 2021. As of June 30, 2021 and December 31, 2020, the balance of the vested notes receivable and accrued interest was $38 and $260, respectively.</w:t>
      </w:r>
    </w:p>
    <w:p>
      <w:pPr>
        <w:spacing w:after="0" w:line="305" w:lineRule="exact"/>
        <w:rPr>
          <w:rFonts w:ascii="Arial" w:cs="Arial" w:eastAsia="Arial" w:hAnsi="Arial"/>
          <w:sz w:val="18"/>
          <w:szCs w:val="18"/>
          <w:b w:val="1"/>
          <w:bCs w:val="1"/>
          <w:color w:val="auto"/>
        </w:rPr>
      </w:pPr>
    </w:p>
    <w:p>
      <w:pPr>
        <w:ind w:left="540" w:hanging="424"/>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ITEMS (AMOUNTS IN THOUSANDS)</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 consist of the following as of June 30, 2021 and December 31, 2020:</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5"/>
        </w:trPr>
        <w:tc>
          <w:tcPr>
            <w:tcW w:w="8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439</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Research tax credit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8"/>
                <w:szCs w:val="18"/>
                <w:color w:val="auto"/>
              </w:rPr>
              <w:t>304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Prepaid research and development costs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569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Notes and interest receivable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686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$ 2,036</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w w:val="91"/>
              </w:rPr>
              <w:t>Property and equipment, net, consists of the following as of June 30, 2021 and December 31, 2020:</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040" w:type="dxa"/>
            <w:vAlign w:val="bottom"/>
            <w:gridSpan w:val="5"/>
          </w:tcPr>
          <w:p>
            <w:pPr>
              <w:ind w:left="2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540" w:type="dxa"/>
            <w:vAlign w:val="bottom"/>
            <w:gridSpan w:val="3"/>
          </w:tcPr>
          <w:p>
            <w:pPr>
              <w:ind w:left="1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4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934</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88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w:t>
            </w:r>
          </w:p>
        </w:tc>
        <w:tc>
          <w:tcPr>
            <w:tcW w:w="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1,839</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8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(621)</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115"/>
        </w:trPr>
        <w:tc>
          <w:tcPr>
            <w:tcW w:w="88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$ 1,218</w:t>
            </w:r>
          </w:p>
        </w:tc>
        <w:tc>
          <w:tcPr>
            <w:tcW w:w="4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Depreciation expense for the three months and six months period ended June 30, 2021 were $86 and $165, respectively. Depreciation expense for the three months and six months period ended June 30, 2020 were $80 and $174, respectively.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7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34"/>
        </w:trPr>
        <w:tc>
          <w:tcPr>
            <w:tcW w:w="7080" w:type="dxa"/>
            <w:vAlign w:val="bottom"/>
            <w:gridSpan w:val="3"/>
          </w:tcPr>
          <w:p>
            <w:pPr>
              <w:ind w:left="560"/>
              <w:spacing w:after="0"/>
              <w:rPr>
                <w:sz w:val="20"/>
                <w:szCs w:val="20"/>
                <w:color w:val="auto"/>
              </w:rPr>
            </w:pPr>
            <w:r>
              <w:rPr>
                <w:rFonts w:ascii="Arial" w:cs="Arial" w:eastAsia="Arial" w:hAnsi="Arial"/>
                <w:sz w:val="18"/>
                <w:szCs w:val="18"/>
                <w:color w:val="auto"/>
                <w:w w:val="94"/>
              </w:rPr>
              <w:t>Accrued liabilities as of June 30, 2021 and December 31, 2020 consist of the following:</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1"/>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w w:val="85"/>
              </w:rPr>
              <w:t>June 30,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2021</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0"/>
                <w:szCs w:val="20"/>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Accrued other liabilities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838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w:t>
            </w: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Accrued clinical trial liability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r>
      <w:tr>
        <w:trPr>
          <w:trHeight w:val="115"/>
        </w:trPr>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216"/>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948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w:t>
            </w: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540" w:hanging="424"/>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EARLY OPTION EXERCISE LIABILITY (AMOUNTS IN THOUSANDS)</w:t>
      </w:r>
    </w:p>
    <w:p>
      <w:pPr>
        <w:spacing w:after="0" w:line="121" w:lineRule="exact"/>
        <w:rPr>
          <w:rFonts w:ascii="Arial" w:cs="Arial" w:eastAsia="Arial" w:hAnsi="Arial"/>
          <w:sz w:val="18"/>
          <w:szCs w:val="18"/>
          <w:b w:val="1"/>
          <w:bCs w:val="1"/>
          <w:color w:val="auto"/>
        </w:rPr>
      </w:pPr>
    </w:p>
    <w:p>
      <w:pPr>
        <w:ind w:left="56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recorded amount of the early option exercise liability relates to restricted stock awards and stock options granted to certain employees and contractors that were early-exercised before they became vested. The early option exercise liability decreases as the restricted stock awards and stock options vest over time or if the Company decides to repurchase them, and the amount of decrease is recorded in common stock and additional paid-in capital. As of June 30, 2021 and December 31, 2020, the early option exercise liability was $38 and $79, respectively, which represents unvested shares of 8,767 and 29,041. The unvested shares purchased by the employees are not deemed, for accounting purposes, to be issued and outstanding.</w:t>
      </w:r>
    </w:p>
    <w:p>
      <w:pPr>
        <w:spacing w:after="0" w:line="336" w:lineRule="exact"/>
        <w:rPr>
          <w:rFonts w:ascii="Arial" w:cs="Arial" w:eastAsia="Arial" w:hAnsi="Arial"/>
          <w:sz w:val="18"/>
          <w:szCs w:val="18"/>
          <w:b w:val="1"/>
          <w:bCs w:val="1"/>
          <w:color w:val="auto"/>
        </w:rPr>
      </w:pPr>
    </w:p>
    <w:p>
      <w:pPr>
        <w:ind w:left="540" w:hanging="424"/>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(AMOUNTS IN THOUSANDS)</w:t>
      </w:r>
    </w:p>
    <w:p>
      <w:pPr>
        <w:spacing w:after="0" w:line="117" w:lineRule="exact"/>
        <w:rPr>
          <w:rFonts w:ascii="Arial" w:cs="Arial" w:eastAsia="Arial" w:hAnsi="Arial"/>
          <w:sz w:val="18"/>
          <w:szCs w:val="18"/>
          <w:b w:val="1"/>
          <w:bCs w:val="1"/>
          <w:color w:val="auto"/>
        </w:rPr>
      </w:pPr>
    </w:p>
    <w:p>
      <w:pPr>
        <w:jc w:val="both"/>
        <w:ind w:left="560" w:right="2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Facilities Lease Agreements</w:t>
      </w:r>
      <w:r>
        <w:rPr>
          <w:rFonts w:ascii="Arial" w:cs="Arial" w:eastAsia="Arial" w:hAnsi="Arial"/>
          <w:sz w:val="18"/>
          <w:szCs w:val="18"/>
          <w:color w:val="auto"/>
        </w:rPr>
        <w:t>—In February 2019, the Company entered into a 5-year office lease agreement for a 9,780 square feet facility in</w:t>
      </w:r>
      <w:r>
        <w:rPr>
          <w:rFonts w:ascii="Arial" w:cs="Arial" w:eastAsia="Arial" w:hAnsi="Arial"/>
          <w:sz w:val="18"/>
          <w:szCs w:val="18"/>
          <w:b w:val="1"/>
          <w:bCs w:val="1"/>
          <w:color w:val="auto"/>
        </w:rPr>
        <w:t xml:space="preserve"> </w:t>
      </w:r>
      <w:r>
        <w:rPr>
          <w:rFonts w:ascii="Arial" w:cs="Arial" w:eastAsia="Arial" w:hAnsi="Arial"/>
          <w:sz w:val="18"/>
          <w:szCs w:val="18"/>
          <w:color w:val="auto"/>
        </w:rPr>
        <w:t>South San Francisco, California (“SSF Lease”). The remaining lease term of the SSF Lease is two years and eight months as of June 30, 2021. The Company has no other leases as of June 30,2021 and December 31, 2020.</w:t>
      </w:r>
    </w:p>
    <w:p>
      <w:pPr>
        <w:spacing w:after="0" w:line="71" w:lineRule="exact"/>
        <w:rPr>
          <w:rFonts w:ascii="Arial" w:cs="Arial" w:eastAsia="Arial" w:hAnsi="Arial"/>
          <w:sz w:val="18"/>
          <w:szCs w:val="18"/>
          <w:b w:val="1"/>
          <w:bCs w:val="1"/>
          <w:color w:val="auto"/>
        </w:rPr>
      </w:pPr>
    </w:p>
    <w:p>
      <w:pPr>
        <w:ind w:left="5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As a result of the merger with Millendo, the Company assumed Millendo’s noncancelable operating leases for office space which have remaining lease terms of approximately 3.0 years. In February 2019 and October 2018, Millendo entered into two noncancellable operating leases for office space in Ann Arbor, Michigan (“Ann Arbor Leases”) of which one that Millendo took possession of in April 2019 and the other that Millendo took possession of in July 2019, respectively. One of its leases in Ann Arbor, Michigan expires in June 2024 and the other expires in March 2024. There were no other leases assumed by the Company as of June 30,2021.</w:t>
      </w:r>
    </w:p>
    <w:p>
      <w:pPr>
        <w:spacing w:after="0" w:line="68" w:lineRule="exact"/>
        <w:rPr>
          <w:rFonts w:ascii="Arial" w:cs="Arial" w:eastAsia="Arial" w:hAnsi="Arial"/>
          <w:sz w:val="18"/>
          <w:szCs w:val="18"/>
          <w:b w:val="1"/>
          <w:bCs w:val="1"/>
          <w:color w:val="auto"/>
        </w:rPr>
      </w:pPr>
    </w:p>
    <w:p>
      <w:pPr>
        <w:ind w:left="560" w:right="1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of June 30, 2021 and December 31, 2020, the balance of the operating lease right of use assets on the SSF Lease were $1,603 and $1,877, respectively, and the related operating lease liability were $2,088 and $2,439, respectively, as shown in the accompanying consolidated balance sheets.</w:t>
      </w:r>
    </w:p>
    <w:p>
      <w:pPr>
        <w:spacing w:after="0" w:line="75" w:lineRule="exact"/>
        <w:rPr>
          <w:rFonts w:ascii="Arial" w:cs="Arial" w:eastAsia="Arial" w:hAnsi="Arial"/>
          <w:sz w:val="18"/>
          <w:szCs w:val="18"/>
          <w:b w:val="1"/>
          <w:bCs w:val="1"/>
          <w:color w:val="auto"/>
        </w:rPr>
      </w:pPr>
    </w:p>
    <w:p>
      <w:pPr>
        <w:ind w:left="56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June 30, 2021, the balance of the operating lease right of use assets on the Ann Arbor Leases was $2,070 and the related operating lease liability was $2,070 as shown in the accompanying consolidated balance sheet.</w:t>
      </w:r>
    </w:p>
    <w:p>
      <w:pPr>
        <w:spacing w:after="0" w:line="62"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Rent expense for the SSF Lease was $322 and $330 for the six months ended June 30, 2021 and 2020, respectively.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320" w:top="473"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color w:val="auto"/>
        </w:rPr>
        <w:t>As of June 30, 2021, future minimum annual lease payments under the Company’s operating lease liabilities for the SSF Lease and Ann Arbor Leases were as follows: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85"/>
        </w:trPr>
        <w:tc>
          <w:tcPr>
            <w:tcW w:w="6560" w:type="dxa"/>
            <w:vAlign w:val="bottom"/>
          </w:tcPr>
          <w:p>
            <w:pPr>
              <w:spacing w:after="0"/>
              <w:rPr>
                <w:sz w:val="20"/>
                <w:szCs w:val="20"/>
                <w:color w:val="auto"/>
              </w:rPr>
            </w:pPr>
            <w:r>
              <w:rPr>
                <w:rFonts w:ascii="Arial" w:cs="Arial" w:eastAsia="Arial" w:hAnsi="Arial"/>
                <w:sz w:val="14"/>
                <w:szCs w:val="14"/>
                <w:b w:val="1"/>
                <w:bCs w:val="1"/>
                <w:color w:val="auto"/>
              </w:rPr>
              <w:t>Year Ending</w:t>
            </w: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Commitment</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2021 (excluding the six months ended June 30, 2021)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1,603</w:t>
            </w:r>
          </w:p>
        </w:tc>
        <w:tc>
          <w:tcPr>
            <w:tcW w:w="8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1,647</w:t>
            </w:r>
          </w:p>
        </w:tc>
        <w:tc>
          <w:tcPr>
            <w:tcW w:w="8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443</w:t>
            </w:r>
          </w:p>
        </w:tc>
        <w:tc>
          <w:tcPr>
            <w:tcW w:w="8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Pr>
          <w:p>
            <w:pPr>
              <w:ind w:left="360"/>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r>
      <w:tr>
        <w:trPr>
          <w:trHeight w:val="223"/>
        </w:trPr>
        <w:tc>
          <w:tcPr>
            <w:tcW w:w="6560" w:type="dxa"/>
            <w:vAlign w:val="bottom"/>
          </w:tcPr>
          <w:p>
            <w:pPr>
              <w:ind w:left="360"/>
              <w:spacing w:after="0"/>
              <w:rPr>
                <w:sz w:val="20"/>
                <w:szCs w:val="20"/>
                <w:color w:val="auto"/>
              </w:rPr>
            </w:pPr>
            <w:r>
              <w:rPr>
                <w:rFonts w:ascii="Arial" w:cs="Arial" w:eastAsia="Arial" w:hAnsi="Arial"/>
                <w:sz w:val="18"/>
                <w:szCs w:val="18"/>
                <w:color w:val="auto"/>
              </w:rPr>
              <w:t>Present value of operating lease obligations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(1,484)</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Noncurrent operating lease obligations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100"/>
        <w:spacing w:after="0" w:line="277" w:lineRule="auto"/>
        <w:rPr>
          <w:sz w:val="20"/>
          <w:szCs w:val="20"/>
          <w:color w:val="auto"/>
        </w:rPr>
      </w:pPr>
      <w:r>
        <w:rPr>
          <w:rFonts w:ascii="Arial" w:cs="Arial" w:eastAsia="Arial" w:hAnsi="Arial"/>
          <w:sz w:val="17"/>
          <w:szCs w:val="17"/>
          <w:b w:val="1"/>
          <w:bCs w:val="1"/>
          <w:color w:val="auto"/>
        </w:rPr>
        <w:t>Guarantees and Indemnifications</w:t>
      </w:r>
      <w:r>
        <w:rPr>
          <w:rFonts w:ascii="Arial" w:cs="Arial" w:eastAsia="Arial" w:hAnsi="Arial"/>
          <w:sz w:val="17"/>
          <w:szCs w:val="17"/>
          <w:color w:val="auto"/>
        </w:rPr>
        <w:t>—In the normal course of business, the Company enters into agreements that contain a variety of</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June 30, 2021 and December 31, 2020, the Company does not have any material indemnification claims that were probable or reasonably possible and consequently has not recorded related liabilities.</w:t>
      </w:r>
    </w:p>
    <w:p>
      <w:pPr>
        <w:spacing w:after="0" w:line="60" w:lineRule="exact"/>
        <w:rPr>
          <w:sz w:val="20"/>
          <w:szCs w:val="20"/>
          <w:color w:val="auto"/>
        </w:rPr>
      </w:pPr>
    </w:p>
    <w:p>
      <w:pPr>
        <w:ind w:left="560" w:right="40"/>
        <w:spacing w:after="0" w:line="282" w:lineRule="auto"/>
        <w:rPr>
          <w:sz w:val="20"/>
          <w:szCs w:val="20"/>
          <w:color w:val="auto"/>
        </w:rPr>
      </w:pPr>
      <w:r>
        <w:rPr>
          <w:rFonts w:ascii="Arial" w:cs="Arial" w:eastAsia="Arial" w:hAnsi="Arial"/>
          <w:sz w:val="18"/>
          <w:szCs w:val="18"/>
          <w:b w:val="1"/>
          <w:bCs w:val="1"/>
          <w:color w:val="auto"/>
        </w:rPr>
        <w:t>Legal Proceedings—</w:t>
      </w:r>
      <w:r>
        <w:rPr>
          <w:rFonts w:ascii="Arial" w:cs="Arial" w:eastAsia="Arial" w:hAnsi="Arial"/>
          <w:sz w:val="18"/>
          <w:szCs w:val="18"/>
          <w:color w:val="auto"/>
        </w:rPr>
        <w:t>Liabilities for loss contingencies arising from claims, assessments, litigation, fines, penalties, and other sources are recorded</w:t>
      </w:r>
      <w:r>
        <w:rPr>
          <w:rFonts w:ascii="Arial" w:cs="Arial" w:eastAsia="Arial" w:hAnsi="Arial"/>
          <w:sz w:val="18"/>
          <w:szCs w:val="18"/>
          <w:b w:val="1"/>
          <w:bCs w:val="1"/>
          <w:color w:val="auto"/>
        </w:rPr>
        <w:t xml:space="preserve"> </w:t>
      </w:r>
      <w:r>
        <w:rPr>
          <w:rFonts w:ascii="Arial" w:cs="Arial" w:eastAsia="Arial" w:hAnsi="Arial"/>
          <w:sz w:val="18"/>
          <w:szCs w:val="18"/>
          <w:color w:val="auto"/>
        </w:rPr>
        <w:t>when it is probable that a liability has been incurred and the amount can be reasonably estimated.</w:t>
      </w:r>
    </w:p>
    <w:p>
      <w:pPr>
        <w:spacing w:after="0" w:line="58"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color w:val="auto"/>
        </w:rPr>
        <w:t>As a result of the merger with Millendo, the Company is party to various litigation matters given Millendo’s role as successor to OvaScience, Inc. (“OvaScience”). OvaScience merged with Millendo in 2018. Prior to the merger with Millendo, OvaScience was sued in three matters that are disclosed below.</w:t>
      </w:r>
    </w:p>
    <w:p>
      <w:pPr>
        <w:spacing w:after="0" w:line="76" w:lineRule="exact"/>
        <w:rPr>
          <w:sz w:val="20"/>
          <w:szCs w:val="20"/>
          <w:color w:val="auto"/>
        </w:rPr>
      </w:pPr>
    </w:p>
    <w:p>
      <w:pPr>
        <w:ind w:left="560" w:right="80"/>
        <w:spacing w:after="0" w:line="257" w:lineRule="auto"/>
        <w:rPr>
          <w:sz w:val="20"/>
          <w:szCs w:val="20"/>
          <w:color w:val="auto"/>
        </w:rPr>
      </w:pPr>
      <w:r>
        <w:rPr>
          <w:rFonts w:ascii="Arial" w:cs="Arial" w:eastAsia="Arial" w:hAnsi="Arial"/>
          <w:sz w:val="18"/>
          <w:szCs w:val="18"/>
          <w:color w:val="auto"/>
        </w:rPr>
        <w:t>On November 9, 2016, a purported shareholder derivative action was filed in Massachusetts State court (Cima v. Dipp) against certain former officers and directors of OvaScience and OvaScience alleging breach of fiduciary duties, unjust enrichment, abuse of control, gross mismanagement and waste of corporate assets for purported actions related to OvaScience’s January 2015 follow-on public offering. No material proceedings have occurred since the case was filed; in April 2021, the Company filed a unilateral request to continue a stay of the case, which the court has not yet ruled on.</w:t>
      </w:r>
    </w:p>
    <w:p>
      <w:pPr>
        <w:spacing w:after="0" w:line="80"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On March 24, 2017, a purported shareholder class action lawsuit was filed in Massachusetts Federal court (Dahhan v. OvaScience, Inc.) OvaScience and certain former officers of OvaScience alleging violations of Sections 10(b) and 20(a) of the Exchange Act (the “Dahhan Action”). Defendants have answered and the case is currently in discovery.</w:t>
      </w:r>
    </w:p>
    <w:p>
      <w:pPr>
        <w:spacing w:after="0" w:line="76" w:lineRule="exact"/>
        <w:rPr>
          <w:sz w:val="20"/>
          <w:szCs w:val="20"/>
          <w:color w:val="auto"/>
        </w:rPr>
      </w:pPr>
    </w:p>
    <w:p>
      <w:pPr>
        <w:ind w:left="560" w:right="40"/>
        <w:spacing w:after="0" w:line="255" w:lineRule="auto"/>
        <w:rPr>
          <w:sz w:val="20"/>
          <w:szCs w:val="20"/>
          <w:color w:val="auto"/>
        </w:rPr>
      </w:pPr>
      <w:r>
        <w:rPr>
          <w:rFonts w:ascii="Arial" w:cs="Arial" w:eastAsia="Arial" w:hAnsi="Arial"/>
          <w:sz w:val="18"/>
          <w:szCs w:val="18"/>
          <w:color w:val="auto"/>
        </w:rPr>
        <w:t>On July 27, 2017, a purported shareholder derivative complaint was filed in Massachusetts Federal court (Chiu v. Dipp) against OvaScience and certain former officers and directors of OvaScience alleging breach of fiduciary duties, unjust enrichment and violations of Section 14(a) of the Exchange Act. related to OvaScience’s January 2015 follow-on public offering and other public statements concerning OvaScience’s AUGMENT treatment. Following the Court’s dismissal of an amended complaint, the parties agreed that plaintiffs could file a second amended complaint and that the case would be stayed pending the resolution of the Dahhan Action. In May 2018, the court entered an order staying this case pending the resolution of the Dahhan Action.</w:t>
      </w:r>
    </w:p>
    <w:p>
      <w:pPr>
        <w:spacing w:after="0" w:line="84" w:lineRule="exact"/>
        <w:rPr>
          <w:sz w:val="20"/>
          <w:szCs w:val="20"/>
          <w:color w:val="auto"/>
        </w:rPr>
      </w:pPr>
    </w:p>
    <w:p>
      <w:pPr>
        <w:ind w:left="560" w:right="200"/>
        <w:spacing w:after="0" w:line="342" w:lineRule="auto"/>
        <w:rPr>
          <w:sz w:val="20"/>
          <w:szCs w:val="20"/>
          <w:color w:val="auto"/>
        </w:rPr>
      </w:pPr>
      <w:r>
        <w:rPr>
          <w:rFonts w:ascii="Arial" w:cs="Arial" w:eastAsia="Arial" w:hAnsi="Arial"/>
          <w:sz w:val="16"/>
          <w:szCs w:val="16"/>
          <w:color w:val="auto"/>
        </w:rPr>
        <w:t>With respect to each of the three OvaSciences matters described above, the Company is unable to estimate potential losses, if any. However, the Company believes the matters are without merit, and that in light of applicable insurance, any material exposure to the Company is remote.</w:t>
      </w:r>
    </w:p>
    <w:p>
      <w:pPr>
        <w:spacing w:after="0" w:line="16" w:lineRule="exact"/>
        <w:rPr>
          <w:sz w:val="20"/>
          <w:szCs w:val="20"/>
          <w:color w:val="auto"/>
        </w:rPr>
      </w:pPr>
    </w:p>
    <w:p>
      <w:pPr>
        <w:ind w:left="560" w:right="100"/>
        <w:spacing w:after="0" w:line="255" w:lineRule="auto"/>
        <w:rPr>
          <w:sz w:val="20"/>
          <w:szCs w:val="20"/>
          <w:color w:val="auto"/>
        </w:rPr>
      </w:pPr>
      <w:r>
        <w:rPr>
          <w:rFonts w:ascii="Arial" w:cs="Arial" w:eastAsia="Arial" w:hAnsi="Arial"/>
          <w:sz w:val="18"/>
          <w:szCs w:val="18"/>
          <w:color w:val="auto"/>
        </w:rPr>
        <w:t>On April 23, 2021 a complaint was filed against the Company and each of its directors in New York Federal court (Nakkhumpun v. Millendo Therapeutics, Inc.) alleging violations of the Securities Exchange Act of 1934 and breach of fiduciary duty of candor, for allegedly disseminating a materially incomplete and misleading registration statement with the SEC in connection with the proposed merger. Following the filing of this complaint, ten additional complaints containing substantially the same claims were filed in Federal courts in New York, the Eastern District of New York, and Michigan. After the Company filed a Form 8-K on June 11, 2021 containing additional disclosures, each of these cases was voluntarily dismissed without prejudice.</w:t>
      </w:r>
    </w:p>
    <w:p>
      <w:pPr>
        <w:spacing w:after="0" w:line="337"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LOAN PAYABLE (AMOUNTS IN THOUSANDS)</w:t>
      </w:r>
    </w:p>
    <w:p>
      <w:pPr>
        <w:spacing w:after="0" w:line="121" w:lineRule="exact"/>
        <w:rPr>
          <w:rFonts w:ascii="Arial" w:cs="Arial" w:eastAsia="Arial" w:hAnsi="Arial"/>
          <w:sz w:val="18"/>
          <w:szCs w:val="18"/>
          <w:b w:val="1"/>
          <w:bCs w:val="1"/>
          <w:color w:val="auto"/>
        </w:rPr>
      </w:pPr>
    </w:p>
    <w:p>
      <w:pPr>
        <w:ind w:left="56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On January 15, 2021, the Company entered into a loan agreement with a lender to borrow a term loan amount of $35,000 to be funded in three tranches. Tranche A of $15,000 was wired to the Company on January 15, 2021. Tranche B of $10,000 will be available through March 31, 2022 contingent upon achievement of each of the following: i) receipt of at least $50,000 in Series C equity capital, ii) initiation of the Phase 1 combination study of TPST-1495 or monotherapy expansion study, and iii) initiation of Phase 2 trial of TPST-1120 or the 1L Triplet Collaboration study. And Tranche C of $10,000 is available at lender’s option. The term loan matures on August 1, 2025 and has an annual floating interest rate of 7.15% which is an Index Rate plus 7%. Index Rate is the greater of (i) 30-day US LIBOR or (ii) 0.15%. Monthly principal payments of $500 will begin on March 1, 2023. Related to this borrowing, the Company paid $96 of debt issuance costs and the amount would be amortized as additional interest expense over the life of the loan. As of June 30, 2021, the balance of the loan payable (net of debt issuance costs) was $14,915. The carrying value of the loan approximates fair value.</w:t>
      </w:r>
    </w:p>
    <w:p>
      <w:pPr>
        <w:spacing w:after="0" w:line="72"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For the three months and six months period ended June 30, 2021, total interest expense were $276 and $507, respectively.</w:t>
      </w:r>
    </w:p>
    <w:p>
      <w:pPr>
        <w:spacing w:after="0" w:line="369" w:lineRule="exact"/>
        <w:rPr>
          <w:rFonts w:ascii="Arial" w:cs="Arial" w:eastAsia="Arial" w:hAnsi="Arial"/>
          <w:sz w:val="18"/>
          <w:szCs w:val="18"/>
          <w:b w:val="1"/>
          <w:bCs w:val="1"/>
          <w:color w:val="auto"/>
        </w:rPr>
      </w:pPr>
    </w:p>
    <w:p>
      <w:pPr>
        <w:ind w:left="540" w:hanging="424"/>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21" w:lineRule="exact"/>
        <w:rPr>
          <w:rFonts w:ascii="Arial" w:cs="Arial" w:eastAsia="Arial" w:hAnsi="Arial"/>
          <w:sz w:val="18"/>
          <w:szCs w:val="18"/>
          <w:b w:val="1"/>
          <w:bCs w:val="1"/>
          <w:color w:val="auto"/>
        </w:rPr>
      </w:pPr>
    </w:p>
    <w:p>
      <w:pPr>
        <w:ind w:left="560"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of June 30, 2021, the Company was authorized to issue up to 5,000,000 shares of preferred stock at a par value of $0.001 as a result of Private Tempest completing the merger with Millendo on June 25, 2021. As of December 31, 2020, Private Tempest was authorized to issue up to 135,936,731 shares of preferred stock at par value of $0.001.</w:t>
      </w:r>
    </w:p>
    <w:p>
      <w:pPr>
        <w:sectPr>
          <w:pgSz w:w="11900" w:h="16838" w:orient="portrait"/>
          <w:cols w:equalWidth="0" w:num="1">
            <w:col w:w="11120"/>
          </w:cols>
          <w:pgMar w:left="320" w:top="486" w:right="459" w:bottom="0" w:gutter="0" w:footer="0" w:header="0"/>
        </w:sectPr>
      </w:pPr>
    </w:p>
    <w:bookmarkStart w:id="17" w:name="page18"/>
    <w:bookmarkEnd w:id="17"/>
    <w:p>
      <w:pPr>
        <w:spacing w:after="0" w:line="275" w:lineRule="auto"/>
        <w:rPr>
          <w:sz w:val="20"/>
          <w:szCs w:val="20"/>
          <w:color w:val="auto"/>
        </w:rPr>
      </w:pPr>
      <w:r>
        <w:rPr>
          <w:rFonts w:ascii="Arial" w:cs="Arial" w:eastAsia="Arial" w:hAnsi="Arial"/>
          <w:sz w:val="17"/>
          <w:szCs w:val="17"/>
          <w:color w:val="auto"/>
        </w:rPr>
        <w:t>In October 2011, Private Tempest received a commitment from its venture investor for a Series A Preferred Stock financing totaling $10 million to be taken down in two tranches of $5 million each. Upon execution of the stock purchase agreement, Private Tempest received the first tranche of $5 million, which included $2,399 in cash proceeds and the conversion of notes payable and accrued interest totaling $2,601 for issuing 5,000,000 shares of its Series A Preferred Stock. In June 2012, Private Tempest received cash proceeds of $5 million related to the second tranche of the Series A Preferred Stock financing from the issuance of 5,000,000 shares of Series A Preferred Stock.</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In August 2015, Private Tempest issued an additional 2,000,000 shares of Series A Preferred Stock to its venture investor for cash proceeds of</w:t>
      </w:r>
    </w:p>
    <w:p>
      <w:pPr>
        <w:spacing w:after="0" w:line="46"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$2 million. In September 2016, Private Tempest issued an additional 5,000,000 shares of Series A Preferred Stock to its venture investor for cash proceeds of $5 million.</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125"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140"/>
        <w:spacing w:after="0" w:line="263" w:lineRule="auto"/>
        <w:rPr>
          <w:sz w:val="20"/>
          <w:szCs w:val="20"/>
          <w:color w:val="auto"/>
        </w:rPr>
      </w:pPr>
      <w:r>
        <w:rPr>
          <w:rFonts w:ascii="Arial" w:cs="Arial" w:eastAsia="Arial" w:hAnsi="Arial"/>
          <w:sz w:val="18"/>
          <w:szCs w:val="18"/>
          <w:color w:val="auto"/>
        </w:rPr>
        <w:t>In February 2018, Private Tempest issued 25,186,738 shares of Series B Preferred Stock for $1.00 per share in connection with the closing of the Series B Preferred Stock Purchase Agreement. Private Tempest’s convertible notes of $8.0 million and accrued interest were converted as part of the Series B offering.</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February 2019, Private Tempest issued 28,749,997 shares of Series B-1 preferred stock for $0.80 per share for total cash proceeds of</w:t>
      </w:r>
    </w:p>
    <w:p>
      <w:pPr>
        <w:spacing w:after="0" w:line="35" w:lineRule="exact"/>
        <w:rPr>
          <w:sz w:val="20"/>
          <w:szCs w:val="20"/>
          <w:color w:val="auto"/>
        </w:rPr>
      </w:pPr>
    </w:p>
    <w:p>
      <w:pPr>
        <w:ind w:left="560" w:right="20"/>
        <w:spacing w:after="0" w:line="260" w:lineRule="auto"/>
        <w:rPr>
          <w:sz w:val="20"/>
          <w:szCs w:val="20"/>
          <w:color w:val="auto"/>
        </w:rPr>
      </w:pPr>
      <w:r>
        <w:rPr>
          <w:rFonts w:ascii="Arial" w:cs="Arial" w:eastAsia="Arial" w:hAnsi="Arial"/>
          <w:sz w:val="18"/>
          <w:szCs w:val="18"/>
          <w:color w:val="auto"/>
        </w:rPr>
        <w:t>$23 million. In January 2020, Private Tempest issued 43,749,996 shares of Series B-1 preferred stock for $0.80 per share for total cash proceeds of $35 million.</w:t>
      </w:r>
    </w:p>
    <w:p>
      <w:pPr>
        <w:spacing w:after="0" w:line="77" w:lineRule="exact"/>
        <w:rPr>
          <w:sz w:val="20"/>
          <w:szCs w:val="20"/>
          <w:color w:val="auto"/>
        </w:rPr>
      </w:pPr>
    </w:p>
    <w:p>
      <w:pPr>
        <w:ind w:left="560" w:right="20"/>
        <w:spacing w:after="0" w:line="255" w:lineRule="auto"/>
        <w:rPr>
          <w:sz w:val="20"/>
          <w:szCs w:val="20"/>
          <w:color w:val="auto"/>
        </w:rPr>
      </w:pPr>
      <w:r>
        <w:rPr>
          <w:rFonts w:ascii="Arial" w:cs="Arial" w:eastAsia="Arial" w:hAnsi="Arial"/>
          <w:sz w:val="18"/>
          <w:szCs w:val="18"/>
          <w:color w:val="auto"/>
        </w:rPr>
        <w:t>On June 25, 2021, Private Tempest completed the merger with Millendo in accordance with the Merger Agreement. Under the terms of the Merger Agreement, immediately prior to the effective time of the merger, each share Private Tempest’s preferred stock was converted into a share of Private Tempest’s common stock. At closing of the merger, the Company issued an aggregate of approximately 5,365,899 shares of its common stock to Private Tempest stockholders, based on an exchange ratio of 0.0322 shares of the Company’s common stock for each share of Private Tempest common stock outstanding immediately prior to the merger, including those shares of common stock issued upon conversion of the Private Tempest preferred stock.</w:t>
      </w:r>
    </w:p>
    <w:p>
      <w:pPr>
        <w:spacing w:after="0" w:line="84"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The authorized, issued and outstanding shares of the convertible preferred stock and liquidation preferences at December 31, 2020 were as follows (in thousands except share and per share amounts):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December 31, 2020</w:t>
      </w:r>
    </w:p>
    <w:tbl>
      <w:tblPr>
        <w:tblLayout w:type="fixed"/>
        <w:tblInd w:w="120" w:type="dxa"/>
        <w:tblCellMar>
          <w:top w:w="0" w:type="dxa"/>
          <w:left w:w="0" w:type="dxa"/>
          <w:bottom w:w="0" w:type="dxa"/>
          <w:right w:w="0" w:type="dxa"/>
        </w:tblCellMar>
      </w:tblPr>
      <w:tr>
        <w:trPr>
          <w:trHeight w:val="153"/>
        </w:trPr>
        <w:tc>
          <w:tcPr>
            <w:tcW w:w="4820" w:type="dxa"/>
            <w:vAlign w:val="bottom"/>
          </w:tcPr>
          <w:p>
            <w:pPr>
              <w:spacing w:after="0"/>
              <w:rPr>
                <w:sz w:val="13"/>
                <w:szCs w:val="13"/>
                <w:color w:val="auto"/>
              </w:rPr>
            </w:pPr>
          </w:p>
        </w:tc>
        <w:tc>
          <w:tcPr>
            <w:tcW w:w="12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10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Shares Issued</w:t>
            </w:r>
          </w:p>
        </w:tc>
        <w:tc>
          <w:tcPr>
            <w:tcW w:w="1120" w:type="dxa"/>
            <w:vAlign w:val="bottom"/>
            <w:gridSpan w:val="2"/>
          </w:tcPr>
          <w:p>
            <w:pPr>
              <w:jc w:val="right"/>
              <w:ind w:right="230"/>
              <w:spacing w:after="0" w:line="153" w:lineRule="exact"/>
              <w:rPr>
                <w:sz w:val="20"/>
                <w:szCs w:val="20"/>
                <w:color w:val="auto"/>
              </w:rPr>
            </w:pPr>
            <w:r>
              <w:rPr>
                <w:rFonts w:ascii="Arial" w:cs="Arial" w:eastAsia="Arial" w:hAnsi="Arial"/>
                <w:sz w:val="14"/>
                <w:szCs w:val="14"/>
                <w:b w:val="1"/>
                <w:bCs w:val="1"/>
                <w:color w:val="auto"/>
              </w:rPr>
              <w:t>Per Share</w:t>
            </w:r>
          </w:p>
        </w:tc>
        <w:tc>
          <w:tcPr>
            <w:tcW w:w="8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Aggregate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Proceeds</w:t>
            </w:r>
          </w:p>
        </w:tc>
        <w:tc>
          <w:tcPr>
            <w:tcW w:w="120" w:type="dxa"/>
            <w:vAlign w:val="bottom"/>
          </w:tcPr>
          <w:p>
            <w:pPr>
              <w:spacing w:after="0"/>
              <w:rPr>
                <w:sz w:val="13"/>
                <w:szCs w:val="13"/>
                <w:color w:val="auto"/>
              </w:rPr>
            </w:pPr>
          </w:p>
        </w:tc>
        <w:tc>
          <w:tcPr>
            <w:tcW w:w="70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and</w:t>
            </w:r>
          </w:p>
        </w:tc>
        <w:tc>
          <w:tcPr>
            <w:tcW w:w="1120" w:type="dxa"/>
            <w:vAlign w:val="bottom"/>
            <w:gridSpan w:val="2"/>
          </w:tcPr>
          <w:p>
            <w:pPr>
              <w:jc w:val="right"/>
              <w:ind w:right="170"/>
              <w:spacing w:after="0" w:line="149" w:lineRule="exact"/>
              <w:rPr>
                <w:sz w:val="20"/>
                <w:szCs w:val="20"/>
                <w:color w:val="auto"/>
              </w:rPr>
            </w:pPr>
            <w:r>
              <w:rPr>
                <w:rFonts w:ascii="Arial" w:cs="Arial" w:eastAsia="Arial" w:hAnsi="Arial"/>
                <w:sz w:val="14"/>
                <w:szCs w:val="14"/>
                <w:b w:val="1"/>
                <w:bCs w:val="1"/>
                <w:color w:val="auto"/>
              </w:rPr>
              <w:t>Liquidation</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Liquidation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Net of</w:t>
            </w:r>
          </w:p>
        </w:tc>
        <w:tc>
          <w:tcPr>
            <w:tcW w:w="12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5"/>
        </w:trPr>
        <w:tc>
          <w:tcPr>
            <w:tcW w:w="4820" w:type="dxa"/>
            <w:vAlign w:val="bottom"/>
          </w:tcPr>
          <w:p>
            <w:pPr>
              <w:spacing w:after="0"/>
              <w:rPr>
                <w:sz w:val="20"/>
                <w:szCs w:val="20"/>
                <w:color w:val="auto"/>
              </w:rPr>
            </w:pPr>
            <w:r>
              <w:rPr>
                <w:rFonts w:ascii="Arial" w:cs="Arial" w:eastAsia="Arial" w:hAnsi="Arial"/>
                <w:sz w:val="14"/>
                <w:szCs w:val="14"/>
                <w:b w:val="1"/>
                <w:bCs w:val="1"/>
                <w:color w:val="auto"/>
              </w:rPr>
              <w:t>Series</w:t>
            </w: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Authorized</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Outstanding</w:t>
            </w:r>
          </w:p>
        </w:tc>
        <w:tc>
          <w:tcPr>
            <w:tcW w:w="11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Preference</w:t>
            </w:r>
          </w:p>
        </w:tc>
        <w:tc>
          <w:tcPr>
            <w:tcW w:w="10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Issuance Cost</w:t>
            </w:r>
          </w:p>
        </w:tc>
        <w:tc>
          <w:tcPr>
            <w:tcW w:w="120" w:type="dxa"/>
            <w:vAlign w:val="bottom"/>
          </w:tcPr>
          <w:p>
            <w:pPr>
              <w:spacing w:after="0"/>
              <w:rPr>
                <w:sz w:val="16"/>
                <w:szCs w:val="16"/>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17,000,000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17,000,000</w:t>
            </w:r>
          </w:p>
        </w:tc>
        <w:tc>
          <w:tcPr>
            <w:tcW w:w="38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16,982</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$ 16,982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Series B</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25,186,738</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25,186,738</w:t>
            </w:r>
          </w:p>
        </w:tc>
        <w:tc>
          <w:tcPr>
            <w:tcW w:w="38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25,187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24,943</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12,235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93,749,993</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72,499,993</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57,489</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57,489</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135,936,731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114,686,731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100,187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3"/>
              </w:rPr>
              <w:t>99,414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$ 86,706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significant rights, preferences, and privileges of the convertible preferred stock as of December 31, 2020 were as follows:</w:t>
      </w:r>
    </w:p>
    <w:p>
      <w:pPr>
        <w:spacing w:after="0" w:line="117" w:lineRule="exact"/>
        <w:rPr>
          <w:sz w:val="20"/>
          <w:szCs w:val="20"/>
          <w:color w:val="auto"/>
        </w:rPr>
      </w:pPr>
    </w:p>
    <w:p>
      <w:pPr>
        <w:ind w:left="560" w:right="340"/>
        <w:spacing w:after="0" w:line="275" w:lineRule="auto"/>
        <w:rPr>
          <w:sz w:val="20"/>
          <w:szCs w:val="20"/>
          <w:color w:val="auto"/>
        </w:rPr>
      </w:pPr>
      <w:r>
        <w:rPr>
          <w:rFonts w:ascii="Arial" w:cs="Arial" w:eastAsia="Arial" w:hAnsi="Arial"/>
          <w:sz w:val="17"/>
          <w:szCs w:val="17"/>
          <w:b w:val="1"/>
          <w:bCs w:val="1"/>
          <w:i w:val="1"/>
          <w:iCs w:val="1"/>
          <w:color w:val="auto"/>
        </w:rPr>
        <w:t>Dividends</w:t>
      </w:r>
      <w:r>
        <w:rPr>
          <w:rFonts w:ascii="Arial" w:cs="Arial" w:eastAsia="Arial" w:hAnsi="Arial"/>
          <w:sz w:val="17"/>
          <w:szCs w:val="17"/>
          <w:color w:val="auto"/>
        </w:rPr>
        <w:t>—The holders of the Company’s convertible preferred stock are entitled to receive noncumulative dividends of 8% per share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adjusted for stock splits, combinations, and reorganizations) per annum on each outstanding share of Series convertible preferred stock. Such dividends shall be payable only when and if declared by the Board of Directors. As of June 30, 2021 and December 31, 2020, the Company’s Board of Directors had not declared any dividends. Dividends on convertible preferred stock shall be payable in preference to and prior to any payments of any dividends on common stock. No dividends have been declared to date.</w:t>
      </w:r>
    </w:p>
    <w:p>
      <w:pPr>
        <w:spacing w:after="0" w:line="68" w:lineRule="exact"/>
        <w:rPr>
          <w:sz w:val="20"/>
          <w:szCs w:val="20"/>
          <w:color w:val="auto"/>
        </w:rPr>
      </w:pPr>
    </w:p>
    <w:p>
      <w:pPr>
        <w:ind w:left="560" w:right="60"/>
        <w:spacing w:after="0" w:line="263"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—The holders of preferred stock are entitled to one vote for each share of common stock into which such preferred stock could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converted; and with respect to such vote, such holder shall have full voting rights and powers equal to the voting rights and powers of the holders of common stock.</w:t>
      </w:r>
    </w:p>
    <w:p>
      <w:pPr>
        <w:spacing w:after="0" w:line="76" w:lineRule="exact"/>
        <w:rPr>
          <w:sz w:val="20"/>
          <w:szCs w:val="20"/>
          <w:color w:val="auto"/>
        </w:rPr>
      </w:pPr>
    </w:p>
    <w:p>
      <w:pPr>
        <w:ind w:left="560" w:right="100"/>
        <w:spacing w:after="0" w:line="257" w:lineRule="auto"/>
        <w:rPr>
          <w:sz w:val="20"/>
          <w:szCs w:val="20"/>
          <w:color w:val="auto"/>
        </w:rPr>
      </w:pPr>
      <w:r>
        <w:rPr>
          <w:rFonts w:ascii="Arial" w:cs="Arial" w:eastAsia="Arial" w:hAnsi="Arial"/>
          <w:sz w:val="18"/>
          <w:szCs w:val="18"/>
          <w:b w:val="1"/>
          <w:bCs w:val="1"/>
          <w:i w:val="1"/>
          <w:iCs w:val="1"/>
          <w:color w:val="auto"/>
        </w:rPr>
        <w:t>Liquidation</w:t>
      </w:r>
      <w:r>
        <w:rPr>
          <w:rFonts w:ascii="Arial" w:cs="Arial" w:eastAsia="Arial" w:hAnsi="Arial"/>
          <w:sz w:val="18"/>
          <w:szCs w:val="18"/>
          <w:color w:val="auto"/>
        </w:rPr>
        <w:t>—The holders of preferred stock are entitled to receive liquidation preferences at an amount per share of preferred stock equal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original price plus all declared and unpaid dividends on the preferred stock. Liquidation payments to the holders of preferred stock have priority and are made in preference to any payments to the holders of common stock. After full payment of the liquidation preference to the holders of the preferred stock, the remaining assets, if any, will be distributed ratably to the holders of the common stock and preferred stock on an as-if-converted to common stock basis.</w:t>
      </w:r>
    </w:p>
    <w:p>
      <w:pPr>
        <w:spacing w:after="0" w:line="80" w:lineRule="exact"/>
        <w:rPr>
          <w:sz w:val="20"/>
          <w:szCs w:val="20"/>
          <w:color w:val="auto"/>
        </w:rPr>
      </w:pPr>
    </w:p>
    <w:p>
      <w:pPr>
        <w:jc w:val="both"/>
        <w:ind w:left="560" w:right="320"/>
        <w:spacing w:after="0" w:line="263" w:lineRule="auto"/>
        <w:rPr>
          <w:sz w:val="20"/>
          <w:szCs w:val="20"/>
          <w:color w:val="auto"/>
        </w:rPr>
      </w:pPr>
      <w:r>
        <w:rPr>
          <w:rFonts w:ascii="Arial" w:cs="Arial" w:eastAsia="Arial" w:hAnsi="Arial"/>
          <w:sz w:val="18"/>
          <w:szCs w:val="18"/>
          <w:b w:val="1"/>
          <w:bCs w:val="1"/>
          <w:i w:val="1"/>
          <w:iCs w:val="1"/>
          <w:color w:val="auto"/>
        </w:rPr>
        <w:t>Redemption and Balance Sheet Classification</w:t>
      </w:r>
      <w:r>
        <w:rPr>
          <w:rFonts w:ascii="Arial" w:cs="Arial" w:eastAsia="Arial" w:hAnsi="Arial"/>
          <w:sz w:val="18"/>
          <w:szCs w:val="18"/>
          <w:color w:val="auto"/>
        </w:rPr>
        <w:t>— The convertible preferred stock is recorded within mezzanine equity because while it is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mandatorily redeemable, it will become redeemable at the option of the stockholders upon the occurrence of certain deemed liquidation events that are considered not solely within the Company’s control.</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86"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rFonts w:ascii="Arial" w:cs="Arial" w:eastAsia="Arial" w:hAnsi="Arial"/>
          <w:sz w:val="18"/>
          <w:szCs w:val="18"/>
          <w:b w:val="1"/>
          <w:bCs w:val="1"/>
          <w:color w:val="auto"/>
        </w:rPr>
      </w:pPr>
    </w:p>
    <w:p>
      <w:pPr>
        <w:ind w:left="560" w:right="2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Upon completion of the merger on June 25, 2021, the Company issued an aggregate of approximately 5,365,899 shares of its common stock to Private Tempest stockholders, based on an exchange ratio of 0.0322 shares of the Company’s common stock for each share of Private Tempest common stock outstanding immediately prior to the merger, including those shares of common stock issued upon conversion of the Private Tempest preferred stock (3,692,912 common shares) and those shares of common stock issued with its pre-merger financing of $30.0 million (1,136,849 common shares).</w:t>
      </w:r>
    </w:p>
    <w:p>
      <w:pPr>
        <w:spacing w:after="0" w:line="79" w:lineRule="exact"/>
        <w:rPr>
          <w:rFonts w:ascii="Arial" w:cs="Arial" w:eastAsia="Arial" w:hAnsi="Arial"/>
          <w:sz w:val="18"/>
          <w:szCs w:val="18"/>
          <w:b w:val="1"/>
          <w:bCs w:val="1"/>
          <w:color w:val="auto"/>
        </w:rPr>
      </w:pPr>
    </w:p>
    <w:p>
      <w:pPr>
        <w:ind w:left="560"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As of June 30, 2021, the Company was authorized to issue 100,000,000 shares of common stock at a par value of $0.001. Of the 100,000,000 common stock shares authorized, 6,637,081 are legally issued and outstanding at June 30, 2021, with 8,767 shares subject to repurchase due to remaining vesting requirements. Common stockholders are entitled to dividends as declared by the Board of Directors, subject to rights of holders of all classes of stock outstanding having priority rights as to dividends. There have been no dividends declared to date. The holders of each share of common stock are entitled to one vote. Except for effecting or validating certain specific actions intended to protect the preferred stockholders, the holders of common stock vote together with preferred stockholders and have the right to elect one member of the Company’s Board of Directors.</w:t>
      </w:r>
    </w:p>
    <w:p>
      <w:pPr>
        <w:spacing w:after="0" w:line="339" w:lineRule="exact"/>
        <w:rPr>
          <w:rFonts w:ascii="Arial" w:cs="Arial" w:eastAsia="Arial" w:hAnsi="Arial"/>
          <w:sz w:val="18"/>
          <w:szCs w:val="18"/>
          <w:b w:val="1"/>
          <w:bCs w:val="1"/>
          <w:color w:val="auto"/>
        </w:rPr>
      </w:pPr>
    </w:p>
    <w:p>
      <w:pPr>
        <w:ind w:left="540" w:hanging="424"/>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w:t>
      </w:r>
    </w:p>
    <w:p>
      <w:pPr>
        <w:spacing w:after="0" w:line="121" w:lineRule="exact"/>
        <w:rPr>
          <w:rFonts w:ascii="Arial" w:cs="Arial" w:eastAsia="Arial" w:hAnsi="Arial"/>
          <w:sz w:val="18"/>
          <w:szCs w:val="18"/>
          <w:b w:val="1"/>
          <w:bCs w:val="1"/>
          <w:color w:val="auto"/>
        </w:rPr>
      </w:pPr>
    </w:p>
    <w:p>
      <w:pPr>
        <w:ind w:left="5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In 2011 Private Tempest adopted the 2011 Equity Incentive Plan, and in 2017, Private Tempest adopted the 2017 Equity Incentive Plan, together “the Plans”. Upon adoption of the 2017 Equity Incentive Plan, the 2011 Equity Incentive Plan was terminated. Both the Plans provide for the granting of stock awards to employees, directors and consultants of the Company. Awards issuable under the Plans include incentive stock options (“ISO”), nonqualified stock options (“NSO”), stock appreciation rights (“SAR”), restricted stock awards, restricted stock unit awards and other stock awards. As a result of the merger, the Plans of Private Tempest were assumed by the Company.</w:t>
      </w:r>
    </w:p>
    <w:p>
      <w:pPr>
        <w:spacing w:after="0" w:line="68" w:lineRule="exact"/>
        <w:rPr>
          <w:rFonts w:ascii="Arial" w:cs="Arial" w:eastAsia="Arial" w:hAnsi="Arial"/>
          <w:sz w:val="18"/>
          <w:szCs w:val="18"/>
          <w:b w:val="1"/>
          <w:bCs w:val="1"/>
          <w:color w:val="auto"/>
        </w:rPr>
      </w:pPr>
    </w:p>
    <w:p>
      <w:pPr>
        <w:ind w:left="560" w:righ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Options to purchase the Company’s common stock may be granted at a price not less than the fair market value in the case of both NSOs and ISOs, except for an employee or non-employee with options who owns more than 10 percent of the voting power of all classes of stock of the Company, in which case the exercise price shall be no less than 110 percent of the fair market value per share on the grant date. Stock options granted under the Plans generally vest over four years and expire no later than ten (10) years from the date of grant. Vested options can be exercised at any time.</w:t>
      </w:r>
    </w:p>
    <w:p>
      <w:pPr>
        <w:spacing w:after="0" w:line="79" w:lineRule="exact"/>
        <w:rPr>
          <w:rFonts w:ascii="Arial" w:cs="Arial" w:eastAsia="Arial" w:hAnsi="Arial"/>
          <w:sz w:val="18"/>
          <w:szCs w:val="18"/>
          <w:b w:val="1"/>
          <w:bCs w:val="1"/>
          <w:color w:val="auto"/>
        </w:rPr>
      </w:pPr>
    </w:p>
    <w:p>
      <w:pPr>
        <w:ind w:left="560" w:right="2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grant date fair market value of the shares of common stock underlying stock options has historically been determined by the Company’s Board of Directors. Because there has been no public market for the Company’s common stock, the Board of Directors exercises reasonable judgment and considers a number of objective and subjective factors to determine the best estimate of the fair market value, which include valuations performed by an independent third-party, important developments in the Company’s operations, sales of convertible preferred stock, actual operating results, financial performance, the conditions in the life sciences industry, the economy in general, the stock price performance and volatility of comparable public companies, and the lack of liquidity of the Company’s common stock.</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86"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 option activity under the Plans is set forth below:</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left="5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Total Options</w:t>
            </w:r>
          </w:p>
        </w:tc>
        <w:tc>
          <w:tcPr>
            <w:tcW w:w="900" w:type="dxa"/>
            <w:vAlign w:val="bottom"/>
          </w:tcPr>
          <w:p>
            <w:pPr>
              <w:jc w:val="center"/>
              <w:ind w:left="3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Available</w:t>
            </w:r>
          </w:p>
        </w:tc>
        <w:tc>
          <w:tcPr>
            <w:tcW w:w="1280" w:type="dxa"/>
            <w:vAlign w:val="bottom"/>
            <w:gridSpan w:val="3"/>
            <w:vMerge w:val="continue"/>
          </w:tcPr>
          <w:p>
            <w:pPr>
              <w:spacing w:after="0"/>
              <w:rPr>
                <w:sz w:val="12"/>
                <w:szCs w:val="12"/>
                <w:color w:val="auto"/>
              </w:rPr>
            </w:pPr>
          </w:p>
        </w:tc>
        <w:tc>
          <w:tcPr>
            <w:tcW w:w="900" w:type="dxa"/>
            <w:vAlign w:val="bottom"/>
          </w:tcPr>
          <w:p>
            <w:pPr>
              <w:jc w:val="center"/>
              <w:ind w:left="5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for Grant</w:t>
            </w:r>
          </w:p>
        </w:tc>
        <w:tc>
          <w:tcPr>
            <w:tcW w:w="18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Outstanding</w:t>
            </w:r>
          </w:p>
        </w:tc>
        <w:tc>
          <w:tcPr>
            <w:tcW w:w="900" w:type="dxa"/>
            <w:vAlign w:val="bottom"/>
          </w:tcPr>
          <w:p>
            <w:pPr>
              <w:jc w:val="center"/>
              <w:ind w:left="5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489,797</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452,165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5.35</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Assumed in reverse recapitalization</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178,732</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(186,482)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186,482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(10,654)</w:t>
            </w:r>
          </w:p>
        </w:tc>
        <w:tc>
          <w:tcPr>
            <w:tcW w:w="90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Cancelled and forfeited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(6,316)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331"/>
        </w:trPr>
        <w:tc>
          <w:tcPr>
            <w:tcW w:w="6120" w:type="dxa"/>
            <w:vAlign w:val="bottom"/>
            <w:gridSpan w:val="2"/>
          </w:tcPr>
          <w:p>
            <w:pPr>
              <w:spacing w:after="0"/>
              <w:rPr>
                <w:sz w:val="20"/>
                <w:szCs w:val="20"/>
                <w:color w:val="auto"/>
              </w:rPr>
            </w:pPr>
            <w:r>
              <w:rPr>
                <w:rFonts w:ascii="Arial" w:cs="Arial" w:eastAsia="Arial" w:hAnsi="Arial"/>
                <w:sz w:val="18"/>
                <w:szCs w:val="18"/>
                <w:color w:val="auto"/>
              </w:rPr>
              <w:t>Balance—June 30, 2021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308,982</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800,409</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information about stock options outstanding at June 30, 2021:</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Weighted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vMerge w:val="continue"/>
          </w:tcPr>
          <w:p>
            <w:pPr>
              <w:spacing w:after="0"/>
              <w:rPr>
                <w:sz w:val="12"/>
                <w:szCs w:val="12"/>
                <w:color w:val="auto"/>
              </w:rPr>
            </w:pPr>
          </w:p>
        </w:tc>
        <w:tc>
          <w:tcPr>
            <w:tcW w:w="1120" w:type="dxa"/>
            <w:vAlign w:val="bottom"/>
            <w:vMerge w:val="restart"/>
          </w:tcPr>
          <w:p>
            <w:pPr>
              <w:jc w:val="center"/>
              <w:ind w:left="7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7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Shares</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tcPr>
          <w:p>
            <w:pPr>
              <w:jc w:val="center"/>
              <w:ind w:left="7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2740" w:type="dxa"/>
            <w:vAlign w:val="bottom"/>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7"/>
              </w:rPr>
              <w:t>Life (In Years)</w:t>
            </w:r>
          </w:p>
        </w:tc>
        <w:tc>
          <w:tcPr>
            <w:tcW w:w="320" w:type="dxa"/>
            <w:vAlign w:val="bottom"/>
          </w:tcPr>
          <w:p>
            <w:pPr>
              <w:spacing w:after="0"/>
              <w:rPr>
                <w:sz w:val="14"/>
                <w:szCs w:val="14"/>
                <w:color w:val="auto"/>
              </w:rPr>
            </w:pPr>
          </w:p>
        </w:tc>
        <w:tc>
          <w:tcPr>
            <w:tcW w:w="700" w:type="dxa"/>
            <w:vAlign w:val="bottom"/>
          </w:tcPr>
          <w:p>
            <w:pPr>
              <w:jc w:val="center"/>
              <w:ind w:right="215"/>
              <w:spacing w:after="0"/>
              <w:rPr>
                <w:sz w:val="20"/>
                <w:szCs w:val="20"/>
                <w:color w:val="auto"/>
              </w:rPr>
            </w:pPr>
            <w:r>
              <w:rPr>
                <w:rFonts w:ascii="Arial" w:cs="Arial" w:eastAsia="Arial" w:hAnsi="Arial"/>
                <w:sz w:val="14"/>
                <w:szCs w:val="14"/>
                <w:b w:val="1"/>
                <w:bCs w:val="1"/>
                <w:color w:val="auto"/>
                <w:w w:val="93"/>
              </w:rPr>
              <w:t>Price</w:t>
            </w:r>
          </w:p>
        </w:tc>
        <w:tc>
          <w:tcPr>
            <w:tcW w:w="1120" w:type="dxa"/>
            <w:vAlign w:val="bottom"/>
          </w:tcPr>
          <w:p>
            <w:pPr>
              <w:jc w:val="center"/>
              <w:ind w:left="7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w:t>
            </w:r>
          </w:p>
        </w:tc>
        <w:tc>
          <w:tcPr>
            <w:tcW w:w="27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800,409</w:t>
            </w:r>
          </w:p>
        </w:tc>
        <w:tc>
          <w:tcPr>
            <w:tcW w:w="130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8.46</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47.70</w:t>
            </w:r>
          </w:p>
        </w:tc>
        <w:tc>
          <w:tcPr>
            <w:tcW w:w="1120" w:type="dxa"/>
            <w:vAlign w:val="bottom"/>
            <w:shd w:val="clear" w:color="auto" w:fill="CCEEFF"/>
          </w:tcPr>
          <w:p>
            <w:pPr>
              <w:jc w:val="center"/>
              <w:ind w:left="79"/>
              <w:spacing w:after="0"/>
              <w:rPr>
                <w:sz w:val="20"/>
                <w:szCs w:val="20"/>
                <w:color w:val="auto"/>
              </w:rPr>
            </w:pPr>
            <w:r>
              <w:rPr>
                <w:rFonts w:ascii="Arial" w:cs="Arial" w:eastAsia="Arial" w:hAnsi="Arial"/>
                <w:sz w:val="18"/>
                <w:szCs w:val="18"/>
                <w:color w:val="auto"/>
                <w:w w:val="92"/>
              </w:rPr>
              <w:t>$ 2,594,131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Vested and expected to vest</w:t>
            </w:r>
          </w:p>
        </w:tc>
        <w:tc>
          <w:tcPr>
            <w:tcW w:w="2740" w:type="dxa"/>
            <w:vAlign w:val="bottom"/>
          </w:tcPr>
          <w:p>
            <w:pPr>
              <w:jc w:val="right"/>
              <w:ind w:right="135"/>
              <w:spacing w:after="0"/>
              <w:rPr>
                <w:sz w:val="20"/>
                <w:szCs w:val="20"/>
                <w:color w:val="auto"/>
              </w:rPr>
            </w:pPr>
            <w:r>
              <w:rPr>
                <w:rFonts w:ascii="Arial" w:cs="Arial" w:eastAsia="Arial" w:hAnsi="Arial"/>
                <w:sz w:val="18"/>
                <w:szCs w:val="18"/>
                <w:color w:val="auto"/>
              </w:rPr>
              <w:t>799,823</w:t>
            </w:r>
          </w:p>
        </w:tc>
        <w:tc>
          <w:tcPr>
            <w:tcW w:w="1300" w:type="dxa"/>
            <w:vAlign w:val="bottom"/>
          </w:tcPr>
          <w:p>
            <w:pPr>
              <w:jc w:val="right"/>
              <w:ind w:right="121"/>
              <w:spacing w:after="0"/>
              <w:rPr>
                <w:sz w:val="20"/>
                <w:szCs w:val="20"/>
                <w:color w:val="auto"/>
              </w:rPr>
            </w:pPr>
            <w:r>
              <w:rPr>
                <w:rFonts w:ascii="Arial" w:cs="Arial" w:eastAsia="Arial" w:hAnsi="Arial"/>
                <w:sz w:val="18"/>
                <w:szCs w:val="18"/>
                <w:color w:val="auto"/>
              </w:rPr>
              <w:t>8.46</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15"/>
              <w:spacing w:after="0"/>
              <w:rPr>
                <w:sz w:val="20"/>
                <w:szCs w:val="20"/>
                <w:color w:val="auto"/>
              </w:rPr>
            </w:pPr>
            <w:r>
              <w:rPr>
                <w:rFonts w:ascii="Arial" w:cs="Arial" w:eastAsia="Arial" w:hAnsi="Arial"/>
                <w:sz w:val="18"/>
                <w:szCs w:val="18"/>
                <w:color w:val="auto"/>
              </w:rPr>
              <w:t>47.63</w:t>
            </w:r>
          </w:p>
        </w:tc>
        <w:tc>
          <w:tcPr>
            <w:tcW w:w="1120" w:type="dxa"/>
            <w:vAlign w:val="bottom"/>
          </w:tcPr>
          <w:p>
            <w:pPr>
              <w:jc w:val="center"/>
              <w:ind w:left="79"/>
              <w:spacing w:after="0"/>
              <w:rPr>
                <w:sz w:val="20"/>
                <w:szCs w:val="20"/>
                <w:color w:val="auto"/>
              </w:rPr>
            </w:pPr>
            <w:r>
              <w:rPr>
                <w:rFonts w:ascii="Arial" w:cs="Arial" w:eastAsia="Arial" w:hAnsi="Arial"/>
                <w:sz w:val="18"/>
                <w:szCs w:val="18"/>
                <w:color w:val="auto"/>
                <w:w w:val="92"/>
              </w:rPr>
              <w:t>$ 2,593,281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Exercisable</w:t>
            </w:r>
          </w:p>
        </w:tc>
        <w:tc>
          <w:tcPr>
            <w:tcW w:w="27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366,374</w:t>
            </w:r>
          </w:p>
        </w:tc>
        <w:tc>
          <w:tcPr>
            <w:tcW w:w="130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7.64</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89.59</w:t>
            </w:r>
          </w:p>
        </w:tc>
        <w:tc>
          <w:tcPr>
            <w:tcW w:w="1120" w:type="dxa"/>
            <w:vAlign w:val="bottom"/>
            <w:shd w:val="clear" w:color="auto" w:fill="CCEEFF"/>
          </w:tcPr>
          <w:p>
            <w:pPr>
              <w:jc w:val="center"/>
              <w:ind w:left="79"/>
              <w:spacing w:after="0"/>
              <w:rPr>
                <w:sz w:val="20"/>
                <w:szCs w:val="20"/>
                <w:color w:val="auto"/>
              </w:rPr>
            </w:pPr>
            <w:r>
              <w:rPr>
                <w:rFonts w:ascii="Arial" w:cs="Arial" w:eastAsia="Arial" w:hAnsi="Arial"/>
                <w:sz w:val="18"/>
                <w:szCs w:val="18"/>
                <w:color w:val="auto"/>
                <w:w w:val="92"/>
              </w:rPr>
              <w:t>$ 1,133,181</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560" w:right="320"/>
        <w:spacing w:after="0" w:line="261" w:lineRule="auto"/>
        <w:rPr>
          <w:sz w:val="20"/>
          <w:szCs w:val="20"/>
          <w:color w:val="auto"/>
        </w:rPr>
      </w:pPr>
      <w:r>
        <w:rPr>
          <w:rFonts w:ascii="Arial" w:cs="Arial" w:eastAsia="Arial" w:hAnsi="Arial"/>
          <w:sz w:val="18"/>
          <w:szCs w:val="18"/>
          <w:b w:val="1"/>
          <w:bCs w:val="1"/>
          <w:color w:val="auto"/>
        </w:rPr>
        <w:t>Employee Stock Options</w:t>
      </w:r>
      <w:r>
        <w:rPr>
          <w:rFonts w:ascii="Arial" w:cs="Arial" w:eastAsia="Arial" w:hAnsi="Arial"/>
          <w:sz w:val="18"/>
          <w:szCs w:val="18"/>
          <w:color w:val="auto"/>
        </w:rPr>
        <w:t>—During the six months ended June 30, 2021, the Company granted employees stock options to purchase 184,872</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with a weighted-average grant date fair value of $12.70 per share. As of June 30, 2021, there was total unrecognized compensation costs related to unvested employee stock options of $3,047. These costs are expected to be recognized over a weighted-average period of approximately 1.6 years.</w:t>
      </w:r>
    </w:p>
    <w:p>
      <w:pPr>
        <w:spacing w:after="0" w:line="76" w:lineRule="exact"/>
        <w:rPr>
          <w:sz w:val="20"/>
          <w:szCs w:val="20"/>
          <w:color w:val="auto"/>
        </w:rPr>
      </w:pPr>
    </w:p>
    <w:p>
      <w:pPr>
        <w:jc w:val="both"/>
        <w:ind w:left="560" w:right="60"/>
        <w:spacing w:after="0" w:line="263" w:lineRule="auto"/>
        <w:rPr>
          <w:sz w:val="20"/>
          <w:szCs w:val="20"/>
          <w:color w:val="auto"/>
        </w:rPr>
      </w:pPr>
      <w:r>
        <w:rPr>
          <w:rFonts w:ascii="Arial" w:cs="Arial" w:eastAsia="Arial" w:hAnsi="Arial"/>
          <w:sz w:val="18"/>
          <w:szCs w:val="18"/>
          <w:color w:val="auto"/>
        </w:rPr>
        <w:t>The Company estimated the fair value of stock options using the Black-Scholes option pricing valuation model. The fair value of employee stock options is being amortized on the straight-line basis over the requisite service period of the awards. The fair value of employee stock options was estimated using the following assumptions for the six months ended June 30, 2021:</w:t>
      </w:r>
    </w:p>
    <w:p>
      <w:pPr>
        <w:spacing w:after="0" w:line="22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 6.1</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Expected volatility</w:t>
            </w:r>
          </w:p>
        </w:tc>
        <w:tc>
          <w:tcPr>
            <w:tcW w:w="33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 1.1%</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Dividends</w:t>
            </w:r>
          </w:p>
        </w:tc>
        <w:tc>
          <w:tcPr>
            <w:tcW w:w="33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79" w:lineRule="exact"/>
        <w:rPr>
          <w:sz w:val="20"/>
          <w:szCs w:val="20"/>
          <w:color w:val="auto"/>
        </w:rPr>
      </w:pPr>
    </w:p>
    <w:p>
      <w:pPr>
        <w:ind w:left="560" w:right="220"/>
        <w:spacing w:after="0" w:line="263" w:lineRule="auto"/>
        <w:rPr>
          <w:sz w:val="20"/>
          <w:szCs w:val="20"/>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—The expected term of options granted represents the period of time that the options are expected to be outstanding.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lack of historical exercise history, the expected term of the Company’s employee stock options has been determined utilizing the simplified method for awards that qualify as plain-vanilla options.</w:t>
      </w:r>
    </w:p>
    <w:p>
      <w:pPr>
        <w:spacing w:after="0" w:line="76" w:lineRule="exact"/>
        <w:rPr>
          <w:sz w:val="20"/>
          <w:szCs w:val="20"/>
          <w:color w:val="auto"/>
        </w:rPr>
      </w:pPr>
    </w:p>
    <w:p>
      <w:pPr>
        <w:jc w:val="both"/>
        <w:ind w:left="560" w:right="40"/>
        <w:spacing w:after="0" w:line="286" w:lineRule="auto"/>
        <w:rPr>
          <w:sz w:val="20"/>
          <w:szCs w:val="20"/>
          <w:color w:val="auto"/>
        </w:rPr>
      </w:pPr>
      <w:r>
        <w:rPr>
          <w:rFonts w:ascii="Arial" w:cs="Arial" w:eastAsia="Arial" w:hAnsi="Arial"/>
          <w:sz w:val="17"/>
          <w:szCs w:val="17"/>
          <w:b w:val="1"/>
          <w:bCs w:val="1"/>
          <w:i w:val="1"/>
          <w:iCs w:val="1"/>
          <w:color w:val="auto"/>
        </w:rPr>
        <w:t>Expected Volatility</w:t>
      </w:r>
      <w:r>
        <w:rPr>
          <w:rFonts w:ascii="Arial" w:cs="Arial" w:eastAsia="Arial" w:hAnsi="Arial"/>
          <w:sz w:val="17"/>
          <w:szCs w:val="17"/>
          <w:color w:val="auto"/>
        </w:rPr>
        <w:t>—The expected stock price volatility assumption was determined by examining the historical volatilities for industry peers,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57"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color w:val="auto"/>
        </w:rPr>
        <w:t>—The risk-free interest rate assumption is based on the U.S. Treasury instruments whose term was consistent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term of the Company’s stock options.</w:t>
      </w:r>
    </w:p>
    <w:p>
      <w:pPr>
        <w:spacing w:after="0" w:line="62"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—The Company has not paid any cash dividends on common stock since inception and does not anticipate paying any dividends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foreseeable future. Consequently, an expected dividend yield of zero was used.</w:t>
      </w:r>
    </w:p>
    <w:p>
      <w:pPr>
        <w:spacing w:after="0" w:line="58" w:lineRule="exact"/>
        <w:rPr>
          <w:sz w:val="20"/>
          <w:szCs w:val="20"/>
          <w:color w:val="auto"/>
        </w:rPr>
      </w:pPr>
    </w:p>
    <w:p>
      <w:pPr>
        <w:ind w:left="560"/>
        <w:spacing w:after="0" w:line="261" w:lineRule="auto"/>
        <w:rPr>
          <w:sz w:val="20"/>
          <w:szCs w:val="20"/>
          <w:color w:val="auto"/>
        </w:rPr>
      </w:pPr>
      <w:r>
        <w:rPr>
          <w:rFonts w:ascii="Arial" w:cs="Arial" w:eastAsia="Arial" w:hAnsi="Arial"/>
          <w:sz w:val="18"/>
          <w:szCs w:val="18"/>
          <w:b w:val="1"/>
          <w:bCs w:val="1"/>
          <w:color w:val="auto"/>
        </w:rPr>
        <w:t>Non-Employee Stock Options</w:t>
      </w:r>
      <w:r>
        <w:rPr>
          <w:rFonts w:ascii="Arial" w:cs="Arial" w:eastAsia="Arial" w:hAnsi="Arial"/>
          <w:sz w:val="18"/>
          <w:szCs w:val="18"/>
          <w:color w:val="auto"/>
        </w:rPr>
        <w:t>— During the six months ended June 30, 2021, the Company granted non-employees stock options to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1,610 shares of common stock with a weighted-average grant date fair value of $7.46 per share. As of June 30, 2021, there was total unrecognized compensation costs related to unvested non-employee stock options of $25. These costs are expected to be recognized over a weighted-average period of approximately 1.3 years.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86"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140"/>
        <w:spacing w:after="0" w:line="263" w:lineRule="auto"/>
        <w:rPr>
          <w:sz w:val="20"/>
          <w:szCs w:val="20"/>
          <w:color w:val="auto"/>
        </w:rPr>
      </w:pPr>
      <w:r>
        <w:rPr>
          <w:rFonts w:ascii="Arial" w:cs="Arial" w:eastAsia="Arial" w:hAnsi="Arial"/>
          <w:sz w:val="18"/>
          <w:szCs w:val="18"/>
          <w:color w:val="auto"/>
        </w:rPr>
        <w:t>The Company estimated the fair value of stock options using the Black-Scholes option pricing valuation model. The fair value of non-employee stock options is being amortized on the straight-line basis over the requisite service period of the awards. The fair value of non-employee stock options was estimated using the following assumptions for the six months ended June 30, 2021:</w:t>
      </w:r>
    </w:p>
    <w:p>
      <w:pPr>
        <w:spacing w:after="0" w:line="22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Expected volatility</w:t>
            </w:r>
          </w:p>
        </w:tc>
        <w:tc>
          <w:tcPr>
            <w:tcW w:w="31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Dividends</w:t>
            </w:r>
          </w:p>
        </w:tc>
        <w:tc>
          <w:tcPr>
            <w:tcW w:w="31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79" w:lineRule="exact"/>
        <w:rPr>
          <w:sz w:val="20"/>
          <w:szCs w:val="20"/>
          <w:color w:val="auto"/>
        </w:rPr>
      </w:pPr>
    </w:p>
    <w:p>
      <w:pPr>
        <w:ind w:left="560" w:right="660"/>
        <w:spacing w:after="0" w:line="277" w:lineRule="auto"/>
        <w:rPr>
          <w:sz w:val="20"/>
          <w:szCs w:val="20"/>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—The expected term of options granted represents the period of time that the options are expected to be outstanding.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has valued its non-employee stock options using the contractual term as the expected term.</w:t>
      </w:r>
    </w:p>
    <w:p>
      <w:pPr>
        <w:spacing w:after="0" w:line="62" w:lineRule="exact"/>
        <w:rPr>
          <w:sz w:val="20"/>
          <w:szCs w:val="20"/>
          <w:color w:val="auto"/>
        </w:rPr>
      </w:pPr>
    </w:p>
    <w:p>
      <w:pPr>
        <w:jc w:val="both"/>
        <w:ind w:left="560" w:right="20"/>
        <w:spacing w:after="0" w:line="286" w:lineRule="auto"/>
        <w:rPr>
          <w:sz w:val="20"/>
          <w:szCs w:val="20"/>
          <w:color w:val="auto"/>
        </w:rPr>
      </w:pPr>
      <w:r>
        <w:rPr>
          <w:rFonts w:ascii="Arial" w:cs="Arial" w:eastAsia="Arial" w:hAnsi="Arial"/>
          <w:sz w:val="17"/>
          <w:szCs w:val="17"/>
          <w:b w:val="1"/>
          <w:bCs w:val="1"/>
          <w:i w:val="1"/>
          <w:iCs w:val="1"/>
          <w:color w:val="auto"/>
        </w:rPr>
        <w:t>Expected Volatility</w:t>
      </w:r>
      <w:r>
        <w:rPr>
          <w:rFonts w:ascii="Arial" w:cs="Arial" w:eastAsia="Arial" w:hAnsi="Arial"/>
          <w:sz w:val="17"/>
          <w:szCs w:val="17"/>
          <w:color w:val="auto"/>
        </w:rPr>
        <w:t>—The expected stock price volatility assumption was determined by examining the historical volatilities for industry peers,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57"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color w:val="auto"/>
        </w:rPr>
        <w:t>—The risk-free interest rate assumption is based on the U.S. Treasury instruments whose term was consistent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term of the Company’s stock options.</w:t>
      </w:r>
    </w:p>
    <w:p>
      <w:pPr>
        <w:spacing w:after="0" w:line="62"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—The Company has not paid any cash dividends on common stock since inception and does not anticipate paying any dividends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foreseeable future. Consequently, an expected dividend yield of zero was used.</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Stock-Based Compensation Expense</w:t>
      </w:r>
      <w:r>
        <w:rPr>
          <w:rFonts w:ascii="Arial" w:cs="Arial" w:eastAsia="Arial" w:hAnsi="Arial"/>
          <w:sz w:val="16"/>
          <w:szCs w:val="16"/>
          <w:color w:val="auto"/>
        </w:rPr>
        <w:t>—The following table summarizes the components of stock-based compensation expense recognized in the</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Company’s statement of operations for the three and six months ended June 30, 2021 and 2020:</w:t>
      </w: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4"/>
          </w:tcPr>
          <w:p>
            <w:pPr>
              <w:jc w:val="right"/>
              <w:ind w:right="15"/>
              <w:spacing w:after="0"/>
              <w:rPr>
                <w:sz w:val="20"/>
                <w:szCs w:val="20"/>
                <w:color w:val="auto"/>
              </w:rPr>
            </w:pPr>
            <w:r>
              <w:rPr>
                <w:rFonts w:ascii="Arial" w:cs="Arial" w:eastAsia="Arial" w:hAnsi="Arial"/>
                <w:sz w:val="14"/>
                <w:szCs w:val="14"/>
                <w:b w:val="1"/>
                <w:bCs w:val="1"/>
                <w:color w:val="auto"/>
                <w:w w:val="91"/>
              </w:rPr>
              <w:t>Three months ended June 30,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42"/>
        </w:trPr>
        <w:tc>
          <w:tcPr>
            <w:tcW w:w="3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366</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7"/>
        </w:trPr>
        <w:tc>
          <w:tcPr>
            <w:tcW w:w="3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121" w:lineRule="exact"/>
        <w:rPr>
          <w:rFonts w:ascii="Arial" w:cs="Arial" w:eastAsia="Arial" w:hAnsi="Arial"/>
          <w:sz w:val="18"/>
          <w:szCs w:val="18"/>
          <w:b w:val="1"/>
          <w:bCs w:val="1"/>
          <w:color w:val="auto"/>
        </w:rPr>
      </w:pPr>
    </w:p>
    <w:p>
      <w:pPr>
        <w:ind w:left="560" w:right="1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There was no contribution from the Company for the six months ended June 30, 2021 and 2020.</w:t>
      </w:r>
    </w:p>
    <w:p>
      <w:pPr>
        <w:spacing w:after="0" w:line="293" w:lineRule="exact"/>
        <w:rPr>
          <w:rFonts w:ascii="Arial" w:cs="Arial" w:eastAsia="Arial" w:hAnsi="Arial"/>
          <w:sz w:val="18"/>
          <w:szCs w:val="18"/>
          <w:b w:val="1"/>
          <w:bCs w:val="1"/>
          <w:color w:val="auto"/>
        </w:rPr>
      </w:pPr>
    </w:p>
    <w:p>
      <w:pPr>
        <w:ind w:left="540" w:hanging="424"/>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56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the Company’s basis in diluted net loss per share for the three months and six months ended June 30, 2021 and 2020 (in thousands except share and per share amounts):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2021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(7,058)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(5,229)</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937,300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519,112</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w w:val="90"/>
              </w:rPr>
              <w:t>Less: Weighted-average unvested restricted shares and shares subject to repurchase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(11,868)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(61,114)</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w w:val="95"/>
              </w:rPr>
              <w:t>Weighted-average shares used to computing basic and diluted net loss per share</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925,432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457,998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shd w:val="clear" w:color="auto" w:fill="CCEEFF"/>
              </w:rPr>
              <w:t>Net loss per share attributable to common stockholders—basic and diluted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shd w:val="clear" w:color="auto" w:fill="CCEEFF"/>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shd w:val="clear" w:color="auto" w:fill="CCEEFF"/>
              </w:rPr>
              <w:t>(7.63)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shd w:val="clear" w:color="auto" w:fill="CCEEFF"/>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shd w:val="clear" w:color="auto" w:fill="CCEEFF"/>
              </w:rPr>
              <w:t>(11.42)</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410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6"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42"/>
        </w:trPr>
        <w:tc>
          <w:tcPr>
            <w:tcW w:w="6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(12,413)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(9,457)</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733,679</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517,825</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w w:val="90"/>
              </w:rPr>
              <w:t>Less: Weighted-average unvested restricted shares and shares subject to repurchase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(16,061)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(73,359)</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w w:val="95"/>
              </w:rPr>
              <w:t>Weighted-average shares used to computing basic and diluted net loss per share</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717,618</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444,466</w:t>
            </w:r>
          </w:p>
        </w:tc>
        <w:tc>
          <w:tcPr>
            <w:tcW w:w="10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Net loss per share attributable to common stockholders—basic and diluted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(21.28)</w:t>
            </w:r>
          </w:p>
        </w:tc>
      </w:tr>
      <w:tr>
        <w:trPr>
          <w:trHeight w:val="20"/>
        </w:trPr>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40"/>
        <w:spacing w:after="0" w:line="301" w:lineRule="auto"/>
        <w:rPr>
          <w:sz w:val="20"/>
          <w:szCs w:val="20"/>
          <w:color w:val="auto"/>
        </w:rPr>
      </w:pPr>
      <w:r>
        <w:rPr>
          <w:rFonts w:ascii="Arial" w:cs="Arial" w:eastAsia="Arial" w:hAnsi="Arial"/>
          <w:sz w:val="16"/>
          <w:szCs w:val="16"/>
          <w:color w:val="auto"/>
        </w:rPr>
        <w:t>As of June 30, 2021 and 2020, the Company’s potentially dilutive securities included unvested stock warrants and stock options, which have been excluded from the computation of diluted net loss per share attributable to common stockholders as the effect would be anti-dilutive. Based on the amounts outstanding as of June 30, 2021 and 2020, the Company excluded the following potential common shares from the computation of diluted net loss per share attributable to common stockholders because including them would have had an anti-dilutive effect:</w:t>
      </w:r>
    </w:p>
    <w:p>
      <w:pPr>
        <w:spacing w:after="0" w:line="16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66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795,428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386,689</w:t>
            </w:r>
          </w:p>
        </w:tc>
        <w:tc>
          <w:tcPr>
            <w:tcW w:w="4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3,692,909</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Common stock warrants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7,178</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66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802,606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4,079,991</w:t>
            </w:r>
          </w:p>
        </w:tc>
      </w:tr>
      <w:tr>
        <w:trPr>
          <w:trHeight w:val="20"/>
        </w:trPr>
        <w:tc>
          <w:tcPr>
            <w:tcW w:w="6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Subsequent events were evaluated through the filing date of this Quarterly Report on Form 10-Q.</w:t>
      </w:r>
    </w:p>
    <w:p>
      <w:pPr>
        <w:spacing w:after="0" w:line="117" w:lineRule="exact"/>
        <w:rPr>
          <w:rFonts w:ascii="Arial" w:cs="Arial" w:eastAsia="Arial" w:hAnsi="Arial"/>
          <w:sz w:val="18"/>
          <w:szCs w:val="18"/>
          <w:b w:val="1"/>
          <w:bCs w:val="1"/>
          <w:color w:val="auto"/>
        </w:rPr>
      </w:pPr>
    </w:p>
    <w:p>
      <w:pPr>
        <w:ind w:left="560" w:right="1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On July 23, 2021, the Company entered into a sales agreement (the “Sales Agreement”) with Jefferies LLC (the “Agent”), pursuant to which the Company may sell, from time to time, up to an aggregate sales price of $100,000,000 of its common stock through the Agent.</w:t>
      </w:r>
    </w:p>
    <w:p>
      <w:pPr>
        <w:spacing w:after="0" w:line="38" w:lineRule="exact"/>
        <w:rPr>
          <w:rFonts w:ascii="Arial" w:cs="Arial" w:eastAsia="Arial" w:hAnsi="Arial"/>
          <w:sz w:val="18"/>
          <w:szCs w:val="18"/>
          <w:b w:val="1"/>
          <w:bCs w:val="1"/>
          <w:color w:val="auto"/>
        </w:rPr>
      </w:pPr>
    </w:p>
    <w:p>
      <w:pPr>
        <w:ind w:left="560" w:right="1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common stock sold in the offering will be issued pursuant to a prospectus supplement filed with the Securities and Exchange Commission (the “SEC”) on July 23, 2021, and the accompanying base prospectus dated July 23, 2021, forming part of the Company’s registration statement on Form S-3 (Registration No. 333-257990), which was declared effective on July 23, 2021.</w:t>
      </w:r>
    </w:p>
    <w:p>
      <w:pPr>
        <w:spacing w:after="0" w:line="75" w:lineRule="exact"/>
        <w:rPr>
          <w:rFonts w:ascii="Arial" w:cs="Arial" w:eastAsia="Arial" w:hAnsi="Arial"/>
          <w:sz w:val="18"/>
          <w:szCs w:val="18"/>
          <w:b w:val="1"/>
          <w:bCs w:val="1"/>
          <w:color w:val="auto"/>
        </w:rPr>
      </w:pPr>
    </w:p>
    <w:p>
      <w:pPr>
        <w:ind w:left="5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Sales of the common stock, if any, made pursuant to the Sales Agreement may be sold in negotiated transactions or transactions that are deemed to be an “at the market offering”, as defined in Rule 415(a)(4) of the Securities Act of 1933, as amended (the “Securities Act”), including sales made directly on or through the Nasdaq Capital Market, on or through any other existing trading market for the common stock or by any other method permitted by law, at market prices prevailing at the time of sale, at prices related to prevailing market prices or at negotiated prices, or as otherwise agreed between the Company and the Agent. The Agent will be entitled to compensation equal to 3.0% of the gross proceeds from the sale of all shares of common stock sold through it as Agent under the Sales Agreement.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our unaudited Interim Financial Statements and the notes thereto included elsewhere in this Quarterly Report on Form 10-Q. This discussion and other parts of this report contains forward-looking statements that involve risks and uncertainties, such as its plans, objectives, expectations, intentions, and beliefs,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the section of this report entitled “Risk Factors,” under Part II, Item 1A of this report and those discussed in our other disclosures and filings.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We are a clinical-stage oncology company focused on leveraging a deep scientific understanding of cancer biology and medicinal chemistry to develop and advance novel, orally available therapies for the treatment of solid tumors. Our philosophy is to build a company based upon not only creative science and thoughtful management, but also upon the efficient translation of those ideas into therapies that will improve patient’s lives. To this end, we currently are advancing three programs, TPST-1495, TPST-1120 and a TREX-1 antagonist. TPST-1495 is a dual antagonist of the EP2 and EP4 prostaglandin E2 receptors, and, to our knowledge, is the only such dual antagonist in clinical development. TPST-1495 is currently in a Phase 1 trial in solid tumors. Our second clinical program, TPST-1120, is a selective antagonist of peroxisome proliferator-activated receptor alpha, or PPARα, and is also in a Phase 1 trial in solid tumors. Similar to TPST-1495, we believe TPST-1120 is the only PPARα antagonist in clinical development. We also have a third program in preclinical studies that could be the first to target TREX-1, a cellular enzyme that regulates the innate immune response in tumors.</w:t>
      </w:r>
    </w:p>
    <w:p>
      <w:pPr>
        <w:spacing w:after="0" w:line="5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From inception to June 30, 2021, we have raised $145 million, through sales of common stock, convertible preferred stock and issuance of debt.</w:t>
      </w:r>
    </w:p>
    <w:p>
      <w:pPr>
        <w:spacing w:after="0" w:line="6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have never been profitable and has incurred operating losses in each period since inception. Our net losses were $12.4 million and $9.5 million for the six months period ended June 30, 2021 and 2020, respectively. As of June 30, 2021, we had an accumulated deficit of $84.0 million. Substantially all of its operating losses resulted from expenses incurred in connection with its research and development programs and from general and administrative costs associated with its operations.</w:t>
      </w:r>
    </w:p>
    <w:p>
      <w:pPr>
        <w:spacing w:after="0" w:line="7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expect to incur significant expenses and increasing operating losses for at least the next several years as it initiates and continues the clinical development of, and seeks regulatory approval for, its product candidates and adds personnel necessary to advance our pipeline of clinical-stage product candidates. In addition, operating as a publicly traded company will involve the hiring of additional financial and other personnel, upgrading its financial information and other systems, and incurring substantial costs associated with operating as a public company. We expect that its operating losses will fluctuate significantly from quarter to quarter and year to year due to timing of clinical development programs and efforts to achieve regulatory approval.</w:t>
      </w:r>
    </w:p>
    <w:p>
      <w:pPr>
        <w:spacing w:after="0" w:line="84"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As of June 30, 2021, we had cash and cash equivalents of $68.5 million. Our ability to fund continued development will require additional capital, and we intend to raise such capital through the issuance of additional debt or equity including in connection with potential merger opportunities, or through business development activities. Our ability to continue as a going concern is dependent upon its ability to successfully accomplish these plans and secure sources of financing and ultimately attain profitable operations. If we are unable to obtain adequate capital, it could be forced to cease operations.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Oxford Loan and Security Agreement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January 15, 2021, we entered into a loan and security agreement with Oxford Finance LLC (“Oxford”) to borrow a term loan amount of</w:t>
      </w:r>
    </w:p>
    <w:p>
      <w:pPr>
        <w:spacing w:after="0" w:line="23"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$35.0 million to be funded in three tranches. Tranche A of $15.0 million was funded to us on January 15, 2021. Tranche B of $10.0 million will be available through March 31, 2022 contingent upon achievement of each of the following: i) receipt of at least $50.0 million in Series C equity capital, ii) initiation of the Phase 1 combination study of TPST-1495 or monotherapy expansion study, and iii) initiation of Phase 2 trial of TPST-1120 or the 1L Triplet Collaboration study. Tranche C of $10.0 million is available at Oxford’s option. The term loan matures on August 1, 2025 and has an annual floating interest rate of 7.15% which is an Index Rate plus 7.15% which is an index rate plus 7%. The index rate is the greater of (i) 30-day US LIBOR or (ii) 0.15%.</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Merger Agreement</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On March 29, 2021, TempestTx, Inc. (“Private Tempest”) and Millendo Therapeutics, Inc. (“Millendo”) entered into an Agreement and Plan of Merger (the Merger Agreement). Concurrent with the execution and delivery of the Merger Agreement, Private Tempest entered into funding agreements with certain investors named therein, pursuant to which the investors agreed to purchase, in the aggregate, $30.0 million of common stock of Private Tempest, convertible into securities of Millendo.</w:t>
      </w:r>
    </w:p>
    <w:p>
      <w:pPr>
        <w:spacing w:after="0" w:line="7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On June 25, 2021, Private Tempest closed the merger with Millendo. Pursuant to the Merger Agreement, Mars Merger Corp. (“Merger Sub”), a direct, wholly owned subsidiary of Millendo merged with and into Private Tempest, with Private Tempest surviving as a wholly owned subsidiary of Millendo. Following the closing of the merger, Millendo changed its corporate name to Tempest Therapeutics, Inc.</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Research and development expenses represent costs incurred to conduct research and development, such as the development of our product candidates.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recognize all research and development costs as they are incurred. Research and development expenses consist primarily of the following:</w:t>
      </w:r>
    </w:p>
    <w:p>
      <w:pPr>
        <w:spacing w:after="0" w:line="128"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salaries, benefits and stock-based compensation;</w:t>
      </w:r>
    </w:p>
    <w:p>
      <w:pPr>
        <w:sectPr>
          <w:pgSz w:w="11900" w:h="16838" w:orient="portrait"/>
          <w:cols w:equalWidth="0" w:num="1">
            <w:col w:w="11120"/>
          </w:cols>
          <w:pgMar w:left="320" w:top="486" w:right="459" w:bottom="561"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20"/>
          </w:cols>
          <w:pgMar w:left="320" w:top="486" w:right="459" w:bottom="561"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licensing costs;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allocated occupancy;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materials and supplies;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contracted research and manufacturing;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consulting arrangements;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expenses incurred to advance our research and development activities.</w:t>
      </w:r>
    </w:p>
    <w:p>
      <w:pPr>
        <w:spacing w:after="0" w:line="225"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largest component of our operating expenses has historically been the investment in research and development activities. We expect research and development expenses will increase in the future as we advance our product candidates into and through clinical trials and pursues regulatory approvals, which will require a significant investment in costs of clinical trials, regulatory support and contract manufacturing and inventory build-up. In addition, we continue to evaluate opportunities to acquire or in-license other product candidates and technologies, which may result in higher research and development expenses due to license fee and/or milestone payments, as well as added clinical development costs.</w:t>
      </w:r>
    </w:p>
    <w:p>
      <w:pPr>
        <w:spacing w:after="0" w:line="16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process of conducting clinical trials necessary to obtain regulatory approval is costly and time consuming. We may never succeed in timely developing and achieving regulatory approval for its product candidates. The probability of success of our product candidates may be affected by numerous factors, including clinical data, competition, manufacturing capability and commercial viability. As a result, we are unable to determine the duration and completion costs of our development projects or when and to what extent we will generate revenue from the commercialization and sale of any of its product candidates.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occupancy costs not otherwise included in research and development expense. Legal costs include general corporate legal fees and patent costs. We expect to incur additional expenses as a result of becoming a public company following completion of the merger, including expenses related to compliance with the rules and regulations of the SEC and Nasdaq, additional insurance, investor relations and other administrative expenses and professional services.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income (expense), net consists primarily of interest expense, interest income, and various income or expense items of a non-recurring nature.</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operating results for the periods indicated:</w:t>
      </w:r>
    </w:p>
    <w:p>
      <w:pPr>
        <w:spacing w:after="0" w:line="244" w:lineRule="exact"/>
        <w:rPr>
          <w:sz w:val="20"/>
          <w:szCs w:val="20"/>
          <w:color w:val="auto"/>
        </w:rPr>
      </w:pPr>
    </w:p>
    <w:p>
      <w:pPr>
        <w:jc w:val="center"/>
        <w:ind w:left="6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58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5"/>
          </w:tcPr>
          <w:p>
            <w:pPr>
              <w:jc w:val="right"/>
              <w:ind w:right="25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4,229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4,094</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w:t>
            </w:r>
          </w:p>
        </w:tc>
      </w:tr>
      <w:tr>
        <w:trPr>
          <w:trHeight w:val="230"/>
        </w:trPr>
        <w:tc>
          <w:tcPr>
            <w:tcW w:w="670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5,238</w:t>
            </w:r>
          </w:p>
        </w:tc>
        <w:tc>
          <w:tcPr>
            <w:tcW w:w="100" w:type="dxa"/>
            <w:vAlign w:val="bottom"/>
          </w:tcPr>
          <w:p>
            <w:pPr>
              <w:spacing w:after="0"/>
              <w:rPr>
                <w:sz w:val="20"/>
                <w:szCs w:val="20"/>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(6,785)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(5,238)</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 net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(7,058)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(5,229)</w:t>
            </w:r>
          </w:p>
        </w:tc>
      </w:tr>
      <w:tr>
        <w:trPr>
          <w:trHeight w:val="20"/>
        </w:trPr>
        <w:tc>
          <w:tcPr>
            <w:tcW w:w="6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Our research and development expenses for the three months period ended June 30, 2021 and 2020 were primarily incurred in connection with our most advanced product candidates, TPST-1120 and TPST-1495. We have not historically tracked research and development expense by program other than direct external expenses in conducting clinical trials for TPST-1120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 As such, we do not maintain information regarding these costs incurred for these early-stage research and drug discovery programs on a project specific basis.</w:t>
      </w:r>
    </w:p>
    <w:p>
      <w:pPr>
        <w:sectPr>
          <w:pgSz w:w="11900" w:h="16838" w:orient="portrait"/>
          <w:cols w:equalWidth="0" w:num="1">
            <w:col w:w="11080"/>
          </w:cols>
          <w:pgMar w:left="320" w:top="486" w:right="499" w:bottom="1440" w:gutter="0" w:footer="0" w:header="0"/>
        </w:sectPr>
      </w:pP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080"/>
          </w:cols>
          <w:pgMar w:left="320" w:top="486" w:right="49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Research and development expense increased by $0.1 million to $4.2 million for the three months period ended June 30, 2021. The following table summarizes our research and development expenses for the three months period ended June 30, 2021 and 2020:</w:t>
      </w:r>
    </w:p>
    <w:p>
      <w:pPr>
        <w:spacing w:after="0" w:line="189"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Three Months Ended</w:t>
      </w:r>
    </w:p>
    <w:p>
      <w:pPr>
        <w:jc w:val="center"/>
        <w:ind w:left="68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440" w:type="dxa"/>
        <w:tblCellMar>
          <w:top w:w="0" w:type="dxa"/>
          <w:left w:w="0" w:type="dxa"/>
          <w:bottom w:w="0" w:type="dxa"/>
          <w:right w:w="0" w:type="dxa"/>
        </w:tblCellMar>
      </w:tblPr>
      <w:tr>
        <w:trPr>
          <w:trHeight w:val="156"/>
        </w:trPr>
        <w:tc>
          <w:tcPr>
            <w:tcW w:w="69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r>
      <w:tr>
        <w:trPr>
          <w:trHeight w:val="142"/>
        </w:trPr>
        <w:tc>
          <w:tcPr>
            <w:tcW w:w="6920" w:type="dxa"/>
            <w:vAlign w:val="bottom"/>
          </w:tcPr>
          <w:p>
            <w:pPr>
              <w:spacing w:after="0"/>
              <w:rPr>
                <w:sz w:val="12"/>
                <w:szCs w:val="12"/>
                <w:color w:val="auto"/>
              </w:rPr>
            </w:pPr>
          </w:p>
        </w:tc>
        <w:tc>
          <w:tcPr>
            <w:tcW w:w="1400" w:type="dxa"/>
            <w:vAlign w:val="bottom"/>
            <w:gridSpan w:val="4"/>
          </w:tcPr>
          <w:p>
            <w:pPr>
              <w:jc w:val="right"/>
              <w:ind w:right="17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outside services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$ 2,850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$ 2,820</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Compensation expense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679</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539</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Consulting and professional services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425</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320</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$ 4,229</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$ 4,094</w:t>
            </w:r>
          </w:p>
        </w:tc>
        <w:tc>
          <w:tcPr>
            <w:tcW w:w="4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growth in total research and development expense of $0.1 million for the three months period ended June 30, 2021 was attributable to increased compensation expenses.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General and administrative expenses increased by $1.4 million to $2.5 million for the three months period ended June 30, 2021. The increase was due to growth in compensation related expense of $0.7 million and fees associated with audit and tax services related to the Millendo merger of $0.6 million.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For the three months period ended June 30, 2021, total interest expense was $276 related to the Oxford Loan. There was no interest expense for the three months period ended June 30, 2020. Interest income was $3 and $9 for the three months period ended June 30, 2021 and 2020, respectively.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operating results for the periods indicated:</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Six</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Six</w:t>
            </w:r>
          </w:p>
        </w:tc>
      </w:tr>
      <w:tr>
        <w:trPr>
          <w:trHeight w:val="149"/>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months</w:t>
            </w:r>
          </w:p>
        </w:tc>
        <w:tc>
          <w:tcPr>
            <w:tcW w:w="16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months</w:t>
            </w:r>
          </w:p>
        </w:tc>
      </w:tr>
      <w:tr>
        <w:trPr>
          <w:trHeight w:val="148"/>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8"/>
        </w:trPr>
        <w:tc>
          <w:tcPr>
            <w:tcW w:w="664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6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tcPr>
          <w:p>
            <w:pPr>
              <w:jc w:val="right"/>
              <w:ind w:right="295"/>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7,821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7,121</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2,420</w:t>
            </w:r>
          </w:p>
        </w:tc>
      </w:tr>
      <w:tr>
        <w:trPr>
          <w:trHeight w:val="230"/>
        </w:trPr>
        <w:tc>
          <w:tcPr>
            <w:tcW w:w="664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11,912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9,541</w:t>
            </w:r>
          </w:p>
        </w:tc>
        <w:tc>
          <w:tcPr>
            <w:tcW w:w="100" w:type="dxa"/>
            <w:vAlign w:val="bottom"/>
          </w:tcPr>
          <w:p>
            <w:pPr>
              <w:spacing w:after="0"/>
              <w:rPr>
                <w:sz w:val="20"/>
                <w:szCs w:val="20"/>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(11,912)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(9,541)</w:t>
            </w: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(12,413)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(9,457)</w:t>
            </w: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Our research and development expenses for the six months period ended June 30, 2021 and 2020 were primarily incurred in connection with our most advanced product candidates, TPST-1120 and TPST-1495. We have not historically tracked research and development expense by program other than direct external expenses in conducting clinical trials for TPST-1120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 As such, we do not maintain information regarding these costs incurred for these early-stage research and drug discovery programs on a project specific basis.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Research and development expense increased by $0.7 million to $7.8 million for the six months period ended June 30, 2021. The following table summarizes our research and development expenses for the six months period ended June 30, 2021 and 2020:</w:t>
      </w:r>
    </w:p>
    <w:p>
      <w:pPr>
        <w:spacing w:after="0" w:line="189"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Six Months Ended</w:t>
      </w:r>
    </w:p>
    <w:p>
      <w:pPr>
        <w:jc w:val="center"/>
        <w:ind w:left="68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440" w:type="dxa"/>
        <w:tblCellMar>
          <w:top w:w="0" w:type="dxa"/>
          <w:left w:w="0" w:type="dxa"/>
          <w:bottom w:w="0" w:type="dxa"/>
          <w:right w:w="0" w:type="dxa"/>
        </w:tblCellMar>
      </w:tblPr>
      <w:tr>
        <w:trPr>
          <w:trHeight w:val="156"/>
        </w:trPr>
        <w:tc>
          <w:tcPr>
            <w:tcW w:w="69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r>
      <w:tr>
        <w:trPr>
          <w:trHeight w:val="142"/>
        </w:trPr>
        <w:tc>
          <w:tcPr>
            <w:tcW w:w="6920" w:type="dxa"/>
            <w:vAlign w:val="bottom"/>
          </w:tcPr>
          <w:p>
            <w:pPr>
              <w:spacing w:after="0"/>
              <w:rPr>
                <w:sz w:val="12"/>
                <w:szCs w:val="12"/>
                <w:color w:val="auto"/>
              </w:rPr>
            </w:pPr>
          </w:p>
        </w:tc>
        <w:tc>
          <w:tcPr>
            <w:tcW w:w="1400" w:type="dxa"/>
            <w:vAlign w:val="bottom"/>
            <w:gridSpan w:val="4"/>
          </w:tcPr>
          <w:p>
            <w:pPr>
              <w:jc w:val="right"/>
              <w:ind w:right="17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outside services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$ 4,963</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$ 4,885</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Compensation expense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1,400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974</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Consulting and professional services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891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556</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474</w:t>
            </w: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$ 7,821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$ 7,121</w:t>
            </w:r>
          </w:p>
        </w:tc>
        <w:tc>
          <w:tcPr>
            <w:tcW w:w="4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growth in total research and development expense of $0.7 million for the six months period ended June 30, 2021 was attributable to increased compensation expenses and consulting services.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left="120" w:right="180"/>
        <w:spacing w:after="0" w:line="342" w:lineRule="auto"/>
        <w:rPr>
          <w:sz w:val="20"/>
          <w:szCs w:val="20"/>
          <w:color w:val="auto"/>
        </w:rPr>
      </w:pPr>
      <w:r>
        <w:rPr>
          <w:rFonts w:ascii="Arial" w:cs="Arial" w:eastAsia="Arial" w:hAnsi="Arial"/>
          <w:sz w:val="16"/>
          <w:szCs w:val="16"/>
          <w:color w:val="auto"/>
        </w:rPr>
        <w:t>General and administrative expenses increased by $1.7 million to $4.1 million for the six months period ended June 30, 2021. The increase was due to growth in compensation related expense of $0.7 million and fees associated with audit and tax services related to the Millendo merger of $0.6 million.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For the six months period ended June 30, 2021, total interest expense was $507 related to the Oxford Loan. There was no interest expense for the six months period ended June 30, 2020. Interest income was $6 and $84 for the six months period ended June 30, 2021 and 2020, respectively.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Since inception through June 30, 2021, our operations have been financed primarily by net cash proceeds from the sale of its common stock, convertible preferred stock and issuance of debt. As of June 30, 2021, we had $68.5 million in cash and cash equivalents and an accumulated deficit of</w:t>
      </w:r>
    </w:p>
    <w:p>
      <w:pPr>
        <w:ind w:left="120" w:right="20"/>
        <w:spacing w:after="0" w:line="302" w:lineRule="auto"/>
        <w:rPr>
          <w:sz w:val="20"/>
          <w:szCs w:val="20"/>
          <w:color w:val="auto"/>
        </w:rPr>
      </w:pPr>
      <w:r>
        <w:rPr>
          <w:rFonts w:ascii="Arial" w:cs="Arial" w:eastAsia="Arial" w:hAnsi="Arial"/>
          <w:sz w:val="16"/>
          <w:szCs w:val="16"/>
          <w:color w:val="auto"/>
        </w:rPr>
        <w:t>$84.0 million. We expect that our research and development and general and administrative expenses will increase, and, as a result, we anticipate that we will continue to incur increasing losses in the foreseeable future. Therefore, we will need to raise additional capital to fund its operations, which may be through the issuance of additional equity or through borrowings, including in connection with the merger, or through business development activities.</w:t>
      </w:r>
    </w:p>
    <w:p>
      <w:pPr>
        <w:spacing w:after="0" w:line="15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On January 15, 2021, Tempest entered into a loan and security agreement with a lender to borrow a term loan amount of $35.0 million to be funded in three tranches. Tranche A of $15.0 million was funded to Tempest on January 15, 2021. Tranche B of $10.0 million will be available through March 31, 2022 contingent upon achievement of each of the following: i) receipt of at least $50.0 million in Series C equity capital, ii) initiation of the Phase 1 combination study of TPST-1495 or monotherapy expansion study, and iii) initiation of Phase 2 trial of TPST-1120 or the 1L Triplet Collaboration study. And Tranche C of $10.0 million is available at Oxford’s option. The term loan matures on August 1, 2025 and has an annual floating interest rate of 7.15% which is an Index Rate plus 7.15% which is an index rate plus 7%. The index rate is the greater of (i) 30-day US LIBOR or (ii) 0.15%.</w:t>
      </w:r>
    </w:p>
    <w:p>
      <w:pPr>
        <w:spacing w:after="0" w:line="164"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On March 29, 2021, Private Tempest entered into the Merger Agreement with Millendo. Concurrent with the execution and delivery of the Merger Agreement, Private Tempest entered into funding agreements with certain investors named therein, pursuant to which the investors agreed to purchase, in the aggregate, $30.0 million of common stock of Private Tempest, convertible into securities of Millendo.</w:t>
      </w:r>
    </w:p>
    <w:p>
      <w:pPr>
        <w:spacing w:after="0" w:line="165"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On June 25, 2021, Private Tempest closed the merger with Millendo. Pursuant to the Merger Agreement, Merger Sub merged with and into Private Tempest, with Private Tempest surviving as a wholly owned subsidiary of Millendo. Following the closing of the merger, Millendo changed its corporate name to Tempest Therapeutics, Inc.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Tempest’s cash flows for the six months period indicated:</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Six</w:t>
            </w:r>
          </w:p>
        </w:tc>
        <w:tc>
          <w:tcPr>
            <w:tcW w:w="14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Six</w:t>
            </w:r>
          </w:p>
        </w:tc>
      </w:tr>
      <w:tr>
        <w:trPr>
          <w:trHeight w:val="149"/>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Months</w:t>
            </w:r>
          </w:p>
        </w:tc>
        <w:tc>
          <w:tcPr>
            <w:tcW w:w="14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Months</w:t>
            </w:r>
          </w:p>
        </w:tc>
      </w:tr>
      <w:tr>
        <w:trPr>
          <w:trHeight w:val="148"/>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666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r>
      <w:tr>
        <w:trPr>
          <w:trHeight w:val="142"/>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Borders>
              <w:top w:val="single" w:sz="8" w:color="auto"/>
            </w:tcBorders>
            <w:gridSpan w:val="5"/>
          </w:tcPr>
          <w:p>
            <w:pPr>
              <w:jc w:val="right"/>
              <w:ind w:right="28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5"/>
              </w:rPr>
              <w:t>$ (6,183)</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$(10,121)</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Cash used in provided by investing activities</w:t>
            </w: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rPr>
              <w:t>(84)</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55,905</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34,558</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49,638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$ 29,444</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Cash used in operating activities for the six months period ended June 30, 2021 was $6.2 million, consisting of a net loss of $12.3 million, add back of non-cash adjustments for depreciation, stock-based compensation, non-cash operating lease expense and other non-cash items totaling $1.1 million, less changes in operating assets and liabilities of $5.0 million.</w:t>
      </w:r>
    </w:p>
    <w:p>
      <w:pPr>
        <w:sectPr>
          <w:pgSz w:w="11900" w:h="16838" w:orient="portrait"/>
          <w:cols w:equalWidth="0" w:num="1">
            <w:col w:w="11120"/>
          </w:cols>
          <w:pgMar w:left="320" w:top="486" w:right="459" w:bottom="0" w:gutter="0" w:footer="0" w:header="0"/>
        </w:sectPr>
      </w:pP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20"/>
          </w:cols>
          <w:pgMar w:left="320" w:top="486" w:right="459" w:bottom="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Cash used in operating activities for the six months period ended June 30, 2020 was $10.1 million consisting of a net loss of $9.5 million, add back of non-cash adjustments for depreciation, stock-based compensation, non-cash operating lease expense and other non-cash items totaling $0.7 million, less changes in operating assets and liabilities of $1.3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Cash used in investing activities for the six months period ended June 30, 2021 was related to purchases of property and equipment, primarily related to office, laboratory and computer equipment. Cash provided by investing activities for the six months period ended June 30, 2020 was due to a repayment of a promissory note.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Cash provided by financing activities for the six months period ended June 30, 2021 was $55.9 million consisting of (i) proceeds from Oxford Loan of $14.9 million (net of issuance costs), (ii) issuance of common stock of $30.0 million concurrent with closing of the merger with Millendo and (iii) cash brought over by Millendo as a result of the merger, offset by payment of reverse recapitalization costs of $6.1 million. Cash provided by financing activities for the six months period ended June 30, 2020 was primarily related to proceeds from the issuance of Series B-1 preferred stock of $34.5 million (net of issuance costs).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have not generated any revenue from product sales, and does not know when, or if, it will generate any revenue from product sales. We do not expect to generate any revenue from product sales unless and until it obtains regulatory approval of and commercializes any of its product candidates. At the same time, we expect our expenses to increase in connection with its ongoing development activities, particularly as we continue the research, development and clinical trials of, and seeks regulatory approval for, its product candidates. In addition, subject to obtaining regulatory approval of any of our product candidates, we anticipate that we will need substantial additional funding in connection with its continuing operations. We plan to continue to fund its operations and capital requirements through equity financing, debt financing and/or business development activities, but there are no assurances that we will be able to raise sufficient amounts of funding in the future on acceptable terms, or at all.</w:t>
      </w:r>
    </w:p>
    <w:p>
      <w:pPr>
        <w:spacing w:after="0" w:line="166"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Until we can generate a sufficient amount of product revenue to finance its cash requirements, it expects to finance its future cash needs primarily through the issuance of additional equity, borrowings and strategic alliances with partner companies.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its product development or commercialization efforts or grant rights to develop and market product candidates to third parties that we would otherwise prefer to develop and market itself.</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left="120" w:right="560"/>
        <w:spacing w:after="0" w:line="263" w:lineRule="auto"/>
        <w:rPr>
          <w:sz w:val="20"/>
          <w:szCs w:val="20"/>
          <w:color w:val="auto"/>
        </w:rPr>
      </w:pPr>
      <w:r>
        <w:rPr>
          <w:rFonts w:ascii="Arial" w:cs="Arial" w:eastAsia="Arial" w:hAnsi="Arial"/>
          <w:sz w:val="18"/>
          <w:szCs w:val="18"/>
          <w:color w:val="auto"/>
        </w:rPr>
        <w:t>We enter into contracts in the normal course of business with various third parties for preclinical research studies, clinical trials, testing and other services. These contracts generally provide for termination upon notice, and therefore we believe that our non-cancelable obligations under these agreements are not material.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not entered into any off-balance sheet arrangements and does not have any holdings in variable interest entities.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We are exposed to market risks in the ordinary course of its business. These risks primarily include interest rate fluctuation. As of June 30, 2021, and December 31, 2020, we had cash and cash equivalents of approximately $68.5 million and $18.8 million, respectively, which consisted primarily of bank deposit and money market funds. Such interest-earning instruments carry a degree of interest rate risk; however, historical fluctuations of interest income have not been significant.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its financial statements, which have been prepared in accordance with U.S. GAAP. The preparation of these financial statements requires us to make estimates and judgments that affect the reported amounts of assets, liabilities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We believe that the accounting policies discussed below are critical to understanding its historical and future performance, as these policies relate to the more significant areas involving management’s judgments and estimates.</w:t>
      </w:r>
    </w:p>
    <w:p>
      <w:pPr>
        <w:sectPr>
          <w:pgSz w:w="11900" w:h="16838" w:orient="portrait"/>
          <w:cols w:equalWidth="0" w:num="1">
            <w:col w:w="11120"/>
          </w:cols>
          <w:pgMar w:left="320" w:top="486" w:right="459" w:bottom="898" w:gutter="0" w:footer="0" w:header="0"/>
        </w:sectPr>
      </w:pP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20"/>
          </w:cols>
          <w:pgMar w:left="320" w:top="486" w:right="459" w:bottom="898"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record accrued expenses for estimated costs of its research and development activities conducted by third-party service providers, which include the conduct of preclinical studies and clinical trials and contract manufacturing activities. We record the estimated costs of research and development activities based upon the estimated amount of services provided but not yet invoiced, and we include these costs in accrued liabilities in the balance sheets and within research and development expense in the statement of operations. These costs are a significant component of our research and development expense. We record accrued expenses for these costs based on the estimated amount of work completed and in accordance with agreements established with these third parties.</w:t>
      </w:r>
    </w:p>
    <w:p>
      <w:pPr>
        <w:spacing w:after="0" w:line="19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its estimates and could result in us reporting amounts that are too high or too low in any particular period. Our accrued expenses are dependent, in part, upon the receipt of timely and accurate reporting from clinical research organizations and other third-party service providers.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We recognize noncash stock-based compensation expense related to stock-based awards to employees, non-employees and directors, including stock options, based on the fair value on the grant date using the Black-Scholes option pricing model. The related stock-based compensation is recognized as expense on a straight line-basis over the employee’s, non-employee’s or director’s requisite service period (generally the vesting period). Noncash stock compensation expense is based on awards ultimately expected to vest and is reduced by an estimate for future forfeitures.</w:t>
      </w:r>
    </w:p>
    <w:p>
      <w:pPr>
        <w:spacing w:after="0" w:line="15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determining the fair value of stock options, we use the Black-Scholes option-pricing model and assumptions discussed below. Each of these inputs is subjective and generally requires significant judgment to determine.</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the shares of common stock underlying stock options has historically been determined by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Because there has been no public market for its common stock, the board of directors exercises reasonable judgment and considers a number of objective and subjective factors to determine the best estimate of the fair value of our common stock, including important developments in its operations, sales of redeemable convertible preferred stock, actual operating results and financial performance, the conditions in the life sciences industry and the economy in general, the stock price performance and volatility of comparable public companies, and the lack of liquidity of its common stock, among other factors.</w:t>
      </w:r>
    </w:p>
    <w:p>
      <w:pPr>
        <w:spacing w:after="0" w:line="192" w:lineRule="exact"/>
        <w:rPr>
          <w:sz w:val="20"/>
          <w:szCs w:val="20"/>
          <w:color w:val="auto"/>
        </w:rPr>
      </w:pPr>
    </w:p>
    <w:p>
      <w:pPr>
        <w:ind w:left="120" w:right="580"/>
        <w:spacing w:after="0" w:line="308"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—Our expected term represents the period that the stock-based awards are expected to be outstanding and is determined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simplified method (based on the mid-point between the vesting date and the end of the contractual term) for employee options.</w:t>
      </w:r>
    </w:p>
    <w:p>
      <w:pPr>
        <w:spacing w:after="0" w:line="146"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—The expected stock price volatility assumption was determined by examining the historical volatilities for industry peers, as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165"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—We have never paid dividends on its common stock and has no plans to pay dividends on its common stock. Therefore, we use an</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dividend yield of zero.</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For the six months period ended June 30, 2021 and 2020, stock-based compensation expense was $531 thousand and $230 thousand, respectively. Of the amount of $531 thousand in stock-based compensation expense, $122 thousand was recorded in research and development and $409 thousand was recorded in general and administrative for the six months period ended June 30, 2021. Of the amount of $230 thousand in stock-based compensation expense, $231 thousand was recorded in research and development and a credit of $1 thousand was recorded in general and administrative for the six months period ended June 30, 2020.</w:t>
      </w:r>
    </w:p>
    <w:p>
      <w:pPr>
        <w:spacing w:after="0" w:line="188"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As of June 30, 2021, we had $3.0 million of total unrecognized stock-based compensation costs, net of estimated forfeitures, which it expects to recognize over a weighted-average period of 1.6 years.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86"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required for smaller reporting companies.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Our management, with the participation of our Chief Executive Officer (principal executive officer) and Vice-President, Strategy and Finance (principal financial officer), evaluated the effectiveness of our disclosure controls and procedures (as defined in the Securities Exchange Act of 1934 Rules 13a-15(e) or 15d-15(e)) as required by paragraph (b) of Exchange Act Rules 13a-15 or 15d-15, as of June 30, 2021. Based on the evaluation of our disclosure controls and procedures as of June 30, 2021, our Chief Executive Officer and Vice-President, Strategy and Finance concluded that, as of such date, our disclosure controls and procedures were not effective at a reasonable assurance level because of the material weaknesses in internal control over financial reporting set forth below; provided, however, that Tempest has made improvements with respect to addressing such material weaknesses and will continue to execute on an existing plan to remedy them.</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Management of Tempest is responsible for establishing and maintaining adequate internal control over financial reporting (as defined in Rules 13a-15(f) and 15d (f) under the Exchange Act). Internal control over financial reporting is a process designed to provide reasonable assurance regarding the reliability of financial reporting and the preparation of financial statements for external reporting purposes in accordance with U.S.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a company’s principal executive and principal financial officers, or persons performing similar functions, and effected by a company’s board of directors, management and other personnel to provide reasonable assurance regarding the reliability of financial reporting and the preparation of financial statements in accordance with generally accepted accounting principles. A material weakness is a deficiency or combination of deficiencies in internal control over financial reporting, such that there is a reasonable possibility that a material misstatement of Tempest’s annual or interim financial statements will not be prevented or detected and corrected on a timely basis.</w:t>
      </w:r>
    </w:p>
    <w:p>
      <w:pPr>
        <w:spacing w:after="0" w:line="19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In preparing the financial statements as of and for the year ended December 31, 2020, management of Tempest identified material weaknesses in its internal control over financial reporting. The material weaknesses identified were as follows:</w:t>
      </w:r>
    </w:p>
    <w:p>
      <w:pPr>
        <w:spacing w:after="0" w:line="76" w:lineRule="exact"/>
        <w:rPr>
          <w:sz w:val="20"/>
          <w:szCs w:val="20"/>
          <w:color w:val="auto"/>
        </w:rPr>
      </w:pPr>
    </w:p>
    <w:p>
      <w:pPr>
        <w:ind w:left="1080" w:right="80" w:hanging="532"/>
        <w:spacing w:after="0" w:line="34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There was a material weakness in Tempest’s internal control environment over financial reporting as a result of insufficient resources with appropriate knowledge and expertise to design, implement, document and operate effective internal controls over financial reporting.</w:t>
      </w:r>
    </w:p>
    <w:p>
      <w:pPr>
        <w:spacing w:after="0" w:line="29" w:lineRule="exact"/>
        <w:rPr>
          <w:rFonts w:ascii="Arial" w:cs="Arial" w:eastAsia="Arial" w:hAnsi="Arial"/>
          <w:sz w:val="16"/>
          <w:szCs w:val="16"/>
          <w:color w:val="auto"/>
        </w:rPr>
      </w:pPr>
    </w:p>
    <w:p>
      <w:pPr>
        <w:jc w:val="both"/>
        <w:ind w:left="1080" w:right="42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was a material weakness in Tempest’s internal control activities due to a failure in the design and implementation of controls to review clinical trial expenses, including the evaluation of the terms of clinical trial contracts. Specifically, Tempest failed to properly review and evaluate progress of expense incurred in clinical trial contracts which resulted in the inaccurate accrual of its clinical trial expenses.</w:t>
      </w:r>
    </w:p>
    <w:p>
      <w:pPr>
        <w:spacing w:after="0" w:line="18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As a result of the material weaknesses described above, management concluded that, as of December 31, 2020, our internal control over financial reporting was ineffective.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Remediation of Material Weaknesses in Internal Control over Financial Reporting</w:t>
      </w:r>
    </w:p>
    <w:p>
      <w:pPr>
        <w:spacing w:after="0" w:line="121"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Tempest’s management, under the supervision of its Chief Executive Officer, has undertaken a plan to remediate the material weaknesses identified above. The remediation efforts summarized below, which are in the process of being implemented, are intended to address the identified material weaknesses.</w:t>
      </w:r>
    </w:p>
    <w:p>
      <w:pPr>
        <w:spacing w:after="0" w:line="89" w:lineRule="exact"/>
        <w:rPr>
          <w:sz w:val="20"/>
          <w:szCs w:val="20"/>
          <w:color w:val="auto"/>
        </w:rPr>
      </w:pPr>
    </w:p>
    <w:p>
      <w:pPr>
        <w:ind w:left="1080" w:right="16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Tempest will seek to recruit and hire additional accounting personnel with appropriate experience, certification, education and training to help design, implement, document and operate effective internal controls over financial reporting; and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Tempest will design and implement controls related to review of clinical trial expenses to properly evaluate progress of expense incurred in clinical trial contracts.</w:t>
      </w:r>
    </w:p>
    <w:p>
      <w:pPr>
        <w:spacing w:after="0" w:line="170" w:lineRule="exact"/>
        <w:rPr>
          <w:sz w:val="20"/>
          <w:szCs w:val="20"/>
          <w:color w:val="auto"/>
        </w:rPr>
      </w:pPr>
    </w:p>
    <w:p>
      <w:pPr>
        <w:jc w:val="both"/>
        <w:ind w:left="120" w:right="580"/>
        <w:spacing w:after="0" w:line="263" w:lineRule="auto"/>
        <w:rPr>
          <w:sz w:val="20"/>
          <w:szCs w:val="20"/>
          <w:color w:val="auto"/>
        </w:rPr>
      </w:pPr>
      <w:r>
        <w:rPr>
          <w:rFonts w:ascii="Arial" w:cs="Arial" w:eastAsia="Arial" w:hAnsi="Arial"/>
          <w:sz w:val="18"/>
          <w:szCs w:val="18"/>
          <w:color w:val="auto"/>
        </w:rPr>
        <w:t>Tempest management cannot assure you that the material weaknesses identified at Tempest will be remediated by the combined company on the timelines currently anticipated by Tempest, or at all, and/or that there will not be additional material weaknesses or significant deficiencies in the combined company’s internal control over financial reporting in the future.</w:t>
      </w:r>
    </w:p>
    <w:p>
      <w:pPr>
        <w:spacing w:after="0" w:line="184"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Notwithstanding the existence of the material weaknesses as described above, we believe that the Consolidated Financial Statements in this Quarterly Report fairly present, in all material respects, our financial position, results of operations and cash flows as of the dates, and for the periods, presented, in conformity with U.S. GAAP.</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There were no changes in internal control over financial reporting during the quarter ended June 30, 2021 that have materially affected, or are reasonably likely to materially affect, our internal control over financial reporting. We have not experienced any material impact to our internal controls over financial reporting despite the fact that our employees are working remotely due to the COVID-19 pandemic. We are continually monitoring and assessing the COVID-19 situation on our internal controls to minimize the impact on their design and operating effectiveness.</w:t>
      </w:r>
    </w:p>
    <w:p>
      <w:pPr>
        <w:sectPr>
          <w:pgSz w:w="11900" w:h="16838" w:orient="portrait"/>
          <w:cols w:equalWidth="0" w:num="1">
            <w:col w:w="11120"/>
          </w:cols>
          <w:pgMar w:left="320" w:top="486" w:right="459" w:bottom="0" w:gutter="0" w:footer="0" w:header="0"/>
        </w:sectPr>
      </w:pPr>
    </w:p>
    <w:p>
      <w:pPr>
        <w:spacing w:after="0" w:line="27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Inherent Limitations on Effectiveness of Controls</w:t>
      </w:r>
    </w:p>
    <w:p>
      <w:pPr>
        <w:sectPr>
          <w:pgSz w:w="11900" w:h="16838" w:orient="portrait"/>
          <w:cols w:equalWidth="0" w:num="1">
            <w:col w:w="11120"/>
          </w:cols>
          <w:pgMar w:left="320" w:top="486" w:right="459" w:bottom="0" w:gutter="0" w:footer="0" w:header="0"/>
          <w:type w:val="continuous"/>
        </w:sectPr>
      </w:pPr>
    </w:p>
    <w:bookmarkStart w:id="30" w:name="page31"/>
    <w:bookmarkEnd w:id="30"/>
    <w:p>
      <w:pPr>
        <w:spacing w:after="0" w:line="286" w:lineRule="auto"/>
        <w:rPr>
          <w:sz w:val="20"/>
          <w:szCs w:val="20"/>
          <w:color w:val="auto"/>
        </w:rPr>
      </w:pPr>
      <w:r>
        <w:rPr>
          <w:rFonts w:ascii="Arial" w:cs="Arial" w:eastAsia="Arial" w:hAnsi="Arial"/>
          <w:sz w:val="16"/>
          <w:szCs w:val="16"/>
          <w:color w:val="auto"/>
        </w:rPr>
        <w:t>Our management, including our Chief Executive Officer and our Vice-President, Strategy and Finance,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125"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Information pertaining to legal proceedings is provided in Note 8 to the Condensed Consolidated Financial Statements and is incorporated by reference herein.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lA.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i w:val="1"/>
          <w:iCs w:val="1"/>
          <w:color w:val="auto"/>
        </w:rPr>
        <w:t>Our business involves significant risks, some of which are described below. You should carefully consider the risks described below, together with all of the other information contained in this Quarterly Report on Form 10-Q, including the section entitled “Management’s Discussion and Analysis of Financial Condition and Results of Operations” and the financial statements and the related notes. Any of these events could cause the trading price of our common stock to decline, which would cause you to lose all or part of your investment.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or may make from time to time. Such risks may be amplified by the COVID-19 pandemic and its potential impact on our business and the global economy.</w:t>
      </w:r>
    </w:p>
    <w:p>
      <w:pPr>
        <w:spacing w:after="0" w:line="17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Quarterly Report on Form 10-Q.</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Unless otherwise stated in these risk/actors or the context otherwise requires, references in these risk/actors to:</w:t>
      </w:r>
    </w:p>
    <w:p>
      <w:pPr>
        <w:spacing w:after="0" w:line="131"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“Tempest” refers to Tempest Therapeutics, Inc., a Delaware corporation, known before June 25, 2021 as Millendo Therapeutics, Inc.</w:t>
      </w:r>
    </w:p>
    <w:p>
      <w:pPr>
        <w:spacing w:after="0" w:line="142" w:lineRule="exact"/>
        <w:rPr>
          <w:rFonts w:ascii="Arial" w:cs="Arial" w:eastAsia="Arial" w:hAnsi="Arial"/>
          <w:sz w:val="17"/>
          <w:szCs w:val="17"/>
          <w:color w:val="auto"/>
        </w:rPr>
      </w:pPr>
    </w:p>
    <w:p>
      <w:pPr>
        <w:ind w:left="1080" w:right="240" w:hanging="424"/>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“Millendo” refers to Millendo Therapeutics, Inc., a Delaware corporation, prior to the Merger. On June 25, 2021, Millendo effected a 1-for-15 reverse stock split of its common stock, completed the Merger and changed its name to “Tempest Therapeutics, Inc.”</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“Private Tempest” refers to TempestTx, Inc., previously known as “Tempest Therapeutics, Inc.”</w:t>
      </w:r>
    </w:p>
    <w:p>
      <w:pPr>
        <w:spacing w:after="0" w:line="130" w:lineRule="exact"/>
        <w:rPr>
          <w:rFonts w:ascii="Arial" w:cs="Arial" w:eastAsia="Arial" w:hAnsi="Arial"/>
          <w:sz w:val="18"/>
          <w:szCs w:val="18"/>
          <w:color w:val="auto"/>
        </w:rPr>
      </w:pPr>
    </w:p>
    <w:p>
      <w:pPr>
        <w:ind w:left="1080" w:right="200" w:hanging="424"/>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“Merger” refers to the series of transaction, completed on June 25, 2021, on which, among other things, Mars Merger Corp., a Delaware corporation and subsidiary of Millendo, merged with and into Private Tempest, with Private Tempest continuing as the wholly owned subsidiary of Millendo and the surviving corporation of the merger. Following the completion of the Merger, the business conducted by Tempest became the business conducted by Private Tempest.</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References to “we,” “our,” “us” and the “company” in this document refer to Tempest.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left="120" w:right="640" w:firstLine="440"/>
        <w:spacing w:after="0" w:line="342" w:lineRule="auto"/>
        <w:rPr>
          <w:sz w:val="20"/>
          <w:szCs w:val="20"/>
          <w:color w:val="auto"/>
        </w:rPr>
      </w:pPr>
      <w:r>
        <w:rPr>
          <w:rFonts w:ascii="Arial" w:cs="Arial" w:eastAsia="Arial" w:hAnsi="Arial"/>
          <w:sz w:val="16"/>
          <w:szCs w:val="16"/>
          <w:color w:val="auto"/>
        </w:rPr>
        <w:t>Investing in our common stock involves a high degree of risk because our business is subject to numerous risks and uncertainties, as fully described below. The principal factors and uncertainties that make investing in our common stock speculative or risky include, among others:</w:t>
      </w:r>
    </w:p>
    <w:p>
      <w:pPr>
        <w:spacing w:after="0" w:line="29" w:lineRule="exact"/>
        <w:rPr>
          <w:sz w:val="20"/>
          <w:szCs w:val="20"/>
          <w:color w:val="auto"/>
        </w:rPr>
      </w:pPr>
    </w:p>
    <w:p>
      <w:pPr>
        <w:ind w:left="1080" w:right="120" w:hanging="424"/>
        <w:spacing w:after="0" w:line="286"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a history of operating losses, and we may not achieve or sustain profitability. Tempest anticipates that it will continue to incur losses for the foreseeable future. If we fail to obtain additional funding to conduct its planned research and development efforts, we could be forced to delay, reduce or eliminate our product development programs or commercial development efforts.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86"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86"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Tempest expects that it will need to raise additional funding before we can expect to become profitable from any potential future sales of our product candidates. This additional financing may not be available on acceptable terms or at all. Failure to obtain this necessary capital when needed may force Tempest to delay, limit or terminate its product development efforts or other operations.</w:t>
      </w:r>
    </w:p>
    <w:p>
      <w:pPr>
        <w:spacing w:after="0" w:line="70" w:lineRule="exact"/>
        <w:rPr>
          <w:rFonts w:ascii="Arial" w:cs="Arial" w:eastAsia="Arial" w:hAnsi="Arial"/>
          <w:sz w:val="17"/>
          <w:szCs w:val="17"/>
          <w:color w:val="auto"/>
        </w:rPr>
      </w:pPr>
    </w:p>
    <w:p>
      <w:pPr>
        <w:ind w:left="1080" w:right="46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Tempest is unable to develop, obtain regulatory approval for and commercialize TPST-1495 and TPST-1120 and its future product candidates, or if we experience significant delays in doing so, our business will be materially harmed.</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 in preclinical studies and earlier clinical trials for Tempest’s product candidates may not be indicative of the results that may be obtained in later clinical trials, which may delay or prevent obtaining regulatory approval.</w:t>
      </w:r>
    </w:p>
    <w:p>
      <w:pPr>
        <w:spacing w:after="0" w:line="75" w:lineRule="exact"/>
        <w:rPr>
          <w:rFonts w:ascii="Arial" w:cs="Arial" w:eastAsia="Arial" w:hAnsi="Arial"/>
          <w:sz w:val="18"/>
          <w:szCs w:val="18"/>
          <w:color w:val="auto"/>
        </w:rPr>
      </w:pPr>
    </w:p>
    <w:p>
      <w:pPr>
        <w:ind w:left="1080" w:right="100" w:hanging="532"/>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commercial success of Tempest’s product candidates, including TPST-1495 and TPST-1120, will depend upon their degree of market acceptance by providers, patients, patient advocacy groups, third-party payors and the general medical community.</w:t>
      </w:r>
    </w:p>
    <w:p>
      <w:pPr>
        <w:spacing w:after="0" w:line="51" w:lineRule="exact"/>
        <w:rPr>
          <w:rFonts w:ascii="Arial" w:cs="Arial" w:eastAsia="Arial" w:hAnsi="Arial"/>
          <w:sz w:val="17"/>
          <w:szCs w:val="17"/>
          <w:color w:val="auto"/>
        </w:rPr>
      </w:pPr>
    </w:p>
    <w:p>
      <w:pPr>
        <w:ind w:left="1080" w:right="12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change, and it is possible that our competitors may achieve regulatory approval before us or develop therapies that are more advanced or effective than Tempest’s, which may harm Tempest’s business, financial condition and Tempest’s ability to successfully market or commercialize TPST-1495, TPST-1120, and Tempest’s other product candidates.</w:t>
      </w:r>
    </w:p>
    <w:p>
      <w:pPr>
        <w:spacing w:after="0" w:line="92"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unable to establish sales and marketing capabilities or enter into agreements with third parties to market and sell Tempest’s product candidates, we may be unable to generate any revenues.</w:t>
      </w:r>
    </w:p>
    <w:p>
      <w:pPr>
        <w:spacing w:after="0" w:line="75" w:lineRule="exact"/>
        <w:rPr>
          <w:rFonts w:ascii="Arial" w:cs="Arial" w:eastAsia="Arial" w:hAnsi="Arial"/>
          <w:sz w:val="18"/>
          <w:szCs w:val="18"/>
          <w:color w:val="auto"/>
        </w:rPr>
      </w:pPr>
    </w:p>
    <w:p>
      <w:pPr>
        <w:ind w:left="1080" w:right="90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regulatory approval process is lengthy and time-consuming, and we may experience significant delays in the clinical development and regulatory approval of our product candidates.</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expect to expand its development and regulatory capabilities, and as a result, we may encounter difficulties in managing its growth, which could disrupt our operations.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Private Tempest and Millendo may be unable to integrate successfully and realize the anticipated benefits of the Merger.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Tempest’s Business and Strategy</w:t>
      </w:r>
    </w:p>
    <w:p>
      <w:pPr>
        <w:spacing w:after="0" w:line="121" w:lineRule="exact"/>
        <w:rPr>
          <w:sz w:val="20"/>
          <w:szCs w:val="20"/>
          <w:color w:val="auto"/>
        </w:rPr>
      </w:pPr>
    </w:p>
    <w:p>
      <w:pPr>
        <w:jc w:val="both"/>
        <w:ind w:left="120" w:right="340"/>
        <w:spacing w:after="0" w:line="286" w:lineRule="auto"/>
        <w:rPr>
          <w:sz w:val="20"/>
          <w:szCs w:val="20"/>
          <w:color w:val="auto"/>
        </w:rPr>
      </w:pPr>
      <w:r>
        <w:rPr>
          <w:rFonts w:ascii="Arial" w:cs="Arial" w:eastAsia="Arial" w:hAnsi="Arial"/>
          <w:sz w:val="17"/>
          <w:szCs w:val="17"/>
          <w:b w:val="1"/>
          <w:bCs w:val="1"/>
          <w:i w:val="1"/>
          <w:iCs w:val="1"/>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6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are a clinical-stage biotechnology company with a limited operating history. Biotechnology product development is a highly speculative undertaking and involves a substantial degree of risk. Our operations to date have been limited primarily to organizing and staffing, business planning, raising capital, acquiring and developing product and technology rights, manufacturing, and conducting research and development activities for our product candidates. We have never generated any revenue from product sales and we have not obtained regulatory approvals for any of our product candidates. Private Tempest has incurred net losses in each year since its inception.</w:t>
      </w:r>
    </w:p>
    <w:p>
      <w:pPr>
        <w:spacing w:after="0" w:line="176"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Private Tempest incurred net losses of $14.4 million and $19.2 million for the year ended December 31, 2019 and the year ended December 31, 2020, respectively. As of December 31, 2020, Private Tempest had an accumulated deficit of $71.8 million. Substantially all of Private Tempest’s operating losses have resulted from costs incurred in connection with Private Tempest’s research and development programs and from general and administrative costs associated with Private Tempest’s operations. We expect to continue to incur significant expenses and operating losses over the next several years and for the foreseeable future as we intend to continue to conduct research and development, clinical testing, regulatory compliance activities, manufacturing activities, and, if any of our product candidates is approved, sales and marketing activities that, together with anticipated general and administrative expenses, will likely result in Tempest incurring significant losses for the foreseeable future. Private Tempest’s prior losses, combined with our expected future losses, have had and will continue to have an adverse effect on our stockholders’ equity and working capital.</w:t>
      </w:r>
    </w:p>
    <w:p>
      <w:pPr>
        <w:spacing w:after="0" w:line="16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Millendo’s net loss was $36.4 million and $44.6 million and for the years ended December 31, 2020 and 2019, respectively. As of December 31, 2020, Millendo had an accumulated deficit of $245.1 million.</w:t>
      </w:r>
    </w:p>
    <w:p>
      <w:pPr>
        <w:spacing w:after="0" w:line="170"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b w:val="1"/>
          <w:bCs w:val="1"/>
          <w:i w:val="1"/>
          <w:iCs w:val="1"/>
          <w:color w:val="auto"/>
        </w:rPr>
        <w:t>We expect that we will need to raise additional funding before we can expect to become profitable from any potential future sales of our product candidates. This additional financing may not be available on acceptable terms or at all. Failure to obtain this necessary capital when needed may force us to delay, limit or terminate our product development efforts or other operations.</w:t>
      </w:r>
    </w:p>
    <w:p>
      <w:pPr>
        <w:spacing w:after="0" w:line="165"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We will require substantial future capital in order to complete planned and future preclinical and clinical development for our product candidates and potentially commercialize these product candidates. Based upon our current operating plan, we believe that our cash and cash equivalents as of June 30, 2021 of $68.5 million, will enable us to fund our operating expenses and capital expenditure requirements into early 2023. We expect our spending levels to increase in connection with our preclinical studies and clinical trials of our product candidates. In addition, if we obtain marketing approval for any of our product candidates, we expect to incur significant expenses related to commercial launch, product sales, medical affairs, marketing, manufacturing and distribution. Furthermore, we expect to incur additional costs associated with operating as a public company. Accordingly, we will need to obtain substantial additional funding in connection with its continuing operations before any commercial revenue may occur.</w:t>
      </w:r>
    </w:p>
    <w:p>
      <w:pPr>
        <w:sectPr>
          <w:pgSz w:w="11900" w:h="16838" w:orient="portrait"/>
          <w:cols w:equalWidth="0" w:num="1">
            <w:col w:w="11100"/>
          </w:cols>
          <w:pgMar w:left="320" w:top="486" w:right="479" w:bottom="1440" w:gutter="0" w:footer="0" w:header="0"/>
        </w:sectPr>
      </w:pP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00"/>
          </w:cols>
          <w:pgMar w:left="320" w:top="486" w:right="47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Additional capital might not be available when we need it and our actual cash requirements might be greater than anticipated. If we require additional capital at a time when investment in its industry or in the marketplace in general is limited, we might not be able to raise funding on favorable terms, if at all. If we are not able to obtain financing when needed or on terms favorable to us, we may need to delay, reduce or eliminate certain research and development programs or other operations, sell some or all of our assets or merge with another entity.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operations have consumed significant amounts of cash since inception. Our future capital requirements will depend on many factors, including:</w:t>
      </w:r>
    </w:p>
    <w:p>
      <w:pPr>
        <w:spacing w:after="0" w:line="154" w:lineRule="exact"/>
        <w:rPr>
          <w:sz w:val="20"/>
          <w:szCs w:val="20"/>
          <w:color w:val="auto"/>
        </w:rPr>
      </w:pPr>
    </w:p>
    <w:p>
      <w:pPr>
        <w:ind w:left="1080" w:right="10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associated with the scope, progress and results of discovery, preclinical development, laboratory testing and clinical trials for our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associated with the manufacturing of our product candidates;</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related to the extent to which we enter into partnerships or other arrangements with third parties to further develop our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fees associated with the discovery, acquisition or in-license of product candidates or technologies;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130"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future commercialization activities, if any, including product sales, marketing, manufacturing and distribution, for any of Tempest’s product candidates for which we receive marketing approval;</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should any of Tempest’s product candidates receive marketing approval; and</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70" w:lineRule="exact"/>
        <w:rPr>
          <w:sz w:val="20"/>
          <w:szCs w:val="20"/>
          <w:color w:val="auto"/>
        </w:rPr>
      </w:pPr>
    </w:p>
    <w:p>
      <w:pPr>
        <w:ind w:left="120" w:right="480"/>
        <w:spacing w:after="0" w:line="286" w:lineRule="auto"/>
        <w:rPr>
          <w:sz w:val="20"/>
          <w:szCs w:val="20"/>
          <w:color w:val="auto"/>
        </w:rPr>
      </w:pPr>
      <w:r>
        <w:rPr>
          <w:rFonts w:ascii="Arial" w:cs="Arial" w:eastAsia="Arial" w:hAnsi="Arial"/>
          <w:sz w:val="17"/>
          <w:szCs w:val="17"/>
          <w:color w:val="auto"/>
        </w:rPr>
        <w:t>Our product candidates, if approved, may not achieve commercial success. Our commercial revenues, if any, will be derived from sales of product candidates that Tempest does not expect to be commercially available for many years, if at all. Accordingly, we will need to continue to rely on additional financing to achieve our business objectives, which may not be available to us on acceptable terms, or at all.</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tax credit carryforwards may be subject to limitations.</w:t>
      </w:r>
    </w:p>
    <w:p>
      <w:pPr>
        <w:spacing w:after="0" w:line="22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its NOLs.</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Under Section 382 and Section 383 of the Code and corresponding provisions of state law, if a corporation undergoes an “ownership change,” its ability to use its pre-change NOL carryforwards and other pre-change tax attributes (such as research tax credits) to offset its post-change income or taxes may be limited. A Section 382 “ownership change” is generally defined as a greater than 50 percentage point change (by value) in its equity ownership by certain stockholders over a three-year period. We may have experienced ownership changes in the past, including as a result of the Merger, and may experience ownership changes in the future due to subsequent shifts in our stock ownership (some of which are outside of its control). Furthermore, the Merger constituted an ownership change (within the meaning of Section 382 of the Code) of Millendo which may have eliminated or otherwise substantially limited our ability to use Millendo’s federal and state NOLs to offset our future taxable income. Consequently, even if we achieve profitability, we may not be able to utilize a material portion of Private Tempest’s, Millendo’s or our combined NOL carryforwards and other tax attributes, which could have a material adverse effect on cash flow and results of operations. Similar provisions of state tax law may also apply to limit our ability to use of accumulated state tax attributes. There is also a risk that due to regulatory changes, such as suspensions on the use of NOLs, or other unforeseen reasons, our existing NOLs could expire or otherwise be unavailable to offset future income tax liabilities.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we fail to maintain proper and effective internal controls, our ability to produce accurate financial statements on a timely basis could be impaired.</w:t>
      </w:r>
    </w:p>
    <w:p>
      <w:pPr>
        <w:spacing w:after="0" w:line="260"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w:t>
      </w:r>
    </w:p>
    <w:p>
      <w:pPr>
        <w:spacing w:after="0" w:line="14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reporting and that, after a transitional period, we furnish a report by management on, among other things, the effectiveness of our internal control over financial reporting. This assessment includes disclosure of any material weaknesses identified by our management in our internal control over financial reporting. However, due to recent changes in SEC rules related to smaller reporting companies, Millendo was not required to have its auditors formally attest to the effectiveness of its internal control over financial reporting in connection with this Annual Report on Form 10-K for the year ended December 31, 2020. Additionally, we will not be required to have our auditors formally attest to the effectiveness of our internal control over financial reporting until we cease to be a smaller reporting company.</w:t>
      </w:r>
    </w:p>
    <w:p>
      <w:pPr>
        <w:spacing w:after="0" w:line="17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ectPr>
          <w:pgSz w:w="11900" w:h="16838" w:orient="portrait"/>
          <w:cols w:equalWidth="0" w:num="1">
            <w:col w:w="11120"/>
          </w:cols>
          <w:pgMar w:left="320" w:top="486" w:right="459" w:bottom="1006"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120"/>
          </w:cols>
          <w:pgMar w:left="320" w:top="486" w:right="459" w:bottom="1006"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If we are not able to comply with the requirements of Section 404 of the Sarbanes-Oxley Act, or Section 404,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Securities and Exchange Commission (“SEC”), or other regulatory authorities.</w:t>
      </w:r>
    </w:p>
    <w:p>
      <w:pPr>
        <w:spacing w:after="0" w:line="187" w:lineRule="exact"/>
        <w:rPr>
          <w:sz w:val="20"/>
          <w:szCs w:val="20"/>
          <w:color w:val="auto"/>
        </w:rPr>
      </w:pPr>
    </w:p>
    <w:p>
      <w:pPr>
        <w:ind w:left="120" w:right="120"/>
        <w:spacing w:after="0" w:line="287" w:lineRule="auto"/>
        <w:rPr>
          <w:sz w:val="20"/>
          <w:szCs w:val="20"/>
          <w:color w:val="auto"/>
        </w:rPr>
      </w:pPr>
      <w:r>
        <w:rPr>
          <w:rFonts w:ascii="Arial" w:cs="Arial" w:eastAsia="Arial" w:hAnsi="Arial"/>
          <w:sz w:val="16"/>
          <w:szCs w:val="16"/>
          <w:color w:val="auto"/>
        </w:rPr>
        <w:t>Additionally, as a privately held company, Private Tempest was not required to evaluate its internal control over financial reporting in a manner that meets the standards of publicly traded companies required by Section 404. In preparing Private Tempest’s financial statements as of and for the year ended December 31, 2020, management of Private Tempest identified material weaknesses in its internal control over financial reporting. We cannot assure you that the material weaknesses identified at Private Tempest will be remediated by us on the timelines currently anticipated, or at all, and/or that there will not be additional material weaknesses or significant deficiencies in the internal control over financial reporting in the future. Any failure to maintain effective internal control over financial reporting could severely inhibit our ability to accurately report our financial condition, results of operations or cash flows. If we are unable to conclude that our internal control over financial reporting is effective, or if the company’s independent registered public accounting firm determines we have a material weakness or significant deficiency in our internal control over financial reporting once that firm begins its reporting on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8"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Private Tempest had identified material weaknesses in its internal control over financial reporting. Failure to achieve and maintain effective internal control over financial reporting could harm our business and negatively impact the value of our common stock.</w:t>
      </w:r>
    </w:p>
    <w:p>
      <w:pPr>
        <w:spacing w:after="0" w:line="146"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Private Tempest had identified material weaknesses in its internal control over financial reporting. A material weakness is a deficiency, or a combination of deficiencies, in internal control over financial reporting, such that there is a reasonable possibility that a material misstatement of Private Tempest’s annual or interim financial statements will not be prevented or detected on a timely basis. In preparing Private Tempest’s financial statements as of and for the year ended December 31, 2020, management of Private Tempest identified the following material weaknesses in its internal control over financial reporting:</w:t>
      </w:r>
    </w:p>
    <w:p>
      <w:pPr>
        <w:spacing w:after="0" w:line="93" w:lineRule="exact"/>
        <w:rPr>
          <w:sz w:val="20"/>
          <w:szCs w:val="20"/>
          <w:color w:val="auto"/>
        </w:rPr>
      </w:pPr>
    </w:p>
    <w:p>
      <w:pPr>
        <w:ind w:left="1080" w:right="20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Private Tempest did not have sufficient resources with appropriate knowledge and expertise to design, implement, document and operate effective internal controls over financial reporting.</w:t>
      </w:r>
    </w:p>
    <w:p>
      <w:pPr>
        <w:spacing w:after="0" w:line="75"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Private Tempest did not design and implement controls surrounding review of clinical trial expenses, including the evaluation of the terms of its clinical trial contracts. Specifically, Private Tempest failed to properly review and evaluate the progress of expenses incurred in its clinical trial contracts that resulted in the inaccurate accrual of clinical trial expenses.</w:t>
      </w:r>
    </w:p>
    <w:p>
      <w:pPr>
        <w:spacing w:after="0" w:line="184"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These material weaknesses resulted in adjustments to Private Tempest’s financial statements. Additionally, these material weaknesses could result in a misstatement of Private Tempest’s accounts or disclosures that would result in a material misstatement of its annual or interim financial statements that would not be prevented or detected, and accordingly, Private Tempest determined that these control deficiencies constitute material weaknesses.</w:t>
      </w:r>
    </w:p>
    <w:p>
      <w:pPr>
        <w:spacing w:after="0" w:line="14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We are actively recruiting additional accounting personnel with appropriate experience, certification, education and training as a component of its plans to remediate the material weaknesses. We also plan to design and implement controls related to review of clinical trial expenses to properly evaluate progress of expense incurred in clinical trial contracts. To the extent that we are not able to hire and retain such individuals, or is unable to successfully design and implement such controls, the material weaknesses identified may not be remediated and management may be required to record additional adjustments to its financial statements in the future.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48"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Our operations to date have been limited to organizing and staffing, business planning, raising capital, acquiring our technology, identifying potential product candidates, undertaking research and preclinical studies of our product candidates, manufacturing, and establishing licensing arrangements. We have not yet demonstrated the ability to complete clinical trials of our product candidates,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w:t>
      </w:r>
    </w:p>
    <w:p>
      <w:pPr>
        <w:spacing w:after="0" w:line="176"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spacing w:after="0" w:line="18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170"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product candidate development, growing our capability to conduct clinical trials, and, if approved, through commercialization of our product candidates. To manage its anticipated future growth, we must continue to implement and</w:t>
      </w:r>
    </w:p>
    <w:p>
      <w:pPr>
        <w:sectPr>
          <w:pgSz w:w="11900" w:h="16838" w:orient="portrait"/>
          <w:cols w:equalWidth="0" w:num="1">
            <w:col w:w="11140"/>
          </w:cols>
          <w:pgMar w:left="320" w:top="486" w:right="439" w:bottom="1440" w:gutter="0" w:footer="0" w:header="0"/>
        </w:sectPr>
      </w:pP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40"/>
          </w:cols>
          <w:pgMar w:left="320" w:top="486" w:right="4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improve its managerial, operational and financial systems, expand its facilities and continue to recruit and train additional qualified personnel, or contract with third parties to provide these capabilities.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must attract and retain highly skilled employees to succeed.</w:t>
      </w:r>
    </w:p>
    <w:p>
      <w:pPr>
        <w:spacing w:after="0" w:line="225"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To succeed, we must recruit, retain, manage and motivate qualified clinical, scientific, technical and management personnel, and Tempest faces significant competition for experienced personnel. If we do not succeed in attracting and retaining qualified personnel, particularly at the management level, it could adversely affect our ability to execute its business plan, harm our results of operations and increase our capabilities to successfully commercialize its product candidates. In particular, we believe that its future success is highly dependent upon the contributions of its senior management, particularly our Chief Executive Officer, Stephen Brady, our President, Tom Dubensky and our Chief Medical Officer, Sam Whiting. The loss of services of Messrs. Dubensky or Brady or Whiting, or any of our other senior management,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81"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Future acquisitions or strategic alliances could disrupt Tempest’s business and harm our financial condition and results of operations.</w:t>
      </w:r>
    </w:p>
    <w:p>
      <w:pPr>
        <w:spacing w:after="0" w:line="237" w:lineRule="exact"/>
        <w:rPr>
          <w:sz w:val="20"/>
          <w:szCs w:val="20"/>
          <w:color w:val="auto"/>
        </w:rPr>
      </w:pPr>
    </w:p>
    <w:p>
      <w:pPr>
        <w:ind w:left="120" w:right="180"/>
        <w:spacing w:after="0" w:line="273"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83"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coordination of research and development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relationships with strategic partners as a result of product acquisitions or strategic positioning resulting from the acquisition;</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Tempest’s organization;</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write-offs or charges; and</w:t>
      </w:r>
    </w:p>
    <w:p>
      <w:pPr>
        <w:spacing w:after="0" w:line="13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70"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Our failure to address these risks or other problems encountered in connection with its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Product Development and Regulatory Approval</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If we are unable to develop, obtain regulatory approval for and commercialize TPST-1495 and TPST-1120 and its future product candidates, or if we experience significant delays in doing so, our business will be materially harmed.</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plan to invest a substantial amount of our efforts and financial resources in its current lead product candidates, TPST-1495, a dual EP2/EP4 prostaglandin (“PGE2”) receptor antagonist, and TPST-1120, a peroxisome proliferator-activated receptor alpha (“PPARα”) antagonist for the treatment of various cancers. We have initiated phase 1 clinical trials of TPST-1495 and</w:t>
      </w:r>
    </w:p>
    <w:p>
      <w:pPr>
        <w:sectPr>
          <w:pgSz w:w="11900" w:h="16838" w:orient="portrait"/>
          <w:cols w:equalWidth="0" w:num="1">
            <w:col w:w="11140"/>
          </w:cols>
          <w:pgMar w:left="320" w:top="486" w:right="439" w:bottom="1440" w:gutter="0" w:footer="0" w:header="0"/>
        </w:sectPr>
      </w:pP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140"/>
          </w:cols>
          <w:pgMar w:left="320" w:top="486" w:right="4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TPST-1120 for the treatment of advanced solid tumors. In addition, we plan to advance our TREX-1 inhibitor program and select a development candidate for this program by first half of 2022. Our ability to generate product revenue will depend heavily on the successful development and eventual commercialization of TPST-1495 and TPST-1120 and our other product candidates, which may never occur. We currently generate no revenue from sales of any product and we may never be able to develop or commercialize a marketable product.</w:t>
      </w:r>
    </w:p>
    <w:p>
      <w:pPr>
        <w:spacing w:after="0" w:line="171"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Each of our programs and product candidates will require further clinical and/or preclinical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TPST-1495 and TPST-1120 and our other product candidates must be authorized for marketing by the U.S. Food and Drug Administration (“FDA”), the Health Products and Food Branch of Health Canada (“HPFB”), the European Medicines Agency (“EMA”), and certain other foreign regulatory agencies before Tempest may commercialize any of its product candidates in the United States, Canada, EU, or other jurisdictions.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success of TPST-1495 and TPST-1120 and our other product candidates depends on multiple factors, including:</w:t>
      </w:r>
    </w:p>
    <w:p>
      <w:pPr>
        <w:spacing w:after="0" w:line="131" w:lineRule="exact"/>
        <w:rPr>
          <w:sz w:val="20"/>
          <w:szCs w:val="20"/>
          <w:color w:val="auto"/>
        </w:rPr>
      </w:pPr>
    </w:p>
    <w:p>
      <w:pPr>
        <w:ind w:left="1080" w:right="120" w:hanging="532"/>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completion of preclinical studies, including those compliant with Good Laboratory Practices (“GLP”), or GLP toxicology studies, biodistribution studies and minimum effective dose studies in animals, and successful enrollment and completion of clinical trials compliant with current Good Clinical Practices (“GCPs”);</w:t>
      </w:r>
    </w:p>
    <w:p>
      <w:pPr>
        <w:spacing w:after="0" w:line="89"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 Investigational New Drug applications (“INDs”) or other regulatory applications, that allow commencement of our planned clinical trials or future clinical trials for our product candidates in relevant territories;</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(“CROs”) and clinical sites for the clinical development of our product candidates, both in the United States and internationally;</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maintenance of arrangements with third-party contract manufacturing organizations (“CMOs”) for key materials used in our manufacturing processes and to establish backup sources for clinical and large-scale commercial supply;</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positive results from our clinical programs that are supportive of safety and efficacy and provide an acceptable risk-benefit profile for our product candidates in the intended patient populations;</w:t>
      </w:r>
    </w:p>
    <w:p>
      <w:pPr>
        <w:spacing w:after="0" w:line="75"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including those necessary for pricing and reimbursement of its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establishment and maintenance of patent and trade secret protection and regulatory exclusivity for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commercial launch of our product candidates, if and when approved, whether alone or in collaboration with others;</w:t>
      </w:r>
    </w:p>
    <w:p>
      <w:pPr>
        <w:spacing w:after="0" w:line="130"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patient advocacy groups, third-party payors and the general medical community;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effectively compete with developers of other therapies available in the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establishment and maintenance of adequate reimbursement from third-party payors for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acquire or in-license additional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prosecution, maintenance, enforcement and defense of intellectual property rights and claims;</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maintenance of a continued acceptable safety profile of our product candidates following approval, including meeting any post-marketing commitments or requirements imposed by or agreed to with applicable regulatory authorities;</w:t>
      </w:r>
    </w:p>
    <w:p>
      <w:pPr>
        <w:spacing w:after="0" w:line="75"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factors surrounding the approval process, such as government shutdowns, political instability or global pandemics such as the outbreak of the novel strain of coronavirus, COVID-19;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disruptions in enrollment of our clinical trials due to the COVID-19 pandemic.</w:t>
      </w:r>
    </w:p>
    <w:p>
      <w:pPr>
        <w:spacing w:after="0" w:line="22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If we do not succeed in one or more of these factors in a timely manner or at all, we could experience significant delays or an inability to successfully commercialize its product candidates, which would materially harm our business. If we do not receive regulatory approvals for our product candidates, we may not be able to continue its operations.</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70"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Clinical development is expensive and can take many years to complete, and its outcome is inherently uncertain. Failure can occur at any time during the clinical trial process. Success in preclinical studies and early clinical trials may not be predictive of results in later-stage clinical trials, and successful results from early or small clinical trials may not be replicated or show as favorable an outcome in later-stage or larger clinical trials, even if successful. We will be required to demonstrate through adequate and well-controlled clinical trials that our product candidates are safe and effective for their intended uses before Tempest can seek regulatory approvals for their commercial sale. The conduct of phase 3 trials and the submission of an NDA is a complicated process. We have not previously completed any clinical trials, has limited experience in preparing, submitting and supporting regulatory filings, and has not previously submitted an NDA. Consequently, Tempest may be unable to successfully and efficiently execute and complete necessary clinical trials and other requirements in a way that leads to NDA submission and approval of any product candidate we are developing.</w:t>
      </w:r>
    </w:p>
    <w:p>
      <w:pPr>
        <w:sectPr>
          <w:pgSz w:w="11900" w:h="16838" w:orient="portrait"/>
          <w:cols w:equalWidth="0" w:num="1">
            <w:col w:w="11120"/>
          </w:cols>
          <w:pgMar w:left="320" w:top="486" w:right="459" w:bottom="1114" w:gutter="0" w:footer="0" w:header="0"/>
        </w:sectPr>
      </w:pP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20"/>
          </w:cols>
          <w:pgMar w:left="320" w:top="486" w:right="459" w:bottom="1114"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Although TPST-1495 and TPST-1120 are being evaluated in clinical trials, Our other product candidates, such as TREX-1, have not been evaluated in human clinical trials, and Tempest may experience unexpected or negative results in the future if and when TREX-1 or Our other product candidates are evaluated in clinical trials. Any positive results Tempest observes for TREX-1 in preclinical animal models may not be predictive of Our future clinical trials in humans, as animal models carry inherent limitations relevant to all preclinical studies. We. Our product candidates, including TREX-1, may also fail to show the desired safety and efficacy in later stages of clinical development even if they successfully advance through initial clinical trials. Even if Our clinical trials demonstrate acceptable safety and efficacy of TPST-1495, TPST-1120 or TREX-1 or any other product candidates and such product candidates receive regulatory approval, the labeling Tempest obtains through negotiations with the FDA or foreign regulatory authorities may not include data on secondary endpoints and may not provide Tempest with a competitive advantage over other products approved for the same or similar indications.</w:t>
      </w:r>
    </w:p>
    <w:p>
      <w:pPr>
        <w:spacing w:after="0" w:line="196"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 not consistently or sufficiently demonstrate the safety or efficacy of any of our product candidates, including TPST-1495 and TPST-1120, to the satisfaction of the FDA or foreign regulatory authorities, then the regulatory approvals for such product candidates could be significantly delayed as Tempest works to meet approval requirements, or, if we are not able to meet these requirements, such approvals could be withheld or withdrawn.</w:t>
      </w:r>
    </w:p>
    <w:p>
      <w:pPr>
        <w:spacing w:after="0" w:line="16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If Tempest encounters difficulties enrolling patients in our clinical trials, our clinical development activities could be delayed or otherwise adversely affected.</w:t>
      </w:r>
    </w:p>
    <w:p>
      <w:pPr>
        <w:spacing w:after="0" w:line="170"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Tempest may experience difficulties in patient enrollment in our clinical trials for a variety of reasons, including, without limitation, the impact of the COVID-19 pandemic. The timely completion of clinical trials in accordance with their protocols depends, among other things, on our ability to enroll a sufficient number of patients who remain in the study until its conclusion. The enrollment of patients depends on many factors, including:</w:t>
      </w:r>
    </w:p>
    <w:p>
      <w:pPr>
        <w:spacing w:after="0" w:line="71"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risk that patients enrolled in clinical trials will drop out of the trials before the infusion of our product candidates or trial completion.</w:t>
      </w:r>
    </w:p>
    <w:p>
      <w:pPr>
        <w:spacing w:after="0" w:line="237"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Tempest intends to conduct a number of clinical trials for product candidates in the fields of cancer in geographies which are affected by COVID-19 pandemic. We believe that the coronavirus pandemic could have an impact on various aspects of its future clinical trials. For example, investigators may not want to take the risk of exposing cancer patients to COVID-19 since the dosing of patients is conducted within an in-patient setting. Other potential impacts of the COVID-19 pandemic on our future various clinical trials include patient dosing and study monitoring, which may be paused or delayed due to changes in policies at various clinical sites, federal, state, local or foreign laws, rules and regulations, including quarantines or other travel restrictions, prioritization of healthcare resources toward pandemic efforts, including diminished attention of physicians serving as our clinical trial investigators and reduced availability of site staff supporting the conduct of its clinical trials, interruption or delays in the operations of the government regulators, or other reasons related to the COVID-19 pandemic. It is unknown how long these pauses or disruptions could continue.</w:t>
      </w:r>
    </w:p>
    <w:p>
      <w:pPr>
        <w:spacing w:after="0" w:line="165"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Tempest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spacing w:after="0" w:line="18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Moreover, because our product candidates represent unproven methods for cancer treatment, potential patients and their doctors may be inclined to use existing therapies rather than enroll patients in our clinical trials.</w:t>
      </w:r>
    </w:p>
    <w:p>
      <w:pPr>
        <w:spacing w:after="0" w:line="170"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ectPr>
          <w:pgSz w:w="11900" w:h="16838" w:orient="portrait"/>
          <w:cols w:equalWidth="0" w:num="1">
            <w:col w:w="11120"/>
          </w:cols>
          <w:pgMar w:left="320" w:top="486" w:right="459" w:bottom="1440" w:gutter="0" w:footer="0" w:header="0"/>
        </w:sectPr>
      </w:pP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20"/>
          </w:cols>
          <w:pgMar w:left="320" w:top="486" w:right="4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b w:val="1"/>
          <w:bCs w:val="1"/>
          <w:i w:val="1"/>
          <w:iCs w:val="1"/>
          <w:color w:val="auto"/>
        </w:rPr>
        <w:t>Interim and preliminary data from our clinical trials that we may announce or publish from time to time may change as more patient data becomes available and are subject to audit and verification procedures that could result in material changes in the final data.</w:t>
      </w:r>
    </w:p>
    <w:p>
      <w:pPr>
        <w:spacing w:after="0" w:line="146"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From time to time, we may publish interim or preliminary data from our clinical studies. Interim data from clinical trials that Tempest may complete are subject to the risk that one or more of the clinical outcomes may materially change as patient enrollment continues and more patient data become available.</w:t>
      </w:r>
    </w:p>
    <w:p>
      <w:pPr>
        <w:spacing w:after="0" w:line="184"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Preliminary or interim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65"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b w:val="1"/>
          <w:bCs w:val="1"/>
          <w:i w:val="1"/>
          <w:iCs w:val="1"/>
          <w:color w:val="auto"/>
        </w:rPr>
        <w:t>Even if Tempest completes the necessary preclinical studies and clinical trials, Tempest cannot predict when, or if, Tempest will obtain regulatory approval to commercialize a product candidate and the approval may be for a narrower indication than Tempest seeks.</w:t>
      </w:r>
    </w:p>
    <w:p>
      <w:pPr>
        <w:spacing w:after="0" w:line="12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Prior to commercialization, TPST-1495, TPST-1120 and our other product candidates must be approved by the FDA pursuant to an NDA in the United States and pursuant to similar marketing applications by the HPFB,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Tempest from commercializing the product candidate. We have not received approval to market TPST-1495, TPST-1120 or any of our other product candidates from regulatory authorities in any jurisdiction. We have no experience in submitting and supporting the applications necessary to gain marketing approvals, and, in the event regulatory authorities indicate that Tempest may submit such applications, Tempest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Approval of TPST-1495 and TPST-1120 and our other product candidates may be delayed or refused for many reasons, including:</w:t>
      </w:r>
    </w:p>
    <w:p>
      <w:pPr>
        <w:spacing w:after="0" w:line="131"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Tempest may be unable to demonstrate, to the satisfaction of the FDA or comparable foreign regulatory authorities, that our product candidates are safe and effective for any of their proposed indications;</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populations studied in clinical trials may not be sufficiently broad or representative to assure efficacy and safety in the populations for which Tempest seeks approval;</w:t>
      </w:r>
    </w:p>
    <w:p>
      <w:pPr>
        <w:spacing w:after="0" w:line="75"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clinical and other benefits outweigh their safety risks;</w:t>
      </w:r>
    </w:p>
    <w:p>
      <w:pPr>
        <w:spacing w:after="0" w:line="130" w:lineRule="exact"/>
        <w:rPr>
          <w:rFonts w:ascii="Arial" w:cs="Arial" w:eastAsia="Arial" w:hAnsi="Arial"/>
          <w:sz w:val="18"/>
          <w:szCs w:val="18"/>
          <w:color w:val="auto"/>
        </w:rPr>
      </w:pPr>
    </w:p>
    <w:p>
      <w:pPr>
        <w:ind w:left="1080" w:right="620" w:hanging="532"/>
        <w:spacing w:after="0" w:line="308"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data collected from clinical trials of our product candidates may not be sufficient to support the submission of an NDA or other comparable submission in foreign jurisdictions or to obtain regulatory approval in the United States or elsewhere;</w:t>
      </w:r>
    </w:p>
    <w:p>
      <w:pPr>
        <w:spacing w:after="0" w:line="51" w:lineRule="exact"/>
        <w:rPr>
          <w:rFonts w:ascii="Arial" w:cs="Arial" w:eastAsia="Arial" w:hAnsi="Arial"/>
          <w:sz w:val="17"/>
          <w:szCs w:val="17"/>
          <w:color w:val="auto"/>
        </w:rPr>
      </w:pPr>
    </w:p>
    <w:p>
      <w:pPr>
        <w:ind w:left="1080" w:right="48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facilities of third-party manufacturers with which we contract or procure certain service or raw materials, may not be adequate to support approval of our product candidates; and</w:t>
      </w:r>
    </w:p>
    <w:p>
      <w:pPr>
        <w:spacing w:after="0" w:line="75"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Even if our product candidates meet their pre-specified safety and efficacy endpoints in clinical trials, the regulatory authorities may not complete their review processes in a timely manner and may not consider such the clinical trial results sufficient to grant, or Tempest may not be able to obtain, regulatory approval. Additional delays may result if an FDA Advisory Committee or other regulatory authority recommends non-approval or restrictions on approval. In addition, Tempest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61" w:lineRule="exact"/>
        <w:rPr>
          <w:sz w:val="20"/>
          <w:szCs w:val="20"/>
          <w:color w:val="auto"/>
        </w:rPr>
      </w:pPr>
    </w:p>
    <w:p>
      <w:pPr>
        <w:jc w:val="both"/>
        <w:ind w:left="120" w:right="220"/>
        <w:spacing w:after="0" w:line="296" w:lineRule="auto"/>
        <w:rPr>
          <w:sz w:val="20"/>
          <w:szCs w:val="20"/>
          <w:color w:val="auto"/>
        </w:rPr>
      </w:pPr>
      <w:r>
        <w:rPr>
          <w:rFonts w:ascii="Arial" w:cs="Arial" w:eastAsia="Arial" w:hAnsi="Arial"/>
          <w:sz w:val="16"/>
          <w:szCs w:val="16"/>
          <w:color w:val="auto"/>
        </w:rPr>
        <w:t>Regulatory authorities also may approve a product candidate for more limited indications than requested or they may impose significant limitations in the form of narrow indications, warnings, contraindications or Risk Evaluation and Mitigation Strategies, or REMS. These regulatory authorities may also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sectPr>
          <w:pgSz w:w="11900" w:h="16838" w:orient="portrait"/>
          <w:cols w:equalWidth="0" w:num="1">
            <w:col w:w="11120"/>
          </w:cols>
          <w:pgMar w:left="320" w:top="486" w:right="459" w:bottom="1440" w:gutter="0" w:footer="0" w:header="0"/>
        </w:sectPr>
      </w:pP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120"/>
          </w:cols>
          <w:pgMar w:left="320" w:top="486" w:right="45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The outbreak of COVID-19, or similar public health crises, could have a material adverse impact on our business, financial condition and results of operations, including the execution of our planned clinical trials.</w:t>
      </w:r>
    </w:p>
    <w:p>
      <w:pPr>
        <w:spacing w:after="0" w:line="170" w:lineRule="exact"/>
        <w:rPr>
          <w:sz w:val="20"/>
          <w:szCs w:val="20"/>
          <w:color w:val="auto"/>
        </w:rPr>
      </w:pPr>
    </w:p>
    <w:p>
      <w:pPr>
        <w:ind w:left="120" w:right="160"/>
        <w:spacing w:after="0" w:line="288" w:lineRule="auto"/>
        <w:rPr>
          <w:sz w:val="20"/>
          <w:szCs w:val="20"/>
          <w:color w:val="auto"/>
        </w:rPr>
      </w:pPr>
      <w:r>
        <w:rPr>
          <w:rFonts w:ascii="Arial" w:cs="Arial" w:eastAsia="Arial" w:hAnsi="Arial"/>
          <w:sz w:val="16"/>
          <w:szCs w:val="16"/>
          <w:color w:val="auto"/>
        </w:rPr>
        <w:t>In December 2019, a novel strain of coronavirus, SARS-CoV-2, was identified. This virus caused by SARS-CoV-2, COVID-19, has since spread globally, including within the United States and while cases and hospitalization are currently on the decline in the United States, there can be no assurances they will not continue at the current rate or increase in the future especially in light of the number of variants that are emerging across the world. Governments in the United States and elsewhere have taken and are continuing to take severe measures to slow the spread of COVID-19, including requiring that certain businesses close or conduct only the minimum necessary operations.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extent to which COVID-19 will continue to impact our business and operating results will depend on future developments that are highly uncertain and cannot be accurately predicted, including new information that may emerge concerning COVID-19 and government measures taken in response.</w:t>
      </w:r>
    </w:p>
    <w:p>
      <w:pPr>
        <w:spacing w:after="0" w:line="16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Site initiation, participant recruitment and enrollment, participant dosing, distribution of clinical trial materials, study monitoring and data analysis for our planned clinical trials may be delayed due to changes in hospital or university policies, federal, state or local regulations, prioritization of hospital resources toward pandemic efforts, or other reasons related to the pandemic. Additionally, some participants and clinical investigators may not be able to comply with clinical trial protocols. For example, quarantines or other travel limitations (whether voluntary or required) and limited supplies of vaccines, including booster shots, may impede participant movement, affect sponsor access to study sites, or interrupt healthcare services, and Tempest may be unable to conduct its planned clinical trials. If the global effort to control the spread of COVID-19 and treat COVID-19 patients continues for an extended period of time, we risk a delay in activating sites and enrolling subjects as previously projected. Any such delays to our planned clinical trials for TPST-1495 and TPST-1120 and the planned clinical trials for its other product candidates could impact the use and sufficiency of its existing cash reserves, and it may be required to raise additional capital earlier than it had previously planned. We may be unable to raise additional capital if and when needed, which may result in further delays or suspension of its development plans.</w:t>
      </w:r>
    </w:p>
    <w:p>
      <w:pPr>
        <w:spacing w:after="0" w:line="18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Further, infections and deaths related to COVID-19 are disrupting certain healthcare and healthcare regulatory systems globally. Such disruptions could divert healthcare resources away from, or materially delay review by, the FDA and comparable foreign regulatory agencies. It is unknown how long these disruptions could continue, were they to occur. Any elongation or de-prioritization of our clinical trials or delay in regulatory review resulting from such disruptions could materially adversely affect the development and study of its product candidates.</w:t>
      </w:r>
    </w:p>
    <w:p>
      <w:pPr>
        <w:spacing w:after="0" w:line="171"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Tempest currently utilizes third parties to, among other things, manufacture raw materials and its product candidates, components, parts, and consumables, and to perform quality testing. If we or any third-party in the supply chain for materials used in the production of its product candidates are adversely impacted by restrictions resulting from the COVID-19 pandemic, its supply chain may be disrupted, limiting our ability to manufacture product candidates for its clinical trials.</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response to the COVID-19 pandemic, we complied with applicable regulation and limited required on-site staff to essential workers, with the balance of its employees continuing their work primarily outside of our offices. Due to shelter-in-place orders or other mandated local travel restrictions, third parties conducting clinical or manufacturing activities may not be able to access laboratory or manufacturing space, and our core activities may be significantly limited or curtailed, possibly for an extended period of time.</w:t>
      </w:r>
    </w:p>
    <w:p>
      <w:pPr>
        <w:spacing w:after="0" w:line="187" w:lineRule="exact"/>
        <w:rPr>
          <w:sz w:val="20"/>
          <w:szCs w:val="20"/>
          <w:color w:val="auto"/>
        </w:rPr>
      </w:pPr>
    </w:p>
    <w:p>
      <w:pPr>
        <w:ind w:left="120" w:right="400"/>
        <w:spacing w:after="0" w:line="257" w:lineRule="auto"/>
        <w:rPr>
          <w:sz w:val="20"/>
          <w:szCs w:val="20"/>
          <w:color w:val="auto"/>
        </w:rPr>
      </w:pPr>
      <w:r>
        <w:rPr>
          <w:rFonts w:ascii="Arial" w:cs="Arial" w:eastAsia="Arial" w:hAnsi="Arial"/>
          <w:sz w:val="18"/>
          <w:szCs w:val="18"/>
          <w:color w:val="auto"/>
        </w:rPr>
        <w:t>While the potential economic impact brought by and the duration of the pandemic may be difficult to assess or predict, it has already caused, and is likely to result in further, significant disruption of global financial markets and the trading prices of biopharmaceutical companies have been highly volatile as a result of the COVID-19 pandemic, which may reduce Our ability to access capital either at all or on favorable terms. In addition, a recession, depression or other sustained adverse market event resulting from the global effort to control COVID-19 infections could materially and adversely affect Our business.</w:t>
      </w:r>
    </w:p>
    <w:p>
      <w:pPr>
        <w:spacing w:after="0" w:line="18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ultimate impact of the current pandemic, or any other health epidemic, is highly uncertain and subject to change. We do not yet know the full extent of potential delays or impacts on its business, its planned clinical trials, healthcare systems or the global economy as a whole. However, these effects could have a material adverse impact on our business, financial condition and results of operations.</w:t>
      </w:r>
    </w:p>
    <w:p>
      <w:pPr>
        <w:spacing w:after="0" w:line="184"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b w:val="1"/>
          <w:bCs w:val="1"/>
          <w:i w:val="1"/>
          <w:iCs w:val="1"/>
          <w:color w:val="auto"/>
        </w:rPr>
        <w:t>TPST-1495, TPST-1120 and our other product candidates may cause undesirable and/or unforeseen side effects or be perceived by the public as unsafe, which could delay or prevent their advancement into clinical trials or regulatory approval, limit the commercial potential or result in significant negative consequences.</w:t>
      </w:r>
    </w:p>
    <w:p>
      <w:pPr>
        <w:spacing w:after="0" w:line="184"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As we continue developing its product candidates and initiate clinical trials of its additional product candidates, serious adverse events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w:t>
      </w:r>
    </w:p>
    <w:p>
      <w:pPr>
        <w:spacing w:after="0" w:line="16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If any such adverse events occur, our clinical trials could be suspended or terminated and the FDA, the HPFB, the European Commission, the EMA or other regulatory authorities could order us to cease further development of, or deny approval of, our product candidates for any or all targeted indications. Even if we can demonstrate that all future serious adverse events are not</w:t>
      </w:r>
    </w:p>
    <w:p>
      <w:pPr>
        <w:sectPr>
          <w:pgSz w:w="11900" w:h="16838" w:orient="portrait"/>
          <w:cols w:equalWidth="0" w:num="1">
            <w:col w:w="11120"/>
          </w:cols>
          <w:pgMar w:left="320" w:top="486" w:right="459" w:bottom="1114" w:gutter="0" w:footer="0" w:header="0"/>
        </w:sectPr>
      </w:pP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120"/>
          </w:cols>
          <w:pgMar w:left="320" w:top="486" w:right="459" w:bottom="1114"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 business, financial condition, results of operations and prospects significantly, including our ability to successfully sign collaboration or license agreements with external partners. Other treatments for cancers that utilize prostaglandin E2 antagonist or a PPARα antagonist or similar mechanism of action could also generate data that could adversely affect the clinical, regulatory or commercial perception of TPST-1495 and TPST-1120 and our other product candidates.</w:t>
      </w:r>
    </w:p>
    <w:p>
      <w:pPr>
        <w:spacing w:after="0" w:line="166"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Additionally, if any of our product candidates receives marketing approval, the FDA could require Tempest to adopt a REMS to ensure that the benefits of the product outweigh its risks, which may include, for example, a Medication Guide outlining the risks of the product for distribution to patients and a communication plan to health care practitioners, or other elements to assure safe use of the product. Furthermore, if we or others later identify undesirable side effects caused by our product candidates, several potentially significant negative consequences could result, including:</w:t>
      </w:r>
    </w:p>
    <w:p>
      <w:pPr>
        <w:spacing w:after="0" w:line="63"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in the labeling;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change the way a product candidate is administered or conduct additional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of these occurrences may harm our business, financial condition, results of operations and prospects significantly.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Tempest may not be successful in its efforts to expand its pipeline of product candidates and develop marketable products.</w:t>
      </w:r>
    </w:p>
    <w:p>
      <w:pPr>
        <w:spacing w:after="0" w:line="225"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Because we have limited financial and managerial resources, we focus on research programs and product candidates that we identify for specific indications. Our business depends on its successful development and commercialization of the limited number of internal product candidates we are researching or has in preclinical development. Even if we are successful in continuing to build its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Tempest cannot develop further product candidates, we may not be able to obtain product revenue in future periods, which would adversely affect our business, prospects, financial condition and results of operations.</w:t>
      </w:r>
    </w:p>
    <w:p>
      <w:pPr>
        <w:spacing w:after="0" w:line="166"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Although our pipeline includes multiple programs, we are primarily focused on its lead product candidates, TPST-1495 and TPST-1120, and Tempest may forego or delay pursuit of opportunities with other product candidates or for other indications that later prove to have greater commercial potential. We. our resource allocation decisions may cause us to fail to capitalize on viable commercial products or profitable market opportunities. We. our spending on current and future research and development programs and product candidates for specific indications may not yield any commercially viable products. We.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65" w:lineRule="exact"/>
        <w:rPr>
          <w:sz w:val="20"/>
          <w:szCs w:val="20"/>
          <w:color w:val="auto"/>
        </w:rPr>
      </w:pPr>
    </w:p>
    <w:p>
      <w:pPr>
        <w:jc w:val="both"/>
        <w:ind w:left="120" w:right="280"/>
        <w:spacing w:after="0" w:line="311" w:lineRule="auto"/>
        <w:rPr>
          <w:sz w:val="20"/>
          <w:szCs w:val="20"/>
          <w:color w:val="auto"/>
        </w:rPr>
      </w:pPr>
      <w:r>
        <w:rPr>
          <w:rFonts w:ascii="Arial" w:cs="Arial" w:eastAsia="Arial" w:hAnsi="Arial"/>
          <w:sz w:val="16"/>
          <w:szCs w:val="16"/>
          <w:b w:val="1"/>
          <w:bCs w:val="1"/>
          <w:i w:val="1"/>
          <w:iCs w:val="1"/>
          <w:color w:val="auto"/>
        </w:rPr>
        <w:t>Any product candidate for which we obtain marketing approval will be subject to extensive post-marketing regulatory requirements and could be subject to post-marketing restrictions or withdrawal from the market, and Tempest may be subject to penalties if it fails to comply with regulatory requirements or if it experiences unanticipated problems with its product candidates, when and if any of them are approved.</w:t>
      </w:r>
    </w:p>
    <w:p>
      <w:pPr>
        <w:spacing w:after="0" w:line="14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(“cGMPs”), quality control, quality assurance and corresponding maintenance of records and documents, including periodic inspections by the FDA and other regulatory authorities and requirements regarding the distribution of samples to providers and recordkeeping. In addition, manufacturers of drug products and their facilities are subject to continual review and periodic, unannounced inspections by the FDA and other regulatory authorities for compliance with cGMPs.</w:t>
      </w:r>
    </w:p>
    <w:p>
      <w:pPr>
        <w:spacing w:after="0" w:line="192" w:lineRule="exact"/>
        <w:rPr>
          <w:sz w:val="20"/>
          <w:szCs w:val="20"/>
          <w:color w:val="auto"/>
        </w:rPr>
      </w:pPr>
    </w:p>
    <w:p>
      <w:pPr>
        <w:ind w:left="120" w:right="320"/>
        <w:spacing w:after="0" w:line="272"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any approved product. The FDA closely regulates the post-approval marketing and promotion of drugs to ensure that they are marketed in a manner consistent with the provisions of the approved labeling. The FDA imposes stringent restrictions on manufacturers’ communications regarding use of their products. If we promote its product candidates in a manner inconsistent with FDA-approved labeling or otherwise not in compliance with FDA regulations, Tempest may be subject to enforcement action. Violations of the Federal Food, Drug, and Cosmetic Act relating to the promotion of prescription drugs may lead to investigations alleging violations of federal and state healthcare fraud and abuse laws, as well as state consumer protection laws and similar laws in international jurisdictions.</w:t>
      </w:r>
    </w:p>
    <w:p>
      <w:pPr>
        <w:sectPr>
          <w:pgSz w:w="11900" w:h="16838" w:orient="portrait"/>
          <w:cols w:equalWidth="0" w:num="1">
            <w:col w:w="11120"/>
          </w:cols>
          <w:pgMar w:left="320" w:top="486" w:right="459" w:bottom="1155" w:gutter="0" w:footer="0" w:header="0"/>
        </w:sectPr>
      </w:pP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120"/>
          </w:cols>
          <w:pgMar w:left="320" w:top="486" w:right="459" w:bottom="1155"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76"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such product candidates, manufacturers or manufacturing processes;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any approved product from the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Tempest submits;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recall of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occurrence of any event or penalty described above may inhibit our ability to commercialize its product candidates and generate revenue and could require us to expend significant time and resources in response and could generate negative publicity. 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it may lose any marketing approval that it has obtained, and Tempest may not achieve or sustain profitability.</w:t>
      </w:r>
    </w:p>
    <w:p>
      <w:pPr>
        <w:spacing w:after="0" w:line="161" w:lineRule="exact"/>
        <w:rPr>
          <w:sz w:val="20"/>
          <w:szCs w:val="20"/>
          <w:color w:val="auto"/>
        </w:rPr>
      </w:pPr>
    </w:p>
    <w:p>
      <w:pPr>
        <w:jc w:val="both"/>
        <w:ind w:left="120" w:right="340"/>
        <w:spacing w:after="0" w:line="286" w:lineRule="auto"/>
        <w:rPr>
          <w:sz w:val="20"/>
          <w:szCs w:val="20"/>
          <w:color w:val="auto"/>
        </w:rPr>
      </w:pPr>
      <w:r>
        <w:rPr>
          <w:rFonts w:ascii="Arial" w:cs="Arial" w:eastAsia="Arial" w:hAnsi="Arial"/>
          <w:sz w:val="17"/>
          <w:szCs w:val="17"/>
          <w:color w:val="auto"/>
        </w:rPr>
        <w:t>Non-compliance with Canadian and European requirements regarding safety monitoring or pharmacovigilance, and with requirements related to the development of products for the pediatric population, can also result in significant financial penalties. Similarly, failure to comply with Canada’s or Europe’s requirements regarding the protection of personal information can also lead to significant penalties and sanctions.</w:t>
      </w:r>
    </w:p>
    <w:p>
      <w:pPr>
        <w:spacing w:after="0" w:line="16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its product candidates outside the United States.</w:t>
      </w:r>
    </w:p>
    <w:p>
      <w:pPr>
        <w:spacing w:after="0" w:line="170"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To market and sell TPST-1495, TPST-1120 and our other product candidates in other jurisdictions, we must obtain separate marketing approvals and comply with numerous and varying regulatory requirements. The approval procedure varies among countries and can involve additional testing. The time and data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Tempest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Tempest and could delay or prevent the introduction of our product candidates in certain countries.</w:t>
      </w:r>
    </w:p>
    <w:p>
      <w:pPr>
        <w:spacing w:after="0" w:line="177"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its ability to realize the full market potential of its product candidates will be harmed and its business will be adversely affected. We may not obtain foreign regulatory approvals on a timely basis, if at all. We. our failure to obtain approval of any of its product candidates by regulatory authorities in another country may significantly diminish the commercial prospects of that product candidate and our business prospects could decline.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Commercialization and Manufacturing</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 candidates, including TPST-1495 and TPST-1120, will depend upon their degree of market acceptance by providers, patients, patient advocacy groups, third-party payors and the general medical community.</w:t>
      </w:r>
    </w:p>
    <w:p>
      <w:pPr>
        <w:spacing w:after="0" w:line="170"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Even if the requisite approvals from the FDA, the HPFB, the EMA and other regulatory authorities internationally are obtained, the commercial success of our product candidates will depend, in part, on the acceptance of providers, patients and third-party payors of drugs designed to act as a dual antagonist of EP2 and EP4 and PPARα antagonists in general, and our product candidates in particular, as medically necessary, cost-effective and safe. In addition, Tempest may face challenges in seeking to establish and grow sales of TPST-1495 and TPST-1120 or its other product candidates. Any product that Tempest commercializes may not gain acceptance by providers, patients, patient advocacy groups, third-party payors and the general medical community. If these products do not achieve an adequate level of acceptance, Tempest may not generate significant product revenue and may not become profitable. The degree of market acceptance of TPST-1495, TPST-1120 and our other product candidates, if approved for commercial sale, will depend on several factors, including:</w:t>
      </w:r>
    </w:p>
    <w:p>
      <w:pPr>
        <w:spacing w:after="0" w:line="84"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efficacy, durability and safety of such product candidates as demonstrated in clinical trials;</w:t>
      </w:r>
    </w:p>
    <w:p>
      <w:pPr>
        <w:sectPr>
          <w:pgSz w:w="11900" w:h="16838" w:orient="portrait"/>
          <w:cols w:equalWidth="0" w:num="1">
            <w:col w:w="11120"/>
          </w:cols>
          <w:pgMar w:left="320" w:top="486" w:right="459" w:bottom="1141"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120"/>
          </w:cols>
          <w:pgMar w:left="320" w:top="486" w:right="459" w:bottom="1141"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the FDA, the HPFB or the European Commission;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providers to prescribe new therapies;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the HPFB, EMA or other regulatory authorities, including any limitations or warnings contained in a product’s approved labeling;</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quality of our relationships with patient advocacy groups;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publicity concerning our product candidates or competing products and treatments;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sufficient third-party payor coverage and adequate reimbursement.</w:t>
      </w:r>
    </w:p>
    <w:p>
      <w:pPr>
        <w:spacing w:after="0" w:line="22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70"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b w:val="1"/>
          <w:bCs w:val="1"/>
          <w:i w:val="1"/>
          <w:iCs w:val="1"/>
          <w:color w:val="auto"/>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184"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Tempest obtains regulatory approval. In addition, because our product candidates represent new approaches to the treatment of cancer, Tempest cannot accurately estimate the potential revenue from our product candidates.</w:t>
      </w:r>
    </w:p>
    <w:p>
      <w:pPr>
        <w:spacing w:after="0" w:line="188" w:lineRule="exact"/>
        <w:rPr>
          <w:sz w:val="20"/>
          <w:szCs w:val="20"/>
          <w:color w:val="auto"/>
        </w:rPr>
      </w:pPr>
    </w:p>
    <w:p>
      <w:pPr>
        <w:ind w:left="120" w:right="280"/>
        <w:spacing w:after="0" w:line="255" w:lineRule="auto"/>
        <w:rPr>
          <w:sz w:val="20"/>
          <w:szCs w:val="20"/>
          <w:color w:val="auto"/>
        </w:rPr>
      </w:pPr>
      <w:r>
        <w:rPr>
          <w:rFonts w:ascii="Arial" w:cs="Arial" w:eastAsia="Arial" w:hAnsi="Arial"/>
          <w:sz w:val="18"/>
          <w:szCs w:val="18"/>
          <w:color w:val="auto"/>
        </w:rPr>
        <w:t>Tempest expects that coverage and reimbursement by third-party payors will be essential for most patients to be able to afford these treatments. Accordingly, sales of our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payors, private health coverage insurers and other third-party payors. Even if coverage is provided, the established reimbursement amount may not be high enough to allow Tempest to establish or maintain pricing sufficient to realize a sufficient return on our investment.</w:t>
      </w:r>
    </w:p>
    <w:p>
      <w:pPr>
        <w:spacing w:after="0" w:line="192" w:lineRule="exact"/>
        <w:rPr>
          <w:sz w:val="20"/>
          <w:szCs w:val="20"/>
          <w:color w:val="auto"/>
        </w:rPr>
      </w:pPr>
    </w:p>
    <w:p>
      <w:pPr>
        <w:ind w:left="120" w:right="160"/>
        <w:spacing w:after="0" w:line="271"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and reimbursed. The Medicare program covers certain individuals aged 65 or older, disabled or suffering from end-stage renal disease. The Medicaid program, which varies from state-to-state, covers certain individuals and families who have limited financial means. The Medicare and Medicaid programs increasingly are used as models for how private payors and other government payors develop their coverage and reimbursement policies for drugs. One payor’s determination to provide coverage for a drug product, however, does not assure that other payors will also provide coverage for the drug product. Further, a payor’s decision to provide coverage for a drug product does not imply that an adequate reimbursement rate will be approved.</w:t>
      </w:r>
    </w:p>
    <w:p>
      <w:pPr>
        <w:spacing w:after="0" w:line="178"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In addition to government and private payors, professional organizations such as the American Medical Association (“AMA”), can influence decisions about coverage and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compared to existing alternatives. Such organizations may set guidelines that limit reimbursement or utilization of our product candidates, if approved. Even if favorable coverage and reimbursement status is attained for one or more product candidates for which our collaborators receive regulatory approval, less favorable coverage policies and reimbursement rates may be implemented in the future.</w:t>
      </w:r>
    </w:p>
    <w:p>
      <w:pPr>
        <w:spacing w:after="0" w:line="178"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Tempest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its product candidates. Accordingly, in markets outside the United States, the reimbursement for our product candidates may be reduced compared with the United States and may be insufficient to generate commercially reasonable revenues and profits.</w:t>
      </w:r>
    </w:p>
    <w:p>
      <w:pPr>
        <w:sectPr>
          <w:pgSz w:w="11900" w:h="16838" w:orient="portrait"/>
          <w:cols w:equalWidth="0" w:num="1">
            <w:col w:w="11120"/>
          </w:cols>
          <w:pgMar w:left="320" w:top="486" w:right="459" w:bottom="642" w:gutter="0" w:footer="0" w:header="0"/>
        </w:sectPr>
      </w:pP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120"/>
          </w:cols>
          <w:pgMar w:left="320" w:top="486" w:right="459" w:bottom="642"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Moreover, increasing efforts by government and other third-party payors, in the United States and internationally, to cap or reduce healthcare costs may cause such payors to limit both coverage and the level of reimbursement for new products approved and, as a result, they may not cover or provide adequate payment for our product candidates. We expects to experience pricing pressures 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labeling. Even if we are successful in obtaining FDA approval to commercialize our product candidates, Tempest cannot guarantee that Tempest will be able to secure reimbursement for all patients for whom treatment with our product candidates is indicated.</w:t>
      </w:r>
    </w:p>
    <w:p>
      <w:pPr>
        <w:spacing w:after="0" w:line="16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If third parties on which Tempest depends to conduct its planned preclinical studies or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184" w:lineRule="exact"/>
        <w:rPr>
          <w:sz w:val="20"/>
          <w:szCs w:val="20"/>
          <w:color w:val="auto"/>
        </w:rPr>
      </w:pPr>
    </w:p>
    <w:p>
      <w:pPr>
        <w:ind w:left="120" w:right="160"/>
        <w:spacing w:after="0" w:line="289" w:lineRule="auto"/>
        <w:rPr>
          <w:sz w:val="20"/>
          <w:szCs w:val="20"/>
          <w:color w:val="auto"/>
        </w:rPr>
      </w:pPr>
      <w:r>
        <w:rPr>
          <w:rFonts w:ascii="Arial" w:cs="Arial" w:eastAsia="Arial" w:hAnsi="Arial"/>
          <w:sz w:val="16"/>
          <w:szCs w:val="16"/>
          <w:color w:val="auto"/>
        </w:rPr>
        <w:t>we rely on third party CROs, CMOs, consultants and others to design, conduct, supervise and monitor key activities relating to, discovery, manufacturing, preclinical studies and clinical trials of our product candidates, and Tempest intends to do the same for future activities relating to existing and future programs. Because Tempest relies on third parties and does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spacing w:after="0" w:line="166"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as well as in accordance with GLP, GCP and other applicable laws, regulations and standards. Our reliance on third parties that it does not control does not relieve us of these responsibilities and requirements. The FDA and other regulatory authorities enforce GCPs through periodic inspections of trial sponsors, principal investigators and trial sites. If we or any of these third parties fails to comply with applicable GCPs, the clinical data generated in its clinical trials may be deemed unreliable and the FDA or comparable foreign regulatory authorities may require us to perform additional clinical trials before approving its marketing applications. We cannot assure you that upon inspection by a given regulatory authority, such regulatory authority will determine that any of our clinical trials have complied with GCPs. In addition, our clinical trials must be conducted with product produced in accordance with cGMPs. Our failure to comply with these regulations may require it to repeat clinical trials, which could delay or prevent the receipt of regulatory approvals. Any such event could have an adverse effect on our business, financial condition, results of operations and prospects.</w:t>
      </w:r>
    </w:p>
    <w:p>
      <w:pPr>
        <w:spacing w:after="0" w:line="168"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b w:val="1"/>
          <w:bCs w:val="1"/>
          <w:i w:val="1"/>
          <w:iCs w:val="1"/>
          <w:color w:val="auto"/>
        </w:rPr>
        <w:t>Tempest faces significant competition in an environment of rapid technological change, and it is possible that our competitors may achieve regulatory approval before us or develop therapies that are more advanced or effective than our therapies, which may harm our business, financial condition and our ability to successfully market or commercialize TPST-1495, TPST-1120, and our other product candidates.</w:t>
      </w:r>
    </w:p>
    <w:p>
      <w:pPr>
        <w:spacing w:after="0" w:line="149"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The biopharmaceutical industry, and the immuno-oncology industry specifically, is characterized by intense competition and rapid innovation. We are aware of other companies focused on developing cancer therapies in various indications. We may also face competition from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spacing w:after="0" w:line="15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Many of our potential competitors, alone or with their strategic partners, may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Tempest may develop. Competitors also may obtain FDA or other regulatory approval for their products more rapidly than Tempest may obtain approval for its products, which could result in our competitors establishing a strong market position before we are able to enter the market, if ever. Additionally, new or advanced technologies developed by our competitors may render our current or future product candidates uneconomical or obsolete, and Tempest may not be successful in marketing its product candidates against competitors.</w:t>
      </w:r>
    </w:p>
    <w:p>
      <w:pPr>
        <w:spacing w:after="0" w:line="18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To become and remain profitable, we must develop and eventually commercialize product candidates with significant market potential, which will require us to be successful in a range of challenging activities.</w:t>
      </w:r>
    </w:p>
    <w:p>
      <w:pPr>
        <w:spacing w:after="0" w:line="170"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w:t>
      </w:r>
    </w:p>
    <w:p>
      <w:pPr>
        <w:sectPr>
          <w:pgSz w:w="11900" w:h="16838" w:orient="portrait"/>
          <w:cols w:equalWidth="0" w:num="1">
            <w:col w:w="11100"/>
          </w:cols>
          <w:pgMar w:left="320" w:top="486" w:right="479" w:bottom="1440" w:gutter="0" w:footer="0" w:header="0"/>
        </w:sectPr>
      </w:pP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100"/>
          </w:cols>
          <w:pgMar w:left="320" w:top="486" w:right="47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activities and, even if we do, we may never generate revenues that are significant or large enough to achieve profitability. If we do achieve profitability, we may not be able to sustain or increase profitability on a quarterly or annual basis. We. our failure to become and remain profitable would decrease the value of Tempest and could impair our ability to raise capital, maintain our research and development efforts, expand our business or continue operations. A decline in the value of Tempest also could cause you to lose all or part of your investment.</w:t>
      </w:r>
    </w:p>
    <w:p>
      <w:pPr>
        <w:spacing w:after="0" w:line="171"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Tempest may rely on third parties to manufacture our clinical product supplies, and Tempest may have to rely on third parties to produce and process our product candidates, if approved.</w:t>
      </w:r>
    </w:p>
    <w:p>
      <w:pPr>
        <w:spacing w:after="0" w:line="170"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We must currently rely on outside vendors to manufacture supplies and process our product candidates. We have not yet caused its product candidates to be manufactured or processed on a commercial scale and may not be able to achieve manufacturing and processing and may be unable to create an inventory of mass-produced, off-the-shelf product to satisfy demands for any of our product candidates.</w:t>
      </w:r>
    </w:p>
    <w:p>
      <w:pPr>
        <w:spacing w:after="0" w:line="16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its product candidates. As a result, we may never be able to develop a commercially viable product.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we anticipate reliance on a limited number of third-party manufacturers exposes it to the following risks:</w:t>
      </w:r>
    </w:p>
    <w:p>
      <w:pPr>
        <w:spacing w:after="0" w:line="131" w:lineRule="exact"/>
        <w:rPr>
          <w:sz w:val="20"/>
          <w:szCs w:val="20"/>
          <w:color w:val="auto"/>
        </w:rPr>
      </w:pPr>
    </w:p>
    <w:p>
      <w:pPr>
        <w:ind w:left="1080" w:right="2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spacing w:after="0" w:line="92"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formulate and manufacture our product or produce the quantity and quality required to meet our clinical and commercial needs, if any.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manufacturing procedures appropriately.</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future contract manufacturers may not perform as agreed or may not remain in the contract manufacturing business for the time required to supply our clinical trials or to successfully produce, store and distribute our products.</w:t>
      </w:r>
    </w:p>
    <w:p>
      <w:pPr>
        <w:spacing w:after="0" w:line="75" w:lineRule="exact"/>
        <w:rPr>
          <w:rFonts w:ascii="Arial" w:cs="Arial" w:eastAsia="Arial" w:hAnsi="Arial"/>
          <w:sz w:val="18"/>
          <w:szCs w:val="18"/>
          <w:color w:val="auto"/>
        </w:rPr>
      </w:pPr>
    </w:p>
    <w:p>
      <w:pPr>
        <w:ind w:left="1080" w:right="700" w:hanging="532"/>
        <w:spacing w:after="0" w:line="311"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spacing w:after="0" w:line="54" w:lineRule="exact"/>
        <w:rPr>
          <w:rFonts w:ascii="Arial" w:cs="Arial" w:eastAsia="Arial" w:hAnsi="Arial"/>
          <w:sz w:val="16"/>
          <w:szCs w:val="16"/>
          <w:color w:val="auto"/>
        </w:rPr>
      </w:pPr>
    </w:p>
    <w:p>
      <w:pPr>
        <w:ind w:left="1080" w:right="12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third-party manufacturers could breach or terminate their agreement(s) with us.</w:t>
      </w:r>
    </w:p>
    <w:p>
      <w:pPr>
        <w:spacing w:after="0" w:line="22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Our contract manufacturers would also be subject to the same risks we face in developing its own manufacturing capabilities, as described above. Each of these risks could delay our clinical trials, the approval, if any, of our product candidates by the 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188"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its product candidates for clinical trials, our ability to obtain marketing approval, or our ability to provide supply of our product candidates for patients, if approved, could be delayed or stopped.</w:t>
      </w:r>
    </w:p>
    <w:p>
      <w:pPr>
        <w:spacing w:after="0" w:line="14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intend to establish manufacturing relationships with a limited number of suppliers to manufacture raw materials, the drug substance and finished product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regulatory approval.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9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process of manufacturing drugs is complex, highly-regulated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CMOs are not in compliance with FDA laws and regulations, including those governing cGMPs, the FDA may deny NDA approval until the deficiencies are corrected or Tempest replaces the manufacturer in our NDA with a manufacturer that is in compliance. In addition, approved products and the facilities at which they are manufactured are required to maintain ongoing compliance with extensive FDA</w:t>
      </w:r>
    </w:p>
    <w:p>
      <w:pPr>
        <w:sectPr>
          <w:pgSz w:w="11900" w:h="16838" w:orient="portrait"/>
          <w:cols w:equalWidth="0" w:num="1">
            <w:col w:w="11120"/>
          </w:cols>
          <w:pgMar w:left="320" w:top="486" w:right="459" w:bottom="912" w:gutter="0" w:footer="0" w:header="0"/>
        </w:sectPr>
      </w:pP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120"/>
          </w:cols>
          <w:pgMar w:left="320" w:top="486" w:right="459" w:bottom="912"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Tempest does not have day-to-day control over the operations of its CMOs, it is responsible for ensuring compliance with applicable laws and regulations, including cGMPs.</w:t>
      </w:r>
    </w:p>
    <w:p>
      <w:pPr>
        <w:spacing w:after="0" w:line="18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spacing w:after="0" w:line="17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believe that we will rely upon on a limited number of manufacturers for its product candidates, which may include single-source suppliers for the various steps of manufacture. This reliance on a limited number of manufacturers and the complexity of drug manufacturing and the difficulty of scaling up a manufacturing process could cause the delay of clinical trials, regulatory submissions, required approvals or commercialization of our product candidates, cause us to incur higher costs and prevent Tempest from commercializing our product candidates successfully. Furthermore, if our suppliers fail to deliver the required commercial 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17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Tempest may be unable to generate any revenues.</w:t>
      </w:r>
    </w:p>
    <w:p>
      <w:pPr>
        <w:spacing w:after="0" w:line="17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currently do not have an organization for the sales, marketing and distribution of TPST-1495, TPST-1120, TREX-1 and our other product candidates, and the cost of establishing and maintaining such an organization may exceed the cost-effectiveness of doing so. To market any products that may be approved, Tempest must build its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Tempest intends to establish a sales organization if we are able to obtain approval to market any product candidates, Tempest may enter into strategic alliances with third parties to develop and commercialize TPST-1495, TPST-1120 and other product candidates, including in markets outside of the United States or for other large markets that are beyond our resources. This will reduce the revenue generated from the sales of these products.</w:t>
      </w:r>
    </w:p>
    <w:p>
      <w:pPr>
        <w:spacing w:after="0" w:line="17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marketing and sales force, or if our potential future strategic alliance partners do not successfully commercialize the product candidates, our ability to generate revenues from product sales will be adversely affected.</w:t>
      </w:r>
    </w:p>
    <w:p>
      <w:pPr>
        <w:spacing w:after="0" w:line="188"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If we are unable to establish adequate sales, marketing and distribution capabilities, whether independently or with third parties, Tempest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Tempest may be unable to compete successfully against these more established companies.</w:t>
      </w:r>
    </w:p>
    <w:p>
      <w:pPr>
        <w:spacing w:after="0" w:line="171"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Tempest may not be successful in finding strategic collaborators for continuing development of certain of our future product candidates or successfully commercializing or competing in the market for certain indications.</w:t>
      </w:r>
    </w:p>
    <w:p>
      <w:pPr>
        <w:spacing w:after="0" w:line="170"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the future, Tempest may decide to collaborate with non-profit organizations, universities and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8"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Tempest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expense. If Tempest elects to increase our expenditures to fund development or commercialization activities on our product candidates, Tempest may need to obtain additional capital, which may not be available to us on acceptable terms or at all. If we do not have sufficient funds, we may not be able to further develop our product candidates or bring them to market and generate product revenue.</w:t>
      </w:r>
    </w:p>
    <w:p>
      <w:pPr>
        <w:sectPr>
          <w:pgSz w:w="11900" w:h="16838" w:orient="portrait"/>
          <w:cols w:equalWidth="0" w:num="1">
            <w:col w:w="11120"/>
          </w:cols>
          <w:pgMar w:left="320" w:top="486" w:right="459" w:bottom="466" w:gutter="0" w:footer="0" w:header="0"/>
        </w:sectPr>
      </w:pP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120"/>
          </w:cols>
          <w:pgMar w:left="320" w:top="486" w:right="459" w:bottom="466"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4" w:lineRule="auto"/>
        <w:rPr>
          <w:sz w:val="20"/>
          <w:szCs w:val="20"/>
          <w:color w:val="auto"/>
        </w:rPr>
      </w:pPr>
      <w:r>
        <w:rPr>
          <w:rFonts w:ascii="Arial" w:cs="Arial" w:eastAsia="Arial" w:hAnsi="Arial"/>
          <w:sz w:val="18"/>
          <w:szCs w:val="18"/>
          <w:color w:val="auto"/>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Tempest financially and could harm our business reputation.</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Tempest may experience significant delays in the clinical development and regulatory approval of our product candidates.</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Obtaining FDA approval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its product candidates, the FDA may approve its product candidates for a more limited indication or a narrower patient population than originally requested or may impose other prescribing limitations or warnings that limit the product’s commercial potential. We have not submitted for, or obtained, regulatory approval for any product candidate, and it is possible that none of its product candidates will ever obtain regulatory approval. Further, development of our product candidates and/or regulatory approval may be delayed for reasons beyond its control.</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also experience delays in obtaining regulatory approvals, including but not limited to:</w:t>
      </w:r>
    </w:p>
    <w:p>
      <w:pPr>
        <w:spacing w:after="0" w:line="131"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regulatory authorization to begin a trial, if applicable;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redesigning its study protocols and need to conduct additional studies as may be required by a regulator;</w:t>
      </w:r>
    </w:p>
    <w:p>
      <w:pPr>
        <w:spacing w:after="0" w:line="130"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regulation or policy relating to the development and commercialization of its product candidate by the FDA or other comparable foreign regulatory authorities;</w:t>
      </w:r>
    </w:p>
    <w:p>
      <w:pPr>
        <w:spacing w:after="0" w:line="75" w:lineRule="exact"/>
        <w:rPr>
          <w:rFonts w:ascii="Arial" w:cs="Arial" w:eastAsia="Arial" w:hAnsi="Arial"/>
          <w:sz w:val="18"/>
          <w:szCs w:val="18"/>
          <w:color w:val="auto"/>
        </w:rPr>
      </w:pPr>
    </w:p>
    <w:p>
      <w:pPr>
        <w:ind w:left="1080" w:right="62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and other comparable foreign regulatory authorities;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negotiating the terms of any collaboration agreements we may choose to initiate or conclude;</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 including good clinical practice standards (“GCPs”);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30"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recruit and enroll suitable patients to participate in a trial;</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having patients complete a trial, including having patients enrolled in clinical trials dropping out of the trial before the product candidate is manufactured and returned to the site, or return for post-treatment follow-up;</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addressing any patient safety concerns that arise during the course of a trial;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add new clinical trial sites;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varying interpretations of the data generated from its preclinical or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defending intellectual property disputes, including patent infringement actions brought by third parties;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and timing of establishing, expanding and scaling manufacturing capabilities;</w:t>
      </w:r>
    </w:p>
    <w:p>
      <w:pPr>
        <w:sectPr>
          <w:pgSz w:w="11900" w:h="16838" w:orient="portrait"/>
          <w:cols w:equalWidth="0" w:num="1">
            <w:col w:w="11120"/>
          </w:cols>
          <w:pgMar w:left="320" w:top="486" w:right="45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120"/>
          </w:cols>
          <w:pgMar w:left="320" w:top="486" w:right="45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4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manufacture, or obtain from third parties, sufficient quantities of qualified materials under cGMPs, for the completion in pre-clinical and clinical studies;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problems with biopharmaceutical product candidate storage, stability and distribution resulting in global supply chain disruptions;</w:t>
      </w:r>
    </w:p>
    <w:p>
      <w:pPr>
        <w:spacing w:after="0" w:line="142" w:lineRule="exact"/>
        <w:rPr>
          <w:rFonts w:ascii="Arial" w:cs="Arial" w:eastAsia="Arial" w:hAnsi="Arial"/>
          <w:sz w:val="17"/>
          <w:szCs w:val="17"/>
          <w:color w:val="auto"/>
        </w:rPr>
      </w:pPr>
    </w:p>
    <w:p>
      <w:pPr>
        <w:ind w:left="1080" w:right="56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 for which we may receive regulatory approval in regions where Tempest chooses to commercialize its products on its own; or</w:t>
      </w:r>
    </w:p>
    <w:p>
      <w:pPr>
        <w:spacing w:after="0" w:line="75"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unforeseen business disruptions or market fluctuations that delay its product development or clinical trials and increase its costs or expenses, such as business or operational disruptions, delays, or system failures due to malware, unauthorized access, terrorism, war, natural disasters, strikes, geopolitical conflicts, restrictions on trade, import or export restrictions, or public health crises, such as the current COVID-19 pandemic.</w:t>
      </w:r>
    </w:p>
    <w:p>
      <w:pPr>
        <w:spacing w:after="0" w:line="187"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6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Many of the factors that cause, or lead to, a delay in the commencement or completion of clinical trials may ultimately lead to the denial of regulatory approval of our product candidates.</w:t>
      </w:r>
    </w:p>
    <w:p>
      <w:pPr>
        <w:spacing w:after="0" w:line="170"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b w:val="1"/>
          <w:bCs w:val="1"/>
          <w:i w:val="1"/>
          <w:iCs w:val="1"/>
          <w:color w:val="auto"/>
        </w:rPr>
        <w:t>We may seek Breakthrough Therapy designation or Fast Track designation by the FDA for one or more of its product candidates, but may not receive such designation. Even if we secure such designation, it may not lead to a faster development or regulatory review or approval process and it does not increase the likelihood that our product candidates will receive marketing approval.</w:t>
      </w:r>
    </w:p>
    <w:p>
      <w:pPr>
        <w:spacing w:after="0" w:line="16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may seek Breakthrough Therapy or Fast Track designation for some of its product candidates. If a product candidate is intended for the treatment of a serious or life-threatening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things as the design of the proposed clinical trials and use of biomarkers, eligibility for Accelerated Approval and Priority Review, if relevant criteria are met, and rolling review, which means that a drug company can submit completed sections of its NDA for review by FDA, rather than waiting until every section of the NDA is completed before the entire application can be reviewed. NDA review usually does not begin until the entire application has been submitted to the FDA.</w:t>
      </w:r>
    </w:p>
    <w:p>
      <w:pPr>
        <w:spacing w:after="0" w:line="178"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by the FDA may be eligible for all features of Fast Track designation, intensive guidance on an efficient drug development program, beginning as early as Phase 1, and organizational commitment involving senior managers at FDA.</w:t>
      </w:r>
    </w:p>
    <w:p>
      <w:pPr>
        <w:spacing w:after="0" w:line="176"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FDA has broad discretion whether or not to grant these designations, so even if Tempest believes a particular product candidate is eligible, it cannot assure that the FDA would decide to grant the designation. Even if Tempest obtains Fast Track designation and/or Breakthrough Therapy designation for one or more of our product candidates, it may not experience a faster development process, review or approval compared to non-expedited FDA review procedures. In addition, the FDA may withdraw Fast Track designation or Breakthrough Therapy designation if it believes that the designation is no longer supported. These designations do not guarantee qualification for the FDA’s priority review procedures or a faster review or approval process.</w:t>
      </w:r>
    </w:p>
    <w:p>
      <w:pPr>
        <w:spacing w:after="0" w:line="161"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b w:val="1"/>
          <w:bCs w:val="1"/>
          <w:i w:val="1"/>
          <w:iCs w:val="1"/>
          <w:color w:val="auto"/>
        </w:rPr>
        <w:t>We may attempt to secure FDA approval of its product candidates through the accelerated approval pathway. If we are unable to obtain accelerated approval, Tempest may be required to conduct additional preclinical studies or clinical trials beyond those that Tempest currently contemplates, which could increase the expense of obtaining, and delay the receipt of, necessary marketing approvals.</w:t>
      </w:r>
    </w:p>
    <w:p>
      <w:pPr>
        <w:spacing w:after="0" w:line="14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are developing certain product candidates for the treatment of serious conditions, and therefore may decide to seek approval of such product candidates under the FDA’s accelerated approval pathway. A product may be eligible for accelerated approval if it is designed to treat a serious or life-threatening disease or condition and provides a meaningful therapeutic benefit over existing treatments based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of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w:t>
      </w:r>
    </w:p>
    <w:p>
      <w:pPr>
        <w:sectPr>
          <w:pgSz w:w="11900" w:h="16838" w:orient="portrait"/>
          <w:cols w:equalWidth="0" w:num="1">
            <w:col w:w="11140"/>
          </w:cols>
          <w:pgMar w:left="320" w:top="486" w:right="439" w:bottom="1440" w:gutter="0" w:footer="0" w:header="0"/>
        </w:sectPr>
      </w:pP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140"/>
          </w:cols>
          <w:pgMar w:left="320" w:top="486" w:right="4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anticipated effect on irreversible morbidity or mortality or other clinical benefit. In some cases, the FDA may require that the trial be designed, initiated, and/or fully enrolled prior to approval. If the sponsor fails to conduct such studies in a timely manner, or if such post-approval studies fail to verify the drug’s predicted clinical benefit, or if other evidence demonstrates that our product candidate is not shown to be safe and effective under the conditions of use, the FDA may withdraw its approval of the drug on an expedited basis.</w:t>
      </w:r>
    </w:p>
    <w:p>
      <w:pPr>
        <w:spacing w:after="0" w:line="17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If we decide to submit an NDA seeking accelerated approval or receives an expedited regulatory designation for any of its product candidates, there can be no assurance that such submission or application will be accepted or that any expedited development, review or approval will be granted on a timely basis, or at all.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its product candidate would be more difficult or may not occur.</w:t>
      </w:r>
    </w:p>
    <w:p>
      <w:pPr>
        <w:spacing w:after="0" w:line="176"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Failure to obtain accelerated approval or any other form of expedited development, review or approval for our product candidates would result in a longer time period to commercialization of such product candidate, if any, and could increase the cost of development of such product candidate harm our competitive position in the marketplace.</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We may be unsuccessful in obtaining Orphan Drug Designation for its product candidates or transfer of designations obtained by others for future product candidates, and, even if we obtain such designation, it may be unable to maintain the benefits associated with Orphan Drug Designation, including the potential for market exclusivity.</w:t>
      </w:r>
    </w:p>
    <w:p>
      <w:pPr>
        <w:spacing w:after="0" w:line="184"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FDA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or a patient population greater than 200,000 in the United States when there is no reasonable expectation that the cost of developing and making available the drug in the United States will be recovered from sales in the United States for that drug. Orphan drug designation must be requested before submitting an NDA. In the United States, Orphan Drug Designation entitles a party to financial incentives such as opportunities for tax credits for qualified clinical research costs and exemption from prescription drug user fees. Generally, if a drug with an Orphan Drug Designation subsequently receives the first marketing approval for the indication for which it has such designation, the drug is entitled to a period of marketing exclusivity, which precludes FDA from approving another marketing application for the same drug and indication for that time period, except in limited circumstances. If a competitor is able to obtain orphan drug exclusivity prior to Tempest for a product that constitutes the same active moiety and treats the same indications as our product candidates, we may not be able to obtain approval of its drug by the applicable regulatory authority for a significant period of time unless we are able to show that its drug is clinically superior to the approved drug. The applicable period is seven years in the United States.</w:t>
      </w:r>
    </w:p>
    <w:p>
      <w:pPr>
        <w:spacing w:after="0" w:line="179" w:lineRule="exact"/>
        <w:rPr>
          <w:sz w:val="20"/>
          <w:szCs w:val="20"/>
          <w:color w:val="auto"/>
        </w:rPr>
      </w:pPr>
    </w:p>
    <w:p>
      <w:pPr>
        <w:jc w:val="both"/>
        <w:ind w:left="120" w:right="120"/>
        <w:spacing w:after="0" w:line="285" w:lineRule="auto"/>
        <w:rPr>
          <w:sz w:val="20"/>
          <w:szCs w:val="20"/>
          <w:color w:val="auto"/>
        </w:rPr>
      </w:pPr>
      <w:r>
        <w:rPr>
          <w:rFonts w:ascii="Arial" w:cs="Arial" w:eastAsia="Arial" w:hAnsi="Arial"/>
          <w:sz w:val="16"/>
          <w:szCs w:val="16"/>
          <w:color w:val="auto"/>
        </w:rPr>
        <w:t>We may seek Orphan Drug Designation for one or more of its product candidates in the United States as part of its business strategy. However, Orphan Drug Designation does not guarantee future orphan drug marketing exclusivity. 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w:t>
      </w:r>
    </w:p>
    <w:p>
      <w:pPr>
        <w:spacing w:after="0" w:line="2"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9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commercialize and obtain marketing approval of our product candidates and may affect the prices wet may set.</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left="120" w:right="280"/>
        <w:spacing w:after="0" w:line="254" w:lineRule="auto"/>
        <w:rPr>
          <w:sz w:val="20"/>
          <w:szCs w:val="20"/>
          <w:color w:val="auto"/>
        </w:rPr>
      </w:pPr>
      <w:r>
        <w:rPr>
          <w:rFonts w:ascii="Arial" w:cs="Arial" w:eastAsia="Arial" w:hAnsi="Arial"/>
          <w:sz w:val="18"/>
          <w:szCs w:val="18"/>
          <w:color w:val="auto"/>
        </w:rPr>
        <w:t>In March 2010, the Patient Protection and Affordable Care Act, as amended by the Health Care and Education Reconciliation Act of 2010, or collectively the Affordable Care Act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ACA contains provisions that may potentially affect the profitability of our product candidates, if approved,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and expansion of the entities eligible for discounts under the 340B Drug Pricing Program.</w:t>
      </w:r>
    </w:p>
    <w:p>
      <w:pPr>
        <w:spacing w:after="0" w:line="192"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While Congress has not passed legislation to comprehensively repeal the ACA, legislation affecting the ACA has been signed into law, including the Tax Cuts and Jobs Act of 2017, which eliminated, effective January 1, 2019, the tax-based shared responsibility payment imposed by the ACA on certain individuals who fail to maintain qualifying health coverage for all or part of a year, which is commonly referred to as the “individual mandate.” On June 17, 2021, the U.S. Supreme Court</w:t>
      </w:r>
    </w:p>
    <w:p>
      <w:pPr>
        <w:sectPr>
          <w:pgSz w:w="11900" w:h="16838" w:orient="portrait"/>
          <w:cols w:equalWidth="0" w:num="1">
            <w:col w:w="11100"/>
          </w:cols>
          <w:pgMar w:left="320" w:top="486" w:right="479" w:bottom="466" w:gutter="0" w:footer="0" w:header="0"/>
        </w:sectPr>
      </w:pP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100"/>
          </w:cols>
          <w:pgMar w:left="320" w:top="486" w:right="479" w:bottom="466"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dismissed the most recent judicial challenge to the ACA brough by several states without specifically ruling on the constitutionality of the law. While Congress continues to amend the ACA, the law appears likely to continue the downward pressure on pharmaceutical pricing, and may also increase our regulatory burdens and operating costs. In the future, there may be other efforts to challenge, repeal or replace the ACA. We are continuing to monitor any changes to the ACA that, in turn, may potentially impact its business in the future.</w:t>
      </w:r>
    </w:p>
    <w:p>
      <w:pPr>
        <w:spacing w:after="0" w:line="18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Additionally, on May 30, 2018, the Trickett Wendler, Frank Mongiello, Jordan McLinn and Matthew Bellina Right to Try Act of 2017 was signed into law. The law, among other things, provides a federal framework for certain patients who have been diagnosed with life-threatening diseases or conditions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 We may choose to seek an expanded access program for our product candidates, or to utilize comparable rules in other countries that allow the use of a drug, on a named patient basis or under a compassionate use program.</w:t>
      </w:r>
    </w:p>
    <w:p>
      <w:pPr>
        <w:spacing w:after="0" w:line="17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Recently, the cost of prescription pharmaceuticals has been the subject of considerable discussion in the United States at both the federal and state levels. While several proposed reform measures will require Congress to pass legislation to become effective, Congress and the new Biden administration have each indicated that it will seek new legislative and/or administrative measures to address prescription drug costs. Since the Presidential inauguration, the Biden administration has taken several executive actions that signal changes in policy from the prior administration. For example, on July 9, 2021, President Biden signed an executive order to promote competition in the U.S. economy that included several initiatives aimed prescription drugs. Among other provisions, the executive order directed the Secretary of HHS to issue a report to the White House within 45 days that includes a plan to, among other things, reduce prices for prescription drugs, including prices paid by the federal government for such drugs. At the state level, legislatures and agencies are increasingly passing legislation and implementing regulations designed to control spending on and patient out-of-pocket costs for drug products. These measures include constraints on pricing, discounting and reimbursement; restrictions on certain product access and marketing; cost disclosure and transparency measures that require detailed reporting of drug pricing and marketing information both at product launch and in the event of a price increase; and, in some cases, measures designed to encourage importation from other countries and bulk purchasing.</w:t>
      </w:r>
    </w:p>
    <w:p>
      <w:pPr>
        <w:spacing w:after="0" w:line="172" w:lineRule="exact"/>
        <w:rPr>
          <w:sz w:val="20"/>
          <w:szCs w:val="20"/>
          <w:color w:val="auto"/>
        </w:rPr>
      </w:pPr>
    </w:p>
    <w:p>
      <w:pPr>
        <w:jc w:val="both"/>
        <w:ind w:left="120" w:right="280"/>
        <w:spacing w:after="0" w:line="301"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57"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Legislative and regulatory proposals have also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7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The FDA’s ability to review and approve new products may be hindered by a variety of factors, including budget and funding levels, ability to hire and retain key personnel, statutory, regulatory and policy changes and global health concerns.</w:t>
      </w:r>
    </w:p>
    <w:p>
      <w:pPr>
        <w:spacing w:after="0" w:line="170"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177"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spacing w:after="0" w:line="165"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Separately, in response to the COVID-19 pandemic, on March 10, 2020, the FDA announced its intention to postpone most foreign inspections of manufacturing facilities and, subsequently, on March 18, 2020, the FDA temporarily postponed routine surveillance inspections of domestic manufacturing facilities. Regulatory authorities outside the United States may adopt similar restrictions or other policy measures in response to the COVID-19 pandemic.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ectPr>
          <w:pgSz w:w="11900" w:h="16838" w:orient="portrait"/>
          <w:cols w:equalWidth="0" w:num="1">
            <w:col w:w="11140"/>
          </w:cols>
          <w:pgMar w:left="320" w:top="486" w:right="439" w:bottom="1440" w:gutter="0" w:footer="0" w:header="0"/>
        </w:sectPr>
      </w:pP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40"/>
          </w:cols>
          <w:pgMar w:left="320" w:top="486" w:right="4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Our internal computer and information systems, or those used by its CROs, CMOs or other contractors or consultants, may fail or suffer security breaches, which could result in a material disruption of our development programs.</w:t>
      </w:r>
    </w:p>
    <w:p>
      <w:pPr>
        <w:spacing w:after="0" w:line="170"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Despite the implementation of appropriate security measures, our internal computer and information systems and those of our current and any future CROs, CMOs and other contractors or consultants may become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data from completed or future preclinical studies or clinical trials could result in significant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Tempest could incur liability, our competitive position could be harmed and the further development and commercialization of our product candidates could be significantly delayed. We. our internal information technology systems and infrastructure are also vulnerable to damage from natural disasters, terrorism, war, telecommunication and electrical failures. System failures or outages, including any potential disruptions due to significantly increased global demand on certain cloud-based systems during the COVID-19 pandemic, could compromise our ability to perform its day-to-day operations, which could harm its ability to conduct business or delay its financial reporting. Such failures could materially adversely affect our operating results and financial condition.</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a variety of privacy and data security laws, and our failure to comply with them could harm our business.</w:t>
      </w:r>
    </w:p>
    <w:p>
      <w:pPr>
        <w:spacing w:after="0" w:line="225"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We maintain a large quantity of sensitive information, including confidential business and patient health information in connection with our preclinical and clinical studies, and is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health information privacy laws, security breach notification laws, and consumer protection laws. Each of these laws is subject to varying interpretations and constantly evolving. In addition, Tempest may obtain health information from third parties (including research institutions from which it obtains clinical trial data) that are subject to privacy and security requirements under HIPAA. Depending on the facts and circumstances, Tempest could be subject to criminal penalties if it knowingly obtains, uses or discloses individually identifiable health information maintained by a HIPAA covered entity in a manner that is not authorized or permitted by HIPAA.</w:t>
      </w:r>
    </w:p>
    <w:p>
      <w:pPr>
        <w:spacing w:after="0" w:line="17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Certain states have also adopted comparable privacy and security laws and regulations, some of which may be more stringent than HIPAA. For example, California enacted the California Consumer Privacy Act (the “CCPA”),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9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Canada, the Personal Information Protection and Electronic Documents Act (“PIPEDA”) and similar provincial laws may impose obligations with respect to processing personal information, including health-related information. PIPEDA requires companies to obtain an individual’s consent when collecting, using or disclosing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 Failure to comply with PIPEDA could result in significant fines and penalties.</w:t>
      </w:r>
    </w:p>
    <w:p>
      <w:pPr>
        <w:spacing w:after="0" w:line="192"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In May 2018, the General Data Protection Regulation (the “GDPR”), took effect in the European Economic Area (the “EEA”). The GDPR governs the collection, use, disclosure, transfer or other processing of personal data of natural persons. Among other things, the GDPR imposes strict obligations on the ability to process health-related and other personal data of data subjects in the EEA, including in relation to use, collection, analysis and transfer (including cross-border transfer) of such personal data. The GDPR includes requirements relating to the consent of the individuals to whom the personal data relates, including detailed notices for clinical trial subjects and investigators. The GDPR also includes certain requirements regarding the security of personal data and notification of data processing obligations or security incidents to appropriate data protection authorities or data subjects as well as requirements for establishing a lawful basis on which personal data can be processed.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 of €20 million or 4% of our annual worldwide gross revenue). Further, recent legal developments in Europe have created complexity and compliance uncertainty regarding certain transfers of information from the EEA to the United States. For example, on June 16, 2020, the Court of Justice of the European Union (the “CJEU”), declared the EU-U.S. Privacy Shield framework (the “Privacy Shield”), to be invalid. As a result, the Privacy Shield is no longer a valid mechanism for transferring personal data from the EEA to the United States. Moreover, it is uncertain whether the standard contractual clauses will also be invalidated by the European courts or legislature, which seems possible given the rationale behind the CJEU’s concerns about U.S. law and practice on government surveillance. The GDPR also confers a private right of action on data subjects and consumer associations to lodge complaints with supervisory authorities, seek judicial remedies and obtain compensation for damages resulting from violations of the GDPR.</w:t>
      </w:r>
    </w:p>
    <w:p>
      <w:pPr>
        <w:spacing w:after="0" w:line="176"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ectPr>
          <w:pgSz w:w="11900" w:h="16838" w:orient="portrait"/>
          <w:cols w:equalWidth="0" w:num="1">
            <w:col w:w="11140"/>
          </w:cols>
          <w:pgMar w:left="320" w:top="486" w:right="439" w:bottom="1440" w:gutter="0" w:footer="0" w:header="0"/>
        </w:sectPr>
      </w:pP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140"/>
          </w:cols>
          <w:pgMar w:left="320" w:top="486" w:right="4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may be unable to adequately protect its information systems from cyberattacks, which could result in the disclosure of confidential information, damage Our reputation, and subject us to significant financial and legal exposure.</w:t>
      </w:r>
    </w:p>
    <w:p>
      <w:pPr>
        <w:spacing w:after="0" w:line="170"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confidentiality, integrity and availability. A successful cyberattack could cause serious negative consequences for Tempest, including, without limitation, the disruption of operations, the misappropriation of confidential business information, including financial information, trade secrets, financial loss and the disclosure of corporate strategic plans. The COVID-19 pandemic is generally increasing the attack surface available to criminals,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recent COVID-19 pandemic to their advantage.</w:t>
      </w:r>
    </w:p>
    <w:p>
      <w:pPr>
        <w:spacing w:after="0" w:line="19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Although we devote resources to protect its information systems, we realize that cyberattacks are a threat, and there can be no assurance that our efforts will prevent information security breaches that would result in business, legal, financial or reputational harm to Tempest, or would have a material adverse effect on our results of operations and financial condition.</w:t>
      </w:r>
    </w:p>
    <w:p>
      <w:pPr>
        <w:spacing w:after="0" w:line="184"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In addition, the computer systems of various third parties on which we rely, including its CROs, CMOs and other contractors, consultants and law and accounting firms, may sustain damage from computer viruses, unauthorized access, data breaches, phishing attacks, cybercriminals, natural disasters (including hurricanes and earthquakes), terrorism, war and telecommunication and electrical failures. We rely on its third-party providers to implement effective security measures and identify and correct for any such failures, deficiencies or breaches.</w:t>
      </w:r>
    </w:p>
    <w:p>
      <w:pPr>
        <w:spacing w:after="0" w:line="171" w:lineRule="exact"/>
        <w:rPr>
          <w:sz w:val="20"/>
          <w:szCs w:val="20"/>
          <w:color w:val="auto"/>
        </w:rPr>
      </w:pPr>
    </w:p>
    <w:p>
      <w:pPr>
        <w:ind w:left="120" w:right="96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w:t>
      </w:r>
    </w:p>
    <w:p>
      <w:pPr>
        <w:spacing w:after="0" w:line="170"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to comply with the regulations of FDA and non-U.S. regulators, to provide accurate information to the FDA and non-U.S. regulators, to comply with healthcare fraud and abuse laws and regulations in the United States and abroad,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could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or asserting our rights, those actions could have a significant impact on our business, including the imposition of significant fines or other sanctions.</w:t>
      </w:r>
    </w:p>
    <w:p>
      <w:pPr>
        <w:spacing w:after="0" w:line="16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70"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Tempest intends to charge for our products is also subject to approval.</w:t>
      </w:r>
    </w:p>
    <w:p>
      <w:pPr>
        <w:spacing w:after="0" w:line="16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Tempest fails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92"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Our operations and relationships with future customers, providers and third-party payors will be subject to applicable anti-kickback, fraud and abuse and other healthcare laws and regulations, which could expose Tempest to penalties including criminal sanctions, civil penalties, contractual damages, reputational harm and diminished profits and future earnings.</w:t>
      </w:r>
    </w:p>
    <w:p>
      <w:pPr>
        <w:spacing w:after="0" w:line="184"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Healthcare providers and third-party payors will play a primary role in the recommendation and prescription of any product candidates for which Tempest obtains marketing approval. Our future arrangements with providers, third-party payors and customers will subject Tempest to broadly applicable fraud and abuse and other healthcare laws and regulations that may constrain the business or financial arrangements and relationships through which Tempest markets, sells and distributes any product candidates for which Tempest obtains marketing approval.</w:t>
      </w:r>
    </w:p>
    <w:p>
      <w:pPr>
        <w:sectPr>
          <w:pgSz w:w="11900" w:h="16838" w:orient="portrait"/>
          <w:cols w:equalWidth="0" w:num="1">
            <w:col w:w="11120"/>
          </w:cols>
          <w:pgMar w:left="320" w:top="486" w:right="459" w:bottom="898" w:gutter="0" w:footer="0" w:header="0"/>
        </w:sectPr>
      </w:pP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120"/>
          </w:cols>
          <w:pgMar w:left="320" w:top="486" w:right="459" w:bottom="898"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Restrictions under applicable U.S. federal and state healthcare laws and regulations include the following:</w:t>
      </w:r>
    </w:p>
    <w:p>
      <w:pPr>
        <w:spacing w:after="0" w:line="131" w:lineRule="exact"/>
        <w:rPr>
          <w:sz w:val="20"/>
          <w:szCs w:val="20"/>
          <w:color w:val="auto"/>
        </w:rPr>
      </w:pPr>
    </w:p>
    <w:p>
      <w:pPr>
        <w:ind w:left="1080" w:right="100" w:hanging="532"/>
        <w:spacing w:after="0" w:line="254"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Anti-Kickback Statute, a criminal law that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 Violations of the federal Anti-Kickback Statute can result in significant civil monetary penalties and criminal fines, as well as imprisonment and exclusion from participation in federal health care programs;</w:t>
      </w:r>
    </w:p>
    <w:p>
      <w:pPr>
        <w:spacing w:after="0" w:line="100" w:lineRule="exact"/>
        <w:rPr>
          <w:rFonts w:ascii="Arial" w:cs="Arial" w:eastAsia="Arial" w:hAnsi="Arial"/>
          <w:sz w:val="18"/>
          <w:szCs w:val="18"/>
          <w:color w:val="auto"/>
        </w:rPr>
      </w:pPr>
    </w:p>
    <w:p>
      <w:pPr>
        <w:jc w:val="both"/>
        <w:ind w:left="1080" w:right="20" w:hanging="532"/>
        <w:spacing w:after="0" w:line="275"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civil False Claims Act, imposes significant civil penalties and treble damages,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U.S. federal Anti-Kickback Statute constitutes a false or fraudulent claim for purposes of the civil False Claims Act;</w:t>
      </w:r>
    </w:p>
    <w:p>
      <w:pPr>
        <w:spacing w:after="0" w:line="81" w:lineRule="exact"/>
        <w:rPr>
          <w:rFonts w:ascii="Arial" w:cs="Arial" w:eastAsia="Arial" w:hAnsi="Arial"/>
          <w:sz w:val="17"/>
          <w:szCs w:val="17"/>
          <w:color w:val="auto"/>
        </w:rPr>
      </w:pPr>
    </w:p>
    <w:p>
      <w:pPr>
        <w:ind w:left="1080" w:right="22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Criminal Statute on False Statements Relating to Health Care Matters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92"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Civil Monetary Penalties Law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81" w:lineRule="exact"/>
        <w:rPr>
          <w:rFonts w:ascii="Arial" w:cs="Arial" w:eastAsia="Arial" w:hAnsi="Arial"/>
          <w:sz w:val="17"/>
          <w:szCs w:val="17"/>
          <w:color w:val="auto"/>
        </w:rPr>
      </w:pPr>
    </w:p>
    <w:p>
      <w:pPr>
        <w:ind w:left="1080" w:right="240" w:hanging="532"/>
        <w:spacing w:after="0" w:line="279"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and civil liability for,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76" w:lineRule="exact"/>
        <w:rPr>
          <w:rFonts w:ascii="Arial" w:cs="Arial" w:eastAsia="Arial" w:hAnsi="Arial"/>
          <w:sz w:val="17"/>
          <w:szCs w:val="17"/>
          <w:color w:val="auto"/>
        </w:rPr>
      </w:pPr>
    </w:p>
    <w:p>
      <w:pPr>
        <w:ind w:left="1080" w:right="140" w:hanging="532"/>
        <w:spacing w:after="0" w:line="296"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Physician Payment Sunshine Act requires applicable manufacturers of covered drugs, devices, biologics, and medical supplies for which payment is available under Medicare, Medicaid, or the Children’s Health Insurance Program, among others, to track and report payments and other transfers of value provided during the previous year to U.S. licensed physicians, teaching hospitals, and for reports submitted on or after January 1, 2022, physician assistants, nurse practitioners, clinical nurse specialists, certified nurse anesthetists, and certified nurse midwives, as well as certain ownership and investment interests held by physicians and their immediate family;</w:t>
      </w:r>
    </w:p>
    <w:p>
      <w:pPr>
        <w:spacing w:after="0" w:line="66" w:lineRule="exact"/>
        <w:rPr>
          <w:rFonts w:ascii="Arial" w:cs="Arial" w:eastAsia="Arial" w:hAnsi="Arial"/>
          <w:sz w:val="16"/>
          <w:szCs w:val="16"/>
          <w:color w:val="auto"/>
        </w:rPr>
      </w:pPr>
    </w:p>
    <w:p>
      <w:pPr>
        <w:ind w:left="1080" w:right="400" w:hanging="532"/>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and</w:t>
      </w:r>
    </w:p>
    <w:p>
      <w:pPr>
        <w:spacing w:after="0" w:line="89" w:lineRule="exact"/>
        <w:rPr>
          <w:rFonts w:ascii="Arial" w:cs="Arial" w:eastAsia="Arial" w:hAnsi="Arial"/>
          <w:sz w:val="18"/>
          <w:szCs w:val="18"/>
          <w:color w:val="auto"/>
        </w:rPr>
      </w:pPr>
    </w:p>
    <w:p>
      <w:pPr>
        <w:ind w:left="1080" w:right="80" w:hanging="532"/>
        <w:spacing w:after="0" w:line="286"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spacing w:after="0" w:line="165"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and the curtailment or restructuring of our operations. If any of the physicians or other healthcare providers or entities with whom Tempest expects to do business is found to be not in compliance with applicable laws, it may be costly to us in terms of money, time and resources, and we may be subject to criminal, civil or administrative sanctions, including exclusion from government-funded healthcare programs.</w:t>
      </w:r>
    </w:p>
    <w:p>
      <w:pPr>
        <w:spacing w:after="0" w:line="18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Tempest fails to comply with environmental, health, and safety laws and regulations, Tempest could become subject to fines or penalties or incur costs that could harm our business.</w:t>
      </w:r>
    </w:p>
    <w:p>
      <w:pPr>
        <w:spacing w:after="0" w:line="170"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We. our operations involve the use of hazardous and flammable materials, including chemicals and biological materials.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Tempest of hazardous materials, Tempest could be held liable for any resulting damages, and any liability could exceed our resources. We also could incur significant costs associated with civil or criminal fines and penalties for failure to comply with such laws and regulations.</w:t>
      </w:r>
    </w:p>
    <w:p>
      <w:pPr>
        <w:sectPr>
          <w:pgSz w:w="11900" w:h="16838" w:orient="portrait"/>
          <w:cols w:equalWidth="0" w:num="1">
            <w:col w:w="11140"/>
          </w:cols>
          <w:pgMar w:left="320" w:top="486" w:right="439" w:bottom="1440" w:gutter="0" w:footer="0" w:header="0"/>
        </w:sectPr>
      </w:pP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140"/>
          </w:cols>
          <w:pgMar w:left="320" w:top="486" w:right="4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Although we maintains workers’ compensation insurance to cover for costs and expenses we may incur due to injuries to our employees resulting from the use of hazardous materials, this insurance may not provide adequate coverage against potential liabilities.</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tax laws or regulations could materially adversely affect us.</w:t>
      </w:r>
    </w:p>
    <w:p>
      <w:pPr>
        <w:spacing w:after="0" w:line="22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New tax laws or regulations could be enacted at any time, and existing tax laws or regulations could be interpreted, modified or applied in a manner that is adverse to us, which could adversely affect its business and financial condition. For example, legislation enacted in 2017, informally titled the Tax Act, enacted many significant changes to the U.S. tax laws, including changes in corporate tax rates, the utilization of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its business and financial condition.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Our success depends in part on its ability to obtain, maintain and protect its intellectual property. It is difficult and costly to protect our proprietary rights and technology, and Tempest may not be able to ensure their protection.</w:t>
      </w:r>
    </w:p>
    <w:p>
      <w:pPr>
        <w:spacing w:after="0" w:line="170"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Our commercial success will depend in large part on obtaining and maintaining patent, trademark, trade secret and other intellectual property protection of our proprietary technologies and product candidates, which include TPST-1495, TPST-1120 and the other product candidates Tempest has in development,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 and our ability to commercialize any product candidates we may develop may be adversely affected.</w:t>
      </w:r>
    </w:p>
    <w:p>
      <w:pPr>
        <w:spacing w:after="0" w:line="18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patenting process is expensive and time-consuming, and we may not be able to file and prosecute all necessary or desirable patent applications at a reasonable cost or in a timely manner. In addition, Tempest may not pursue or obtain patent protection in all relevant markets. It is also possible that we will fail to identify patentable aspects of our research and development activities before it is too late to obtain patent protection. Moreover, in some circumstances, we may not have the right to control the preparation, filing and prosecution of patent applications, or to maintain the patents, covering technology that Tempest licenses from or licenses to third parties and may be reliant on our licensors or licensees to do so. Our pending and future patent applications may not result in issued patents.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in-licenses may be challenged, narrowed, circumvented or invalidated by third parties. Consequently, Tempest does not know whether any of our platform advances and product candidates will be protectable or remain protected by valid and enforceable patents. In addition, our existing patents and any future patents Tempest obtains may not be sufficiently broad to prevent others from using our technology or from developing competing products and technologies.</w:t>
      </w:r>
    </w:p>
    <w:p>
      <w:pPr>
        <w:spacing w:after="0" w:line="172" w:lineRule="exact"/>
        <w:rPr>
          <w:sz w:val="20"/>
          <w:szCs w:val="20"/>
          <w:color w:val="auto"/>
        </w:rPr>
      </w:pPr>
    </w:p>
    <w:p>
      <w:pPr>
        <w:ind w:left="120" w:right="280"/>
        <w:spacing w:after="0" w:line="286" w:lineRule="auto"/>
        <w:rPr>
          <w:sz w:val="20"/>
          <w:szCs w:val="20"/>
          <w:color w:val="auto"/>
        </w:rPr>
      </w:pPr>
      <w:r>
        <w:rPr>
          <w:rFonts w:ascii="Arial" w:cs="Arial" w:eastAsia="Arial" w:hAnsi="Arial"/>
          <w:sz w:val="17"/>
          <w:szCs w:val="17"/>
          <w:b w:val="1"/>
          <w:bCs w:val="1"/>
          <w:i w:val="1"/>
          <w:iCs w:val="1"/>
          <w:color w:val="auto"/>
        </w:rPr>
        <w:t>In the future, Tempest may depend on intellectual property licensed from third parties, and its licensors may not always act in our best interest. If Tempest fails to comply with its obligations under its intellectual property licenses, if the licenses are terminated, or if disputes regarding these licenses arise, Tempest could lose significant rights that may be important to its business.</w:t>
      </w:r>
    </w:p>
    <w:p>
      <w:pPr>
        <w:spacing w:after="0" w:line="16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Tempest may in the future depend on patents, know-how and proprietary technology licensed from third parties. Our licenses to such patents, know-how and proprietary technology may not provide exclusive rights in all relevant fields of use and in all territories in which Tempest may wish to develop or commercialize our products in the future. The agreements under which Tempest licenses patents, know-how and proprietary technology from others may be complex, and certain provisions in such agreements may be susceptible to multiple interpretations.</w:t>
      </w:r>
    </w:p>
    <w:p>
      <w:pPr>
        <w:spacing w:after="0" w:line="171"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We may need to obtain licenses from third parties to advance our research or allow commercialization of product candidates Tempest may develop. It is possible that Tempest may be unable to obtain any licenses at a reasonable cost or on reasonable terms, if at all. In either event, Tempest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Tempest may be unable to develop or commercialize the affected technology or product candidates.</w:t>
      </w:r>
    </w:p>
    <w:p>
      <w:pPr>
        <w:spacing w:after="0" w:line="17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If our future licensors fail to adequately protect our licensed intellectual property, our ability to commercialize product candidates could suffer. We may not have complete control over the maintenance, prosecution and litigation of our future in-</w:t>
      </w:r>
    </w:p>
    <w:p>
      <w:pPr>
        <w:sectPr>
          <w:pgSz w:w="11900" w:h="16838" w:orient="portrait"/>
          <w:cols w:equalWidth="0" w:num="1">
            <w:col w:w="11140"/>
          </w:cols>
          <w:pgMar w:left="320" w:top="486" w:right="439" w:bottom="1440" w:gutter="0" w:footer="0" w:header="0"/>
        </w:sectPr>
      </w:pP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140"/>
          </w:cols>
          <w:pgMar w:left="320" w:top="486" w:right="4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licensed patents and patent applications. For example, Tempest cannot be certain that activities such as the maintenance and prosecution by our future licensors have been or will be conducted in compliance with applicable laws and regulations or will result in valid and enforceable patents and other intellectual property rights. It is possible that future our licensors’ infringement proceedings or defense activities may be less vigorous than had Tempest conducted them itself or may not be conducted in accordance with our best interests.</w:t>
      </w:r>
    </w:p>
    <w:p>
      <w:pPr>
        <w:spacing w:after="0" w:line="17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addition, the resolution of any contract interpretation disagreement that may arise could narrow what Tempest might believe to be the scope of our rights to the relevant patents, know-how and proprietary technology, or increase what Tempest believes to be our financial or other obligations under the relevant agreement. Disputes that may arise between us and our future licensors regarding intellectual property subject to a license agreement could include disputes regarding:</w:t>
      </w:r>
    </w:p>
    <w:p>
      <w:pPr>
        <w:spacing w:after="0" w:line="92"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royalty, milestone or other payment obligations that may result from the advancement or commercial sale of any of our product candidates;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Tempest.</w:t>
      </w:r>
    </w:p>
    <w:p>
      <w:pPr>
        <w:spacing w:after="0" w:line="248" w:lineRule="exact"/>
        <w:rPr>
          <w:sz w:val="20"/>
          <w:szCs w:val="20"/>
          <w:color w:val="auto"/>
        </w:rPr>
      </w:pPr>
    </w:p>
    <w:p>
      <w:pPr>
        <w:ind w:left="120" w:right="700"/>
        <w:spacing w:after="0" w:line="342" w:lineRule="auto"/>
        <w:rPr>
          <w:sz w:val="20"/>
          <w:szCs w:val="20"/>
          <w:color w:val="auto"/>
        </w:rPr>
      </w:pPr>
      <w:r>
        <w:rPr>
          <w:rFonts w:ascii="Arial" w:cs="Arial" w:eastAsia="Arial" w:hAnsi="Arial"/>
          <w:sz w:val="16"/>
          <w:szCs w:val="16"/>
          <w:color w:val="auto"/>
        </w:rPr>
        <w:t>If disputes over intellectual property that Tempest licenses in the future prevent or impair our ability to maintain our licensing arrangements on acceptable terms, Tempest may be unable to successfully develop and commercialize the affected technology or product candidates.</w:t>
      </w:r>
    </w:p>
    <w:p>
      <w:pPr>
        <w:spacing w:after="0" w:line="124"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Our owned and in-licensed patents and patent applications may not provide sufficient protection of our product candidates or result in any competitive advantage.</w:t>
      </w:r>
    </w:p>
    <w:p>
      <w:pPr>
        <w:spacing w:after="0" w:line="170"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is highly uncertain. Our pending and future patent applications and those of its licensors may not result in patents being issued which protect its product candidates or which effectively prevent others from commercializing competitive product candidates.</w:t>
      </w:r>
    </w:p>
    <w:p>
      <w:pPr>
        <w:spacing w:after="0" w:line="171" w:lineRule="exact"/>
        <w:rPr>
          <w:sz w:val="20"/>
          <w:szCs w:val="20"/>
          <w:color w:val="auto"/>
        </w:rPr>
      </w:pPr>
    </w:p>
    <w:p>
      <w:pPr>
        <w:ind w:left="120" w:right="80"/>
        <w:spacing w:after="0" w:line="285" w:lineRule="auto"/>
        <w:rPr>
          <w:sz w:val="20"/>
          <w:szCs w:val="20"/>
          <w:color w:val="auto"/>
        </w:rPr>
      </w:pPr>
      <w:r>
        <w:rPr>
          <w:rFonts w:ascii="Arial" w:cs="Arial" w:eastAsia="Arial" w:hAnsi="Arial"/>
          <w:sz w:val="16"/>
          <w:szCs w:val="16"/>
          <w:color w:val="auto"/>
        </w:rPr>
        <w:t xml:space="preserve">The strength of patents in the biotechnology and pharmaceutical field involves complex legal and scientific questions and can be uncertain. The patent applications that Tempest owns or, in the future, in-license may fail to result in issued patents with claims that cover our product candidates or uses thereof in the United States or in other foreign countries. For example, while our patent applications are pending, Tempest may be subject to a third party preissuance submission of prior art to the United States Patent and Trademark Office (the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An adverse determination in any such submission, proceeding or litigation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Tempest.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 or eliminated.</w:t>
      </w:r>
    </w:p>
    <w:p>
      <w:pPr>
        <w:spacing w:after="0" w:line="171"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Since patent applications in the United States and other countries are confidential for a period of time after filing or until issuance, at any moment in time, Tempest cannot be certain that it was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 enforceability of a patent claim, and we may be subject to priority disputes. We may be required to disclaim part or all of the term of certain patents or all of the term of certain patent applications. There also may be prior art of which we are aware, but which Tempest does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Tempest believes are relevant to our activities, and consider that we are free to operate in relation to our product candidates, but our competitors may achieve issued claims, including in patents Tempest</w:t>
      </w:r>
    </w:p>
    <w:p>
      <w:pPr>
        <w:sectPr>
          <w:pgSz w:w="11900" w:h="16838" w:orient="portrait"/>
          <w:cols w:equalWidth="0" w:num="1">
            <w:col w:w="11100"/>
          </w:cols>
          <w:pgMar w:left="320" w:top="486" w:right="479" w:bottom="1440" w:gutter="0" w:footer="0" w:header="0"/>
        </w:sectPr>
      </w:pP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100"/>
          </w:cols>
          <w:pgMar w:left="320" w:top="486" w:right="47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considers to be unrelated, that block our efforts or potentially result in our product candidates or our activities infringing such claims. It is possible that our competitors may have filed, and may in the future file, patent applications covering our products or technology similar to our products and technology. Those patent applications may have priority over our owned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patents that Tempest has had issued that cover our product candidates or their use. Likewise, our currently owned patents and patent applications, if issued as patents, directed to our proprietary technologies and our product candidates are expected to expire from 2033 through 2041, without taking into account any possible patent term adjustments or extensions. Our earliest patents may expire before, or soon after, our first product achieves marketing approval in the United States or foreign jurisdictions. Additionally, we cannot be assured that the USPTO or relevant foreign patent offices will grant any of the pending patent applications Tempest owns or in-licenses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spacing w:after="0" w:line="17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Tempest to gain or keep our competitive advantage. For example:</w:t>
      </w:r>
    </w:p>
    <w:p>
      <w:pPr>
        <w:spacing w:after="0" w:line="76" w:lineRule="exact"/>
        <w:rPr>
          <w:sz w:val="20"/>
          <w:szCs w:val="20"/>
          <w:color w:val="auto"/>
        </w:rPr>
      </w:pPr>
    </w:p>
    <w:p>
      <w:pPr>
        <w:ind w:left="1080" w:right="2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active compositions of our product candidates but that are not covered by the claims of our patents;</w:t>
      </w:r>
    </w:p>
    <w:p>
      <w:pPr>
        <w:spacing w:after="0" w:line="75" w:lineRule="exact"/>
        <w:rPr>
          <w:rFonts w:ascii="Arial" w:cs="Arial" w:eastAsia="Arial" w:hAnsi="Arial"/>
          <w:sz w:val="18"/>
          <w:szCs w:val="18"/>
          <w:color w:val="auto"/>
        </w:rPr>
      </w:pPr>
    </w:p>
    <w:p>
      <w:pPr>
        <w:ind w:left="1080" w:right="68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APIs in our current product candidates will eventually become commercially available in generic drug products, and no patent protection may be available with regard to formulation or method of use;</w:t>
      </w:r>
    </w:p>
    <w:p>
      <w:pPr>
        <w:spacing w:after="0" w:line="75" w:lineRule="exact"/>
        <w:rPr>
          <w:rFonts w:ascii="Arial" w:cs="Arial" w:eastAsia="Arial" w:hAnsi="Arial"/>
          <w:sz w:val="18"/>
          <w:szCs w:val="18"/>
          <w:color w:val="auto"/>
        </w:rPr>
      </w:pPr>
    </w:p>
    <w:p>
      <w:pPr>
        <w:ind w:left="1080" w:right="240" w:hanging="532"/>
        <w:spacing w:after="0" w:line="308"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Tempest or our future licensors, as the case may be, may fail to meet its or our obligations to the U.S. government regarding any patents and patent applications funded by U.S. government grants, leading to the loss or unenforceability of patent rights;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future licensors, as the case may be, might not have been the first to file patent applications for certain inventions;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owned or in-licensed patents, as the case may be, or parts of our owned or in-licensed patents;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or technology similar to our;</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future licensors’, as the case may be, proprietary rights to the same extent as the laws of the United States;</w:t>
      </w:r>
    </w:p>
    <w:p>
      <w:pPr>
        <w:spacing w:after="0" w:line="75"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claims of our owned or in-licensed issued patents or patent applications, if and when issued, may not adequately cover our product candidates;</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Tempest with any competitive advantages, may be narrowed in scope, or be held invalid or unenforceable as a result of legal challenges by third parties;</w:t>
      </w:r>
    </w:p>
    <w:p>
      <w:pPr>
        <w:spacing w:after="0" w:line="75" w:lineRule="exact"/>
        <w:rPr>
          <w:rFonts w:ascii="Arial" w:cs="Arial" w:eastAsia="Arial" w:hAnsi="Arial"/>
          <w:sz w:val="18"/>
          <w:szCs w:val="18"/>
          <w:color w:val="auto"/>
        </w:rPr>
      </w:pPr>
    </w:p>
    <w:p>
      <w:pPr>
        <w:ind w:left="1080" w:right="260" w:hanging="532"/>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that design around our patents, or become hostile to Tempest or the patents or patent applications on which they are named as inventors;</w:t>
      </w:r>
    </w:p>
    <w:p>
      <w:pPr>
        <w:spacing w:after="0" w:line="89" w:lineRule="exact"/>
        <w:rPr>
          <w:rFonts w:ascii="Arial" w:cs="Arial" w:eastAsia="Arial" w:hAnsi="Arial"/>
          <w:sz w:val="18"/>
          <w:szCs w:val="18"/>
          <w:color w:val="auto"/>
        </w:rPr>
      </w:pPr>
    </w:p>
    <w:p>
      <w:pPr>
        <w:ind w:left="1080" w:right="420" w:hanging="532"/>
        <w:spacing w:after="0" w:line="286"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it is possible that our owned or in-licensed patents or patent applications may omit individual(s) that should be listed as inventor(s) or include individual(s) that should not be listed as inventor(s), which may cause these patents or patents issuing from these patent applications to be held invalid or unenforceable or such omitted individuals may grant licenses to third parties;</w:t>
      </w:r>
    </w:p>
    <w:p>
      <w:pPr>
        <w:spacing w:after="0" w:line="70"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wecan obtain patent protection;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it is possible that product candidates or diagnostic tests we develop may be covered by third parties’ patents or other exclusive rights; or</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of the foregoing could have a material adverse effect on our business, financial conditions, results of operations and prospects.</w:t>
      </w:r>
    </w:p>
    <w:p>
      <w:pPr>
        <w:sectPr>
          <w:pgSz w:w="11900" w:h="16838" w:orient="portrait"/>
          <w:cols w:equalWidth="0" w:num="1">
            <w:col w:w="11120"/>
          </w:cols>
          <w:pgMar w:left="320" w:top="486" w:right="45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120"/>
          </w:cols>
          <w:pgMar w:left="320" w:top="486" w:right="45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strategy of obtaining rights to key technologies through in-licenses may not be successful.</w:t>
      </w:r>
    </w:p>
    <w:p>
      <w:pPr>
        <w:spacing w:after="0" w:line="225"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The future growth of our business may depend in part on our ability to in-license or otherwise acquire the rights to additional product candidates and technologies. We cannot assure you that Tempest will be able to in-license or acquire the rights to any product candidates or technologies from third parties on acceptable terms or at all.</w:t>
      </w:r>
    </w:p>
    <w:p>
      <w:pPr>
        <w:spacing w:after="0" w:line="184"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For example, our agreements with certain of its third-party research partners provide that improvements developed in the course of its relationship may be owned solely by either we or our third-party research partner, or jointly between us and the third party. If we determine that exclusive rights to such improvements 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Tempest from commercializing its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Tempest.</w:t>
      </w:r>
    </w:p>
    <w:p>
      <w:pPr>
        <w:spacing w:after="0" w:line="165" w:lineRule="exact"/>
        <w:rPr>
          <w:sz w:val="20"/>
          <w:szCs w:val="20"/>
          <w:color w:val="auto"/>
        </w:rPr>
      </w:pPr>
    </w:p>
    <w:p>
      <w:pPr>
        <w:ind w:left="120" w:right="260"/>
        <w:spacing w:after="0" w:line="273" w:lineRule="auto"/>
        <w:rPr>
          <w:sz w:val="20"/>
          <w:szCs w:val="20"/>
          <w:color w:val="auto"/>
        </w:rPr>
      </w:pPr>
      <w:r>
        <w:rPr>
          <w:rFonts w:ascii="Arial" w:cs="Arial" w:eastAsia="Arial" w:hAnsi="Arial"/>
          <w:sz w:val="17"/>
          <w:szCs w:val="17"/>
          <w:color w:val="auto"/>
        </w:rPr>
        <w:t>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the confidentiality of its trade secrets, our business and competitive position would be harmed.</w:t>
      </w:r>
    </w:p>
    <w:p>
      <w:pPr>
        <w:spacing w:after="0" w:line="225"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we are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(or as otherwise permitted by applicable law), are our exclusive property. In the case of consultants and other third parties, the agreements provide that all inventions conceived in connection with the services provided are our exclusive property. However, we cannot guarantee that hawse have entered into such agreements with each party that may have or have had access to our trade secrets or proprietary technology and processes. We have also adopted policies and conducts training that provides guidance on our expectations, and our advice for best practices, in protecting its trade secrets. Despite these efforts, any of these parties may breach the agreements and disclose our proprietary information, including its trade secrets, and we may not be able to obtain adequate remedies for such breaches.</w:t>
      </w:r>
    </w:p>
    <w:p>
      <w:pPr>
        <w:spacing w:after="0" w:line="17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its trade secrets, were to be disclosed or misappropriated, such as through a data breach, or if any of that information was independently developed by a competitor, our competitive position could be harmed. Additionally, certain trade secret and proprietary information may be required to be disclosed in submissions to regulatory authorities. If such authorities do not maintain the confidential basis of such information or disclose it as part of the basis of regulatory approval, our competitive position could be adversely affected.</w:t>
      </w:r>
    </w:p>
    <w:p>
      <w:pPr>
        <w:spacing w:after="0" w:line="17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addition, courts outside the United States are sometimes less willing to protect trade secrets. If we choose to go to court to stop a third party from using any of our trade secrets, Tempest may incur substantial costs. Even if we are successful, these types of lawsuits may result in substantial cost and require significant time from our scientists and management. Although Tempest takes steps to protect our proprietary information and trade secrets, third parties may independently develop substantially equivalent proprietary information and techniques or otherwise gain access to our trade secrets or disclose our technology, through legal or illegal means. As a result, Tempest may not be able to meaningfully protect its trade secrets. Any of the foregoing could have a material adverse effect on our business, financial condition, results of operations and prospects.</w:t>
      </w:r>
    </w:p>
    <w:p>
      <w:pPr>
        <w:spacing w:after="0" w:line="16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prevent, delay or otherwise interfere with our product discovery and development efforts.</w:t>
      </w:r>
    </w:p>
    <w:p>
      <w:pPr>
        <w:spacing w:after="0" w:line="170"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Our commercial success depends in part on our ability to develop, manufacture, market and sell our product candidates and use our proprietary technologies without infringing, misappropriating or otherwise violating the intellectual property or other proprietary rights of third parties. There is a substantial amount of litigation involving patents and other intellectual property rights in the biotechnology and pharmaceutical industries, as well as administrative proceedings for challenging patents,</w:t>
      </w:r>
    </w:p>
    <w:p>
      <w:pPr>
        <w:sectPr>
          <w:pgSz w:w="11900" w:h="16838" w:orient="portrait"/>
          <w:cols w:equalWidth="0" w:num="1">
            <w:col w:w="11120"/>
          </w:cols>
          <w:pgMar w:left="320" w:top="486" w:right="459" w:bottom="682" w:gutter="0" w:footer="0" w:header="0"/>
        </w:sectPr>
      </w:pP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120"/>
          </w:cols>
          <w:pgMar w:left="320" w:top="486" w:right="459" w:bottom="682"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spacing w:after="0" w:line="18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If a third-party claims that we infringe, misappropriate or otherwise violate their intellectual property rights, we may face a number of issues, including, but not limited to:</w:t>
      </w:r>
    </w:p>
    <w:p>
      <w:pPr>
        <w:spacing w:after="0" w:line="76" w:lineRule="exact"/>
        <w:rPr>
          <w:sz w:val="20"/>
          <w:szCs w:val="20"/>
          <w:color w:val="auto"/>
        </w:rPr>
      </w:pPr>
    </w:p>
    <w:p>
      <w:pPr>
        <w:ind w:left="1080" w:right="30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that, regardless of merit, may be expensive and time-consuming to litigate and may divert our management’s attention from its core business;</w:t>
      </w:r>
    </w:p>
    <w:p>
      <w:pPr>
        <w:spacing w:after="0" w:line="75"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spacing w:after="0" w:line="89" w:lineRule="exact"/>
        <w:rPr>
          <w:rFonts w:ascii="Arial" w:cs="Arial" w:eastAsia="Arial" w:hAnsi="Arial"/>
          <w:sz w:val="18"/>
          <w:szCs w:val="18"/>
          <w:color w:val="auto"/>
        </w:rPr>
      </w:pPr>
    </w:p>
    <w:p>
      <w:pPr>
        <w:ind w:left="1080" w:right="220" w:hanging="532"/>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court prohibiting Tempest from developing, manufacturing, marketing or selling our product candidates, or from using our proprietary technologies, unless the third-party licenses its product rights or proprietary technology to Tempest, which it is not required to do, on commercially reasonable terms or at all;</w:t>
      </w:r>
    </w:p>
    <w:p>
      <w:pPr>
        <w:spacing w:after="0" w:line="89"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 license is available from a third party, we may have to pay substantial royalties, upfront fees and other amounts, and/or grant cross-licenses to intellectual property rights for our product candidates;</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that we redesign our product candidates or processes so they do not infringe, which may not be possible or may require substantial monetary expenditures and time; and</w:t>
      </w:r>
    </w:p>
    <w:p>
      <w:pPr>
        <w:spacing w:after="0" w:line="75" w:lineRule="exact"/>
        <w:rPr>
          <w:rFonts w:ascii="Arial" w:cs="Arial" w:eastAsia="Arial" w:hAnsi="Arial"/>
          <w:sz w:val="18"/>
          <w:szCs w:val="18"/>
          <w:color w:val="auto"/>
        </w:rPr>
      </w:pPr>
    </w:p>
    <w:p>
      <w:pPr>
        <w:ind w:left="1080" w:right="240" w:hanging="532"/>
        <w:spacing w:after="0" w:line="34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2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Third parties may assert that we are employing their proprietary technology without authorization, including by enforcing its patents against Tempest by filing a patent infringement lawsuit against us. In this regard, patents issued in the United States by law enjoy a presumption of validity that can be rebutted only with evidence that is “clear and convincing,” a heightened standard of proof.</w:t>
      </w:r>
    </w:p>
    <w:p>
      <w:pPr>
        <w:spacing w:after="0" w:line="184"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There may be third-party patents of which we are currently unaware of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 upon these patents.</w:t>
      </w:r>
    </w:p>
    <w:p>
      <w:pPr>
        <w:spacing w:after="0" w:line="18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product candidate unless Tempest obtains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w:t>
      </w:r>
    </w:p>
    <w:p>
      <w:pPr>
        <w:sectPr>
          <w:pgSz w:w="11900" w:h="16838" w:orient="portrait"/>
          <w:cols w:equalWidth="0" w:num="1">
            <w:col w:w="11100"/>
          </w:cols>
          <w:pgMar w:left="320" w:top="486" w:right="479" w:bottom="1033" w:gutter="0" w:footer="0" w:header="0"/>
        </w:sectPr>
      </w:pP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100"/>
          </w:cols>
          <w:pgMar w:left="320" w:top="486" w:right="479" w:bottom="1033"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allow commercialization of our product candidates and we may fail to obtain any of these licenses at a reasonable cost or on reasonable terms, if at all.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that event, we would be unable to further develop and commercialize our product candidates, which could significantly harm our business.</w:t>
      </w:r>
    </w:p>
    <w:p>
      <w:pPr>
        <w:spacing w:after="0" w:line="222"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its patents or the patents of its licensors, which could be expensive, time-consuming and unsuccessful and could result in a finding that such patents are unenforceable or invalid.</w:t>
      </w:r>
    </w:p>
    <w:p>
      <w:pPr>
        <w:spacing w:after="0" w:line="170"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Competitors may infringe our patents or the patents of its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w:t>
      </w:r>
    </w:p>
    <w:p>
      <w:pPr>
        <w:spacing w:after="0" w:line="18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In patent litigation in the United States, defendant counterclaims alleging invalidity and/or unenforceability are commonplace, and there are numerous grounds upon which a third party can assert invalidity or unenforceability of a patent.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These types of mechanisms include re-examination, post-grant review, inter partes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spacing w:after="0" w:line="174"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Conversely, we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Even if successful, the costs of these opposition 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spacing w:after="0" w:line="195"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Tempest may not be able to protect its intellectual property rights throughout the world.</w:t>
      </w:r>
    </w:p>
    <w:p>
      <w:pPr>
        <w:spacing w:after="0" w:line="225"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example, patents covering methods-of-use are not available in certain foreign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Tempest does not have or has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do not have any issued patents and our patent claims or other intellectual property rights may not be effective or sufficient to prevent them from competing.</w:t>
      </w:r>
    </w:p>
    <w:p>
      <w:pPr>
        <w:spacing w:after="0" w:line="16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management’s efforts and attention from other aspects of our business. Proceedings to enforce our patent rights in foreign jurisdictions could result in substantial costs and divert management’s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Tempest initiates and the damages or other remedies awarded, if any, may not be commercially meaningful. Accordingly, our efforts to enforce our intellectual property rights around the world may be inadequate to obtain a significant commercial advantage from the intellectual property that Tempest develops or licenses.</w:t>
      </w:r>
    </w:p>
    <w:p>
      <w:pPr>
        <w:sectPr>
          <w:pgSz w:w="11900" w:h="16838" w:orient="portrait"/>
          <w:cols w:equalWidth="0" w:num="1">
            <w:col w:w="11140"/>
          </w:cols>
          <w:pgMar w:left="320" w:top="486" w:right="439" w:bottom="1440" w:gutter="0" w:footer="0" w:header="0"/>
        </w:sectPr>
      </w:pP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140"/>
          </w:cols>
          <w:pgMar w:left="320" w:top="486" w:right="4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170"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universities or other biopharmaceutical or pharmaceutical companies, including our competitors or potential competitors. Although we try to ensure that our employees and consultants do not use the proprietary information or know-how of others in their work for Tempest, Tempest may be subject to claims that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Tempest may not have sufficient financial or other resources to adequately conduct this type of litigation or proceedings. For example, some of our competitors may be able to sustain the costs of this type of litigation or proceedings more effectively than Tempest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182"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laws and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w:t>
      </w:r>
    </w:p>
    <w:p>
      <w:pPr>
        <w:spacing w:after="0" w:line="18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Changes in patent law in the United States and in non-U.S. jurisdictions could diminish the value of patents in general, thereby impairing our ability to protect its product candidates.</w:t>
      </w:r>
    </w:p>
    <w:p>
      <w:pPr>
        <w:spacing w:after="0" w:line="170"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184"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Past or future patent reform legislation could increase the uncertainties and costs surrounding the prosecution of our patent applications and the enforcement or defense of our issued patents. For example, in March 2013, under the Leahy-Smith America Invents Act (“America Invents Act”), the United States moved from a “first to invent” to a “first-to-file” patent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continue to evolve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Moreover, the America Invents Act and its implementation could increase the uncertainties and costs surrounding the prosecution of our patent applications and the enforcement or defense of our issued patents.</w:t>
      </w:r>
    </w:p>
    <w:p>
      <w:pPr>
        <w:spacing w:after="0" w:line="168"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 xml:space="preserve">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or license in the future. For example, in the case, </w:t>
      </w:r>
      <w:r>
        <w:rPr>
          <w:rFonts w:ascii="Arial" w:cs="Arial" w:eastAsia="Arial" w:hAnsi="Arial"/>
          <w:sz w:val="16"/>
          <w:szCs w:val="16"/>
          <w:i w:val="1"/>
          <w:iCs w:val="1"/>
          <w:color w:val="auto"/>
        </w:rPr>
        <w:t>Assoc. for Molecular</w:t>
      </w:r>
      <w:r>
        <w:rPr>
          <w:rFonts w:ascii="Arial" w:cs="Arial" w:eastAsia="Arial" w:hAnsi="Arial"/>
          <w:sz w:val="16"/>
          <w:szCs w:val="16"/>
          <w:color w:val="auto"/>
        </w:rPr>
        <w:t xml:space="preserve"> </w:t>
      </w:r>
      <w:r>
        <w:rPr>
          <w:rFonts w:ascii="Arial" w:cs="Arial" w:eastAsia="Arial" w:hAnsi="Arial"/>
          <w:sz w:val="16"/>
          <w:szCs w:val="16"/>
          <w:i w:val="1"/>
          <w:iCs w:val="1"/>
          <w:color w:val="auto"/>
        </w:rPr>
        <w:t>Pathology v. Myriad Genetics, Inc.</w:t>
      </w:r>
      <w:r>
        <w:rPr>
          <w:rFonts w:ascii="Arial" w:cs="Arial" w:eastAsia="Arial" w:hAnsi="Arial"/>
          <w:sz w:val="16"/>
          <w:szCs w:val="16"/>
          <w:color w:val="auto"/>
        </w:rPr>
        <w:t>, the U.S. Supreme Court held that certain claims to DNA molecules are not patent-eligible.</w:t>
      </w:r>
    </w:p>
    <w:p>
      <w:pPr>
        <w:spacing w:after="0" w:line="164"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Similarly, other cases by the U.S. Supreme Court have held that certain methods of treatment or diagnosis are not patent-eligible. U.S. law regarding patent-eligibility continues to evolve. While Tempest does not believe that any of our patents will be found invalid based on these changes to US patent law, Tempest cannot predict how future decisions by the courts, the U.S. Congress or the USPTO may impact the value of our patents and patent applications. Any similar adverse changes in the patent laws of other jurisdictions could also have a material adverse effect on our business, financial condition, results of operations and prospects.</w:t>
      </w:r>
    </w:p>
    <w:p>
      <w:pPr>
        <w:sectPr>
          <w:pgSz w:w="11900" w:h="16838" w:orient="portrait"/>
          <w:cols w:equalWidth="0" w:num="1">
            <w:col w:w="11120"/>
          </w:cols>
          <w:pgMar w:left="320" w:top="486" w:right="459" w:bottom="1440"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120"/>
          </w:cols>
          <w:pgMar w:left="320" w:top="486" w:right="45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its product candidates for an adequate amount of time.</w:t>
      </w:r>
    </w:p>
    <w:p>
      <w:pPr>
        <w:spacing w:after="0" w:line="225" w:lineRule="exact"/>
        <w:rPr>
          <w:sz w:val="20"/>
          <w:szCs w:val="20"/>
          <w:color w:val="auto"/>
        </w:rPr>
      </w:pPr>
    </w:p>
    <w:p>
      <w:pPr>
        <w:jc w:val="both"/>
        <w:ind w:left="120" w:right="40"/>
        <w:spacing w:after="0" w:line="293"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Tempest may be open to competition from competitive products, including generics. Given the amount of time required for the development, testing and regulatory review of new product candidates, patents protecting our product candidates might expire before or shortly after Tempest or our partners commercialize those candidates. As a result, our owned and licensed patent portfolio may not provide Tempest with sufficient rights to exclude others from commercializing products similar or identical to our.</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Tempest does not obtain patent term extension for any product candidates it may develop, our business may be materially harmed.</w:t>
      </w:r>
    </w:p>
    <w:p>
      <w:pPr>
        <w:spacing w:after="0" w:line="23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Tempest may develop, one or more of our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clinical trials and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U.S. and ex-U.S. law concerning patent term extensions and foreign equivalents continue to evolve. Even if we were to seek a patent term extension,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of extension or the scope of patent protection afforded could be less than Tempest requests. If we are unable to obtain patent term extension or term of any such extension is less than it requests, our competitors may obtain approval of competing products following our patent expiration sooner than expected, and our business, financial condition, results of operations and prospects could be materially harmed.</w:t>
      </w:r>
    </w:p>
    <w:p>
      <w:pPr>
        <w:spacing w:after="0" w:line="17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b w:val="1"/>
          <w:bCs w:val="1"/>
          <w:i w:val="1"/>
          <w:iCs w:val="1"/>
          <w:color w:val="auto"/>
        </w:rPr>
        <w:t xml:space="preserve">Intellectual property discovered through government funded programs may be subject to federal regulations such as </w:t>
      </w:r>
      <w:r>
        <w:rPr>
          <w:rFonts w:ascii="Arial" w:cs="Arial" w:eastAsia="Arial" w:hAnsi="Arial"/>
          <w:sz w:val="18"/>
          <w:szCs w:val="18"/>
          <w:color w:val="auto"/>
        </w:rPr>
        <w:t>“</w:t>
      </w:r>
      <w:r>
        <w:rPr>
          <w:rFonts w:ascii="Arial" w:cs="Arial" w:eastAsia="Arial" w:hAnsi="Arial"/>
          <w:sz w:val="18"/>
          <w:szCs w:val="18"/>
          <w:b w:val="1"/>
          <w:bCs w:val="1"/>
          <w:i w:val="1"/>
          <w:iCs w:val="1"/>
          <w:color w:val="auto"/>
        </w:rPr>
        <w:t>march-in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rights, certain reporting requirements and a preference for U.S.-based companies. Compliance with such regulations may limit our exclusive rights and limit its ability to contract with non-U.S. manufacturers.</w:t>
      </w:r>
    </w:p>
    <w:p>
      <w:pPr>
        <w:spacing w:after="0" w:line="184"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Although we do not currently own issued patents or pending patent applications that have been generated through the use of U.S. government funding, Tempest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stock price and results of operations.</w:t>
      </w:r>
    </w:p>
    <w:p>
      <w:pPr>
        <w:spacing w:after="0" w:line="237"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a global economic downturn that could result from the COVID-19 pandemic could cause extreme volatility and disruptions in the capital and credit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Tempest to delay or abandon clinical development plans. In addition, there is a risk that one or more of our current service providers, manufacturers and other partners may not survive such difficult economic times, which could directly affect our ability to attain our operating goals on schedule and on budget.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w:t>
      </w:r>
    </w:p>
    <w:p>
      <w:pPr>
        <w:sectPr>
          <w:pgSz w:w="11900" w:h="16838" w:orient="portrait"/>
          <w:cols w:equalWidth="0" w:num="1">
            <w:col w:w="11120"/>
          </w:cols>
          <w:pgMar w:left="320" w:top="486" w:right="459" w:bottom="1114" w:gutter="0" w:footer="0" w:header="0"/>
        </w:sectPr>
      </w:pP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120"/>
          </w:cols>
          <w:pgMar w:left="320" w:top="486" w:right="459" w:bottom="1114"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81" w:lineRule="auto"/>
        <w:rPr>
          <w:sz w:val="20"/>
          <w:szCs w:val="20"/>
          <w:color w:val="auto"/>
        </w:rPr>
      </w:pPr>
      <w:r>
        <w:rPr>
          <w:rFonts w:ascii="Arial" w:cs="Arial" w:eastAsia="Arial" w:hAnsi="Arial"/>
          <w:sz w:val="15"/>
          <w:szCs w:val="15"/>
          <w:b w:val="1"/>
          <w:bCs w:val="1"/>
          <w:i w:val="1"/>
          <w:iCs w:val="1"/>
          <w:color w:val="auto"/>
        </w:rPr>
        <w:t>Tempest or the third parties upon whom we depend may be adversely affected by natural disasters and other calamities, including pandemics, such as the global outbreak of COVID-19, and our business continuity and disaster recovery plans may not adequately protect us from a serious disaster.</w:t>
      </w:r>
    </w:p>
    <w:p>
      <w:pPr>
        <w:spacing w:after="0" w:line="100"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fire, hurricane, power outage or other event occurred that prevented Tempest from using all or a significant portion of our headquarters, that damaged critical infrastructure, such as our suppliers’ manufacturing facilities, or that otherwise disrupted operations, such as data storage, it may be difficult or, in certain cases, impossible for Tempest to continue our business for a substantial period of time.</w:t>
      </w:r>
    </w:p>
    <w:p>
      <w:pPr>
        <w:spacing w:after="0" w:line="15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For example, the COVID-19 pandemic could have an adverse effect on the coordination of research and development, our capital raising efforts, and the financial condition of our business, as well as the ability of Tempest to retain key personnel and continue to expand product candidate development and conduct clinical trials. In addition, the impact of COVID-19 is likely to continue to cause substantial changes in consumer behavior and has caused restrictions on business and individual activities, which are likely to lead to reduced economic activity. Extraordinary actions taken by international, federal, state and local public health and governmental authorities to contain and combat the outbreak and spread of COVID-19 in regions throughout the world, including travel bans, quarantines, “stay-at-home” orders and similar mandates for many individuals and businesses to substantially restrict daily activities could have an adverse effect on our financial condition and ability to raise financing.</w:t>
      </w:r>
    </w:p>
    <w:p>
      <w:pPr>
        <w:spacing w:after="0" w:line="185"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a result of the COVID-19 pandemic, we may experience reduction in research and development, clinical testing, regulatory compliance activities, and manufacturing activities, and is unable at this time to estimate the extent of the effect of COVID-19 on its business. The extent and duration of the economic slowdown attributable to COVID-19 remains uncertain at this time. A continued significant economic slowdown could have a substantial adverse effect on our financial condition, liquidity, and results of operations. If these conditions persist for an extended term, it could have a material adverse effect on our future revenue and sales.</w:t>
      </w:r>
    </w:p>
    <w:p>
      <w:pPr>
        <w:spacing w:after="0" w:line="17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170" w:lineRule="exact"/>
        <w:rPr>
          <w:sz w:val="20"/>
          <w:szCs w:val="20"/>
          <w:color w:val="auto"/>
        </w:rPr>
      </w:pPr>
    </w:p>
    <w:p>
      <w:pPr>
        <w:jc w:val="both"/>
        <w:ind w:left="120" w:right="160"/>
        <w:spacing w:after="0" w:line="275" w:lineRule="auto"/>
        <w:rPr>
          <w:sz w:val="20"/>
          <w:szCs w:val="20"/>
          <w:color w:val="auto"/>
        </w:rPr>
      </w:pPr>
      <w:r>
        <w:rPr>
          <w:rFonts w:ascii="Arial" w:cs="Arial" w:eastAsia="Arial" w:hAnsi="Arial"/>
          <w:sz w:val="17"/>
          <w:szCs w:val="17"/>
          <w:color w:val="auto"/>
        </w:rPr>
        <w:t>We will face an inherent risk of product liability exposure related to the testing of its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spacing w:after="0" w:line="82"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any product candidates that we may develop;</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its collaborators;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voluntary product recalls, withdrawals or labeling restrictions;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Tempest may develop.</w:t>
      </w:r>
    </w:p>
    <w:p>
      <w:pPr>
        <w:spacing w:after="0" w:line="225"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While we currently has insurance that we believe is appropriate for our stage of development, we may need to obtain higher levels prior to clinical development or marketing any of its future product candidates. Any insurance Tempest has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86"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The trading price of the shares of our common stock has been and is likely to continue to be volatile, and purchasers of our common stock could incur substantial losses.</w:t>
      </w:r>
    </w:p>
    <w:p>
      <w:pPr>
        <w:spacing w:after="0" w:line="6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market price of our common stock has been and is likely to continue to be volatile. Some of the factors that may cause the market price of our common stock to fluctuate include:</w:t>
      </w:r>
    </w:p>
    <w:p>
      <w:pPr>
        <w:spacing w:after="0" w:line="76"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results of clinical trials and preclinical studies of our product candidates, or those of our competitors or our existing or future collaborators;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meet or exceed financial and development projections we may provide to the public;</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meet or exceed the financial and development projections of the investment community;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we do not achieve the perceived benefits of the Merger as rapidly or to the extent anticipated by financial or industry analysts;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collaborations, joint ventures or capital commitments by us or our competitors;</w:t>
      </w:r>
    </w:p>
    <w:p>
      <w:pPr>
        <w:spacing w:after="0" w:line="142" w:lineRule="exact"/>
        <w:rPr>
          <w:rFonts w:ascii="Arial" w:cs="Arial" w:eastAsia="Arial" w:hAnsi="Arial"/>
          <w:sz w:val="17"/>
          <w:szCs w:val="17"/>
          <w:color w:val="auto"/>
        </w:rPr>
      </w:pPr>
    </w:p>
    <w:p>
      <w:pPr>
        <w:ind w:left="1080" w:right="6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 candidates, clinical studies, manufacturing process or sales and marketing terms;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its technologies;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securities or industry analysts do not publish research or reports about our business, or if they issue adverse or misleading opinions regarding our business and stock;</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market or macroeconomic conditions or market conditions in the pharmaceutical and biotechnology sectors;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securities by us or our securityholders in the future;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fail to raise an adequate amount of capital to fund our operations and continued development of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30" w:lineRule="exact"/>
        <w:rPr>
          <w:rFonts w:ascii="Arial" w:cs="Arial" w:eastAsia="Arial" w:hAnsi="Arial"/>
          <w:sz w:val="18"/>
          <w:szCs w:val="18"/>
          <w:color w:val="auto"/>
        </w:rPr>
      </w:pPr>
    </w:p>
    <w:p>
      <w:pPr>
        <w:ind w:left="1080" w:right="84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by competitors of new commercial products, clinical progress or lack thereof, significant contracts, commercial relationships or capital commitments;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 publicity relating to precision medicine product candidates, including with respect to other products in such markets;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that compete with our products and services;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25"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resulting from the spread of COVID-19 or otherwise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its intrinsic value. Activist campaigns that contest or conflict with our strategic direction or seek changes in the composition of our board of directors could have an adverse effect on its operating results and financial condition.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Private Tempest and Millendo may be unable to integrate successfully and we may not realize the anticipated benefits of the Merger.</w:t>
      </w:r>
    </w:p>
    <w:p>
      <w:pPr>
        <w:spacing w:after="0" w:line="23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Merger involved the combination of two companies which previously operated as independent companies. We may fail to realize some or all of the anticipated benefits of the Merger if the integration process takes longer than expected or is more costly than expected. It is possible that the integration process also could result in the diversion of our management’s attention, the disruption or interruption of, or the loss of momentum in, our ongoing businesses or inconsistencies in standards, controls, procedures and policies, any of which could adversely affect our ability to maintain relationships with customers, suppliers and employees or the ability to achieve the anticipated benefits of the Merger, or could otherwise adversely affect our business and financial results.</w:t>
      </w:r>
    </w:p>
    <w:p>
      <w:pPr>
        <w:spacing w:after="0" w:line="19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is required to devote substantial time to compliance with our public company responsibilities and corporate governance practices.</w:t>
      </w:r>
    </w:p>
    <w:p>
      <w:pPr>
        <w:spacing w:after="0" w:line="170"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As a relatively new public company, we continue to incur significant legal, accounting and other expenses that we did not incur as a private company. The Sarbanes-Oxley Act, the Dodd-Frank Wall Street Reform and Consumer Protection Act, the listing requirements of the Nasdaq Capital Market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For example, we expect that these rules and regulations may make it more difficult</w:t>
      </w:r>
    </w:p>
    <w:p>
      <w:pPr>
        <w:sectPr>
          <w:pgSz w:w="11900" w:h="16838" w:orient="portrait"/>
          <w:cols w:equalWidth="0" w:num="1">
            <w:col w:w="11120"/>
          </w:cols>
          <w:pgMar w:left="320" w:top="486" w:right="459" w:bottom="750" w:gutter="0" w:footer="0" w:header="0"/>
        </w:sectPr>
      </w:pP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120"/>
          </w:cols>
          <w:pgMar w:left="320" w:top="486" w:right="459" w:bottom="75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and more expensive for us to obtain directors’ and officers’ liability insurance, compared to when we were a private company, which could make it more difficult for us to attract and retain qualified members of our board of directors.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spacing w:after="0" w:line="188"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b w:val="1"/>
          <w:bCs w:val="1"/>
          <w:i w:val="1"/>
          <w:iCs w:val="1"/>
          <w:color w:val="auto"/>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spacing w:after="0" w:line="124"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3"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for nominations to our board of directors;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 actions by our stockholders by written consent;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that stockholder actions be effected at a duly called stockholders meeting;</w:t>
      </w:r>
    </w:p>
    <w:p>
      <w:pPr>
        <w:spacing w:after="0" w:line="130"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89"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percent of the votes that all our stockholders would be entitled to cast to amend or repeal certain provisions of our certificate of incorporation or by-laws.</w:t>
      </w:r>
    </w:p>
    <w:p>
      <w:pPr>
        <w:spacing w:after="0" w:line="170"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15 percent or more of our outstanding voting stock from merging or combining with us for a period of three years after the date of the transaction in which the person acquired 15 percent or more of our outstanding voting stock, unless the merger or combination is approved in a manner prescribed by the statute.</w:t>
      </w:r>
    </w:p>
    <w:p>
      <w:pPr>
        <w:spacing w:after="0" w:line="18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184"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anticipate that we will pay any cash dividends in the foreseeable future.</w:t>
      </w:r>
    </w:p>
    <w:p>
      <w:pPr>
        <w:spacing w:after="0" w:line="225"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The current expectation is that we will retain its future earnings, if any, to fund our growth as opposed to paying dividends. As a result, capital appreciation, if any, of our common stock will be your sole source of gain, if any, for the foreseeable future.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225"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If our existing securityholders sell, or indicate an intention to sell, substantial amounts of our common stock in the public market after legal restrictions on resale lapse, the trading price of our common stock could decline. As of June 30, 2021, of the total 6,637,081 shares of common stock outstanding, approximately 4,230,786 shares will be available for sale in the public market beginning 180 days after the closing of the Merger as a result of the expiration of lock-up agreements between Millendo and Private Tempest on the one hand and certain securityholders of Millendo and Private Tempest on the other hand. All other outstanding shares of common stock, other than shares held by our affiliates, will be freely tradable, without restriction, in the public market. In addition, shares of common stock that are subject to outstanding options will become eligible for sale in the public market to the extent permitted by the provisions of various vesting agreements and Rules 144 and 701 under the Securities Act. If these shares are sold, the trading price of our common stock could decline.</w:t>
      </w:r>
    </w:p>
    <w:p>
      <w:pPr>
        <w:sectPr>
          <w:pgSz w:w="11900" w:h="16838" w:orient="portrait"/>
          <w:cols w:equalWidth="0" w:num="1">
            <w:col w:w="11120"/>
          </w:cols>
          <w:pgMar w:left="320" w:top="486" w:right="459" w:bottom="669" w:gutter="0" w:footer="0" w:header="0"/>
        </w:sectPr>
      </w:pP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120"/>
          </w:cols>
          <w:pgMar w:left="320" w:top="486" w:right="459" w:bottom="669"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170"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Our executive officers, directors and principal stockholders, in the aggregate, beneficially own approximately 65.8% of our outstanding shares of common stock. As a result, if these persons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the company’s assets. This concentration of voting power could delay or prevent an acquisition on terms that other stockholders may desire.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be exposed to increased litigation, including stockholder litigation, which could have an adverse effect on our business and operations.</w:t>
      </w:r>
    </w:p>
    <w:p>
      <w:pPr>
        <w:spacing w:after="0" w:line="260"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may be exposed to increased litigation from stockholders, customers, suppliers, consumers and other third parties due to the combination of Millendo’s business and Private Tempest’s business following the merger. Such litigation may have an adverse impact on our business and results of operations or may cause disruptions to our operations. In addition, in the past, stockholders have initiated class action lawsuits against biotechnology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19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also remain the subject of various securities class action lawsuits and shareholder derivative lawsuits that were filed against OvaScience and certain of its officer and directors, as described in more detail in Part II-Item 1 under the heading “Legal Proceedings” of our Quarterly Report on Form 10-Q for the quarter ended June 30, 2021.</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its stock price or trading volume to decline.</w:t>
      </w:r>
    </w:p>
    <w:p>
      <w:pPr>
        <w:spacing w:after="0" w:line="29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the reduced reporting requirements applicable to smaller reporting companies may make our common stock less attractive to investors.</w:t>
      </w:r>
    </w:p>
    <w:p>
      <w:pPr>
        <w:spacing w:after="0" w:line="62"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We are a “smaller reporting company” as defined in Section 12 of the Securities Exchange Act of 1934, as amended (the Exchange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Sarbanes-Oxley Act of 2002 (SOX),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did not sell any unregistered securities during the six months ended June 30, 2021.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did not repurchase any securities during the six months ended June 30, 2021.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60"/>
          </w:cols>
          <w:pgMar w:left="320" w:top="486" w:right="519" w:bottom="1440" w:gutter="0" w:footer="0" w:header="0"/>
        </w:sectPr>
      </w:pP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060"/>
          </w:cols>
          <w:pgMar w:left="320" w:top="486" w:right="51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exhibits are incorporated by reference or filed as part of this report.</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1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5"/>
          </w:tcPr>
          <w:p>
            <w:pPr>
              <w:jc w:val="right"/>
              <w:ind w:right="894"/>
              <w:spacing w:after="0"/>
              <w:rPr>
                <w:sz w:val="20"/>
                <w:szCs w:val="20"/>
                <w:color w:val="auto"/>
              </w:rPr>
            </w:pPr>
            <w:r>
              <w:rPr>
                <w:rFonts w:ascii="Arial" w:cs="Arial" w:eastAsia="Arial" w:hAnsi="Arial"/>
                <w:sz w:val="14"/>
                <w:szCs w:val="14"/>
                <w:b w:val="1"/>
                <w:bCs w:val="1"/>
                <w:color w:val="auto"/>
              </w:rPr>
              <w:t>Incorporation by Reference</w:t>
            </w:r>
          </w:p>
        </w:tc>
        <w:tc>
          <w:tcPr>
            <w:tcW w:w="260" w:type="dxa"/>
            <w:vAlign w:val="bottom"/>
          </w:tcPr>
          <w:p>
            <w:pPr>
              <w:spacing w:after="0"/>
              <w:rPr>
                <w:sz w:val="14"/>
                <w:szCs w:val="14"/>
                <w:color w:val="auto"/>
              </w:rPr>
            </w:pPr>
          </w:p>
        </w:tc>
        <w:tc>
          <w:tcPr>
            <w:tcW w:w="5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8"/>
        </w:trPr>
        <w:tc>
          <w:tcPr>
            <w:tcW w:w="1040" w:type="dxa"/>
            <w:vAlign w:val="bottom"/>
            <w:gridSpan w:val="2"/>
            <w:vMerge w:val="continue"/>
          </w:tcPr>
          <w:p>
            <w:pPr>
              <w:spacing w:after="0"/>
              <w:rPr>
                <w:sz w:val="11"/>
                <w:szCs w:val="11"/>
                <w:color w:val="auto"/>
              </w:rPr>
            </w:pPr>
          </w:p>
        </w:tc>
        <w:tc>
          <w:tcPr>
            <w:tcW w:w="5420" w:type="dxa"/>
            <w:vAlign w:val="bottom"/>
            <w:gridSpan w:val="13"/>
            <w:vMerge w:val="restart"/>
          </w:tcPr>
          <w:p>
            <w:pPr>
              <w:ind w:left="1940"/>
              <w:spacing w:after="0"/>
              <w:rPr>
                <w:sz w:val="20"/>
                <w:szCs w:val="20"/>
                <w:color w:val="auto"/>
              </w:rPr>
            </w:pPr>
            <w:r>
              <w:rPr>
                <w:rFonts w:ascii="Arial" w:cs="Arial" w:eastAsia="Arial" w:hAnsi="Arial"/>
                <w:sz w:val="14"/>
                <w:szCs w:val="14"/>
                <w:b w:val="1"/>
                <w:bCs w:val="1"/>
                <w:color w:val="auto"/>
              </w:rPr>
              <w:t>Description of Exhibit</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File Number</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Exhibit</w:t>
            </w:r>
          </w:p>
        </w:tc>
        <w:tc>
          <w:tcPr>
            <w:tcW w:w="14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Filing Date</w:t>
            </w: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Number</w:t>
            </w:r>
          </w:p>
        </w:tc>
        <w:tc>
          <w:tcPr>
            <w:tcW w:w="5420" w:type="dxa"/>
            <w:vAlign w:val="bottom"/>
            <w:gridSpan w:val="13"/>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1"/>
                <w:szCs w:val="21"/>
                <w:color w:val="auto"/>
              </w:rPr>
            </w:pPr>
          </w:p>
        </w:tc>
        <w:tc>
          <w:tcPr>
            <w:tcW w:w="4840" w:type="dxa"/>
            <w:vAlign w:val="bottom"/>
            <w:tcBorders>
              <w:bottom w:val="single" w:sz="8" w:color="0000EE"/>
            </w:tcBorders>
            <w:gridSpan w:val="7"/>
          </w:tcPr>
          <w:p>
            <w:pPr>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Restated Certificate of Incorporation of the Registrant, as amended</w:t>
              </w:r>
            </w:hyperlink>
          </w:p>
        </w:tc>
        <w:tc>
          <w:tcPr>
            <w:tcW w:w="580" w:type="dxa"/>
            <w:vAlign w:val="bottom"/>
            <w:gridSpan w:val="6"/>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10-Q</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001-35890</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May 15, 2019</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5040" w:type="dxa"/>
            <w:vAlign w:val="bottom"/>
            <w:tcBorders>
              <w:bottom w:val="single" w:sz="8" w:color="0000EE"/>
            </w:tcBorders>
            <w:gridSpan w:val="10"/>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Certificate of Amendment to the Restated Certificate of Incorporation</w:t>
              </w:r>
            </w:hyperlink>
          </w:p>
        </w:tc>
        <w:tc>
          <w:tcPr>
            <w:tcW w:w="38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20" w:type="dxa"/>
            <w:vAlign w:val="bottom"/>
            <w:gridSpan w:val="13"/>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of the Company, as filed with the Secretary of State of the State of</w:t>
              </w:r>
            </w:hyperlink>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81">
              <w:r>
                <w:rPr>
                  <w:rFonts w:ascii="Arial" w:cs="Arial" w:eastAsia="Arial" w:hAnsi="Arial"/>
                  <w:sz w:val="18"/>
                  <w:szCs w:val="18"/>
                  <w:color w:val="0000EE"/>
                  <w:w w:val="89"/>
                </w:rPr>
                <w:t>Delaware on June 24, 2021</w:t>
              </w:r>
            </w:hyperlink>
          </w:p>
        </w:tc>
        <w:tc>
          <w:tcPr>
            <w:tcW w:w="2800" w:type="dxa"/>
            <w:vAlign w:val="bottom"/>
            <w:tcBorders>
              <w:top w:val="single" w:sz="8" w:color="0000EE"/>
            </w:tcBorders>
            <w:gridSpan w:val="5"/>
          </w:tcPr>
          <w:p>
            <w:pPr>
              <w:spacing w:after="0"/>
              <w:rPr>
                <w:sz w:val="17"/>
                <w:szCs w:val="17"/>
                <w:color w:val="auto"/>
              </w:rPr>
            </w:pPr>
          </w:p>
        </w:tc>
        <w:tc>
          <w:tcPr>
            <w:tcW w:w="640" w:type="dxa"/>
            <w:vAlign w:val="bottom"/>
            <w:gridSpan w:val="7"/>
          </w:tcPr>
          <w:p>
            <w:pPr>
              <w:spacing w:after="0"/>
              <w:rPr>
                <w:sz w:val="17"/>
                <w:szCs w:val="17"/>
                <w:color w:val="auto"/>
              </w:rPr>
            </w:pPr>
          </w:p>
        </w:tc>
        <w:tc>
          <w:tcPr>
            <w:tcW w:w="70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8-K</w:t>
            </w:r>
          </w:p>
        </w:tc>
        <w:tc>
          <w:tcPr>
            <w:tcW w:w="10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w w:val="92"/>
              </w:rPr>
              <w:t>001-35890</w:t>
            </w:r>
          </w:p>
        </w:tc>
        <w:tc>
          <w:tcPr>
            <w:tcW w:w="7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3.1</w:t>
            </w:r>
          </w:p>
        </w:tc>
        <w:tc>
          <w:tcPr>
            <w:tcW w:w="14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w w:val="99"/>
              </w:rPr>
              <w:t>June 28, 2021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24"/>
                <w:szCs w:val="24"/>
                <w:color w:val="auto"/>
              </w:rPr>
            </w:pPr>
          </w:p>
        </w:tc>
        <w:tc>
          <w:tcPr>
            <w:tcW w:w="5040" w:type="dxa"/>
            <w:vAlign w:val="bottom"/>
            <w:tcBorders>
              <w:bottom w:val="single" w:sz="8" w:color="0000EE"/>
            </w:tcBorders>
            <w:gridSpan w:val="10"/>
          </w:tcPr>
          <w:p>
            <w:pPr>
              <w:spacing w:after="0"/>
              <w:rPr>
                <w:rFonts w:ascii="Arial" w:cs="Arial" w:eastAsia="Arial" w:hAnsi="Arial"/>
                <w:sz w:val="18"/>
                <w:szCs w:val="18"/>
                <w:color w:val="0000EE"/>
                <w:w w:val="91"/>
              </w:rPr>
            </w:pPr>
            <w:hyperlink r:id="rId82">
              <w:r>
                <w:rPr>
                  <w:rFonts w:ascii="Arial" w:cs="Arial" w:eastAsia="Arial" w:hAnsi="Arial"/>
                  <w:sz w:val="18"/>
                  <w:szCs w:val="18"/>
                  <w:color w:val="0000EE"/>
                  <w:w w:val="91"/>
                </w:rPr>
                <w:t>Certificate of Amendment to the Restated Certificate of Incorporation</w:t>
              </w:r>
            </w:hyperlink>
          </w:p>
        </w:tc>
        <w:tc>
          <w:tcPr>
            <w:tcW w:w="38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20" w:type="dxa"/>
            <w:vAlign w:val="bottom"/>
            <w:gridSpan w:val="13"/>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of the Company, as filed with the Secretary of State of the State of</w:t>
              </w:r>
            </w:hyperlink>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82">
              <w:r>
                <w:rPr>
                  <w:rFonts w:ascii="Arial" w:cs="Arial" w:eastAsia="Arial" w:hAnsi="Arial"/>
                  <w:sz w:val="18"/>
                  <w:szCs w:val="18"/>
                  <w:color w:val="0000EE"/>
                  <w:w w:val="89"/>
                </w:rPr>
                <w:t>Delaware on June 25, 2021</w:t>
              </w:r>
            </w:hyperlink>
          </w:p>
        </w:tc>
        <w:tc>
          <w:tcPr>
            <w:tcW w:w="2800" w:type="dxa"/>
            <w:vAlign w:val="bottom"/>
            <w:tcBorders>
              <w:top w:val="single" w:sz="8" w:color="0000EE"/>
            </w:tcBorders>
            <w:gridSpan w:val="5"/>
          </w:tcPr>
          <w:p>
            <w:pPr>
              <w:spacing w:after="0"/>
              <w:rPr>
                <w:sz w:val="17"/>
                <w:szCs w:val="17"/>
                <w:color w:val="auto"/>
              </w:rPr>
            </w:pPr>
          </w:p>
        </w:tc>
        <w:tc>
          <w:tcPr>
            <w:tcW w:w="640" w:type="dxa"/>
            <w:vAlign w:val="bottom"/>
            <w:gridSpan w:val="7"/>
          </w:tcPr>
          <w:p>
            <w:pPr>
              <w:spacing w:after="0"/>
              <w:rPr>
                <w:sz w:val="17"/>
                <w:szCs w:val="17"/>
                <w:color w:val="auto"/>
              </w:rPr>
            </w:pPr>
          </w:p>
        </w:tc>
        <w:tc>
          <w:tcPr>
            <w:tcW w:w="70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8-K</w:t>
            </w:r>
          </w:p>
        </w:tc>
        <w:tc>
          <w:tcPr>
            <w:tcW w:w="10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w w:val="92"/>
              </w:rPr>
              <w:t>001-35890</w:t>
            </w:r>
          </w:p>
        </w:tc>
        <w:tc>
          <w:tcPr>
            <w:tcW w:w="7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3.2</w:t>
            </w:r>
          </w:p>
        </w:tc>
        <w:tc>
          <w:tcPr>
            <w:tcW w:w="14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w w:val="99"/>
              </w:rPr>
              <w:t>June 28, 2021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540" w:type="dxa"/>
            <w:vAlign w:val="bottom"/>
          </w:tcPr>
          <w:p>
            <w:pPr>
              <w:spacing w:after="0"/>
              <w:rPr>
                <w:sz w:val="24"/>
                <w:szCs w:val="24"/>
                <w:color w:val="auto"/>
              </w:rPr>
            </w:pPr>
          </w:p>
        </w:tc>
        <w:tc>
          <w:tcPr>
            <w:tcW w:w="3960" w:type="dxa"/>
            <w:vAlign w:val="bottom"/>
            <w:tcBorders>
              <w:bottom w:val="single" w:sz="8" w:color="0000EE"/>
            </w:tcBorders>
            <w:gridSpan w:val="4"/>
          </w:tcPr>
          <w:p>
            <w:pPr>
              <w:spacing w:after="0"/>
              <w:rPr>
                <w:rFonts w:ascii="Arial" w:cs="Arial" w:eastAsia="Arial" w:hAnsi="Arial"/>
                <w:sz w:val="18"/>
                <w:szCs w:val="18"/>
                <w:color w:val="0000EE"/>
                <w:w w:val="90"/>
              </w:rPr>
            </w:pPr>
            <w:hyperlink r:id="rId83">
              <w:r>
                <w:rPr>
                  <w:rFonts w:ascii="Arial" w:cs="Arial" w:eastAsia="Arial" w:hAnsi="Arial"/>
                  <w:sz w:val="18"/>
                  <w:szCs w:val="18"/>
                  <w:color w:val="0000EE"/>
                  <w:w w:val="90"/>
                </w:rPr>
                <w:t>Third Amended and Restated Bylaws of the Registrant</w:t>
              </w:r>
            </w:hyperlink>
          </w:p>
        </w:tc>
        <w:tc>
          <w:tcPr>
            <w:tcW w:w="1460" w:type="dxa"/>
            <w:vAlign w:val="bottom"/>
            <w:gridSpan w:val="9"/>
          </w:tcPr>
          <w:p>
            <w:pPr>
              <w:spacing w:after="0"/>
              <w:rPr>
                <w:sz w:val="24"/>
                <w:szCs w:val="2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001-35890</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August 9, 2018</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5420" w:type="dxa"/>
            <w:vAlign w:val="bottom"/>
            <w:gridSpan w:val="13"/>
          </w:tcPr>
          <w:p>
            <w:pPr>
              <w:spacing w:after="0"/>
              <w:rPr>
                <w:rFonts w:ascii="Arial" w:cs="Arial" w:eastAsia="Arial" w:hAnsi="Arial"/>
                <w:sz w:val="18"/>
                <w:szCs w:val="18"/>
                <w:color w:val="0000EE"/>
                <w:w w:val="99"/>
              </w:rPr>
            </w:pPr>
            <w:hyperlink w:anchor="page68">
              <w:r>
                <w:rPr>
                  <w:rFonts w:ascii="Arial" w:cs="Arial" w:eastAsia="Arial" w:hAnsi="Arial"/>
                  <w:sz w:val="18"/>
                  <w:szCs w:val="18"/>
                  <w:color w:val="0000EE"/>
                  <w:w w:val="99"/>
                </w:rPr>
                <w:t>Certification of Principal Executive Officer pursuant to Exchange Act</w:t>
              </w:r>
            </w:hyperlink>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40" w:type="dxa"/>
            <w:vAlign w:val="bottom"/>
            <w:tcBorders>
              <w:top w:val="single" w:sz="8" w:color="0000EE"/>
            </w:tcBorders>
            <w:gridSpan w:val="10"/>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Rules 13a-14(a) and 15d-14(a), as adopted pursuant to Section 302 of</w:t>
              </w:r>
            </w:hyperlink>
          </w:p>
        </w:tc>
        <w:tc>
          <w:tcPr>
            <w:tcW w:w="38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the Sarbanes-Oxley Act of 2002</w:t>
              </w:r>
            </w:hyperlink>
          </w:p>
        </w:tc>
        <w:tc>
          <w:tcPr>
            <w:tcW w:w="40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500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69">
              <w:r>
                <w:rPr>
                  <w:rFonts w:ascii="Arial" w:cs="Arial" w:eastAsia="Arial" w:hAnsi="Arial"/>
                  <w:sz w:val="18"/>
                  <w:szCs w:val="18"/>
                  <w:color w:val="0000EE"/>
                  <w:w w:val="93"/>
                </w:rPr>
                <w:t>Certification of Principal Financial Officer pursuant to Exchange Act</w:t>
              </w:r>
            </w:hyperlink>
          </w:p>
        </w:tc>
        <w:tc>
          <w:tcPr>
            <w:tcW w:w="420" w:type="dxa"/>
            <w:vAlign w:val="bottom"/>
            <w:gridSpan w:val="5"/>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20" w:type="dxa"/>
            <w:vAlign w:val="bottom"/>
            <w:gridSpan w:val="13"/>
          </w:tcPr>
          <w:p>
            <w:pPr>
              <w:spacing w:after="0" w:line="196" w:lineRule="exact"/>
              <w:rPr>
                <w:rFonts w:ascii="Arial" w:cs="Arial" w:eastAsia="Arial" w:hAnsi="Arial"/>
                <w:sz w:val="18"/>
                <w:szCs w:val="18"/>
                <w:color w:val="0000EE"/>
                <w:w w:val="96"/>
              </w:rPr>
            </w:pPr>
            <w:hyperlink w:anchor="page69">
              <w:r>
                <w:rPr>
                  <w:rFonts w:ascii="Arial" w:cs="Arial" w:eastAsia="Arial" w:hAnsi="Arial"/>
                  <w:sz w:val="18"/>
                  <w:szCs w:val="18"/>
                  <w:color w:val="0000EE"/>
                  <w:w w:val="96"/>
                </w:rPr>
                <w:t>Rules 13a-14(a) and 15d-14(a), as adopted pursuant to Section 302 of</w:t>
              </w:r>
            </w:hyperlink>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the Sarbanes-Oxley Act of 2002</w:t>
              </w:r>
            </w:hyperlink>
          </w:p>
        </w:tc>
        <w:tc>
          <w:tcPr>
            <w:tcW w:w="40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47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70">
              <w:r>
                <w:rPr>
                  <w:rFonts w:ascii="Arial" w:cs="Arial" w:eastAsia="Arial" w:hAnsi="Arial"/>
                  <w:sz w:val="18"/>
                  <w:szCs w:val="18"/>
                  <w:color w:val="0000EE"/>
                  <w:w w:val="93"/>
                </w:rPr>
                <w:t>Certification of Principal Executive Officer and Financial Officer</w:t>
              </w:r>
            </w:hyperlink>
          </w:p>
        </w:tc>
        <w:tc>
          <w:tcPr>
            <w:tcW w:w="700" w:type="dxa"/>
            <w:vAlign w:val="bottom"/>
            <w:gridSpan w:val="8"/>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20" w:type="dxa"/>
            <w:vAlign w:val="bottom"/>
            <w:gridSpan w:val="13"/>
          </w:tcPr>
          <w:p>
            <w:pPr>
              <w:spacing w:after="0" w:line="196" w:lineRule="exact"/>
              <w:rPr>
                <w:rFonts w:ascii="Arial" w:cs="Arial" w:eastAsia="Arial" w:hAnsi="Arial"/>
                <w:sz w:val="18"/>
                <w:szCs w:val="18"/>
                <w:color w:val="0000EE"/>
                <w:w w:val="93"/>
              </w:rPr>
            </w:pPr>
            <w:hyperlink w:anchor="page70">
              <w:r>
                <w:rPr>
                  <w:rFonts w:ascii="Arial" w:cs="Arial" w:eastAsia="Arial" w:hAnsi="Arial"/>
                  <w:sz w:val="18"/>
                  <w:szCs w:val="18"/>
                  <w:color w:val="0000EE"/>
                  <w:w w:val="93"/>
                </w:rPr>
                <w:t>pursuant to 18 U.S.C. Section 1350, as adopted pursuant to Section 906</w:t>
              </w:r>
            </w:hyperlink>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1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of the Sarbanes-Oxley Act of 2002</w:t>
              </w:r>
            </w:hyperlink>
          </w:p>
        </w:tc>
        <w:tc>
          <w:tcPr>
            <w:tcW w:w="26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290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42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42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42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42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42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5420" w:type="dxa"/>
            <w:vAlign w:val="bottom"/>
            <w:gridSpan w:val="13"/>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20" w:type="dxa"/>
            <w:vAlign w:val="bottom"/>
            <w:gridSpan w:val="13"/>
          </w:tcPr>
          <w:p>
            <w:pPr>
              <w:spacing w:after="0"/>
              <w:rPr>
                <w:sz w:val="20"/>
                <w:szCs w:val="20"/>
                <w:color w:val="auto"/>
              </w:rPr>
            </w:pPr>
            <w:r>
              <w:rPr>
                <w:rFonts w:ascii="Arial" w:cs="Arial" w:eastAsia="Arial" w:hAnsi="Arial"/>
                <w:sz w:val="18"/>
                <w:szCs w:val="18"/>
                <w:color w:val="auto"/>
              </w:rPr>
              <w:t>contained in Exhibits 101)</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340" w:right="80" w:hanging="224"/>
        <w:spacing w:after="0" w:line="311"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86"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TEMPEST THERAPEUTICS,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Stephen Brady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Executive Officer (Principal Executive Officer)</w:t>
      </w:r>
    </w:p>
    <w:p>
      <w:pPr>
        <w:spacing w:after="0" w:line="2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Nicholas Maestas</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Vice-President, Strategy and Finance (Principal</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Financial Officer)</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August 12, 2021</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60"/>
          </w:cols>
          <w:pgMar w:left="320" w:top="486" w:right="61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Stephen Brady, certify that:</w:t>
      </w:r>
    </w:p>
    <w:p>
      <w:pPr>
        <w:spacing w:after="0" w:line="131" w:lineRule="exact"/>
        <w:rPr>
          <w:sz w:val="20"/>
          <w:szCs w:val="20"/>
          <w:color w:val="auto"/>
        </w:rPr>
      </w:pPr>
    </w:p>
    <w:p>
      <w:pPr>
        <w:ind w:left="424" w:hanging="424"/>
        <w:spacing w:after="0"/>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Form 10-Q of Tempest Therapeutics,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120" w:hanging="424"/>
        <w:spacing w:after="0" w:line="277"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August 12, 2021</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Stephen Brady</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4"/>
          </w:cols>
          <w:pgMar w:left="436" w:top="121" w:right="4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Nicholas Maestas, certify that:</w:t>
      </w:r>
    </w:p>
    <w:p>
      <w:pPr>
        <w:spacing w:after="0" w:line="131" w:lineRule="exact"/>
        <w:rPr>
          <w:sz w:val="20"/>
          <w:szCs w:val="20"/>
          <w:color w:val="auto"/>
        </w:rPr>
      </w:pPr>
    </w:p>
    <w:p>
      <w:pPr>
        <w:ind w:left="424" w:hanging="424"/>
        <w:spacing w:after="0"/>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Form 10-Q of Tempest Therapeutics,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120" w:hanging="424"/>
        <w:spacing w:after="0" w:line="277" w:lineRule="auto"/>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August 12, 2021</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Nicholas Maestas</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Vice-President, Strategy and Finance</w:t>
      </w:r>
    </w:p>
    <w:p>
      <w:pPr>
        <w:sectPr>
          <w:pgSz w:w="11900" w:h="16838" w:orient="portrait"/>
          <w:cols w:equalWidth="0" w:num="1">
            <w:col w:w="11024"/>
          </w:cols>
          <w:pgMar w:left="436" w:top="121" w:right="4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Stephen Brady, Chief Executive Officer of Tempest Therapeutics, Inc. (the “Company”), and Nicholas Maestas, Vice President, Strategy and Finance, of the Company, each hereby certifies that, to the best of his or her knowledge:</w:t>
      </w:r>
    </w:p>
    <w:p>
      <w:pPr>
        <w:spacing w:after="0" w:line="92" w:lineRule="exact"/>
        <w:rPr>
          <w:sz w:val="20"/>
          <w:szCs w:val="20"/>
          <w:color w:val="auto"/>
        </w:rPr>
      </w:pPr>
    </w:p>
    <w:p>
      <w:pPr>
        <w:ind w:left="424" w:right="320" w:hanging="424"/>
        <w:spacing w:after="0" w:line="308" w:lineRule="auto"/>
        <w:tabs>
          <w:tab w:leader="none" w:pos="424" w:val="left"/>
        </w:tabs>
        <w:numPr>
          <w:ilvl w:val="0"/>
          <w:numId w:val="43"/>
        </w:numPr>
        <w:rPr>
          <w:rFonts w:ascii="Arial" w:cs="Arial" w:eastAsia="Arial" w:hAnsi="Arial"/>
          <w:sz w:val="17"/>
          <w:szCs w:val="17"/>
          <w:b w:val="1"/>
          <w:bCs w:val="1"/>
          <w:color w:val="auto"/>
        </w:rPr>
      </w:pPr>
      <w:r>
        <w:rPr>
          <w:rFonts w:ascii="Arial" w:cs="Arial" w:eastAsia="Arial" w:hAnsi="Arial"/>
          <w:sz w:val="17"/>
          <w:szCs w:val="17"/>
          <w:color w:val="auto"/>
        </w:rPr>
        <w:t>The Company’s Quarterly Report on Form 10-Q for the period ended June 30, 2021, to which this Certification is attached as Exhibit 32.1 (the “Periodic Report”), fully complies with the requirements of Section 13(a) or Section 15(d) of the Exchange Act; and</w:t>
      </w:r>
    </w:p>
    <w:p>
      <w:pPr>
        <w:spacing w:after="0" w:line="51" w:lineRule="exact"/>
        <w:rPr>
          <w:rFonts w:ascii="Arial" w:cs="Arial" w:eastAsia="Arial" w:hAnsi="Arial"/>
          <w:sz w:val="17"/>
          <w:szCs w:val="17"/>
          <w:b w:val="1"/>
          <w:bCs w:val="1"/>
          <w:color w:val="auto"/>
        </w:rPr>
      </w:pPr>
    </w:p>
    <w:p>
      <w:pPr>
        <w:ind w:left="424" w:right="280" w:hanging="424"/>
        <w:spacing w:after="0" w:line="277" w:lineRule="auto"/>
        <w:tabs>
          <w:tab w:leader="none" w:pos="424"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August 12, 2021</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undersigned have set their hands hereto as of the 12</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2021.</w:t>
      </w:r>
    </w:p>
    <w:p>
      <w:pPr>
        <w:spacing w:after="0" w:line="256"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Brady</w:t>
            </w:r>
          </w:p>
        </w:tc>
        <w:tc>
          <w:tcPr>
            <w:tcW w:w="3960" w:type="dxa"/>
            <w:vAlign w:val="bottom"/>
          </w:tcPr>
          <w:p>
            <w:pPr>
              <w:spacing w:after="0"/>
              <w:rPr>
                <w:sz w:val="20"/>
                <w:szCs w:val="20"/>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Nicholas Maestas</w:t>
            </w:r>
          </w:p>
        </w:tc>
      </w:tr>
      <w:tr>
        <w:trPr>
          <w:trHeight w:val="209"/>
        </w:trPr>
        <w:tc>
          <w:tcPr>
            <w:tcW w:w="3640" w:type="dxa"/>
            <w:vAlign w:val="bottom"/>
          </w:tcPr>
          <w:p>
            <w:pPr>
              <w:spacing w:after="0"/>
              <w:rPr>
                <w:sz w:val="20"/>
                <w:szCs w:val="20"/>
                <w:color w:val="auto"/>
              </w:rPr>
            </w:pPr>
            <w:r>
              <w:rPr>
                <w:rFonts w:ascii="Arial" w:cs="Arial" w:eastAsia="Arial" w:hAnsi="Arial"/>
                <w:sz w:val="18"/>
                <w:szCs w:val="18"/>
                <w:color w:val="auto"/>
              </w:rPr>
              <w:t>Stephen Brady</w:t>
            </w:r>
          </w:p>
        </w:tc>
        <w:tc>
          <w:tcPr>
            <w:tcW w:w="396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Nicholas Maestas</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96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Vice-President, Strategy and Finance</w:t>
            </w:r>
          </w:p>
        </w:tc>
      </w:tr>
    </w:tbl>
    <w:p>
      <w:pPr>
        <w:spacing w:after="0" w:line="202"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Tempest Therapeutics,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3"/>
    </w:lvl>
  </w:abstractNum>
  <w:abstractNum w:abstractNumId="6">
    <w:nsid w:val="79838CB2"/>
    <w:multiLevelType w:val="hybridMultilevel"/>
    <w:lvl w:ilvl="0">
      <w:lvlJc w:val="left"/>
      <w:lvlText w:val="%1."/>
      <w:numFmt w:val="decimal"/>
      <w:start w:val="5"/>
    </w:lvl>
  </w:abstractNum>
  <w:abstractNum w:abstractNumId="7">
    <w:nsid w:val="4353D0CD"/>
    <w:multiLevelType w:val="hybridMultilevel"/>
    <w:lvl w:ilvl="0">
      <w:lvlJc w:val="left"/>
      <w:lvlText w:val="%1."/>
      <w:numFmt w:val="decimal"/>
      <w:start w:val="7"/>
    </w:lvl>
  </w:abstractNum>
  <w:abstractNum w:abstractNumId="8">
    <w:nsid w:val="B03E0C6"/>
    <w:multiLevelType w:val="hybridMultilevel"/>
    <w:lvl w:ilvl="0">
      <w:lvlJc w:val="left"/>
      <w:lvlText w:val="%1."/>
      <w:numFmt w:val="decimal"/>
      <w:start w:val="9"/>
    </w:lvl>
  </w:abstractNum>
  <w:abstractNum w:abstractNumId="9">
    <w:nsid w:val="189A769B"/>
    <w:multiLevelType w:val="hybridMultilevel"/>
    <w:lvl w:ilvl="0">
      <w:lvlJc w:val="left"/>
      <w:lvlText w:val="%1."/>
      <w:numFmt w:val="decimal"/>
      <w:start w:val="11"/>
    </w:lvl>
  </w:abstractNum>
  <w:abstractNum w:abstractNumId="10">
    <w:nsid w:val="54E49EB4"/>
    <w:multiLevelType w:val="hybridMultilevel"/>
    <w:lvl w:ilvl="0">
      <w:lvlJc w:val="left"/>
      <w:lvlText w:val="%1."/>
      <w:numFmt w:val="decimal"/>
      <w:start w:val="13"/>
    </w:lvl>
  </w:abstractNum>
  <w:abstractNum w:abstractNumId="11">
    <w:nsid w:val="71F32454"/>
    <w:multiLevelType w:val="hybridMultilevel"/>
    <w:lvl w:ilvl="0">
      <w:lvlJc w:val="left"/>
      <w:lvlText w:val="%1."/>
      <w:numFmt w:val="decimal"/>
      <w:start w:val="15"/>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lowerRoman"/>
      <w:start w:val="1"/>
    </w:lvl>
  </w:abstractNum>
  <w:abstractNum w:abstractNumId="15">
    <w:nsid w:val="3A95F874"/>
    <w:multiLevelType w:val="hybridMultilevel"/>
    <w:lvl w:ilvl="0">
      <w:lvlJc w:val="left"/>
      <w:lvlText w:val="(%1)"/>
      <w:numFmt w:val="lowerRoman"/>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80" Type="http://schemas.openxmlformats.org/officeDocument/2006/relationships/hyperlink" Target="http://www.sec.gov/Archives/edgar/data/1544227/000155837019005038/mlnd-20190331ex31b53fa83.htm" TargetMode="External"/><Relationship Id="rId81" Type="http://schemas.openxmlformats.org/officeDocument/2006/relationships/hyperlink" Target="http://www.sec.gov/Archives/edgar/data/1544227/000119312521201157/d196630dex31.htm" TargetMode="External"/><Relationship Id="rId82" Type="http://schemas.openxmlformats.org/officeDocument/2006/relationships/hyperlink" Target="http://www.sec.gov/Archives/edgar/data/1544227/000119312521201157/d196630dex32.htm" TargetMode="External"/><Relationship Id="rId83" Type="http://schemas.openxmlformats.org/officeDocument/2006/relationships/hyperlink" Target="http://www.sec.gov/Archives/edgar/data/1544227/000110465918050995/a18-18482_1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2021-08-12T16:05:02Z</dcterms:created>
  <dcterms:modified xsi:type="dcterms:W3CDTF">2021-08-12T16:05:02Z</dcterms:modified>
</cp:coreProperties>
</file>