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333-264989</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6,355,932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182245</wp:posOffset>
            </wp:positionV>
            <wp:extent cx="151701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proposed resale from time to time of up to 6,355,932 shares of our common stock, par value $0.001 per share, (the “Resale Shares”), of which 3,149,912 shares are issued and outstanding and 3,206,020 shares (the “Warrant Shares”) are issuable upon the exercise of pre-funded warrants to purchase shares of common stock, by the selling stockholders named herein, together with any additional selling stockholders listed in a prospectus supplement (together with any of such stockholders’ transferees, pledgees, donees or successors).</w:t>
      </w:r>
    </w:p>
    <w:p>
      <w:pPr>
        <w:spacing w:after="0" w:line="180" w:lineRule="exact"/>
        <w:rPr>
          <w:sz w:val="24"/>
          <w:szCs w:val="24"/>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registering the offer and sale of the Resale Shares from time to time by the selling stockholders to satisfy the registration rights they were granted in connection with the issuance of the Resale Shares and pre-funded warrants to purchase Resale Shares (the “Pre-Funded Warrants”). We will not receive any proceeds from the sale of the Resale Shares by the selling stockholders.</w:t>
      </w:r>
    </w:p>
    <w:p>
      <w:pPr>
        <w:spacing w:after="0" w:line="176" w:lineRule="exact"/>
        <w:rPr>
          <w:sz w:val="24"/>
          <w:szCs w:val="24"/>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offer and sell or otherwise dispose of the Resale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Resale Shares and any transfer taxes. We will bear all other costs, expenses and fees in connection with the registration of the Resale Shares. See “Plan of Distribution” for more information about how the selling stockholders may sell or dispose of their Resale Shares.</w:t>
      </w:r>
    </w:p>
    <w:p>
      <w:pPr>
        <w:spacing w:after="0" w:line="183" w:lineRule="exact"/>
        <w:rPr>
          <w:sz w:val="24"/>
          <w:szCs w:val="24"/>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“TPST.” On May 26, 2022, the closing price of our common stock was $3.86 per share.</w:t>
      </w:r>
    </w:p>
    <w:p>
      <w:pPr>
        <w:spacing w:after="0" w:line="158" w:lineRule="exact"/>
        <w:rPr>
          <w:sz w:val="24"/>
          <w:szCs w:val="24"/>
          <w:color w:val="auto"/>
        </w:rPr>
      </w:pPr>
    </w:p>
    <w:p>
      <w:pPr>
        <w:jc w:val="both"/>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shares of our common stock involves a high degree of risk. You should review carefully the risks and uncertainties described in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2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6"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27, 2022.</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2"/>
        </w:trPr>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TEMPEST THERAPEUTICS, INC.</w:t>
            </w:r>
          </w:p>
        </w:tc>
        <w:tc>
          <w:tcPr>
            <w:tcW w:w="5400" w:type="dxa"/>
            <w:vAlign w:val="bottom"/>
            <w:gridSpan w:val="5"/>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7"/>
          </w:tcPr>
          <w:p>
            <w:pPr>
              <w:spacing w:after="0"/>
              <w:rPr>
                <w:sz w:val="17"/>
                <w:szCs w:val="17"/>
                <w:color w:val="auto"/>
              </w:rPr>
            </w:pPr>
          </w:p>
        </w:tc>
        <w:tc>
          <w:tcPr>
            <w:tcW w:w="2700" w:type="dxa"/>
            <w:vAlign w:val="bottom"/>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160" w:type="dxa"/>
            <w:vAlign w:val="bottom"/>
            <w:gridSpan w:val="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6"/>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80" w:type="dxa"/>
            <w:vAlign w:val="bottom"/>
            <w:gridSpan w:val="7"/>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4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40" w:type="dxa"/>
            <w:vAlign w:val="bottom"/>
            <w:gridSpan w:val="2"/>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process, certain selling stockholders may from time to time sell the shares of common stock described in this prospectus in one or more offerings or otherwise as described under “Plan of Distribution.”</w:t>
      </w:r>
    </w:p>
    <w:p>
      <w:pPr>
        <w:spacing w:after="0" w:line="176"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before deciding to invest in any shares being offered.</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shares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5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oncology company advancing small molecules that combine both tumor-targeted and immune-mediated mechanisms with the potential to treat a wide range of tumors. The company’s two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through a randomized first line, global, Phase 1b/2 clinical study in combination with the standard-of-care regimen of atezolizumab and bevacizumab in patients with advanced or metastatic hepatocellular carcinoma. Tempest is also developing an orally-available inhibitor of TREX-1 designed to activate selectively the cGAS/STING pathway, an innate immune response pathway important for the development of anti-tumor immunity. Tempest is headquartered in South San Francisco, California.</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Background</w:t>
      </w:r>
    </w:p>
    <w:p>
      <w:pPr>
        <w:spacing w:after="0" w:line="121"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South San Francisco, California. 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w:t>
      </w:r>
    </w:p>
    <w:p>
      <w:pPr>
        <w:spacing w:after="0" w:line="180" w:lineRule="exact"/>
        <w:rPr>
          <w:sz w:val="20"/>
          <w:szCs w:val="20"/>
          <w:color w:val="auto"/>
        </w:rPr>
      </w:pPr>
    </w:p>
    <w:p>
      <w:pPr>
        <w:ind w:left="300" w:right="340" w:firstLine="426"/>
        <w:spacing w:after="0" w:line="261" w:lineRule="auto"/>
        <w:rPr>
          <w:sz w:val="20"/>
          <w:szCs w:val="20"/>
          <w:color w:val="auto"/>
        </w:rPr>
      </w:pPr>
      <w:r>
        <w:rPr>
          <w:rFonts w:ascii="Times New Roman" w:cs="Times New Roman" w:eastAsia="Times New Roman" w:hAnsi="Times New Roman"/>
          <w:sz w:val="18"/>
          <w:szCs w:val="18"/>
          <w:color w:val="auto"/>
        </w:rPr>
        <w:t>In June 2021, we completed our reverse merger business combination with Millendo Therapeutics, Inc. (“Millendo”), a publicly traded company, in accordance with the terms of an agreement and plan of merger and reorganization, dated March 29, 2021. Following the merger, Millendo was renamed “Tempest Therapeutics, Inc.” and our common stock began trading on the Nasdaq Capital Market, or Nasdaq, under the symbol “TPST.”</w:t>
      </w:r>
    </w:p>
    <w:p>
      <w:pPr>
        <w:spacing w:after="0" w:line="180"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7000 Shoreline Court, Suite 275, South San Francisco, CA 94080. Our telephone number is (415) 798-8589.</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Investing in shares of our common stock involves a high degree of risk. Before deciding whether to invest in shares of our common stock, you should consider carefully the risks and uncertainties discussed in this section and under the sections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any prospectus supplement and any free writing prospectus that we may authorize. Please also read carefully the section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Some of the factors that may cause the market price of our common stock to fluctuate include:</w:t>
      </w:r>
    </w:p>
    <w:p>
      <w:pPr>
        <w:spacing w:after="0" w:line="6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with Millendo as rapidly or to the extent anticipated by financial or industry analysts;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COVID-19 pandemic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lapse, the trading price of our common stock could decline. Upon the effectiveness of this registration statement and subject to the beneficial ownership limitations contained in the Pre-Funded Warrants, 6,355,932 shares of common stock (including the 3,206,020 Warrant Shares) will be freely tradable, without restriction, in the public market. In addition, the exercise of some or all of the Pre-Funded Warrants will increase the number of shares of our outstanding common stock, which may dilute the ownership percentage or voting power of our stockholders. In addition, shares of common stock that are subject to outstanding options and warrants will become eligible for sale in the public market to the extent permitted by the provisions of various vesting agreements and Rule 144 under the Securities Act. If these shares are sold, the trading price of our common stock could decline.</w:t>
      </w:r>
    </w:p>
    <w:p>
      <w:pPr>
        <w:spacing w:after="0" w:line="296"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May 1, 2022, our executive officers, directors and principal stockholders, in the aggregate, beneficially own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SEC rules applicable to smaller reporting companies, the Company was not required to have its auditors formally attest to the effectiveness of its internal control over financial reporting in connection with the Annual Report on Form 10-K for the year ended December 31, 2021. Additionally, we will not be required to have our auditors formally attest to the effectiveness of our internal control over financial reporting until we cease to be a smaller reporting company.</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 was identified in our internal control over financial reporting, which remains subject to ongoing remediation. We cannot assure you that the material weaknesses identified will be remediated by us on the timelines currently anticipated, or at all, 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control systems required of public companies, could also restrict our future access to the capital markets.</w:t>
      </w:r>
    </w:p>
    <w:p>
      <w:pPr>
        <w:spacing w:after="0" w:line="329"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the COVID-19 pandemic is likely to continue to cause substantial changes in consumer behavior and has caused restrictions on business and individual activities, which are likely to lead to reduced economic activity.</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8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percent of the votes that all our stockholders would be entitled to cast to amend or repeal certain provisions of our certificate of incorporation or bylaws.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284"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increased litigation, including stockholder litigation, which could have an adverse effect on our business and operations.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Inc. (“Ovascience”), Millendo’s predecessor, and certain of our officer and directors, as described in more detail in Part I, Item 3 under the heading “Legal Proceedings” of the Annual Report on Form 10-K for the year ended December 31, 2021.</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(the “Securities Act”), and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TPST-1495 and TPST-1120 and our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TempestTx, Inc. and Millendo Therapeutics, Inc. (now the Company) successfully and realize the anticipated benefits of the merger of the two entities, which closed in July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remediate our existing material weakness and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“believes,” “could,” “estimates,” “intends,” “may,” “plans,” “potential,” “will,” “would,”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 as predictions of future events. We discuss in greater detail many of these risks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You should read this prospectus, together with the documents we have filed with the SEC that are incorporated by reference, any prospectus supplement and any free writing prospectus that we may authorize completely and with the understanding that our actual future results may be materially different from what we expect. We qualify all of the forward-looking statements in the foregoing documents by these cautionary statements.</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in this offering. The selling stockholders will receive all of the proceeds from the sale of shares of common stock hereunder.</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description of our capital stock is based on the provisions of our amended and restated certificate of incorporation and amended and restated bylaws and the applicable provisions of the Delaware General Corporation Law.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will file as an exhibit to the registration statement of which this prospectus is a part, or will incorporate by reference from reports that we file with the Securities and Exchange Commission, the form of any certificate of designation that describes the terms of the series of preferred stock we are offering before the issuance of that series of preferred stock. This description will include:</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 directors then in office. Furthermore, our restated certificate provides that the authorized number of directors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restated certificate and bylaws provide that only our board of directors, the chairman of the board or our chief executive officer may call special meetings of stockholders, and the business transacted at a special meeting of stockholders shall be limited to matters relating to the purpose or purposes stated in the notice of meeting.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Our bylaws specify the requirements as to form and content of all stockholders’ notices. These requirements may preclude stockholders from bringing matters before the stockholders at an annual or special meeting. Our restated certificate and bylaws provide that our stockholders may not take any action by written consent in lieu of a meeting.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5"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to offer and sell from time to time up to 6,355,932 shares of our common stock for their own account, consisting of (i) 3,149,912 shares of common stock issued and outstanding, or the Resale Shares, and (ii) 3,206,020 shares of common stock, or the Warrant Shares, issuable upon the exercise of the Pre-Funded Warrants to purchase shares of common stock, or the Warrants, held by certain of the selling stockholders. For a description of the Warrants, see “Description of Capital Stock-Warrants.”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registering the offer and sale of the Resale Shares beneficially owned by the selling stockholders to satisfy certain registration obligations that we granted the selling stockholders in connection with the purchase of the Resale Shares and the Warrants. Pursuant to a registration rights agreement we entered into in connection with such transaction, we have agreed to use our reasonable efforts to keep the registration statement, of which this prospectus is a part, effective until the earliest to occur of: (i) the date that all Registrable Securities covered by such Registration Statement (x) have been sold, thereunder or pursuant to Rule 144, or (y)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w:t>
      </w:r>
    </w:p>
    <w:p>
      <w:pPr>
        <w:spacing w:after="0" w:line="189"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 the name of each selling stockholder, (ii) the number of shares beneficially owned by each of the respective selling stockholders, including the Resale Shares and the Warrant Shares, (iii) the number of Resale Shares and Warrant Shares that may be offered under this prospectus and (iv) the number of shares of our common stock beneficially owned by the selling stockholders assuming all of the Resale Shares and Warrant Shares covered hereby are sold.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set forth in the following table for any selling stockholder does not take into account the exercise limitations described under “Description of Capital Stock-Warrants” and set forth in the Warrants. Accordingly, the number of shares of common stock set forth in the following table for any stockholder may exceed the number of shares of common stock that it could own beneficially at any given time as a result of its ownership of Warrants. As a result, the actual number of Warrant Shares that may be issued to and sold by the selling stockholders could be materially less or more than the estimated numbers in the column titled “Number of Shares Being Offered” depending on factors which cannot be predicted by us at this time. In addition, we do not know how long the selling stockholders will hold the Resale Shares or Warrant Shares before selling them, and we currently have no agreements, arrangements or understandings with the selling stockholders regarding the sale or other disposition of any Resale Shares or Warrant Shares.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our knowledge, none of the selling stockholders has, or during the three years prior to the date of this prospectus has had, any position, office or other material relationships with us or any of our affiliates, except that (i) we and each selling stockholder are party to the registration rights agreement dated April 26, 2022 relating to the Resale Shares and the Warrant Shares described above, and (ii) Thomas Woiwode, Ph.D., a managing director at Versant Venture Capital, is a member of our Board of Directors. To our knowledge, except as set forth in the table below, none of the selling stockholders are broker-dealers or are affiliated with a broker-dealer, nor at the time of the acquisition did any selling stockholders have direct or indirect agreements or understandings with any person to distribute any common stock, including the Resale Shares and the Warrant Shares.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table below is based upon information obtained from the selling stockholders. Beneficial ownership of the selling stockholders is determined in accordance with Rule 13d-3(d) under the Exchange Act. The percentage of shares beneficially owned after the offering is based on 10,323,006 shares of our common stock outstanding as of May 13, 2022, after giving effect to the issuance of 3,149,912 Resale Shares and 3,206,020 Warrant Shares assuming full exercise of the Warrants.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Resale Shares in any non-sale transfer after the date of this prospectus. Unless otherwise indicated, the address for each selling stockholder is c/o Tempest Therapeutics, Inc., 7000 Shoreline Court, Suite 275, South San Francisco, CA 94080.</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9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Beneficial Ownership After this Offering</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4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060" w:type="dxa"/>
            <w:vAlign w:val="bottom"/>
            <w:vMerge w:val="restart"/>
          </w:tcPr>
          <w:p>
            <w:pPr>
              <w:spacing w:after="0"/>
              <w:rPr>
                <w:sz w:val="12"/>
                <w:szCs w:val="12"/>
                <w:color w:val="auto"/>
              </w:rPr>
            </w:pPr>
          </w:p>
        </w:tc>
        <w:tc>
          <w:tcPr>
            <w:tcW w:w="17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1640" w:type="dxa"/>
            <w:vAlign w:val="bottom"/>
            <w:gridSpan w:val="2"/>
            <w:vMerge w:val="continue"/>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78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this Offering</w:t>
            </w:r>
          </w:p>
        </w:tc>
        <w:tc>
          <w:tcPr>
            <w:tcW w:w="138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640" w:type="dxa"/>
            <w:vAlign w:val="bottom"/>
            <w:gridSpan w:val="2"/>
          </w:tcPr>
          <w:p>
            <w:pPr>
              <w:jc w:val="right"/>
              <w:ind w:right="9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1"/>
        </w:trPr>
        <w:tc>
          <w:tcPr>
            <w:tcW w:w="38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Entities Affiliated with EcoR1 Capital,</w:t>
            </w:r>
          </w:p>
        </w:tc>
        <w:tc>
          <w:tcPr>
            <w:tcW w:w="1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LLC(1)</w:t>
            </w:r>
          </w:p>
        </w:tc>
        <w:tc>
          <w:tcPr>
            <w:tcW w:w="17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1,031,268</w:t>
            </w:r>
          </w:p>
        </w:tc>
        <w:tc>
          <w:tcPr>
            <w:tcW w:w="1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4,237,288</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Versant Venture</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Capital(2)</w:t>
            </w: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4,295,055</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2,118,644</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2,176,411</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Selling Stockholders</w:t>
            </w:r>
          </w:p>
        </w:tc>
        <w:tc>
          <w:tcPr>
            <w:tcW w:w="17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5,326,323</w:t>
            </w:r>
          </w:p>
        </w:tc>
        <w:tc>
          <w:tcPr>
            <w:tcW w:w="1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6,355,932</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2,176,411</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80" w:hanging="424"/>
        <w:spacing w:after="0" w:line="25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68,064 shares of common stock held by EcoR1 Capital Fund, L.P., (ii) 963,204 shares of common stock held by EcoR1 Capital Fund Qualified, L.P., (iii) 211,597 Warrant Shares underlying Pre-Funded Warrants held by EcoR1 Capital Fund, L.P., and (iv) 2,994,423 Warrant Shares underlying Pre-Funded Warrants held by EcoR1 Capital Fund Qualified, L.P. The Warrant Shares are subject to a beneficial ownership limitation pursuant to which the holder of the Pre-Funded Warrants will not have the right to exercise any portion of its Pre-Funded Warrants if such holder, together with its affiliates, would beneficially own in excess of 9.99% of the number of shares of the Company’s common stock outstanding immediately after giving effect to such exercise (the “Beneficial Ownership Limitation”); provided that the holder may increase or decrease the Beneficial Ownership Limitation by giving 61 days’ notice to the Company, but not to any percentage in excess of 19.99%. The amounts and percentages in the table give effect to the Beneficial Ownership Limitation. The address of EcoR1 Capital Fund, L.P. and EcoR1 Capital Fund Qualified, L.P. is 357 Tehama Street #3, San Francisco, CA 94103.</w:t>
      </w:r>
    </w:p>
    <w:p>
      <w:pPr>
        <w:spacing w:after="0" w:line="6"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997,940 shares of common stock held by Versant Venture Capital VI, L.P., (ii) 1,171,094 shares of common stock held by Versant Venture Capital IV, L.P., (iii) 7,377 shares of common stock held by Versant Side Fund IV, L.P. and (iv) 2,118,644 shares of common stock held by Versant Vantage II, L.P. The address of Versant Venture Capital is One Sansome Street, Suite 3630, San Francisco, CA 94104.</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the shares of our common stock held by the selling stockholders from time to time after the date of this prospectus. We will not receive any of the proceeds from the sale by the selling stockholders of the shares of our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the principal trading market for our common stock or any other stock exchange, market or trading facility on which our common stock is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130" w:lineRule="exact"/>
        <w:rPr>
          <w:rFonts w:ascii="Times New Roman" w:cs="Times New Roman" w:eastAsia="Times New Roman" w:hAnsi="Times New Roman"/>
          <w:sz w:val="18"/>
          <w:szCs w:val="18"/>
          <w:color w:val="auto"/>
        </w:rPr>
      </w:pPr>
    </w:p>
    <w:p>
      <w:pPr>
        <w:ind w:left="540" w:right="56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30"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common stock at a stipulated price per security;</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540" w:right="300" w:hanging="316"/>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the shares of our common stock under Rule 144 or any other exemption from registration under the Securities Act, if available, rather than under this prospectus.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thereby receive freely tradeable securities pursuant to the distribution through a registration statement. To the extent a distributee is our affiliate (or to the extent otherwise required by law), we may, at our option, file a prospectus supplement in order to permit the distributees to use the prospectus to resell the securities acquired in the distribution.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our common stock, from the purchaser) in amounts to be negotiated, but, except as set forth in a supplement to this prospectus, in the case of an agency transaction not in excess of a customary brokerage commission in compliance with Financial Industry Regulatory Authority, (“FINRA”), Rule 5110; and in the case of a principal transaction a markup or markdown in compliance with FINRA Rule 2121.</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the sale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our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4"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securityholders in amounts to be negotiated immediately prior to the sale.</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shares of our common stock purchased by them may be deemed to be underwriting commissions or discounts under the Securities Act. Each selling stockholder has informed us that it does not have any written or oral agreement or understanding, directly or indirectly, with any person to distribute the shares of our common stock.</w:t>
      </w:r>
    </w:p>
    <w:p>
      <w:pPr>
        <w:spacing w:after="0" w:line="183"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shares of our common stock. We and the selling stockholders have agreed to indemnify each other against certain losses, claims, damages and liabilities, including liabilities under the Securities Act.</w:t>
      </w:r>
    </w:p>
    <w:p>
      <w:pPr>
        <w:spacing w:after="0" w:line="14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shares of our common stock may not simultaneously engage in market 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and sales of our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common stock offered hereby. As of the date of this prospectus, Cooley LLP beneficially owned 9,750 shares of our common stock.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Tempest Therapeutics, Inc. and subsidiaries as of December 31, 2020 and for the year ended December 31, 2020, incorporated by reference herein have been audited by Deloitte &amp; Touche LLP, an independent registered public accounting firm, as stated in their report (which report expresses an unqualified opinion on the financial statements and includes an explanatory paragraph referring to substantial doubt regarding Tempest Therapeutics, Inc.’s ability to continue as a going concern). Such financial statements are incorporated by reference in reliance upon the report of such firm given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001-35890):</w:t>
      </w:r>
    </w:p>
    <w:p>
      <w:pPr>
        <w:spacing w:after="0" w:line="93" w:lineRule="exact"/>
        <w:rPr>
          <w:sz w:val="20"/>
          <w:szCs w:val="20"/>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7">
        <w:r>
          <w:rPr>
            <w:rFonts w:ascii="Times New Roman" w:cs="Times New Roman" w:eastAsia="Times New Roman" w:hAnsi="Times New Roman"/>
            <w:sz w:val="18"/>
            <w:szCs w:val="18"/>
            <w:u w:val="single" w:color="auto"/>
            <w:color w:val="0000EE"/>
          </w:rPr>
          <w:t>Annual Report on Form 10-K for the year ended December 31, 2021</w:t>
        </w:r>
      </w:hyperlink>
      <w:r>
        <w:rPr>
          <w:rFonts w:ascii="Times New Roman" w:cs="Times New Roman" w:eastAsia="Times New Roman" w:hAnsi="Times New Roman"/>
          <w:sz w:val="18"/>
          <w:szCs w:val="18"/>
          <w:color w:val="auto"/>
        </w:rPr>
        <w:t xml:space="preserve">, which was filed with the SEC on March 29, 2022, as amended on </w:t>
      </w:r>
      <w:hyperlink r:id="rId38">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which was filed with the SEC on May 13, 2022;</w:t>
      </w:r>
    </w:p>
    <w:p>
      <w:pPr>
        <w:spacing w:after="0" w:line="15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w:t>
      </w:r>
      <w:hyperlink r:id="rId37">
        <w:r>
          <w:rPr>
            <w:rFonts w:ascii="Times New Roman" w:cs="Times New Roman" w:eastAsia="Times New Roman" w:hAnsi="Times New Roman"/>
            <w:sz w:val="18"/>
            <w:szCs w:val="18"/>
            <w:u w:val="single" w:color="auto"/>
            <w:color w:val="0000EE"/>
          </w:rPr>
          <w:t>Annual Report on Form 10-K for the fiscal year ended December 31, 2021</w:t>
        </w:r>
      </w:hyperlink>
      <w:r>
        <w:rPr>
          <w:rFonts w:ascii="Times New Roman" w:cs="Times New Roman" w:eastAsia="Times New Roman" w:hAnsi="Times New Roman"/>
          <w:sz w:val="18"/>
          <w:szCs w:val="18"/>
          <w:color w:val="auto"/>
        </w:rPr>
        <w:t xml:space="preserve"> from our definitive proxy statement on </w:t>
      </w:r>
      <w:hyperlink r:id="rId4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information furnished rather than filed), which was filed with the SEC on May 2, 2022, as supplemented on </w:t>
      </w:r>
      <w:hyperlink r:id="rId42">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hyperlink r:id="rId43">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thereto) and </w:t>
      </w:r>
      <w:hyperlink r:id="rId44">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description of our common stock, which is registered under Section 12 of the Exchange Act, in our registration statement on </w:t>
      </w:r>
      <w:hyperlink r:id="rId4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color w:val="auto"/>
          </w:rPr>
          <w:t xml:space="preserve">filed with the SEC on April 25, 2013, as updated by </w:t>
        </w:r>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auto"/>
          </w:rPr>
          <w:t xml:space="preserve"> to our </w:t>
        </w:r>
        <w:r>
          <w:rPr>
            <w:rFonts w:ascii="Times New Roman" w:cs="Times New Roman" w:eastAsia="Times New Roman" w:hAnsi="Times New Roman"/>
            <w:sz w:val="18"/>
            <w:szCs w:val="18"/>
            <w:u w:val="single" w:color="auto"/>
            <w:color w:val="0000EE"/>
          </w:rPr>
          <w:t>Annual Report on Form 10-K for the year ended December 31,</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2021.</w:t>
        </w:r>
      </w:hyperlink>
    </w:p>
    <w:p>
      <w:pPr>
        <w:spacing w:after="0" w:line="176" w:lineRule="exact"/>
        <w:rPr>
          <w:rFonts w:ascii="Times New Roman" w:cs="Times New Roman" w:eastAsia="Times New Roman" w:hAnsi="Times New Roman"/>
          <w:sz w:val="18"/>
          <w:szCs w:val="18"/>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shares of our common stock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7000 Shoreline Court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Suite 275</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Secretary</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481330</wp:posOffset>
            </wp:positionV>
            <wp:extent cx="1517015" cy="368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517015" cy="3683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2467610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862330</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2465070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2533650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jpe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37" Type="http://schemas.openxmlformats.org/officeDocument/2006/relationships/hyperlink" Target="http://www.sec.gov/ix?doc=/Archives/edgar/data/0001544227/000162828022007717/tpst-20211231.htm" TargetMode="External"/><Relationship Id="rId38" Type="http://schemas.openxmlformats.org/officeDocument/2006/relationships/hyperlink" Target="http://www.sec.gov/ix?doc=/Archives/edgar/data/0001544227/000119312522092417/d328059d10ka.htm" TargetMode="External"/><Relationship Id="rId39" Type="http://schemas.openxmlformats.org/officeDocument/2006/relationships/hyperlink" Target="http://www.sec.gov/ix?doc=/Archives/edgar/data/1544227/000162828022014231/tpst-20220331.htm" TargetMode="External"/><Relationship Id="rId41" Type="http://schemas.openxmlformats.org/officeDocument/2006/relationships/hyperlink" Target="http://www.sec.gov/Archives/edgar/data/1544227/000119312522136738/d342375ddef14a.htm" TargetMode="External"/><Relationship Id="rId42" Type="http://schemas.openxmlformats.org/officeDocument/2006/relationships/hyperlink" Target="http://www.sec.gov/Archives/edgar/data/0001544227/000119312522160984/d342375ddefa14a.htm" TargetMode="External"/><Relationship Id="rId43" Type="http://schemas.openxmlformats.org/officeDocument/2006/relationships/hyperlink" Target="http://www.sec.gov/ix?doc=/Archives/edgar/data/1544227/000119312522135401/d212050d8k.htm" TargetMode="External"/><Relationship Id="rId44" Type="http://schemas.openxmlformats.org/officeDocument/2006/relationships/hyperlink" Target="http://www.sec.gov/ix?doc=/Archives/edgar/data/1544227/000119312522161149/d290066d8k.htm" TargetMode="External"/><Relationship Id="rId45" Type="http://schemas.openxmlformats.org/officeDocument/2006/relationships/hyperlink" Target="http://www.sec.gov/Archives/edgar/data/0001544227/000110465913033085/a13-9660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2022-05-27T08:04:34Z</dcterms:created>
  <dcterms:modified xsi:type="dcterms:W3CDTF">2022-05-27T08:04:34Z</dcterms:modified>
</cp:coreProperties>
</file>