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688340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-228600</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96520</wp:posOffset>
            </wp:positionV>
            <wp:extent cx="1045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35" w:lineRule="exact"/>
        <w:rPr>
          <w:sz w:val="24"/>
          <w:szCs w:val="24"/>
          <w:color w:val="auto"/>
        </w:rPr>
      </w:pPr>
    </w:p>
    <w:p>
      <w:pPr>
        <w:ind w:left="700" w:right="340" w:hanging="469"/>
        <w:spacing w:after="0" w:line="254"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700" w:right="340" w:hanging="469"/>
        <w:spacing w:after="0" w:line="262" w:lineRule="auto"/>
        <w:tabs>
          <w:tab w:leader="none" w:pos="70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0" w:lineRule="exact"/>
        <w:rPr>
          <w:sz w:val="24"/>
          <w:szCs w:val="24"/>
          <w:color w:val="auto"/>
        </w:rPr>
      </w:pPr>
    </w:p>
    <w:p>
      <w:pPr>
        <w:ind w:left="3800"/>
        <w:spacing w:after="0"/>
        <w:tabs>
          <w:tab w:leader="none" w:pos="6560" w:val="left"/>
          <w:tab w:leader="none" w:pos="73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r>
        <w:rPr>
          <w:sz w:val="20"/>
          <w:szCs w:val="20"/>
          <w:color w:val="auto"/>
        </w:rPr>
        <w:tab/>
      </w:r>
      <w:r>
        <w:rPr>
          <w:rFonts w:ascii="Times New Roman" w:cs="Times New Roman" w:eastAsia="Times New Roman" w:hAnsi="Times New Roman"/>
          <w:sz w:val="16"/>
          <w:szCs w:val="16"/>
          <w:b w:val="1"/>
          <w:bCs w:val="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3743960</wp:posOffset>
            </wp:positionH>
            <wp:positionV relativeFrom="paragraph">
              <wp:posOffset>-3175</wp:posOffset>
            </wp:positionV>
            <wp:extent cx="960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001-35890</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-289560</wp:posOffset>
            </wp:positionV>
            <wp:extent cx="1045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69215</wp:posOffset>
            </wp:positionV>
            <wp:extent cx="1045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22" w:lineRule="exact"/>
        <w:rPr>
          <w:sz w:val="24"/>
          <w:szCs w:val="24"/>
          <w:color w:val="auto"/>
        </w:rPr>
      </w:pPr>
    </w:p>
    <w:tbl>
      <w:tblPr>
        <w:tblLayout w:type="fixed"/>
        <w:tblInd w:w="2900" w:type="dxa"/>
        <w:tblCellMar>
          <w:top w:w="0" w:type="dxa"/>
          <w:left w:w="0" w:type="dxa"/>
          <w:bottom w:w="0" w:type="dxa"/>
          <w:right w:w="0" w:type="dxa"/>
        </w:tblCellMar>
      </w:tblPr>
      <w:tr>
        <w:trPr>
          <w:trHeight w:val="212"/>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6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45-1472564</w:t>
            </w:r>
          </w:p>
        </w:tc>
      </w:tr>
      <w:tr>
        <w:trPr>
          <w:trHeight w:val="283"/>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6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84"/>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6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83"/>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2000 Sierra Point Parkway, Suite 400</w:t>
            </w:r>
          </w:p>
        </w:tc>
        <w:tc>
          <w:tcPr>
            <w:tcW w:w="1660" w:type="dxa"/>
            <w:vAlign w:val="bottom"/>
          </w:tcPr>
          <w:p>
            <w:pPr>
              <w:spacing w:after="0"/>
              <w:rPr>
                <w:sz w:val="24"/>
                <w:szCs w:val="24"/>
                <w:color w:val="auto"/>
              </w:rPr>
            </w:pPr>
          </w:p>
        </w:tc>
      </w:tr>
      <w:tr>
        <w:trPr>
          <w:trHeight w:val="283"/>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Brisbane, California</w:t>
            </w:r>
          </w:p>
        </w:tc>
        <w:tc>
          <w:tcPr>
            <w:tcW w:w="16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94005</w:t>
            </w:r>
          </w:p>
        </w:tc>
      </w:tr>
      <w:tr>
        <w:trPr>
          <w:trHeight w:val="284"/>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6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(415) 798-8589</w:t>
      </w:r>
    </w:p>
    <w:p>
      <w:pPr>
        <w:spacing w:after="0" w:line="122"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72390</wp:posOffset>
            </wp:positionV>
            <wp:extent cx="1045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31" w:lineRule="exact"/>
        <w:rPr>
          <w:sz w:val="24"/>
          <w:szCs w:val="24"/>
          <w:color w:val="auto"/>
        </w:rPr>
      </w:pPr>
    </w:p>
    <w:tbl>
      <w:tblPr>
        <w:tblLayout w:type="fixed"/>
        <w:tblInd w:w="120" w:type="dxa"/>
        <w:tblCellMar>
          <w:top w:w="0" w:type="dxa"/>
          <w:left w:w="0" w:type="dxa"/>
          <w:bottom w:w="0" w:type="dxa"/>
          <w:right w:w="0" w:type="dxa"/>
        </w:tblCellMar>
      </w:tblPr>
      <w:tr>
        <w:trPr>
          <w:trHeight w:val="166"/>
        </w:trPr>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80" w:type="dxa"/>
            <w:vAlign w:val="bottom"/>
            <w:gridSpan w:val="2"/>
          </w:tcPr>
          <w:p>
            <w:pPr>
              <w:ind w:left="158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2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Name of each exchange</w:t>
            </w:r>
          </w:p>
        </w:tc>
      </w:tr>
      <w:tr>
        <w:trPr>
          <w:trHeight w:val="259"/>
        </w:trPr>
        <w:tc>
          <w:tcPr>
            <w:tcW w:w="358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00" w:type="dxa"/>
            <w:vAlign w:val="bottom"/>
          </w:tcPr>
          <w:p>
            <w:pPr>
              <w:spacing w:after="0"/>
              <w:rPr>
                <w:sz w:val="22"/>
                <w:szCs w:val="22"/>
                <w:color w:val="auto"/>
              </w:rPr>
            </w:pPr>
          </w:p>
        </w:tc>
        <w:tc>
          <w:tcPr>
            <w:tcW w:w="33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200" w:type="dxa"/>
            <w:vAlign w:val="bottom"/>
          </w:tcPr>
          <w:p>
            <w:pPr>
              <w:spacing w:after="0"/>
              <w:rPr>
                <w:sz w:val="22"/>
                <w:szCs w:val="22"/>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on which registered</w:t>
            </w: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00" w:type="dxa"/>
            <w:vAlign w:val="bottom"/>
          </w:tcPr>
          <w:p>
            <w:pPr>
              <w:spacing w:after="0"/>
              <w:rPr>
                <w:sz w:val="19"/>
                <w:szCs w:val="19"/>
                <w:color w:val="auto"/>
              </w:rPr>
            </w:pPr>
          </w:p>
        </w:tc>
        <w:tc>
          <w:tcPr>
            <w:tcW w:w="358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TPST</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Series A Junior Participating Preferred Purchase Rights</w:t>
            </w:r>
          </w:p>
        </w:tc>
        <w:tc>
          <w:tcPr>
            <w:tcW w:w="200" w:type="dxa"/>
            <w:vAlign w:val="bottom"/>
          </w:tcPr>
          <w:p>
            <w:pPr>
              <w:spacing w:after="0"/>
              <w:rPr>
                <w:sz w:val="17"/>
                <w:szCs w:val="17"/>
                <w:color w:val="auto"/>
              </w:rPr>
            </w:pPr>
          </w:p>
        </w:tc>
        <w:tc>
          <w:tcPr>
            <w:tcW w:w="3580" w:type="dxa"/>
            <w:vAlign w:val="bottom"/>
            <w:gridSpan w:val="2"/>
          </w:tcPr>
          <w:p>
            <w:pPr>
              <w:ind w:left="1560"/>
              <w:spacing w:after="0"/>
              <w:rPr>
                <w:sz w:val="20"/>
                <w:szCs w:val="20"/>
                <w:color w:val="auto"/>
              </w:rPr>
            </w:pPr>
            <w:r>
              <w:rPr>
                <w:rFonts w:ascii="Times New Roman" w:cs="Times New Roman" w:eastAsia="Times New Roman" w:hAnsi="Times New Roman"/>
                <w:sz w:val="14"/>
                <w:szCs w:val="14"/>
                <w:color w:val="auto"/>
              </w:rPr>
              <w:t>N/A</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68" w:lineRule="exact"/>
        <w:rPr>
          <w:sz w:val="24"/>
          <w:szCs w:val="24"/>
          <w:color w:val="auto"/>
        </w:rPr>
      </w:pPr>
    </w:p>
    <w:p>
      <w:pPr>
        <w:ind w:right="2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80" w:type="dxa"/>
        <w:tblCellMar>
          <w:top w:w="0" w:type="dxa"/>
          <w:left w:w="0" w:type="dxa"/>
          <w:bottom w:w="0" w:type="dxa"/>
          <w:right w:w="0" w:type="dxa"/>
        </w:tblCellMar>
      </w:tblPr>
      <w:tr>
        <w:trPr>
          <w:trHeight w:val="239"/>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4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Accelerated filer</w:t>
            </w:r>
          </w:p>
        </w:tc>
        <w:tc>
          <w:tcPr>
            <w:tcW w:w="206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4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06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14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spacing w:after="0"/>
              <w:rPr>
                <w:sz w:val="22"/>
                <w:szCs w:val="22"/>
                <w:color w:val="auto"/>
              </w:rPr>
            </w:pPr>
          </w:p>
        </w:tc>
        <w:tc>
          <w:tcPr>
            <w:tcW w:w="2060" w:type="dxa"/>
            <w:vAlign w:val="bottom"/>
          </w:tcPr>
          <w:p>
            <w:pPr>
              <w:spacing w:after="0"/>
              <w:rPr>
                <w:sz w:val="22"/>
                <w:szCs w:val="22"/>
                <w:color w:val="auto"/>
              </w:rPr>
            </w:pPr>
          </w:p>
        </w:tc>
      </w:tr>
    </w:tbl>
    <w:p>
      <w:pPr>
        <w:spacing w:after="0" w:line="73" w:lineRule="exact"/>
        <w:rPr>
          <w:sz w:val="24"/>
          <w:szCs w:val="24"/>
          <w:color w:val="auto"/>
        </w:rPr>
      </w:pPr>
    </w:p>
    <w:p>
      <w:pPr>
        <w:spacing w:after="0" w:line="17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$0.001 par value per share, outstanding as of August 4, 2025 was 4,440,161.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20" w:type="dxa"/>
            <w:vAlign w:val="bottom"/>
            <w:gridSpan w:val="10"/>
          </w:tcPr>
          <w:p>
            <w:pPr>
              <w:jc w:val="center"/>
              <w:ind w:right="3860"/>
              <w:spacing w:after="0"/>
              <w:rPr>
                <w:sz w:val="20"/>
                <w:szCs w:val="20"/>
                <w:color w:val="auto"/>
              </w:rPr>
            </w:pPr>
            <w:r>
              <w:rPr>
                <w:rFonts w:ascii="Times New Roman" w:cs="Times New Roman" w:eastAsia="Times New Roman" w:hAnsi="Times New Roman"/>
                <w:sz w:val="16"/>
                <w:szCs w:val="16"/>
                <w:b w:val="1"/>
                <w:bCs w:val="1"/>
                <w:color w:val="auto"/>
              </w:rPr>
              <w:t>INDEX TO FORM 10-Q</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11"/>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50"/>
        </w:trPr>
        <w:tc>
          <w:tcPr>
            <w:tcW w:w="10660" w:type="dxa"/>
            <w:vAlign w:val="bottom"/>
            <w:gridSpan w:val="22"/>
          </w:tcPr>
          <w:p>
            <w:pPr>
              <w:ind w:left="80"/>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0000FF"/>
                <w:w w:val="99"/>
              </w:rPr>
              <w:t>3</w:t>
            </w:r>
          </w:p>
        </w:tc>
        <w:tc>
          <w:tcPr>
            <w:tcW w:w="240" w:type="dxa"/>
            <w:vAlign w:val="bottom"/>
          </w:tcPr>
          <w:p>
            <w:pPr>
              <w:spacing w:after="0"/>
              <w:rPr>
                <w:sz w:val="21"/>
                <w:szCs w:val="21"/>
                <w:color w:val="auto"/>
              </w:rPr>
            </w:pPr>
          </w:p>
        </w:tc>
      </w:tr>
      <w:tr>
        <w:trPr>
          <w:trHeight w:val="250"/>
        </w:trPr>
        <w:tc>
          <w:tcPr>
            <w:tcW w:w="80" w:type="dxa"/>
            <w:vAlign w:val="bottom"/>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c>
          <w:tcPr>
            <w:tcW w:w="312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3260" w:type="dxa"/>
            <w:vAlign w:val="bottom"/>
            <w:gridSpan w:val="6"/>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240" w:type="dxa"/>
            <w:vAlign w:val="bottom"/>
          </w:tcPr>
          <w:p>
            <w:pPr>
              <w:spacing w:after="0"/>
              <w:rPr>
                <w:sz w:val="21"/>
                <w:szCs w:val="2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24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2025 and December 31, 2024</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24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2025 and 2024</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6</w:t>
            </w:r>
          </w:p>
        </w:tc>
        <w:tc>
          <w:tcPr>
            <w:tcW w:w="24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2025 and 2024</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w:t>
            </w:r>
          </w:p>
        </w:tc>
        <w:tc>
          <w:tcPr>
            <w:tcW w:w="24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w:t>
            </w:r>
          </w:p>
        </w:tc>
        <w:tc>
          <w:tcPr>
            <w:tcW w:w="24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9</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19</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28</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560" w:type="dxa"/>
            <w:vAlign w:val="bottom"/>
            <w:tcBorders>
              <w:left w:val="single" w:sz="8" w:color="0000FF"/>
            </w:tcBorders>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28</w:t>
            </w:r>
          </w:p>
        </w:tc>
        <w:tc>
          <w:tcPr>
            <w:tcW w:w="240" w:type="dxa"/>
            <w:vAlign w:val="bottom"/>
          </w:tcPr>
          <w:p>
            <w:pPr>
              <w:spacing w:after="0"/>
              <w:rPr>
                <w:sz w:val="21"/>
                <w:szCs w:val="21"/>
                <w:color w:val="auto"/>
              </w:rPr>
            </w:pPr>
          </w:p>
        </w:tc>
      </w:tr>
      <w:tr>
        <w:trPr>
          <w:trHeight w:val="520"/>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PART II — OTHER INFORMATION</w:t>
            </w:r>
          </w:p>
        </w:tc>
        <w:tc>
          <w:tcPr>
            <w:tcW w:w="3420" w:type="dxa"/>
            <w:vAlign w:val="bottom"/>
            <w:gridSpan w:val="7"/>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29</w:t>
            </w:r>
          </w:p>
        </w:tc>
        <w:tc>
          <w:tcPr>
            <w:tcW w:w="240" w:type="dxa"/>
            <w:vAlign w:val="bottom"/>
          </w:tcPr>
          <w:p>
            <w:pPr>
              <w:spacing w:after="0"/>
              <w:rPr>
                <w:sz w:val="24"/>
                <w:szCs w:val="24"/>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29</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29</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81</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81</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7000" w:type="dxa"/>
            <w:vAlign w:val="bottom"/>
            <w:gridSpan w:val="1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81</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6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5.</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81</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20" w:type="dxa"/>
            <w:vAlign w:val="bottom"/>
            <w:gridSpan w:val="1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82</w:t>
            </w:r>
          </w:p>
        </w:tc>
        <w:tc>
          <w:tcPr>
            <w:tcW w:w="240" w:type="dxa"/>
            <w:vAlign w:val="bottom"/>
          </w:tcPr>
          <w:p>
            <w:pPr>
              <w:spacing w:after="0"/>
              <w:rPr>
                <w:sz w:val="21"/>
                <w:szCs w:val="2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655"/>
        </w:trPr>
        <w:tc>
          <w:tcPr>
            <w:tcW w:w="8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4340" w:type="dxa"/>
            <w:vAlign w:val="bottom"/>
            <w:gridSpan w:val="11"/>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(including within the meaning of Section 21E of the Securities Exchange Act of 1934, as amended, and Section 27A of the Securities Act of 1933, as amended (the “Securities Act”)) about us and our industry that involve substantial risks and uncertainties. These statements may discuss goals, intentions and expectations as to future plans, trends, events, results of operations or financial condition, or otherwise, based on current beliefs of our management, as well as assumptions made by, and information currently available to, our management. Forward-looking statements generally include statements that are predictive in nature and depend upon or refer to future events or conditions, and include words such as “may,” “will,” “should,” “would,” “could,” “expect,” “anticipate,” “plan,” “likely,” “believe,” “estimate,”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whether we are successful in implementing our strategic review (which includes our plans to advance our clinical-stage programs and maximize stockholder value); our strategies, prospects, plans, expectations or objectives for future operations; the progress, scope or timing of the development of our product candidates; the benefits that may be derived from any future products or the commercial or market opportunity with respect to any of our future products; our ability to protect our intellectual property rights; our anticipated operations, financial position, ability to raise capital to fund operations, revenues, costs or expenses; statements regarding future economic conditions or performance; statements of belief and any statement of assumptions underlying any of the foregoing. These risks and uncertainties include, but are not limited to, the risks included in this Quarterly Report on Form 10-Q under Part II, Item 1A, “Risk Factors.” Other sections of this Quarterly Report on Form 10-Q, as well as our other disclosures and filings,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update or revise any forward-looking statements contained in this report, whether as a result of new information, future events or otherwise.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contained in this Quarterly Report on Form 10-Q include, but are not limited to, statements about:</w:t>
      </w:r>
    </w:p>
    <w:p>
      <w:pPr>
        <w:spacing w:after="0" w:line="185" w:lineRule="exact"/>
        <w:rPr>
          <w:sz w:val="20"/>
          <w:szCs w:val="20"/>
          <w:color w:val="auto"/>
        </w:rPr>
      </w:pPr>
    </w:p>
    <w:p>
      <w:pPr>
        <w:ind w:left="280" w:hanging="272"/>
        <w:spacing w:after="0" w:line="261"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exploration of strategic alternatives to maximize stockholder value, in a timely manner or at all, and whether we will be able to obtain sufficient funding to complete this process and whether any such transactions would generate value for stockholders;</w:t>
      </w: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future growth and our ability to manage such growth;</w:t>
      </w:r>
    </w:p>
    <w:p>
      <w:pPr>
        <w:spacing w:after="0" w:line="9" w:lineRule="exact"/>
        <w:rPr>
          <w:rFonts w:ascii="Times New Roman" w:cs="Times New Roman" w:eastAsia="Times New Roman" w:hAnsi="Times New Roman"/>
          <w:sz w:val="18"/>
          <w:szCs w:val="18"/>
          <w:color w:val="auto"/>
        </w:rPr>
      </w:pPr>
    </w:p>
    <w:p>
      <w:pPr>
        <w:ind w:left="280" w:hanging="272"/>
        <w:spacing w:after="0" w:line="250"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amezalpat (previously known as TPST-1120) and TPST-1495 and any future product candidates;</w:t>
      </w: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regulatory approval, efficacy and commercialization of competing products;</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market and sell our product candidates;</w:t>
      </w:r>
    </w:p>
    <w:p>
      <w:pPr>
        <w:spacing w:after="0" w:line="9" w:lineRule="exact"/>
        <w:rPr>
          <w:rFonts w:ascii="Times New Roman" w:cs="Times New Roman" w:eastAsia="Times New Roman" w:hAnsi="Times New Roman"/>
          <w:sz w:val="18"/>
          <w:szCs w:val="18"/>
          <w:color w:val="auto"/>
        </w:rPr>
      </w:pPr>
    </w:p>
    <w:p>
      <w:pPr>
        <w:ind w:left="280" w:hanging="272"/>
        <w:spacing w:after="0" w:line="250"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regulatory approval for our product candidates or future product candidates in the United States and in any foreign countries in which we make seek to do business;</w:t>
      </w: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our board of directors, senior management, or operational personnel;</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corporate infrastructure, including our ability to design and maintain an effective system of internal controls;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80" w:hanging="272"/>
        <w:spacing w:after="0" w:line="261"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the imposition of tariffs in the United States and abroad, public health crises or geopolitical tensions;</w:t>
      </w: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period during which we will qualify as a smaller reporting company under the federal securities laws; and</w:t>
      </w:r>
    </w:p>
    <w:p>
      <w:pPr>
        <w:spacing w:after="0" w:line="9" w:lineRule="exact"/>
        <w:rPr>
          <w:rFonts w:ascii="Times New Roman" w:cs="Times New Roman" w:eastAsia="Times New Roman" w:hAnsi="Times New Roman"/>
          <w:sz w:val="18"/>
          <w:szCs w:val="18"/>
          <w:color w:val="auto"/>
        </w:rPr>
      </w:pPr>
    </w:p>
    <w:p>
      <w:pPr>
        <w:ind w:left="280" w:hanging="272"/>
        <w:spacing w:after="0" w:line="260"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as well as the documents that we reference in,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suggests otherwise, references in this Quarterly Report on Form 10-Q to “Tempest,” “the Company,” “we,” “us,” and “our” refer to Tempest Therapeutics, Inc. and, where appropriate, its subsidiaries.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TEMPEST THERAPEUTICS, INC.</w:t>
      </w:r>
    </w:p>
    <w:p>
      <w:pPr>
        <w:spacing w:after="0" w:line="1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8"/>
                <w:szCs w:val="18"/>
                <w:color w:val="auto"/>
              </w:rPr>
            </w:pPr>
          </w:p>
        </w:tc>
      </w:tr>
      <w:tr>
        <w:trPr>
          <w:trHeight w:val="210"/>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31,474</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8"/>
                <w:szCs w:val="18"/>
                <w:color w:val="auto"/>
              </w:rPr>
            </w:pPr>
          </w:p>
        </w:tc>
      </w:tr>
      <w:tr>
        <w:trPr>
          <w:trHeight w:val="250"/>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16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41,488</w:t>
            </w:r>
          </w:p>
        </w:tc>
        <w:tc>
          <w:tcPr>
            <w:tcW w:w="100" w:type="dxa"/>
            <w:vAlign w:val="bottom"/>
            <w:shd w:val="clear" w:color="auto" w:fill="CFF0FC"/>
          </w:tcPr>
          <w:p>
            <w:pPr>
              <w:spacing w:after="0"/>
              <w:rPr>
                <w:sz w:val="21"/>
                <w:szCs w:val="21"/>
                <w:color w:val="auto"/>
              </w:rPr>
            </w:pPr>
          </w:p>
        </w:tc>
      </w:tr>
      <w:tr>
        <w:trPr>
          <w:trHeight w:val="196"/>
        </w:trPr>
        <w:tc>
          <w:tcPr>
            <w:tcW w:w="74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loan payable (net of discount and issuance costs of nil and $74, respectively)</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payable</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18"/>
                <w:szCs w:val="18"/>
                <w:color w:val="auto"/>
              </w:rPr>
            </w:pPr>
          </w:p>
        </w:tc>
      </w:tr>
      <w:tr>
        <w:trPr>
          <w:trHeight w:val="210"/>
        </w:trPr>
        <w:tc>
          <w:tcPr>
            <w:tcW w:w="748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100" w:type="dxa"/>
            <w:vAlign w:val="bottom"/>
            <w:tcBorders>
              <w:top w:val="single" w:sz="8" w:color="CFF0FC"/>
            </w:tcBorders>
          </w:tcPr>
          <w:p>
            <w:pPr>
              <w:spacing w:after="0"/>
              <w:rPr>
                <w:sz w:val="18"/>
                <w:szCs w:val="18"/>
                <w:color w:val="auto"/>
              </w:rPr>
            </w:pPr>
          </w:p>
        </w:tc>
      </w:tr>
      <w:tr>
        <w:trPr>
          <w:trHeight w:val="216"/>
        </w:trPr>
        <w:tc>
          <w:tcPr>
            <w:tcW w:w="7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22,362</w:t>
            </w:r>
          </w:p>
        </w:tc>
        <w:tc>
          <w:tcPr>
            <w:tcW w:w="100" w:type="dxa"/>
            <w:vAlign w:val="bottom"/>
          </w:tcPr>
          <w:p>
            <w:pPr>
              <w:spacing w:after="0"/>
              <w:rPr>
                <w:sz w:val="18"/>
                <w:szCs w:val="18"/>
                <w:color w:val="auto"/>
              </w:rPr>
            </w:pPr>
          </w:p>
        </w:tc>
      </w:tr>
      <w:tr>
        <w:trPr>
          <w:trHeight w:val="21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4,437,855 and 3,382,432 shares</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and outstanding at June 30, 2025 and December 31, 2024, respectively</w:t>
            </w:r>
            <w:r>
              <w:rPr>
                <w:rFonts w:ascii="Times New Roman" w:cs="Times New Roman" w:eastAsia="Times New Roman" w:hAnsi="Times New Roman"/>
                <w:sz w:val="12"/>
                <w:szCs w:val="12"/>
                <w:color w:val="auto"/>
              </w:rPr>
              <w:t>(1)</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r>
              <w:rPr>
                <w:rFonts w:ascii="Times New Roman" w:cs="Times New Roman" w:eastAsia="Times New Roman" w:hAnsi="Times New Roman"/>
                <w:sz w:val="12"/>
                <w:szCs w:val="12"/>
                <w:color w:val="auto"/>
              </w:rPr>
              <w:t>(1)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226,229</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(225,836)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(207,106)</w:t>
            </w:r>
          </w:p>
        </w:tc>
      </w:tr>
      <w:tr>
        <w:trPr>
          <w:trHeight w:val="209"/>
        </w:trPr>
        <w:tc>
          <w:tcPr>
            <w:tcW w:w="748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19,126</w:t>
            </w:r>
          </w:p>
        </w:tc>
        <w:tc>
          <w:tcPr>
            <w:tcW w:w="100" w:type="dxa"/>
            <w:vAlign w:val="bottom"/>
            <w:tcBorders>
              <w:top w:val="single" w:sz="8" w:color="CFF0FC"/>
            </w:tcBorders>
          </w:tcPr>
          <w:p>
            <w:pPr>
              <w:spacing w:after="0"/>
              <w:rPr>
                <w:sz w:val="18"/>
                <w:szCs w:val="18"/>
                <w:color w:val="auto"/>
              </w:rPr>
            </w:pPr>
          </w:p>
        </w:tc>
      </w:tr>
      <w:tr>
        <w:trPr>
          <w:trHeight w:val="23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41,488</w:t>
            </w:r>
          </w:p>
        </w:tc>
        <w:tc>
          <w:tcPr>
            <w:tcW w:w="100" w:type="dxa"/>
            <w:vAlign w:val="bottom"/>
            <w:shd w:val="clear" w:color="auto" w:fill="CFF0FC"/>
          </w:tcPr>
          <w:p>
            <w:pPr>
              <w:spacing w:after="0"/>
              <w:rPr>
                <w:sz w:val="19"/>
                <w:szCs w:val="19"/>
                <w:color w:val="auto"/>
              </w:rPr>
            </w:pPr>
          </w:p>
        </w:tc>
      </w:tr>
      <w:tr>
        <w:trPr>
          <w:trHeight w:val="20"/>
        </w:trPr>
        <w:tc>
          <w:tcPr>
            <w:tcW w:w="74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-2699385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-2682240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-1576705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-1293495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right="600" w:firstLine="8"/>
        <w:spacing w:after="0" w:line="260"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including shares issued and outstanding have been adjusted to reflect the one-for-thirteen stock split effected in April 2025. See Note 1, Organization and Description of the Business, for details.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TEMPEST THERAPEUTICS, INC.</w:t>
      </w:r>
    </w:p>
    <w:p>
      <w:pPr>
        <w:spacing w:after="0" w:line="2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1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7"/>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8"/>
                <w:szCs w:val="18"/>
                <w:color w:val="auto"/>
              </w:rPr>
            </w:pPr>
          </w:p>
        </w:tc>
        <w:tc>
          <w:tcPr>
            <w:tcW w:w="2200" w:type="dxa"/>
            <w:vAlign w:val="bottom"/>
            <w:gridSpan w:val="6"/>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2"/>
        </w:trPr>
        <w:tc>
          <w:tcPr>
            <w:tcW w:w="59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(7,966)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(17,556)</w:t>
            </w: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(7,870)</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(18,730)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(17,474)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9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of common stock, RSUs and pre-funded warrants, basic and</w:t>
            </w:r>
          </w:p>
        </w:tc>
        <w:tc>
          <w:tcPr>
            <w:tcW w:w="1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shd w:val="clear" w:color="auto" w:fill="CFF0FC"/>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FF0FC"/>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34"/>
        </w:trPr>
        <w:tc>
          <w:tcPr>
            <w:tcW w:w="598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12"/>
                <w:szCs w:val="12"/>
                <w:color w:val="auto"/>
              </w:rPr>
              <w:t>(1)</w:t>
            </w:r>
          </w:p>
        </w:tc>
        <w:tc>
          <w:tcPr>
            <w:tcW w:w="18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98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of common stock, RSUs and pre-funded warrants</w:t>
            </w: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basic and diluted</w:t>
            </w:r>
            <w:r>
              <w:rPr>
                <w:rFonts w:ascii="Times New Roman" w:cs="Times New Roman" w:eastAsia="Times New Roman" w:hAnsi="Times New Roman"/>
                <w:sz w:val="12"/>
                <w:szCs w:val="12"/>
                <w:color w:val="auto"/>
              </w:rPr>
              <w:t>(1)</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3,802,956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1,734,335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3,621,329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1,722,327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-1568450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-1568450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-1568450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-1010920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-1010920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-1010920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-719455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-719455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-719455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-299720</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-282575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-299720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-282575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-299720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-282575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right="940" w:firstLine="8"/>
        <w:spacing w:after="0" w:line="260"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including shares of common stock, have been adjusted to reflect the one-for-thirteen stock split effected in April 2025. See Note 1, Organization and Description of the Business, for details.</w:t>
      </w:r>
    </w:p>
    <w:p>
      <w:pPr>
        <w:spacing w:after="0" w:line="18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TEMPEST THERAPEUTICS, INC.</w:t>
      </w:r>
    </w:p>
    <w:p>
      <w:pPr>
        <w:spacing w:after="0" w:line="2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4000" w:type="dxa"/>
            <w:vAlign w:val="bottom"/>
          </w:tcPr>
          <w:p>
            <w:pPr>
              <w:spacing w:after="0"/>
              <w:rPr>
                <w:sz w:val="24"/>
                <w:szCs w:val="24"/>
                <w:color w:val="auto"/>
              </w:rPr>
            </w:pPr>
          </w:p>
        </w:tc>
        <w:tc>
          <w:tcPr>
            <w:tcW w:w="2600" w:type="dxa"/>
            <w:vAlign w:val="bottom"/>
            <w:gridSpan w:val="4"/>
            <w:vMerge w:val="restart"/>
          </w:tcPr>
          <w:p>
            <w:pPr>
              <w:jc w:val="right"/>
              <w:ind w:right="707"/>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146"/>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7"/>
                <w:szCs w:val="17"/>
                <w:color w:val="auto"/>
              </w:rPr>
            </w:pPr>
          </w:p>
        </w:tc>
        <w:tc>
          <w:tcPr>
            <w:tcW w:w="2600" w:type="dxa"/>
            <w:vAlign w:val="bottom"/>
            <w:tcBorders>
              <w:bottom w:val="single" w:sz="8" w:color="auto"/>
            </w:tcBorders>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120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0"/>
                <w:szCs w:val="10"/>
                <w:b w:val="1"/>
                <w:bCs w:val="1"/>
                <w:color w:val="auto"/>
              </w:rPr>
              <w:t>(1)</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Capital</w:t>
            </w: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 December 31, 2024</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3,382,432</w:t>
            </w:r>
          </w:p>
        </w:tc>
        <w:tc>
          <w:tcPr>
            <w:tcW w:w="40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40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226,229</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(207,106)</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19,126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at-the-market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133,521</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offering (net of issuance costs of $84)</w:t>
            </w:r>
          </w:p>
        </w:tc>
        <w:tc>
          <w:tcPr>
            <w:tcW w:w="1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equity plan awards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(10,860)</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(10,860)</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 March 31, 2025</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3,519,602</w:t>
            </w:r>
          </w:p>
        </w:tc>
        <w:tc>
          <w:tcPr>
            <w:tcW w:w="240" w:type="dxa"/>
            <w:vAlign w:val="bottom"/>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229,095</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(217,966)</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cash (net of issuance costs of $319)</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584,253</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3,570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pre-funded warrants, (net of issuance costs of $230)</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334,000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(7,870)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(7,870)</w:t>
            </w:r>
          </w:p>
        </w:tc>
        <w:tc>
          <w:tcPr>
            <w:tcW w:w="0" w:type="dxa"/>
            <w:vAlign w:val="bottom"/>
          </w:tcPr>
          <w:p>
            <w:pPr>
              <w:spacing w:after="0"/>
              <w:rPr>
                <w:sz w:val="1"/>
                <w:szCs w:val="1"/>
                <w:color w:val="auto"/>
              </w:rPr>
            </w:pPr>
          </w:p>
        </w:tc>
      </w:tr>
      <w:tr>
        <w:trPr>
          <w:trHeight w:val="182"/>
        </w:trPr>
        <w:tc>
          <w:tcPr>
            <w:tcW w:w="40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 June 30, 2025</w:t>
            </w:r>
          </w:p>
        </w:tc>
        <w:tc>
          <w:tcPr>
            <w:tcW w:w="1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4,437,855</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235,615</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(225,836)</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9,783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596"/>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000" w:type="dxa"/>
            <w:vAlign w:val="bottom"/>
          </w:tcPr>
          <w:p>
            <w:pPr>
              <w:spacing w:after="0"/>
              <w:rPr>
                <w:sz w:val="24"/>
                <w:szCs w:val="24"/>
                <w:color w:val="auto"/>
              </w:rPr>
            </w:pPr>
          </w:p>
        </w:tc>
        <w:tc>
          <w:tcPr>
            <w:tcW w:w="2600" w:type="dxa"/>
            <w:vAlign w:val="bottom"/>
            <w:gridSpan w:val="4"/>
            <w:vMerge w:val="restart"/>
          </w:tcPr>
          <w:p>
            <w:pPr>
              <w:jc w:val="right"/>
              <w:ind w:right="707"/>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146"/>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7"/>
                <w:szCs w:val="17"/>
                <w:color w:val="auto"/>
              </w:rPr>
            </w:pPr>
          </w:p>
        </w:tc>
        <w:tc>
          <w:tcPr>
            <w:tcW w:w="2600" w:type="dxa"/>
            <w:vAlign w:val="bottom"/>
            <w:tcBorders>
              <w:bottom w:val="single" w:sz="8" w:color="auto"/>
            </w:tcBorders>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6"/>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 December 31, 2023</w:t>
            </w:r>
          </w:p>
        </w:tc>
        <w:tc>
          <w:tcPr>
            <w:tcW w:w="1200" w:type="dxa"/>
            <w:vAlign w:val="bottom"/>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0"/>
                <w:szCs w:val="10"/>
                <w:b w:val="1"/>
                <w:bCs w:val="1"/>
                <w:color w:val="auto"/>
              </w:rPr>
              <w:t>(1)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Capital</w:t>
            </w: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42"/>
        </w:trPr>
        <w:tc>
          <w:tcPr>
            <w:tcW w:w="4000" w:type="dxa"/>
            <w:vAlign w:val="bottom"/>
            <w:vMerge w:val="continue"/>
          </w:tcPr>
          <w:p>
            <w:pPr>
              <w:spacing w:after="0"/>
              <w:rPr>
                <w:sz w:val="12"/>
                <w:szCs w:val="12"/>
                <w:color w:val="auto"/>
              </w:rPr>
            </w:pPr>
          </w:p>
        </w:tc>
        <w:tc>
          <w:tcPr>
            <w:tcW w:w="1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1,695,788</w:t>
            </w:r>
          </w:p>
        </w:tc>
        <w:tc>
          <w:tcPr>
            <w:tcW w:w="24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18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192,029</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(165,263)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26,768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at-the-market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4,329</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offering (net of issuance costs of $8)</w:t>
            </w:r>
          </w:p>
        </w:tc>
        <w:tc>
          <w:tcPr>
            <w:tcW w:w="12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equity plan awards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8,901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(7,904)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(7,904)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 March 31, 2024</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1,709,018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193,797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(173,167)</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20,632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at-the-market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164,118</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offering (net of issuance costs of $261)</w:t>
            </w:r>
          </w:p>
        </w:tc>
        <w:tc>
          <w:tcPr>
            <w:tcW w:w="1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equity plan awards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9,615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(9,570)</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(9,570)</w:t>
            </w:r>
          </w:p>
        </w:tc>
        <w:tc>
          <w:tcPr>
            <w:tcW w:w="0" w:type="dxa"/>
            <w:vAlign w:val="bottom"/>
          </w:tcPr>
          <w:p>
            <w:pPr>
              <w:spacing w:after="0"/>
              <w:rPr>
                <w:sz w:val="1"/>
                <w:szCs w:val="1"/>
                <w:color w:val="auto"/>
              </w:rPr>
            </w:pPr>
          </w:p>
        </w:tc>
      </w:tr>
      <w:tr>
        <w:trPr>
          <w:trHeight w:val="142"/>
        </w:trPr>
        <w:tc>
          <w:tcPr>
            <w:tcW w:w="400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 June 30, 2024</w:t>
            </w:r>
          </w:p>
        </w:tc>
        <w:tc>
          <w:tcPr>
            <w:tcW w:w="1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1,882,751</w:t>
            </w:r>
          </w:p>
        </w:tc>
        <w:tc>
          <w:tcPr>
            <w:tcW w:w="24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199,674</w:t>
            </w:r>
          </w:p>
        </w:tc>
        <w:tc>
          <w:tcPr>
            <w:tcW w:w="2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(182,737)</w:t>
            </w:r>
          </w:p>
        </w:tc>
        <w:tc>
          <w:tcPr>
            <w:tcW w:w="1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16,939</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-2802890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-2802890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-2802890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-2802890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-2802890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-2219325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-2202815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-2219325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-2202815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-2219325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-2202815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-2219325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-2202815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-2202815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-128270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-128270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-128270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-128270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right="620" w:firstLine="8"/>
        <w:spacing w:after="0" w:line="26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issued and outstanding have been adjusted to reflect the one-for-thirteen stock split effected in April 2025. See Note 1, Organization and Description of the Business, for details.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jc w:val="center"/>
              <w:ind w:left="3511"/>
              <w:spacing w:after="0"/>
              <w:rPr>
                <w:sz w:val="20"/>
                <w:szCs w:val="20"/>
                <w:color w:val="auto"/>
              </w:rPr>
            </w:pPr>
            <w:r>
              <w:rPr>
                <w:rFonts w:ascii="Times New Roman" w:cs="Times New Roman" w:eastAsia="Times New Roman" w:hAnsi="Times New Roman"/>
                <w:sz w:val="16"/>
                <w:szCs w:val="16"/>
                <w:b w:val="1"/>
                <w:bCs w:val="1"/>
                <w:color w:val="auto"/>
              </w:rPr>
              <w:t>TEMPEST THERAPEUTICS, INC.</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jc w:val="center"/>
              <w:ind w:left="3531"/>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jc w:val="center"/>
              <w:ind w:left="347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40" w:type="dxa"/>
            <w:vAlign w:val="bottom"/>
          </w:tcPr>
          <w:p>
            <w:pPr>
              <w:jc w:val="center"/>
              <w:ind w:left="353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0" w:type="dxa"/>
            <w:vAlign w:val="bottom"/>
          </w:tcPr>
          <w:p>
            <w:pPr>
              <w:spacing w:after="0"/>
              <w:rPr>
                <w:sz w:val="18"/>
                <w:szCs w:val="18"/>
                <w:color w:val="auto"/>
              </w:rPr>
            </w:pPr>
          </w:p>
        </w:tc>
        <w:tc>
          <w:tcPr>
            <w:tcW w:w="1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6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Ended June 30,</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64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(18,730)</w:t>
            </w: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(17,474)</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interest and other expense, net</w:t>
            </w: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(3,166)</w:t>
            </w: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payable</w:t>
            </w:r>
          </w:p>
        </w:tc>
        <w:tc>
          <w:tcPr>
            <w:tcW w:w="10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5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(348)</w:t>
            </w: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0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(16,467)</w:t>
            </w:r>
          </w:p>
        </w:tc>
        <w:tc>
          <w:tcPr>
            <w:tcW w:w="5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(12,696)</w:t>
            </w: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09"/>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issuance of common stock, net of issuance costs</w:t>
            </w: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pre-funded warrants, net of issuance costs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loan</w:t>
            </w:r>
          </w:p>
        </w:tc>
        <w:tc>
          <w:tcPr>
            <w:tcW w:w="10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(6,426)</w:t>
            </w: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common stock under equity plan awards</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0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(15,988)</w:t>
            </w:r>
          </w:p>
        </w:tc>
        <w:tc>
          <w:tcPr>
            <w:tcW w:w="5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(8,106)</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30,711</w:t>
            </w:r>
          </w:p>
        </w:tc>
        <w:tc>
          <w:tcPr>
            <w:tcW w:w="2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14,723</w:t>
            </w:r>
          </w:p>
        </w:tc>
        <w:tc>
          <w:tcPr>
            <w:tcW w:w="280" w:type="dxa"/>
            <w:vAlign w:val="bottom"/>
          </w:tcPr>
          <w:p>
            <w:pPr>
              <w:spacing w:after="0"/>
              <w:rPr>
                <w:sz w:val="18"/>
                <w:szCs w:val="18"/>
                <w:color w:val="auto"/>
              </w:rPr>
            </w:pP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tcPr>
          <w:p>
            <w:pPr>
              <w:spacing w:after="0"/>
              <w:rPr>
                <w:sz w:val="18"/>
                <w:szCs w:val="18"/>
                <w:color w:val="auto"/>
              </w:rPr>
            </w:pP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for business taxes</w:t>
            </w:r>
          </w:p>
        </w:tc>
        <w:tc>
          <w:tcPr>
            <w:tcW w:w="1000" w:type="dxa"/>
            <w:vAlign w:val="bottom"/>
            <w:tcBorders>
              <w:bottom w:val="single" w:sz="8" w:color="auto"/>
            </w:tcBorders>
            <w:shd w:val="clear" w:color="auto" w:fill="CFF0FC"/>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-2296795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-2296795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-1722120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-1722120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-607695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-299720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8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are in thousands, except share and per share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THE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Tempest Therapeutics, Inc. (“Tempest” or the “Company”) is a clinical-stage biotechnology company moving into late-stage development with a diverse portfolio of targeted and immune-mediated product candidates with the potential to be first-in-class treatments for a wide range of cancers. Tempest’s novel programs range from early research to the lead program, amezalpat (previously known as TPST-1120), that is poised to begin a pivotal study in first-line liver cancer. Tempest is also developing other potential product candidates in its Discovery Research group. The Company is headquartered in Brisbane, California.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 2024, the Company held a special meeting of stockholders at which its stockholders approved a proposal to effect an amendment to the Company’s Restated Certificate of Incorporation to implement a reverse stock split. On April 4, 2025, the Company’s board of directors approved the filing of a certificate of amendment to the Company’s Restated Certificate of Incorporation with the Secretary of State of the State of Delaware to affect the one-for-thirteen (1:13) reverse stock split of its outstanding common stock (the "Reverse Stock Split").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8, 2025, the Company effected the Reverse Stock Split. Pursuant to their terms, a proportionate adjustment was made to the per share exercise price and number of shares issuable under all of the Company’s outstanding options and warrants, and the number of shares authorized for issuance pursuant to the Company’s equity incentive plans have been reduced proportionately. The Reverse Stock Split did not reduce the number of authorized shares of common stock and did not alter the par value.</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fractional shares were issued as a result of the Reverse Stock Split. Stockholders of record who would have otherwise been entitled to receive a fractional share received a cash payment in lieu thereof. The Reverse Stock Split affected all stockholders proportionately and did not affect any stockholder’s percentage ownership of the Company’s common stock (except to the extent that the Reverse Stock Split resulted in any stockholder owning only a fractional share).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As of June 30, 2025, the Company had $14.3 million of cash and cash equivalents. While the Company has begun to implement cost reductions in 2025, the Company has finite cash resources available to fund its operations. In April 2025, the Company announced plans to explore a full range of strategic alternatives to advance its promising clinical stage programs and maximize stockholder value. Strategic alternatives under consideration may include, but are not limited to, mergers, acquisitions, partnerships, joint ventures, licensing arrangements or other strategic transactions. The Company has retained MTS Health Partners, L.P., an internationally recognized financial advisor with substantial experience in the biotechnology industry, to support it with the strategic evaluation process. If a strategic alternative is not available, the Company will be required to take additional actions to fund the Company’s operations, or it may be forced to wind down its operations. As part of the cost reductions, the Company reduced its workforce by 21 of 26 full-time employees, which became effective April 30, 2025. Further, in support of such efforts, on June 5, 2025, each of Stephen Brady, the Company’s Chief Executive Officer and President, Samuel Whiting, the Company’s Executive Vice President and Chief Medical Officer, and Nicholas Maestas, the Company’s Chief Financial Officer and Head of Corporate Strategy, transitioned to consulting arrangements with the Company, pursuant to which they will continue to serve the Company in their respective executive roles. The Company incurred $3.2 million of one-time cash severance payments, benefits and other related costs (excluding non-cash charges associated with equity-based compensation), with the majority of such costs incurred in the second quarter of 2025.</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expects that its existing cash and cash equivalents will fund the Company’s projected operating expense requirements through less than 12 months from the date our consolidated financial statements were available to be issued. Accordingly, there is substantial doubt about the Company’s ability to continue to operate as a going concern for a period of 12 months from the date of issuance of these condensed financial statements. The accompanying financial statements were prepared on a going concern basis, which contemplates the realization of assets and the satisfaction of liabilities in the normal course of business. These financial statements do not include any separate adjustments relating to the recovery of recorded assets or the classification of liabilities; however, such adjustments may be necessary in the future when the Company is unable to continue as a going concern.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ATM Program</w:t>
      </w:r>
    </w:p>
    <w:p>
      <w:pPr>
        <w:spacing w:after="0" w:line="189" w:lineRule="exact"/>
        <w:rPr>
          <w:sz w:val="20"/>
          <w:szCs w:val="20"/>
          <w:color w:val="auto"/>
        </w:rPr>
      </w:pPr>
    </w:p>
    <w:p>
      <w:pPr>
        <w:jc w:val="both"/>
        <w:ind w:right="380"/>
        <w:spacing w:after="0" w:line="252" w:lineRule="auto"/>
        <w:rPr>
          <w:sz w:val="20"/>
          <w:szCs w:val="20"/>
          <w:color w:val="auto"/>
        </w:rPr>
      </w:pPr>
      <w:r>
        <w:rPr>
          <w:rFonts w:ascii="Times New Roman" w:cs="Times New Roman" w:eastAsia="Times New Roman" w:hAnsi="Times New Roman"/>
          <w:sz w:val="18"/>
          <w:szCs w:val="18"/>
          <w:color w:val="auto"/>
        </w:rPr>
        <w:t>On July 23, 2021, the Company entered into a sales agreement with Jefferies LLC (“Jefferies”), pursuant to which the Company may sell, from time to time at its sole discretion through Jefferies, as its sales agent, shares of its common stock having, up to an aggregate sales price of $100.0 million of its common stock through Jefferies (the “Prior ATM Program”). As of June 20, 2024, the Company had sold an aggregate 9,017,110 shares of its common stock for gross proceeds of $42.7 million ($41.5 million net of commissions and estimated expenses) under the Prior ATM Program. On June 20, 2024, the Company and Jefferies terminated the Prior ATM Program and entered a new Open Market Sale Agreement (the “Sales Agreement”) to sell shares of common stock from time to time through Jefferies acting as sales agent (the “ATM Program”). The Company will pay Jefferies a commission up to 3.0% of the gross sales proceeds of any shares of its common stock sold through Jefferies under the ATM Program and also has provided Jefferies with indemnification and contribution rights. Pursuant to the prospectus supplement dated June 20, 2024 filed by the Company with the U.S. Securities and Exchange Commission (“SEC”), the Company was able to offer and sell up to $205,000,000 of its shares of common stock pursuant to the Sales Agreement. On June 11, 2025, in connection with the RDO (as defined below), the Company delivered written notice to Jefferies that it was suspending and terminating the prospectus supplement, dated February 6, 2025, related to the ATM Program (the “ATM Prospectus”). The Company will not make any sales of its securities pursuant to the Sales Agreement, unless and until a new prospectus, prospectus supplement or a new registration statement is filed. Other than the termination of the ATM Prospectus, the Sales Agreement remains in full force and effect.</w:t>
      </w:r>
    </w:p>
    <w:p>
      <w:pPr>
        <w:spacing w:after="0" w:line="157" w:lineRule="exact"/>
        <w:rPr>
          <w:sz w:val="20"/>
          <w:szCs w:val="20"/>
          <w:color w:val="auto"/>
        </w:rPr>
      </w:pPr>
    </w:p>
    <w:p>
      <w:pPr>
        <w:jc w:val="both"/>
        <w:ind w:right="380"/>
        <w:spacing w:after="0" w:line="282" w:lineRule="auto"/>
        <w:rPr>
          <w:sz w:val="20"/>
          <w:szCs w:val="20"/>
          <w:color w:val="auto"/>
        </w:rPr>
      </w:pPr>
      <w:r>
        <w:rPr>
          <w:rFonts w:ascii="Times New Roman" w:cs="Times New Roman" w:eastAsia="Times New Roman" w:hAnsi="Times New Roman"/>
          <w:sz w:val="18"/>
          <w:szCs w:val="18"/>
          <w:color w:val="auto"/>
        </w:rPr>
        <w:t>As of the six months ended June 30, 2025, the Company has sold an aggregate of 312,830 shares of its common stock for proceeds of $2.8 million, pursuant to the ATM Program. As of June 30, 2025, $11.6 million remained available for sale under the ATM Program.</w:t>
      </w:r>
    </w:p>
    <w:p>
      <w:pPr>
        <w:spacing w:after="0" w:line="135"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Under current SEC regulations, if at any time the Company's public float is less than $75.0 million, and for so long as the Company’s public float remains less than $75.0 million, the amount the Company can raise through primary public offerings of securities in any 12-month period using shelf registration statements is limited to an aggregate of one-third of the Company's public float, which is referred to as the baby shelf rules. On February 6, 2025, the Company filed a prospectus supplement with the SEC limiting the availability under the ATM Program to $14.5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Direct Offering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11, 2025, the Company sold an aggregate of 405,000 shares of the Company’s common stock and pre-funded warrants to purchase 334,000 shares of its common stock in a registered direct offering (“RDO”). The offering price was $6.25 per share of common stock and $6.249 per pre-funded warrant, which is the price of each share of common stock sold in the RDO, minus the $0.001 exercise price per pre-funded warrant. The net proceeds from the RDO were approximately $4.1 million, after deducting placement agent fees and estimated offering expenses payable by the Company. As of June 30, 2025, all pre-funded warrants had been exercised.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Significant Accounting Policies</w:t>
      </w:r>
      <w:r>
        <w:rPr>
          <w:rFonts w:ascii="Times New Roman" w:cs="Times New Roman" w:eastAsia="Times New Roman" w:hAnsi="Times New Roman"/>
          <w:sz w:val="18"/>
          <w:szCs w:val="18"/>
          <w:color w:val="auto"/>
        </w:rPr>
        <w:t>—The Company’s significant accounting policies are described in Note 2,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Company’s Annual Report on Form 10-K filed with the U.S. Securities and Exchange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Commission (“SEC”) on March 27, 2025. There have been no material changes to the significant accounting policies during the six months ended June 30, 2025.</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unaudited interim Condensed Consolidated Financial Statements have been prepared pursuant to the rules and regulations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 Securities and Exchange Commission. Accordingly, certain information and footnote disclosures normally included in annual financial statements prepared in accordance with generally accepted accounting principles in the United States (“GAAP”) have been omitted. These unaudited interim Condensed Consolidated Financial Statements should be read in conjunction with the Company’s audited Consolidated Financial Statements and notes included in the company’s Annual Report on Form 10-K for the year ended December 31, 2024.</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prepared the accompanying Condensed Consolidated Financial Statements on the same basis as the audited financial statements, and the unaudited interim financial statements include, in the Company’s opinion, all adjustments, consisting only of normal recurring adjustments that the Company considers necessary for a fair presentation of its financial position and results of operations for these periods.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references to common stock, warrants to purchase common stock, options to purchase common stock, share data, per share data and related information contained in the consolidated financial statements have been retrospectively adjusted to reflect the effect of the Reverse Stock Split for all periods presented.</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fair value hierarchy for assets measured at fair value on a recurring basis: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7"/>
                <w:szCs w:val="17"/>
                <w:color w:val="auto"/>
              </w:rPr>
            </w:pP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14,280</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14,280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5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7"/>
                <w:szCs w:val="17"/>
                <w:color w:val="auto"/>
              </w:rPr>
            </w:pP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30,268</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30,268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 costs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6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823</w:t>
            </w:r>
          </w:p>
        </w:tc>
        <w:tc>
          <w:tcPr>
            <w:tcW w:w="2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16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-3274060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-3274060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-3274060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-3274060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-2571115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-2571115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-2571115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-2571115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-1053465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140" w:type="dxa"/>
            <w:vAlign w:val="bottom"/>
          </w:tcPr>
          <w:p>
            <w:pPr>
              <w:spacing w:after="0"/>
              <w:rPr>
                <w:sz w:val="18"/>
                <w:szCs w:val="18"/>
                <w:color w:val="auto"/>
              </w:rPr>
            </w:pPr>
          </w:p>
        </w:tc>
        <w:tc>
          <w:tcPr>
            <w:tcW w:w="372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66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CEEFF"/>
          </w:tcPr>
          <w:p>
            <w:pPr>
              <w:jc w:val="right"/>
              <w:ind w:right="897"/>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660" w:type="dxa"/>
            <w:vAlign w:val="bottom"/>
            <w:shd w:val="clear" w:color="auto" w:fill="CFF0FC"/>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1,485</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10"/>
        </w:trPr>
        <w:tc>
          <w:tcPr>
            <w:tcW w:w="5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266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(1,455)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(1,320)</w:t>
            </w:r>
          </w:p>
        </w:tc>
      </w:tr>
      <w:tr>
        <w:trPr>
          <w:trHeight w:val="249"/>
        </w:trPr>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6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97"/>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and six months ended June 30, 2025 was $67 and $135, respectively. Depreciation expense for the three and six months ended June 30, 2024 was $155 and $243,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960" w:type="dxa"/>
            <w:vAlign w:val="bottom"/>
          </w:tcPr>
          <w:p>
            <w:pPr>
              <w:spacing w:after="0"/>
              <w:rPr>
                <w:sz w:val="18"/>
                <w:szCs w:val="18"/>
                <w:color w:val="auto"/>
              </w:rPr>
            </w:pPr>
          </w:p>
        </w:tc>
        <w:tc>
          <w:tcPr>
            <w:tcW w:w="394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15"/>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 liabilities</w:t>
            </w:r>
          </w:p>
        </w:tc>
        <w:tc>
          <w:tcPr>
            <w:tcW w:w="284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 liability</w:t>
            </w:r>
          </w:p>
        </w:tc>
        <w:tc>
          <w:tcPr>
            <w:tcW w:w="2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1,391</w:t>
            </w:r>
          </w:p>
        </w:tc>
      </w:tr>
      <w:tr>
        <w:trPr>
          <w:trHeight w:val="249"/>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right="7600" w:firstLine="8"/>
        <w:spacing w:after="0" w:line="487"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Facilities Lease Agreements</w:t>
      </w:r>
    </w:p>
    <w:p>
      <w:pPr>
        <w:spacing w:after="0" w:line="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January 2022, the Company entered into a new 8-year office lease agreement for a 20,116 square feet facility in Brisbane, California (“Brisbane Lease”). The lease commenced in December 2022.</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balance of the operating lease right of use assets were $8,104 and $8,643, respectively, and the related operating lease liabilities were $8,663 and $9,011, respectively, as shown in the accompanying consolidated balance sheets.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Rent expense was $486 and $973 for the three and six months ended June 30, 2025, respectively. Rent expense was $587 and $1,272 for the three and six months ended June 30, 2024,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future minimum lease payments under the Company's operating lease liabilities were as follows: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Ending</w:t>
            </w:r>
          </w:p>
        </w:tc>
        <w:tc>
          <w:tcPr>
            <w:tcW w:w="4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Total Commitment</w:t>
            </w:r>
          </w:p>
        </w:tc>
        <w:tc>
          <w:tcPr>
            <w:tcW w:w="120" w:type="dxa"/>
            <w:vAlign w:val="bottom"/>
          </w:tcPr>
          <w:p>
            <w:pPr>
              <w:spacing w:after="0"/>
              <w:rPr>
                <w:sz w:val="18"/>
                <w:szCs w:val="18"/>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(excluding six months ended June 30, 2025)</w:t>
            </w:r>
          </w:p>
        </w:tc>
        <w:tc>
          <w:tcPr>
            <w:tcW w:w="4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2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4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2028 and beyond</w:t>
            </w:r>
          </w:p>
        </w:tc>
        <w:tc>
          <w:tcPr>
            <w:tcW w:w="4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20" w:type="dxa"/>
            <w:vAlign w:val="bottom"/>
          </w:tcPr>
          <w:p>
            <w:pPr>
              <w:spacing w:after="0"/>
              <w:rPr>
                <w:sz w:val="18"/>
                <w:szCs w:val="18"/>
                <w:color w:val="auto"/>
              </w:rPr>
            </w:pPr>
          </w:p>
        </w:tc>
      </w:tr>
      <w:tr>
        <w:trPr>
          <w:trHeight w:val="210"/>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11,261</w:t>
            </w:r>
          </w:p>
        </w:tc>
        <w:tc>
          <w:tcPr>
            <w:tcW w:w="12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(2,598)</w:t>
            </w:r>
          </w:p>
        </w:tc>
      </w:tr>
      <w:tr>
        <w:trPr>
          <w:trHeight w:val="210"/>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Present value of operating lease obligations</w:t>
            </w:r>
          </w:p>
        </w:tc>
        <w:tc>
          <w:tcPr>
            <w:tcW w:w="46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12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(1,103)</w:t>
            </w:r>
          </w:p>
        </w:tc>
      </w:tr>
      <w:tr>
        <w:trPr>
          <w:trHeight w:val="250"/>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46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588"/>
        </w:trPr>
        <w:tc>
          <w:tcPr>
            <w:tcW w:w="4560" w:type="dxa"/>
            <w:vAlign w:val="bottom"/>
          </w:tcPr>
          <w:p>
            <w:pPr>
              <w:spacing w:after="0"/>
              <w:rPr>
                <w:sz w:val="24"/>
                <w:szCs w:val="24"/>
                <w:color w:val="auto"/>
              </w:rPr>
            </w:pPr>
          </w:p>
        </w:tc>
        <w:tc>
          <w:tcPr>
            <w:tcW w:w="4680" w:type="dxa"/>
            <w:vAlign w:val="bottom"/>
          </w:tcPr>
          <w:p>
            <w:pPr>
              <w:jc w:val="right"/>
              <w:ind w:right="343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5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Related to this Brisbane Lease agreement, the Company entered into a letter of credit with a bank to deposit $388 in a separate account that is classified as restricted cash to serve as security rent deposit. This amount is included in other noncurrent assets in the accompanying consolidated balance sheets as of June 30,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 PAYABLE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15, 2021, the Company entered into a loan agreement with Oxford Finance LLC (the “Lender”) to borrow a term loan amount of $35,000 to be funded in three tranches (as amended, the “Loan Agreement”). Tranche A of $15,000 was wired to the Company on January 15, 2021. Tranche B of $10,000 expired on March 31, 2022. Tranche C of $10,000 was available at the Lender’s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23, 2022, the Company entered into a First Amendment to the Loan Agreement. The amendment modified the Loan Agreement as follows:</w:t>
      </w:r>
    </w:p>
    <w:p>
      <w:pPr>
        <w:spacing w:after="0" w:line="27" w:lineRule="exact"/>
        <w:rPr>
          <w:sz w:val="20"/>
          <w:szCs w:val="20"/>
          <w:color w:val="auto"/>
        </w:rPr>
      </w:pPr>
    </w:p>
    <w:p>
      <w:pPr>
        <w:jc w:val="both"/>
        <w:ind w:firstLine="8"/>
        <w:spacing w:after="0" w:line="253" w:lineRule="auto"/>
        <w:tabs>
          <w:tab w:leader="none" w:pos="2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Millendo Therapeutics US, Inc., a Delaware corporation and wholly owned subsidiary of the Company (“Millendo”), were joined as co-borrowers under the Loan Agreement; (ii) the interest-only repayment period was extended through December 31, 2023 (which interest-only period may be further extended through June 30, 2024 under certain circumstances); and (iii) a security interest in all of the assets of the Company, TempestTx and Millendo, including any intellectual property, was granted to the Lender. In addition, the Lender permitted a one-time prepayment in the amount of $5.0 million, which the Company paid on December 23, 2022.</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amendment to the Loan Agreement, the term loan had a maturity date of August 1, 2025 and an annual floating interest rate of 7.15%, which is an Index Rate plus 7.10%. Index Rate is the greater of (i) 1-Month CME Term SOFR or (ii) 0.05%. In the fourth quarter of 2023, the Company achieved the circumstances necessary to extend the interest-only repayment period through June 30, 2024. Monthly principal payments of $733 were required to begin on July 1, 2024. Related to this borrowing, the Company recorded loan discounts totaling $898 and paid $95 of debt issuance costs. These amounts would be amortized as additional interest expense over the life of the loan.</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8, 2025, using cash on hand, the Company made a repayment of $3.5 million in full satisfaction of the aggregate outstanding amount, including accrued interest and exit fees as of such date, under the Loan Agreement with the Lender. The payoff amount paid by the Company in connection with the termination of the Loan Agreement was pursuant to a payoff letter with the Lender and included payment of $0.6 million as an exit fee. Upon making the repayment, the Loan Agreement was terminated in accordance with its terms and all liens and security interests granted thereunder to secure the obligations were released.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total interest expense was $46 and $207, respectively. For the three and six months ended June 30, 2024, total interest expense was $372 and $740, respectively.</w:t>
      </w:r>
    </w:p>
    <w:p>
      <w:pPr>
        <w:spacing w:after="0" w:line="117" w:lineRule="exact"/>
        <w:rPr>
          <w:sz w:val="20"/>
          <w:szCs w:val="20"/>
          <w:color w:val="auto"/>
        </w:rPr>
      </w:pPr>
    </w:p>
    <w:p>
      <w:pPr>
        <w:ind w:right="8740" w:firstLine="8"/>
        <w:spacing w:after="0" w:line="479" w:lineRule="auto"/>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Authorized Stock</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par value of $0.001 per share, and 5,000,000 shares of preferred stock, 100,000 of which have been designated as Series A Participating Preferred Stock (the “Series A Preferred Stock”), par value of $0.001 per share pursuant to the Company’s adoption the Rights Plan (as defined below). No shares of the Company’s Series A Participating Preferred Stock were outstanding as of June 30, 2025 and 2024.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and the holders of each share of Series A Preferred Stock, if issued, are entitled to 1,000 votes. Except for effecting or validating certain specific actions intended to protect the preferred stockholders, the holders of common stock vote together with preferred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10, 2023, the Company’s Board of Directors adopted a limited duration stockholder rights plan (the “Rights Plan”), effective immediately, and declared a dividend of one preferred share purchase right (a “Right”) for each outstanding share of the Company’s common stock. The dividend was effective as of October 23, 2023 (the “Record Date”) with respect to stockholders of record on that date. The Rights will also attach to new common stock issued after the Record Date. Each Right entitles the registered holder to purchase from the Company one one-thousandth of a share of the Series A Preferred Stock at a price of $25.00 per one one-thousandth of a preferred share, subject to adjustment. The descriptions and terms of the Rights are set forth in a Rights Agreement, dated as of October 10, 2023 (the “Rights Agreement"), between the Company and Computershare Trust Company, NA.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9, 2024, the Company entered into Amendment No. 1 (the “Amendment”) to the Rights Agreement. The Amendment extends the Final Expiration Date of the Rights Agreement until immediately following the Company’s 2025 Annual Meeting of Stockholders or, if the Company’s stockholders approve the Rights Plan at or prior to such meeting, to October 10, 2026, unless the Rights are earlier redeemed or exchanged by the Company. The Company does not have any obligation under the Rights Agreement to seek stockholder approval for the Rights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5, 2024, the Company entered into Amendment No. 2 (the “Second Amendment”) to the Rights Agreement. The Second Amendment makes certain technical amendments to the rights and obligations of the Company’s Board of Directors to administer and make determinations with respect to the Rights Agreement and the rights issued thereunder. The Rights Agreement otherwise remains unmodified and in full force and effect in accordance with its terms.</w:t>
      </w:r>
    </w:p>
    <w:p>
      <w:pPr>
        <w:spacing w:after="0" w:line="351" w:lineRule="exact"/>
        <w:rPr>
          <w:sz w:val="20"/>
          <w:szCs w:val="20"/>
          <w:color w:val="auto"/>
        </w:rPr>
      </w:pPr>
    </w:p>
    <w:p>
      <w:pPr>
        <w:ind w:right="8220" w:firstLine="8"/>
        <w:spacing w:after="0" w:line="487" w:lineRule="auto"/>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Equity Plans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2011, Private Tempest adopted the 2011 Equity Incentive Plan (the “2011 Plan), and in 2017, Private Tempest adopted the 2017 Equity Incentive Plan (the “2017 Plan”), and together with the 2011 Plan, the “Tempest Prior Plans.” The Tempest Prior Plans have been terminated and no additional grants may be made under either plan. All stock awards granted under the Tempest Prior Plans will remain subject to the terms of the applicable prior plan. As a result of the merger with Millendo, the Tempest Prior Plans were assumed by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29, 2019, the Board of Millendo adopted the 2019 Equity Incentive Plan (the “2019 Plan”), subject to approval by the Company’s stockholders, and became effective with such stockholder approval on June 11, 2019. On June 17, 2022, the Company’s stockholders approved the Amended and Restated 2019 Equity Incentive Plan (the “A&amp;R 2019 Plan”), which amended and restated the 2019 Plan and was the successor to, and replacement of, the 2019 Plan.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Tempest adopted the Amended and Restated 2023 Equity Incentive Plan (the “2023 Plan”) on April 30, 2023, subject to approval by the Company’s stockholders. On June 15, 2023, the Company’s stockholders approved the 2023 Plan, which amended and restated the A&amp;R 2019 Plan and will be a successor to, and replacement of, the A&amp;R 2019 Plan. The number of shares of the Company's common stock reserved for issuance under the 2023 Plan will automatically increase on January 1st of each year, for a period of 10 years, from January 1, 2024 continuing through January 1, 2033, by 4% of the total number of shares of the Company's common stock outstanding on December 31st of the preceding calendar year, or a lesser number of shares as may be determined by the Board of Directors. Accordingly, on January 1, 2025, the common stock reserved for issuance was increased by 135,297 shares. As of June 30, 2025, there were 47,745 shares available for future grant under the 2023 Plan.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2023 Plan allows the Company to grant stock awards to employees, directors and consultants of the Company, including incentive stock options (“ISOs”), non-qualified stock options (“NSOs”), stock appreciation rights, restricted stock awards, restricted stock unit awards and other stock awards.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Tempest adopted the 2023 Inducement Plan (“2023 Inducement Plan”) on June 21, 2023, pursuant to which the Company reserved 88,461 shares of its common stock to be used exclusively for grants of awards to individuals who were not previously employees or directors of the Company, as an inducement material to the individual’s entry into employment with the Company within the meaning of Rule 5635(c)(4) of the Nasdaq Listing Rules. The 2023 Inducement Plan was approved by the Company’s Board of Directors without stockholder approval in accordance with such rule. As of June 30, 2025, there were 67,615 shares available for future grant under the 2023 Inducement Plan.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measures employee and non-employee stock-based awards at grant date fair value and records compensation expense on a straight-line basis over the vesting period of the award.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Ownership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Millendo Board adopted the 2019 Employee Stock Purchase Plan on April 29, 2019, which became effective upon stockholder approval on June 11, 2019. On June 17, 2022, the Company’s stockholders approved the Amended and Restated 2019 Employee Stock Purchase Plan (the “2019 ESPP”). The 2019 ESPP enables employees to purchase shares of the Company's common stock through offerings of rights to purchase the Company's common stock to all eligible employees.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2019 ESPP provides that the number of shares of common stock reserved for issuance under the 2019 ESPP will automatically increase on January 1, 2023 and continuing through (and including) January 1, 2029, by the lesser of 1.5% of the total number of shares of Common Stock outstanding on December 31st of the preceding calendar year, (ii) 38,461 shares of Common Stock, or (iii) such lesser number of shares of Common Stock as determined by the Board of Directors (which may be zero). On January 1, 2025, the common stock reserved for issuance was increased by 38,461 shares.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70,914 shares of common stock remained available for future issuance under the 2019 ESPP. During the three and six months ended June 30, 2025, 3,649 shares of common stock were issued under the 2019 ESPP.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Options to purchase the Company’s common stock may be granted at a price not less than the fair market value in the case of both NSOs and ISOs, except for an options holder who owns more than 10% of the voting power of all classes of stock of the Company, in which case the exercise price shall be no less than 110% of the fair market value per share on the grant date. Stock options granted under the Plans generally vest over four years and expire no later than ten (10) years from the date of grant. Vested options can be exercised at any time.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the stock option activities for the six months ended June 30,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0" w:type="dxa"/>
            <w:vAlign w:val="bottom"/>
          </w:tcPr>
          <w:p>
            <w:pPr>
              <w:spacing w:after="0"/>
              <w:rPr>
                <w:sz w:val="1"/>
                <w:szCs w:val="1"/>
                <w:color w:val="auto"/>
              </w:rPr>
            </w:pPr>
          </w:p>
        </w:tc>
      </w:tr>
      <w:tr>
        <w:trPr>
          <w:trHeight w:val="215"/>
        </w:trPr>
        <w:tc>
          <w:tcPr>
            <w:tcW w:w="38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Balance—December 31, 2024</w:t>
            </w:r>
          </w:p>
        </w:tc>
        <w:tc>
          <w:tcPr>
            <w:tcW w:w="5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320,013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86.06</w:t>
            </w:r>
          </w:p>
        </w:tc>
        <w:tc>
          <w:tcPr>
            <w:tcW w:w="0" w:type="dxa"/>
            <w:vAlign w:val="bottom"/>
          </w:tcPr>
          <w:p>
            <w:pPr>
              <w:spacing w:after="0"/>
              <w:rPr>
                <w:sz w:val="1"/>
                <w:szCs w:val="1"/>
                <w:color w:val="auto"/>
              </w:rPr>
            </w:pPr>
          </w:p>
        </w:tc>
      </w:tr>
      <w:tr>
        <w:trPr>
          <w:trHeight w:val="216"/>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130,091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38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Cancelled and forfeited</w:t>
            </w:r>
          </w:p>
        </w:tc>
        <w:tc>
          <w:tcPr>
            <w:tcW w:w="38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Balance—June 30, 2025</w:t>
            </w:r>
          </w:p>
        </w:tc>
        <w:tc>
          <w:tcPr>
            <w:tcW w:w="38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450,104</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64.44</w:t>
            </w:r>
          </w:p>
        </w:tc>
        <w:tc>
          <w:tcPr>
            <w:tcW w:w="0" w:type="dxa"/>
            <w:vAlign w:val="bottom"/>
          </w:tcPr>
          <w:p>
            <w:pPr>
              <w:spacing w:after="0"/>
              <w:rPr>
                <w:sz w:val="1"/>
                <w:szCs w:val="1"/>
                <w:color w:val="auto"/>
              </w:rPr>
            </w:pPr>
          </w:p>
        </w:tc>
      </w:tr>
      <w:tr>
        <w:trPr>
          <w:trHeight w:val="41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Balance—December 31, 2023</w:t>
            </w:r>
          </w:p>
        </w:tc>
        <w:tc>
          <w:tcPr>
            <w:tcW w:w="5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273,393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94.64</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57,551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57.85</w:t>
            </w:r>
          </w:p>
        </w:tc>
        <w:tc>
          <w:tcPr>
            <w:tcW w:w="0" w:type="dxa"/>
            <w:vAlign w:val="bottom"/>
          </w:tcPr>
          <w:p>
            <w:pPr>
              <w:spacing w:after="0"/>
              <w:rPr>
                <w:sz w:val="1"/>
                <w:szCs w:val="1"/>
                <w:color w:val="auto"/>
              </w:rPr>
            </w:pPr>
          </w:p>
        </w:tc>
      </w:tr>
      <w:tr>
        <w:trPr>
          <w:trHeight w:val="216"/>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5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Cancelled and forfeited</w:t>
            </w:r>
          </w:p>
        </w:tc>
        <w:tc>
          <w:tcPr>
            <w:tcW w:w="38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(16,028)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106.99</w:t>
            </w:r>
          </w:p>
        </w:tc>
        <w:tc>
          <w:tcPr>
            <w:tcW w:w="0" w:type="dxa"/>
            <w:vAlign w:val="bottom"/>
          </w:tcPr>
          <w:p>
            <w:pPr>
              <w:spacing w:after="0"/>
              <w:rPr>
                <w:sz w:val="1"/>
                <w:szCs w:val="1"/>
                <w:color w:val="auto"/>
              </w:rPr>
            </w:pPr>
          </w:p>
        </w:tc>
      </w:tr>
      <w:tr>
        <w:trPr>
          <w:trHeight w:val="209"/>
        </w:trPr>
        <w:tc>
          <w:tcPr>
            <w:tcW w:w="3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Balance—June 30, 2024</w:t>
            </w:r>
          </w:p>
        </w:tc>
        <w:tc>
          <w:tcPr>
            <w:tcW w:w="3820" w:type="dxa"/>
            <w:vAlign w:val="bottom"/>
            <w:tcBorders>
              <w:top w:val="single" w:sz="8" w:color="CFF0FC"/>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308,632</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56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82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15</w:t>
            </w: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86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6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-1765300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-1748155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June 30,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15"/>
        </w:trPr>
        <w:tc>
          <w:tcPr>
            <w:tcW w:w="5760" w:type="dxa"/>
            <w:vAlign w:val="bottom"/>
          </w:tcPr>
          <w:p>
            <w:pPr>
              <w:spacing w:after="0"/>
              <w:rPr>
                <w:sz w:val="18"/>
                <w:szCs w:val="18"/>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 (In Years)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100" w:type="dxa"/>
            <w:vAlign w:val="bottom"/>
          </w:tcPr>
          <w:p>
            <w:pPr>
              <w:spacing w:after="0"/>
              <w:rPr>
                <w:sz w:val="18"/>
                <w:szCs w:val="18"/>
                <w:color w:val="auto"/>
              </w:rPr>
            </w:pPr>
          </w:p>
        </w:tc>
      </w:tr>
      <w:tr>
        <w:trPr>
          <w:trHeight w:val="21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450,104</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64.44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450,104</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439,914</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64.50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and 2024, the Company granted employees and non-employees stock options to purchase 130,091 and 57,551 shares of common stock, respectively, with a weighted-average grant date fair value of $11.20 and $57.85 per share, respectively. As of June 30, 2025 and 2024, total unrecognized compensation costs related to unvested employee stock options were $512 and $14,772, respectively. These costs are expected to be recognized over a weighted-average period of approximately 2.0 years and 3.1 years,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option pricing valuation model. The fair value of employee and non-employee stock options is being amortized on the straight-line basis over the requisite service period of the awards. The fair value of employee and non-employee stock options was estimated using the following assumptions for the six months ended June 30, 2025 and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16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rPr>
                <w:sz w:val="18"/>
                <w:szCs w:val="18"/>
                <w:color w:val="auto"/>
              </w:rPr>
            </w:pPr>
          </w:p>
        </w:tc>
        <w:tc>
          <w:tcPr>
            <w:tcW w:w="15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r>
      <w:tr>
        <w:trPr>
          <w:trHeight w:val="213"/>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5.5 - 6.1</w:t>
            </w:r>
          </w:p>
        </w:tc>
        <w:tc>
          <w:tcPr>
            <w:tcW w:w="22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- 116%</w:t>
            </w:r>
          </w:p>
        </w:tc>
        <w:tc>
          <w:tcPr>
            <w:tcW w:w="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- 113%</w:t>
            </w:r>
          </w:p>
        </w:tc>
        <w:tc>
          <w:tcPr>
            <w:tcW w:w="22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- 4.7%</w:t>
            </w:r>
          </w:p>
        </w:tc>
        <w:tc>
          <w:tcPr>
            <w:tcW w:w="220" w:type="dxa"/>
            <w:vAlign w:val="bottom"/>
            <w:shd w:val="clear" w:color="auto" w:fill="CFF0FC"/>
          </w:tcPr>
          <w:p>
            <w:pPr>
              <w:spacing w:after="0"/>
              <w:rPr>
                <w:sz w:val="18"/>
                <w:szCs w:val="18"/>
                <w:color w:val="auto"/>
              </w:rPr>
            </w:pPr>
          </w:p>
        </w:tc>
      </w:tr>
      <w:tr>
        <w:trPr>
          <w:trHeight w:val="23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 %</w:t>
            </w:r>
          </w:p>
        </w:tc>
      </w:tr>
    </w:tbl>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Expected Term</w:t>
      </w:r>
      <w:r>
        <w:rPr>
          <w:rFonts w:ascii="Times New Roman" w:cs="Times New Roman" w:eastAsia="Times New Roman" w:hAnsi="Times New Roman"/>
          <w:sz w:val="18"/>
          <w:szCs w:val="18"/>
          <w:color w:val="auto"/>
        </w:rPr>
        <w:t>—The expected term of options granted represents the period of time that the options are expected to be outstanding. Due to the lack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 exercise history, the expected term of the Company’s employee stock options has been determined utilizing the simplified method for awards that qualify as plain-vanilla options.</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Expected Volatility</w:t>
      </w:r>
      <w:r>
        <w:rPr>
          <w:rFonts w:ascii="Times New Roman" w:cs="Times New Roman" w:eastAsia="Times New Roman" w:hAnsi="Times New Roman"/>
          <w:sz w:val="18"/>
          <w:szCs w:val="18"/>
          <w:color w:val="auto"/>
        </w:rPr>
        <w:t>—The expected stock price volatility assumption was determined by examining the historical volatilities for industry peers,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Risk-Free Interest Rate</w:t>
      </w:r>
      <w:r>
        <w:rPr>
          <w:rFonts w:ascii="Times New Roman" w:cs="Times New Roman" w:eastAsia="Times New Roman" w:hAnsi="Times New Roman"/>
          <w:sz w:val="18"/>
          <w:szCs w:val="18"/>
          <w:color w:val="auto"/>
        </w:rPr>
        <w:t>—The risk-free interest rate assumption is based on the U.S. Treasury instruments whose term was consistent with the expected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 of the Company’s stock options.</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—The Company has not paid any cash dividends on common stock since inception and does not anticipate paying any dividends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foreseeable future. Consequently, an expected dividend yield of zero was used.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recognized in the Company’s condensed consolidated statement of operations for the three and six months ended June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62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196"/>
        </w:trPr>
        <w:tc>
          <w:tcPr>
            <w:tcW w:w="3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1,533</w:t>
            </w:r>
          </w:p>
        </w:tc>
      </w:tr>
      <w:tr>
        <w:trPr>
          <w:trHeight w:val="249"/>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RETIREMENT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During the three and six months ended June 30, 2025, the Company contributed $35 and $115 to the 401(k) Plan, respectively. During the three and six months ended June 30, 2024, the Company contributed $43 and $94 to the 401(k) Plan,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basis in diluted net loss per share for the three and six months ended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(in thousands, except share and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Pr>
          <w:p>
            <w:pPr>
              <w:spacing w:after="0"/>
              <w:rPr>
                <w:sz w:val="18"/>
                <w:szCs w:val="18"/>
                <w:color w:val="auto"/>
              </w:rPr>
            </w:pPr>
          </w:p>
        </w:tc>
        <w:tc>
          <w:tcPr>
            <w:tcW w:w="242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2"/>
        </w:trPr>
        <w:tc>
          <w:tcPr>
            <w:tcW w:w="5700" w:type="dxa"/>
            <w:vAlign w:val="bottom"/>
            <w:tcBorders>
              <w:top w:val="single" w:sz="8" w:color="CCEEFF"/>
              <w:bottom w:val="single" w:sz="8" w:color="CCEEFF"/>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(9,570)</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(18,730)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(17,474)</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3,802,956</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1,734,335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3,621,329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7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Weighted-average shares used in computing basic and diluted net loss per</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3,802,956</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1,734,335</w:t>
            </w:r>
          </w:p>
        </w:tc>
        <w:tc>
          <w:tcPr>
            <w:tcW w:w="100" w:type="dxa"/>
            <w:vAlign w:val="bottom"/>
            <w:shd w:val="clear" w:color="auto" w:fill="CFF0FC"/>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3,621,329</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1,722,327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00" w:type="dxa"/>
            <w:vAlign w:val="bottom"/>
            <w:tcBorders>
              <w:bottom w:val="single" w:sz="8" w:color="CFF0FC"/>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share</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7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stockholders—basic and</w:t>
            </w:r>
          </w:p>
        </w:tc>
        <w:tc>
          <w:tcPr>
            <w:tcW w:w="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(2.07)</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(5.52)</w:t>
            </w:r>
          </w:p>
        </w:tc>
        <w:tc>
          <w:tcPr>
            <w:tcW w:w="14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(5.17)</w:t>
            </w: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(10.15)</w:t>
            </w:r>
          </w:p>
        </w:tc>
        <w:tc>
          <w:tcPr>
            <w:tcW w:w="0" w:type="dxa"/>
            <w:vAlign w:val="bottom"/>
          </w:tcPr>
          <w:p>
            <w:pPr>
              <w:spacing w:after="0"/>
              <w:rPr>
                <w:sz w:val="1"/>
                <w:szCs w:val="1"/>
                <w:color w:val="auto"/>
              </w:rPr>
            </w:pPr>
          </w:p>
        </w:tc>
      </w:tr>
      <w:tr>
        <w:trPr>
          <w:trHeight w:val="198"/>
        </w:trPr>
        <w:tc>
          <w:tcPr>
            <w:tcW w:w="57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diluted</w:t>
            </w:r>
          </w:p>
        </w:tc>
        <w:tc>
          <w:tcPr>
            <w:tcW w:w="30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-299720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-281940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-299720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-281940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-299720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-281940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and 2024, the Company’s potentially dilutive securities included unvested stock warrants and stock options, which have been excluded from the computation of diluted net loss per share attributable to common stockholders as the effect would be anti-dilutive. The issuance of pre-funded warrants and vested RSUs have been included in the computation of basic and diluted net loss per share attributable to common stockholders. Based on the amounts outstanding as of June 30, 2025 and 2024, the Company excluded the following potential common shares from the computation of diluted net loss per share attributable to common stockholders because including them would have had an anti-dilutive effect:</w:t>
      </w:r>
    </w:p>
    <w:p>
      <w:pPr>
        <w:spacing w:after="0" w:line="179"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As of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60" w:type="dxa"/>
            <w:vAlign w:val="bottom"/>
            <w:tcBorders>
              <w:bottom w:val="single" w:sz="8" w:color="CCEEFF"/>
            </w:tcBorders>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10"/>
        </w:trPr>
        <w:tc>
          <w:tcPr>
            <w:tcW w:w="8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450,104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308,631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r>
      <w:tr>
        <w:trPr>
          <w:trHeight w:val="250"/>
        </w:trPr>
        <w:tc>
          <w:tcPr>
            <w:tcW w:w="8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450,568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309,095</w:t>
            </w:r>
          </w:p>
        </w:tc>
        <w:tc>
          <w:tcPr>
            <w:tcW w:w="100" w:type="dxa"/>
            <w:vAlign w:val="bottom"/>
            <w:shd w:val="clear" w:color="auto" w:fill="CFF0FC"/>
          </w:tcPr>
          <w:p>
            <w:pPr>
              <w:spacing w:after="0"/>
              <w:rPr>
                <w:sz w:val="21"/>
                <w:szCs w:val="21"/>
                <w:color w:val="auto"/>
              </w:rPr>
            </w:pPr>
          </w:p>
        </w:tc>
      </w:tr>
      <w:tr>
        <w:trPr>
          <w:trHeight w:val="817"/>
        </w:trPr>
        <w:tc>
          <w:tcPr>
            <w:tcW w:w="7560" w:type="dxa"/>
            <w:vAlign w:val="bottom"/>
            <w:tcBorders>
              <w:top w:val="single" w:sz="8" w:color="CFF0FC"/>
            </w:tcBorders>
          </w:tcPr>
          <w:p>
            <w:pPr>
              <w:jc w:val="right"/>
              <w:ind w:right="175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7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-1053465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-1036320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which is the business of discovery and development of small molecule drugs to treat cancers. The Company’s chief operating decision maker (“CODM”) is its Chief Executive Officer. The determination of a single business segment is consistent with the consolidated financial information regularly reviewed by the CODM for purposes of assessing performance, allocating resources and planning and forecasting future periods.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Company has not generated revenue, the CODM assesses Company performance through the achievement of research goals towards advancing the Company’s product candidates through stages of development. As such, the CODM is regularly provided with budgeted and forecasted expense information as well as the Company’s Consolidated Financial Statements which is used to determine the Company’s liquidity needs and pipeline resource allocation.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CODM regularly reviews and evaluates research and development expenses and uses consolidated net loss, as reported on the Company’s Consolidated Statements of Operations, to assess the performance of the segment and to allocate resources. The consolidated net loss and significant segment expenses reviewed by the CODM are reported on the Company’s Consolidated Statements of Operations for the three and six months ended June 30, 2025 and 2024. The measure of segment assets is reported on the Consolidated Balance Sheet as total assets. The CODM monitors the Company's cash and cash equivalents as reported on the Consolidated Balance Sheets.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financial information required for segment reporting that is provided to the chief operating decision maker is contained within the financial statements and notes to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Tax Regulation Update</w:t>
      </w:r>
    </w:p>
    <w:p>
      <w:pPr>
        <w:spacing w:after="0" w:line="20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in the United States. OBBBA includes significant changes, such as the permanent extension of certain provisions that were originally enacted in the 2017 Tax Cuts and Jobs Act and were set to expire on December 31, 2025, modifications to certain international tax provisions and the restoration of tax treatment for certain business expense provisions. The new legislation has multiple effective dates, with certain provisions effective in 2025 and others implemented through 2027. We are currently assessing the impact on our condensed consolidated financial statements, as well as our annual estimated effective tax rate.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Arrangements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August 11, 2025, the Company entered into success bonus agreements with certain individuals, including Stephen Brady, the Company’s Chief Executive Officer and President, Samuel Whiting, the Company’s Executive Vice President and Chief Medical Officer, Nicholas Maestas, the Company’s Chief Financial Officer and Head of Corporate Strategy, and Justin Trojanowski, the Company’s Corporate Controller, Treasurer and principal accounting officer, for total aggregate success bonuses of $725,000. Pursuant to the agreements, the individuals will be eligible to receive a success bonus if a change in control of the Company is consummated prior to January 31, 2026.</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unaudited condensed financial statements and the notes thereto included elsewhere in this Quarterly Report on Form 10-Q, and our audited consolidated financial statements and related notes for the year ended December 31, 2024, filed with the U.S. Securities and Exchange Commission ("SEC") on March 27, 2025. This discussion and other parts of this report contains forward-looking statements that involve risks and uncertainties, such as our plans, objectives, expectations, intentions, and beliefs,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 of this report entitled “Risk Factors,” under Part II, Item 1A of this report and those discussed in our other disclosures and filings with the SEC.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clinical-stage biotechnology company with a diverse portfolio of targeted and immune-mediated product candidates with the potential to be first-in-class to treat a wide range of cancers. Our novel programs range from early research to the lead program, amezalpat (previously known as TPST-1120), that, subject to the need for additional resources, is ready to begin a pivotal study in first-line hepatocellular carcinoma (“HCC”). In addition to amezalpat, our second clinical-stage therapeutic product candidate is TPST-1495, which we expect to start a Phase 2 study in Familial Adenomatous Polyposis (“FAP”) this year. We believe both amezalpat and TPST-1495 are the first clinical-stage molecules designed to inhibit their respective targets.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philosophy is to build a company based upon not only good ideas and creative science, but also upon the efficient translation of those ideas into therapies that will improve patients’ lives. Each of our programs are designed to provide different and independent approaches to fighting cancer, providing a portfolio of truly diversified assets. Given market conditions, in April 2025, we announced plans to explore a full range of strategic alternatives to advance our promising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Amezalpat (TPST-1120)</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Amezalpat is an oral, small molecule, selective antagonist of peroxisome proliferator-activated receptor alpha (“PPARα”) being developed for the treatment of first-line unresectable or metastatic HCC.</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2024, we unveiled positive survival data from the ongoing global randomized Phase 1b/2 clinical study demonstrating that amezalpat delivered a six-month improvement in median overall survival (“OS”) with a hazard ratio (“HR”) of 0.65 when combined with atezolizumab and bevacizumab in comparison to atezolizumab and bevacizumab alone, the standard of care, in the first-line treatment of patients with unresectable or metastatic HCC. Additionally, the survival benefit was preserved across key subpopulations, including patients with PD-L1 negative disease and β-catenin mutated disease, consistent with amezalpat’s proposed mechanism of action targeting both tumor cells directly and the patient’s immune system.</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2024, we announced the successful completion of our end-of-Phase 2 meeting with the U.S. Food and Drug Administration (“FDA”) regarding the development of amezalpat for the treatment of first-line unresectable or metastatic HCC. The FDA provided positive feedback on the pivotal Phase 3 clinical trial design, which closely mirrors the positive randomized Phase 2 study. The planned Phase 3 trial is designed to use the current, Phase 2 amezalpat dose and schedule in combination with atezolizumab and bevacizumab and will be compared to atezolizumab and bevacizumab alone, the standard of care. The primary endpoint of the trial will be OS. Additionally, the FDA agreed to a pre-specified early efficacy analysis, which, if met, would potentially reduce the time to primary read-out by up to eight months.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we received a “Study May Proceed” letter from the FDA, authorizing the initiation of our pivotal Phase 3 trial, and in June 2025, we received the equivalent “Clearance to Proceed” letter from the National Medical Products Administration (“NMPA”) in China. In January 2025, the FDA granted Orphan Drug Designation (“ODD”) for amezalpat for the treatment of patients with HCC. In February 2025, the FDA granted Fast Track Designation (“FTD”), underscoring the agency’s recognition of the urgent need for new treatment options for HCC. In addition to receiving ODD from the FDA, in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June 2025, the European Medical Agency (“EMA”) also granted ODD for the treatment of patients with HCC. These designations provide potential regulatory benefits, including increased engagement with the FDA, eligibility for accelerated approval and priority review, and, for ODD, potential market exclusivity upon approval.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TPST-1495</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second clinical program, TPST-1495, is a novel, small-molecule dual antagonist of the EP2 and EP4 receptors of prostaglandin E2 (“PGE2”), a pathway implicated in multiple cancers. Our development strategy for TPST-1495 includes evaluation in FAP, a rare genetic disorder that significantly increases the risk of gastrointestinal cancers and for which there are no approved systemic therapies. Given that prostaglandin signaling is also implicated in FAP and based on positive preclinical data in a relevant mouse model, we believe there is strong mechanistic support for this approach.</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2025, the Cancer Prevention Clinical Trials Network (“CP-CTNet”) received a “Study May Proceed” letter from the FDA, authorizing the initiation of a National Cancer Institute (“NCI”)-funded Phase 2 clinical trial evaluating TPST-1495 in patients with FAP. This trial, run by CP-CTNet and financially supported by the NCI’s Division of Cancer Prevention, underscores the urgent need for innovative cancer prevention strategies in high-risk patient populations. In April 2025, the FDA granted ODD for TPST-1495 for the treatment of patients with FAP. The Phase 2 study is expected to begin in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Future Milestones</w:t>
      </w:r>
    </w:p>
    <w:p>
      <w:pPr>
        <w:spacing w:after="0" w:line="229" w:lineRule="exact"/>
        <w:rPr>
          <w:sz w:val="20"/>
          <w:szCs w:val="20"/>
          <w:color w:val="auto"/>
        </w:rPr>
      </w:pPr>
    </w:p>
    <w:p>
      <w:pPr>
        <w:jc w:val="both"/>
        <w:ind w:left="1000" w:right="500" w:hanging="483"/>
        <w:spacing w:after="0" w:line="258"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need for additional resources, advance amezalpat into a pivotal Phase 3 study in first-line HCC patients where amezalpat will be studied in a combination treatment and compared to a standard-of-care therapy. We believe the continued positive results from the ongoing randomized Phase 1b/2 study provides strategic opportunities for us, and we received positive feedback from the FDA and European Medicines Agency (“EMA”) on the pivotal Phase 3 clinical trial design. The program may also may warrant further development in RCC and CCA based on the Phase 1 data presented at ASCO 2022.</w:t>
      </w:r>
    </w:p>
    <w:p>
      <w:pPr>
        <w:spacing w:after="0" w:line="183"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TPST-1495 in a Phase 2 study in patients with FAP with the CP-CTNet in 2025.</w:t>
      </w:r>
    </w:p>
    <w:p>
      <w:pPr>
        <w:spacing w:after="0" w:line="225" w:lineRule="exact"/>
        <w:rPr>
          <w:rFonts w:ascii="Times New Roman" w:cs="Times New Roman" w:eastAsia="Times New Roman" w:hAnsi="Times New Roman"/>
          <w:sz w:val="18"/>
          <w:szCs w:val="18"/>
          <w:color w:val="auto"/>
        </w:rPr>
      </w:pPr>
    </w:p>
    <w:p>
      <w:pPr>
        <w:jc w:val="both"/>
        <w:ind w:left="1000" w:right="520" w:hanging="483"/>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strategic and business development opportunities to maximize the potential of our pipeline and extend financial resources. We believe that our pipeline has broad potential reach and partnerships that bring in additional expertise and/or geographic presence could be important to increase the likelihood of success. We currently own all rights to our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and Ongoing Strategic Review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we had cash and cash equivalents totaling $14.3 million compared to $30.3 million as of December 31, 2024. We have incurred operating losses since inception and our accumulated deficit as of June 30, 2025 is $225.8 million. We expect that our existing cash and cash equivalents will fund our projected operating expense requirements through less than 12 months from the date our consolidated financial statements were available to be issued.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2025, we announced plans to explore a full range of strategic alternatives to advance its promising clinical stage programs and maximize stockholder value. Strategic alternatives under consideration may include, but are not limited to, mergers, acquisitions, partnerships, joint ventures, licensing arrangements or other strategic transactions. We have retained MTS Health Partners, L.P., an internationally recognized financial advisor with substantial experience in the biotechnology industry, to support us with the strategic evaluation process. We have not set a timetable for completion of the process for evaluating strategic alternatives and do not intend to disclose further developments or guidance on the status of our programs or the process for evaluating strategic alternatives unless and until it is determined that further disclosure is appropriate or necessary.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part of the plan to extend our capital resources, we reduced our workforce by 21 of 26 full-time employees, which became effective April 30, 2025 (“RIF”). Key employees within this group transitioned to consulting agreements and have continued to be available to us. Further, in support of such efforts, on June 5, 2025, each of Stephen Brady, the Company’s Chief Executive Officer and President, Samuel Whiting, the Company’s Executive Vice President and Chief Medical Officer, and Nicholas Maestas, the Company’s Chief Financial Officer and Corporate Secretary, transitioned to consulting agreements with the Company, pursuant to which they will continue to serve the Company in their respective executive roles.</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above conditions raise substantial doubt regarding our ability to continue as a going concern for a period of 12 months from the date of the issuance of the unaudited condensed financial statements included elsewhere in this Quarterly Report on Form 10-Q. If a strategic alternative is not available to us, we will be required to take additional actions to fund the Company’s operations or we may be forced to wind down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8, 2025, we effected a one-for-thirteen (1:13) reverse stock split (the “Reverse Stock Split”). Pursuant to their terms, a proportionate adjustment was made to the per share exercise price and number of shares issuable under all of the Company’s outstanding options and warrants, and the number of shares authorized for issuance pursuant to the Company’s equity incentive plans have been reduced proportionately. The Reverse Stock Split did not reduce the number of authorized shares of common stock and did not alter the par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share and per share amounts of common stock presented in this Quarterly Report on Form 10-Q have been retroactively adjusted to reflect the Reverse Stock Split. Refer to Note 1 of our unaudited condensed financial statements and the notes thereto included elsewhere in this Quarterly Report on Form 10-Q for further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represent costs incurred to conduct research and development, such as the development of our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all research and development costs as they are incurred. Research and development expenses consist primarily of the following:</w:t>
      </w:r>
    </w:p>
    <w:p>
      <w:pPr>
        <w:spacing w:after="0" w:line="225" w:lineRule="exact"/>
        <w:rPr>
          <w:sz w:val="20"/>
          <w:szCs w:val="20"/>
          <w:color w:val="auto"/>
        </w:rPr>
      </w:pPr>
    </w:p>
    <w:p>
      <w:pPr>
        <w:ind w:left="1000" w:hanging="48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stock-based compensation;</w:t>
      </w:r>
    </w:p>
    <w:p>
      <w:pPr>
        <w:spacing w:after="0" w:line="225"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costs;</w:t>
      </w:r>
    </w:p>
    <w:p>
      <w:pPr>
        <w:spacing w:after="0" w:line="225"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occupancy;</w:t>
      </w:r>
    </w:p>
    <w:p>
      <w:pPr>
        <w:spacing w:after="0" w:line="225"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supplies;</w:t>
      </w:r>
    </w:p>
    <w:p>
      <w:pPr>
        <w:spacing w:after="0" w:line="225"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contracted research and manufacturing;</w:t>
      </w:r>
    </w:p>
    <w:p>
      <w:pPr>
        <w:spacing w:after="0" w:line="225"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arrangements; and</w:t>
      </w:r>
    </w:p>
    <w:p>
      <w:pPr>
        <w:spacing w:after="0" w:line="225"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to advance our research and development activities.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largest component of our operating expenses has historically been the investment in research and development activities. Historically, our research and development expenses were primarily driven by our amezalpat program, which has been paused while we complete our ongoing strategic review. As a result of the ongoing strategic review and the RIF, we expect research and development expenses will decrease period over period. If we resume the advancement of our product candidates into and through clinical trials and pursues regulatory approvals, we expect research and development expenses will increase in the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which will require a significant investment in costs of clinical trials, regulatory support and contract manufacturing and inventory build-up.</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process of conducting clinical trials necessary to obtain regulatory approval is costly and time consuming. We may never succeed in timely developing and achieving regulatory approval for our product candidates. The probability of success of our product candidates may be affected by numerous factors, including availability of capital, clinical data, competition, manufacturing capability and commercial viability. As a result, we are unable to determine the duration and completion costs of our development projects or when and to what extent we will generate revenue from the commercialization and sale of any of our product candidates.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 We expect to continue to incur expenses as a result of being a public company, including expenses related to compliance with the rules and regulations of the SEC and Nasdaq, additional insurance, investor relations and other administrative expenses and professional services. As a result of the ongoing strategic review and the RIF, we expect general and administrative expenses will decrease period over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primarily of interest expense, interest income, and various other income or expense items of a non-recurring nature.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operating results for the three months ended June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0" w:type="dxa"/>
            <w:vAlign w:val="bottom"/>
          </w:tcPr>
          <w:p>
            <w:pPr>
              <w:spacing w:after="0"/>
              <w:rPr>
                <w:sz w:val="1"/>
                <w:szCs w:val="1"/>
                <w:color w:val="auto"/>
              </w:rPr>
            </w:pPr>
          </w:p>
        </w:tc>
      </w:tr>
      <w:tr>
        <w:trPr>
          <w:trHeight w:val="255"/>
        </w:trPr>
        <w:tc>
          <w:tcPr>
            <w:tcW w:w="5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0" w:type="dxa"/>
            <w:vAlign w:val="bottom"/>
            <w:gridSpan w:val="5"/>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00" w:type="dxa"/>
            <w:vAlign w:val="bottom"/>
            <w:vMerge w:val="restart"/>
          </w:tcPr>
          <w:p>
            <w:pPr>
              <w:spacing w:after="0"/>
              <w:rPr>
                <w:sz w:val="16"/>
                <w:szCs w:val="16"/>
                <w:color w:val="auto"/>
              </w:rPr>
            </w:pPr>
          </w:p>
        </w:tc>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(in thousands,</w:t>
            </w:r>
          </w:p>
        </w:tc>
        <w:tc>
          <w:tcPr>
            <w:tcW w:w="1440" w:type="dxa"/>
            <w:vAlign w:val="bottom"/>
            <w:gridSpan w:val="3"/>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7"/>
              </w:rPr>
              <w:t>except percentages)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3,871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5,837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(1,966)</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(7,966)</w:t>
            </w:r>
          </w:p>
        </w:tc>
        <w:tc>
          <w:tcPr>
            <w:tcW w:w="140" w:type="dxa"/>
            <w:vAlign w:val="bottom"/>
          </w:tcPr>
          <w:p>
            <w:pPr>
              <w:spacing w:after="0"/>
              <w:rPr>
                <w:sz w:val="18"/>
                <w:szCs w:val="18"/>
                <w:color w:val="auto"/>
              </w:rPr>
            </w:pPr>
          </w:p>
        </w:tc>
        <w:tc>
          <w:tcPr>
            <w:tcW w:w="13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(9,582)</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(1,616)</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13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(7,870)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(9,570)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(1,700)</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-1010920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-1010920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-1010920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-1010920</wp:posOffset>
            </wp:positionV>
            <wp:extent cx="1454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-453390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-453390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-453390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-453390</wp:posOffset>
            </wp:positionV>
            <wp:extent cx="1454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-170815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for the three months ended June 30, 2025 and 2024 were primarily incurred in connection with our most advanced product candidate, amezalpat.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research and development expenses by program for the three months ended June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0" w:type="dxa"/>
            <w:vAlign w:val="bottom"/>
          </w:tcPr>
          <w:p>
            <w:pPr>
              <w:spacing w:after="0"/>
              <w:rPr>
                <w:sz w:val="1"/>
                <w:szCs w:val="1"/>
                <w:color w:val="auto"/>
              </w:rPr>
            </w:pPr>
          </w:p>
        </w:tc>
      </w:tr>
      <w:tr>
        <w:trPr>
          <w:trHeight w:val="255"/>
        </w:trPr>
        <w:tc>
          <w:tcPr>
            <w:tcW w:w="5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80" w:type="dxa"/>
            <w:vAlign w:val="bottom"/>
            <w:gridSpan w:val="5"/>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00" w:type="dxa"/>
            <w:vAlign w:val="bottom"/>
            <w:vMerge w:val="restart"/>
          </w:tcPr>
          <w:p>
            <w:pPr>
              <w:spacing w:after="0"/>
              <w:rPr>
                <w:sz w:val="16"/>
                <w:szCs w:val="16"/>
                <w:color w:val="auto"/>
              </w:rPr>
            </w:pPr>
          </w:p>
        </w:tc>
        <w:tc>
          <w:tcPr>
            <w:tcW w:w="126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40" w:type="dxa"/>
            <w:vAlign w:val="bottom"/>
            <w:gridSpan w:val="4"/>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7"/>
              </w:rPr>
              <w:t>except percentages)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Amezalpat</w:t>
            </w:r>
          </w:p>
        </w:tc>
        <w:tc>
          <w:tcPr>
            <w:tcW w:w="760" w:type="dxa"/>
            <w:vAlign w:val="bottom"/>
            <w:shd w:val="clear" w:color="auto" w:fill="CFF0FC"/>
          </w:tcPr>
          <w:p>
            <w:pPr>
              <w:jc w:val="right"/>
              <w:ind w:right="60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98"/>
              </w:rPr>
              <w:t>2,196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TPST-1495</w:t>
            </w:r>
          </w:p>
        </w:tc>
        <w:tc>
          <w:tcPr>
            <w:tcW w:w="76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and other</w:t>
            </w: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642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(303)</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candidate specific research costs</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98"/>
              </w:rPr>
              <w:t>3,516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other costs</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98"/>
              </w:rPr>
              <w:t>1,627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529</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and depreciation</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694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5,837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-590550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-590550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-590550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-590550</wp:posOffset>
            </wp:positionV>
            <wp:extent cx="1454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$1.9 million to $3.9 million for the three months ended June 30, 2025, compared to three months ended June 30, 2024, which was primarily due to a decrease in costs incurred as a result of re-prioritizing efforts towards exploring strategic alternatives.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June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0" w:type="dxa"/>
            <w:vAlign w:val="bottom"/>
          </w:tcPr>
          <w:p>
            <w:pPr>
              <w:spacing w:after="0"/>
              <w:rPr>
                <w:sz w:val="1"/>
                <w:szCs w:val="1"/>
                <w:color w:val="auto"/>
              </w:rPr>
            </w:pPr>
          </w:p>
        </w:tc>
      </w:tr>
      <w:tr>
        <w:trPr>
          <w:trHeight w:val="255"/>
        </w:trPr>
        <w:tc>
          <w:tcPr>
            <w:tcW w:w="5520" w:type="dxa"/>
            <w:vAlign w:val="bottom"/>
          </w:tcPr>
          <w:p>
            <w:pPr>
              <w:spacing w:after="0"/>
              <w:rPr>
                <w:sz w:val="22"/>
                <w:szCs w:val="22"/>
                <w:color w:val="auto"/>
              </w:rPr>
            </w:pPr>
          </w:p>
        </w:tc>
        <w:tc>
          <w:tcPr>
            <w:tcW w:w="2180" w:type="dxa"/>
            <w:vAlign w:val="bottom"/>
            <w:gridSpan w:val="5"/>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00" w:type="dxa"/>
            <w:vAlign w:val="bottom"/>
            <w:vMerge w:val="restart"/>
          </w:tcPr>
          <w:p>
            <w:pPr>
              <w:spacing w:after="0"/>
              <w:rPr>
                <w:sz w:val="16"/>
                <w:szCs w:val="16"/>
                <w:color w:val="auto"/>
              </w:rPr>
            </w:pPr>
          </w:p>
        </w:tc>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40" w:type="dxa"/>
            <w:vAlign w:val="bottom"/>
            <w:gridSpan w:val="4"/>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7"/>
              </w:rPr>
              <w:t>except percentages)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outside services</w:t>
            </w:r>
          </w:p>
        </w:tc>
        <w:tc>
          <w:tcPr>
            <w:tcW w:w="760" w:type="dxa"/>
            <w:vAlign w:val="bottom"/>
            <w:shd w:val="clear" w:color="auto" w:fill="CFF0FC"/>
          </w:tcPr>
          <w:p>
            <w:pPr>
              <w:jc w:val="right"/>
              <w:ind w:right="60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1,191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98"/>
              </w:rPr>
              <w:t>2,974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(1,783)</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98"/>
              </w:rPr>
              <w:t>1,105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760</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559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(179)</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(434)</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674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(330)</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760" w:type="dxa"/>
            <w:vAlign w:val="bottom"/>
          </w:tcPr>
          <w:p>
            <w:pPr>
              <w:jc w:val="right"/>
              <w:ind w:right="60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98"/>
              </w:rPr>
              <w:t>5,837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(1,966)</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-170815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$0.4 million to $4.1 million for the three months ended June 30, 2025, compared to the three months ended June 30, 2024. The increase was primarily related to one-time separation costs for employees terminated during the three months ended June 30,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and 2024, other income (expense), net, consisted of total interest expense of $46 thousand and $372 thousand, respectively, related to the loan with Oxford Finance LLC (“Oxford” and such loan the “Oxford Loan”), and interest income of $142 thousand and $384 thousand,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summarizes our operating results for the six months ended June 30, 2025 and 2024:</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0" w:type="dxa"/>
            <w:vAlign w:val="bottom"/>
          </w:tcPr>
          <w:p>
            <w:pPr>
              <w:spacing w:after="0"/>
              <w:rPr>
                <w:sz w:val="1"/>
                <w:szCs w:val="1"/>
                <w:color w:val="auto"/>
              </w:rPr>
            </w:pPr>
          </w:p>
        </w:tc>
      </w:tr>
      <w:tr>
        <w:trPr>
          <w:trHeight w:val="255"/>
        </w:trPr>
        <w:tc>
          <w:tcPr>
            <w:tcW w:w="5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0" w:type="dxa"/>
            <w:vAlign w:val="bottom"/>
            <w:gridSpan w:val="5"/>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00" w:type="dxa"/>
            <w:vAlign w:val="bottom"/>
            <w:vMerge w:val="restart"/>
          </w:tcPr>
          <w:p>
            <w:pPr>
              <w:spacing w:after="0"/>
              <w:rPr>
                <w:sz w:val="16"/>
                <w:szCs w:val="16"/>
                <w:color w:val="auto"/>
              </w:rPr>
            </w:pPr>
          </w:p>
        </w:tc>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(in thousands,</w:t>
            </w:r>
          </w:p>
        </w:tc>
        <w:tc>
          <w:tcPr>
            <w:tcW w:w="1440" w:type="dxa"/>
            <w:vAlign w:val="bottom"/>
            <w:gridSpan w:val="3"/>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7"/>
              </w:rPr>
              <w:t>except percentages)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11,498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10,177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1,321</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7,379</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(18,902)</w:t>
            </w:r>
          </w:p>
        </w:tc>
        <w:tc>
          <w:tcPr>
            <w:tcW w:w="140" w:type="dxa"/>
            <w:vAlign w:val="bottom"/>
          </w:tcPr>
          <w:p>
            <w:pPr>
              <w:spacing w:after="0"/>
              <w:rPr>
                <w:sz w:val="18"/>
                <w:szCs w:val="18"/>
                <w:color w:val="auto"/>
              </w:rPr>
            </w:pPr>
          </w:p>
        </w:tc>
        <w:tc>
          <w:tcPr>
            <w:tcW w:w="13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(17,556)</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1,346</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Pr>
          <w:p>
            <w:pPr>
              <w:spacing w:after="0"/>
              <w:rPr>
                <w:sz w:val="18"/>
                <w:szCs w:val="18"/>
                <w:color w:val="auto"/>
              </w:rPr>
            </w:pPr>
          </w:p>
        </w:tc>
        <w:tc>
          <w:tcPr>
            <w:tcW w:w="13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(533)</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(443)</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(17,474)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1,256</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-1010920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-1010920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-1010920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-1010920</wp:posOffset>
            </wp:positionV>
            <wp:extent cx="1454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-453390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-453390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-453390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-453390</wp:posOffset>
            </wp:positionV>
            <wp:extent cx="1454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-170815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for the six months ended June 30, 2025 and 2024 were primarily incurred in connection with our most advanced product candidate, amezalpat.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55"/>
        </w:trPr>
        <w:tc>
          <w:tcPr>
            <w:tcW w:w="5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00" w:type="dxa"/>
            <w:vAlign w:val="bottom"/>
            <w:vMerge w:val="restart"/>
          </w:tcPr>
          <w:p>
            <w:pPr>
              <w:spacing w:after="0"/>
              <w:rPr>
                <w:sz w:val="16"/>
                <w:szCs w:val="16"/>
                <w:color w:val="auto"/>
              </w:rPr>
            </w:pPr>
          </w:p>
        </w:tc>
        <w:tc>
          <w:tcPr>
            <w:tcW w:w="126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(in thousands,</w:t>
            </w:r>
          </w:p>
        </w:tc>
        <w:tc>
          <w:tcPr>
            <w:tcW w:w="1440" w:type="dxa"/>
            <w:vAlign w:val="bottom"/>
            <w:gridSpan w:val="4"/>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7"/>
              </w:rPr>
              <w:t>except percentages)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Amezalpat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3,078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2,081</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TPST-1495</w:t>
            </w:r>
          </w:p>
        </w:tc>
        <w:tc>
          <w:tcPr>
            <w:tcW w:w="26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1,275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(1,275)</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and other</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1,114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(197)</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candidate specific research costs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5,467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609</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other costs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3,392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945</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and depreciation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1,318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10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-590550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-590550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-590550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-590550</wp:posOffset>
            </wp:positionV>
            <wp:extent cx="1454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$1.3 million to $11.5 million for the six months ended June 30, 2025, compared to the six months ended June 30, 2024. The increase was primarily attributable to an increase in costs incurred from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engaging contract research and manufacturing organizations in preparation for our pivotal Phase 3 trial of amezalpat for the treatment of first-line HCC.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six months ended June 30, 2025 and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outside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9758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9758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Consulting and 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97580" cy="145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9758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expenses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260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186"/>
        </w:trPr>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00" w:type="dxa"/>
            <w:vAlign w:val="bottom"/>
            <w:vMerge w:val="restart"/>
          </w:tcPr>
          <w:p>
            <w:pPr>
              <w:spacing w:after="0"/>
              <w:rPr>
                <w:sz w:val="16"/>
                <w:szCs w:val="16"/>
                <w:color w:val="auto"/>
              </w:rPr>
            </w:pPr>
          </w:p>
        </w:tc>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w w:val="99"/>
              </w:rPr>
              <w:t>(in thousands,</w:t>
            </w:r>
          </w:p>
        </w:tc>
        <w:tc>
          <w:tcPr>
            <w:tcW w:w="1440" w:type="dxa"/>
            <w:vAlign w:val="bottom"/>
            <w:gridSpan w:val="4"/>
          </w:tcPr>
          <w:p>
            <w:pPr>
              <w:jc w:val="right"/>
              <w:ind w:right="31"/>
              <w:spacing w:after="0" w:line="178" w:lineRule="exact"/>
              <w:rPr>
                <w:sz w:val="20"/>
                <w:szCs w:val="20"/>
                <w:color w:val="auto"/>
              </w:rPr>
            </w:pPr>
            <w:r>
              <w:rPr>
                <w:rFonts w:ascii="Times New Roman" w:cs="Times New Roman" w:eastAsia="Times New Roman" w:hAnsi="Times New Roman"/>
                <w:sz w:val="16"/>
                <w:szCs w:val="16"/>
                <w:b w:val="1"/>
                <w:bCs w:val="1"/>
                <w:color w:val="auto"/>
                <w:w w:val="97"/>
              </w:rPr>
              <w:t>except percentages)</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4,420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1,063</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2,229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1,276</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1,105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(434)</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1,410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(449)</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10,177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1,321</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-856615</wp:posOffset>
            </wp:positionV>
            <wp:extent cx="71323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-170815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-170815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-170815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3486150</wp:posOffset>
            </wp:positionH>
            <wp:positionV relativeFrom="paragraph">
              <wp:posOffset>-170815</wp:posOffset>
            </wp:positionV>
            <wp:extent cx="1454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4800" w:space="720"/>
            <w:col w:w="5720"/>
          </w:cols>
          <w:pgMar w:left="320" w:top="117"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remained relatively flat at $7.4 million for the six months ended June 30, 2025, compared to the six months ended June 30, 2024, and were primarily related to employee compensation costs, inclusive of one-time separation costs for employees terminated during the six months ended June 30, 2025, as well as consulting and professional services.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and 2024, other income (expense), net consisted of total interest expense of $207 thousand and $740 thousand, respectively, related to the Oxford Loan, and interest income of $379 thousand and $822 thousand,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through June 30, 2025, our operations have been financed primarily by proceeds from the sale of</w:t>
      </w:r>
    </w:p>
    <w:p>
      <w:pPr>
        <w:spacing w:after="0" w:line="27" w:lineRule="exact"/>
        <w:rPr>
          <w:sz w:val="20"/>
          <w:szCs w:val="20"/>
          <w:color w:val="auto"/>
        </w:rPr>
      </w:pPr>
    </w:p>
    <w:p>
      <w:pPr>
        <w:ind w:right="2340"/>
        <w:spacing w:after="0" w:line="260" w:lineRule="auto"/>
        <w:rPr>
          <w:sz w:val="20"/>
          <w:szCs w:val="20"/>
          <w:color w:val="auto"/>
        </w:rPr>
      </w:pPr>
      <w:r>
        <w:rPr>
          <w:rFonts w:ascii="Times New Roman" w:cs="Times New Roman" w:eastAsia="Times New Roman" w:hAnsi="Times New Roman"/>
          <w:sz w:val="18"/>
          <w:szCs w:val="18"/>
          <w:color w:val="auto"/>
        </w:rPr>
        <w:t>our common stock, convertible preferred stock and issuance of debt. As of June 30, 2025, we had $14.3 million in cash and cash equivalents and an accumulated deficit of $225.8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lack of operating revenue or cash inflows and our cash resources at June 30, 2025 raise substantial doubt as to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 continue as a going concern. See “—Funding Requirements” below for additional information on our future capital needs.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 with Oxford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15, 2021, we entered into a loan and security agreement, as amended from time to time, with Oxford to borrow a term loan amount of $35.0 million to be funded in three tranches. On April 8, 2025, we repaid $3.5 million in full satisfaction of the aggregate outstanding amount, including accrued interest and exit fees as of such date. As a result of the repayment, all liens and security interests were terminated.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a sales agreement (the “Sales Agreement”) with Jefferies LLC (“Jefferies”), pursuant to which we may sell, from time to time at our sole discretion through Jefferies, as our sales agent, shares of our common stock (the “ATM Program”). Any shares of our common stock sold will be issued pursuant to our shelf registration statement on Form S-3 (File No. 333-280918). On June 11, 2025, in connection with the RDO (as defined below) we delivered written notice to Jefferies that we were suspending and terminating the prospectus supplement, dated February 6, 2025, related to the ATM Program (the “ATM Prospectus”). We will not make any sales of our securities pursuant to the Sales Agreement, unless and until a new prospectus, prospectus supplement or a new registration statement is filed. Other than the termination of the ATM Prospectus, the Sales Agreement remains in full force and effect. As of the six months ended June 30, 2025, we have sold an aggregate of 312,830 shares of our common stock for proceeds of $2.8 million pursuant to the ATM Program. As of June 30, 2025, $11.6 million remained available for sale under the ATM Program.</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Form 10-Q, our public float was less than $75.0 million. As a result, we are subject to the limitations of General Instruction I.B.6 to Form S-3 until such time as our public float exceeds $75 million, which means we only have the capacity to sell shares up to one-third of our public float under the S-3 Registration Statement, including the ATM program, in any twelve-month period. On February 6, 2025, we filed a prospectus supplement with the SEC limiting the availability under the ATM Program to $14.5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June 11, 2025, we sold an aggregate of 405,000 shares of our common stock and pre-funded warrants to purchase 334,000 shares of our common stock in a registered direct offering (the “RDO”). The offering price was $6.25 per share of common stock and $6.249 per pre-funded warrant, which is the price of each share of common stock sold in the offering, minus the $0.001 exercise price per pre-funded warrant. The net proceeds from the offering were approximately $4.1 million, after deducting placement agent fees and estimated offering expenses payable by us. As of June 30, 2025, all pre-funded warrants had been exercised.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(in</w:t>
            </w: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85"/>
              </w:rPr>
              <w:t>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160" w:type="dxa"/>
            <w:vAlign w:val="bottom"/>
            <w:gridSpan w:val="3"/>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(16,467)</w:t>
            </w:r>
          </w:p>
        </w:tc>
        <w:tc>
          <w:tcPr>
            <w:tcW w:w="680" w:type="dxa"/>
            <w:vAlign w:val="bottom"/>
            <w:gridSpan w:val="2"/>
            <w:shd w:val="clear" w:color="auto" w:fill="CFF0FC"/>
          </w:tcPr>
          <w:p>
            <w:pPr>
              <w:jc w:val="center"/>
              <w:ind w:right="3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(12,696)</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160" w:type="dxa"/>
            <w:vAlign w:val="bottom"/>
            <w:gridSpan w:val="3"/>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(15,988)</w:t>
            </w:r>
          </w:p>
        </w:tc>
        <w:tc>
          <w:tcPr>
            <w:tcW w:w="6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(8,106)</w:t>
            </w: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six months ended June 30, 2025 was $16.5 million, consisting of a net loss of $18.7 million, add back of non-cash adjustments for depreciation, stock-based compensation, non-cash operating lease expense and other non-cash items totaling $3.2 million, less changes in operating assets and liabilities of $1.0 million.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six months ended June 30, 2024 was $12.7 million, consisting of a net loss of $17.5 million, add back of non-cash adjustments for depreciation, stock-based compensation, non-cash operating lease expense and other non-cash items totaling $3.8 million, plus changes in operating assets and liabilities of $1.0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cash was used in investing activities for the six months ended June 30, 2025.</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2024 was related to purchases of property and equipment, primarily related to laboratory and computer equipment.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six months ended June 30, 2025 was related to net proceeds from the June 2025 registered direct offering of $4.1 million as well as the issuance of common stock of $2.8 million under the ATM Program, offset by $6.4 million in outflows related to the repayment of the Oxford Loan.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financing activities for the six months ended June 30, 2024 was related to proceeds from the issuance of common stock of $5.0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has historically consisted primarily of research and development expenditures related to our therapeutic discovery and preclinical development efforts and clinical activities, and to a lesser extent, general and administrative expenditures. Currently, our primary use of cash is headcount cost and lease and overhead expenses as we explore strategic alternatives. Cash used to fund operating expenses is impacted by the timing of when we pay these expenses, as reflected in the change in our outstanding accounts payable and accrued expenses.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material cash requirements primarily relate to the maturities of the principal obligations under our long-term debt, operating leases for office space, trade payables, and accrued expenses. As of June 30, 2025, we had $7.1 million payable within 12 months, including $1.1 million related to the Brisbane Lease. Refer to Note 5 to our Condensed Consolidated Financial Statements for additional information.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disclosed above, we have no long-term debt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since December 31, 2024. For a description of critical accounting policies that affect our significant judgments and estimates used in the preparation of our unaudited condensed consolidated financial statements, refer to Item 7 “Management's Discussion and Analysis of Financial Condition and Results of Operations” contained in our Annual Report on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for a description of recent accounting pronouncements applicable to our Condensed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 and a Non-Accelerated Filer</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Securities Exchange Act of 1934, or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as a non-accelerated filer, we may continue to take advantage of the exception from compliance with the auditor attestation requirements of Section 404 of the Sarbanes-Oxley Act of 2002, as amended.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&amp; Head of Corporate Strategy (principal financial officer), evaluated the effectiveness of our disclosure controls and procedures (as defined in Rules 13a-15(e) and 15d-15(e) under the Exchange Act), as of the end of the period covered by this Quarterly Report. Based on such evaluation, our Chief Executive Officer and Chief Financial Officer &amp; Head of Corporate Strategy and Finance have concluded that as of June 30, 2025, our disclosure controls and procedures were effective at the reasonable assurance level.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during the quarter ended June 30, 2025 that have materially affected, or are reasonably likely to materially affect, our internal control over financial reporting.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0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litigation and claims arising in the ordinary course of business. While the results of any litigation or other legal proceedings are uncertain, we are not currently a party to any material legal proceedings that, if determined adversely to us, would individually or taken together have a material adverse effect on our business, financial position, results of operations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carefully consider the risks described below, together with all of the other information contained in this Quarterly Report on Form 10-Q, including the section entitled “Management’s Discussion and Analysis of Financial Condition and Results of Operations” and the financial statements and the related notes.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Risks Associated with Our Business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any one of which could materially adversely affect our business, financial condition, operating results, and prospects. You should read this summary together with the more detailed description of each risk factor contained below.</w:t>
      </w:r>
    </w:p>
    <w:p>
      <w:pPr>
        <w:spacing w:after="0" w:line="162" w:lineRule="exact"/>
        <w:rPr>
          <w:sz w:val="20"/>
          <w:szCs w:val="20"/>
          <w:color w:val="auto"/>
        </w:rPr>
      </w:pPr>
    </w:p>
    <w:p>
      <w:pPr>
        <w:ind w:left="1020" w:right="16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our ability to continue as a going concern. We will require substantial additional funding to finance our operations, which may not be available on acceptable terms or at all. Failure to obtain this necessary capital when needed may force us to delay, limit or terminate our product development efforts or our operations.</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activities to evaluate and pursue potential strategic alternatives may not result in any transaction or enhance stockholder value.</w:t>
      </w:r>
    </w:p>
    <w:p>
      <w:pPr>
        <w:spacing w:after="0" w:line="225"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75"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recently implemented corporate restructuring intended to optimize our resource allocation and contain costs may not have the benefits we expect;</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stockholders, restrict our operations or require us to relinquish proprietary rights.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and regulatory capabilities, and as a result, we may encounter difficulties in managing our growth, which could disrupt our operations.</w:t>
      </w:r>
    </w:p>
    <w:p>
      <w:pPr>
        <w:spacing w:after="0" w:line="161"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obtain regulatory approval for and commercialize amezalpat, TPST-1495, or any of our future product candidates, or if we experience significant delays in doing so, our business will be materially harmed.</w:t>
      </w:r>
    </w:p>
    <w:p>
      <w:pPr>
        <w:spacing w:after="0" w:line="161"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product candidates and develop marketable products.</w:t>
      </w:r>
    </w:p>
    <w:p>
      <w:pPr>
        <w:spacing w:after="0" w:line="225"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 candidates, including TPST-1495 and amezalpat, will depend upon their degree of market acceptance by providers, patients, patient advocacy groups, third-party payors and the general medical community.</w:t>
      </w:r>
    </w:p>
    <w:p>
      <w:pPr>
        <w:spacing w:after="0" w:line="161"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third parties to manufacture our clinical product supplies, and we may have to rely on third parties to produce and process our product candidates, if approved.</w:t>
      </w:r>
    </w:p>
    <w:p>
      <w:pPr>
        <w:spacing w:after="0" w:line="161"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TPST-1495, amezalpat, and any future product candidates.</w:t>
      </w:r>
    </w:p>
    <w:p>
      <w:pPr>
        <w:spacing w:after="0" w:line="175"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and marketing capabilities or enter into agreements with third parties to market and sell our product candidates, we may be unable to generate any revenues.</w:t>
      </w:r>
    </w:p>
    <w:p>
      <w:pPr>
        <w:spacing w:after="0" w:line="161"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finding strategic collaborators for continuing development of certain of our future product candidates or successfully commercializing or competing in the market for certain indications.</w:t>
      </w:r>
    </w:p>
    <w:p>
      <w:pPr>
        <w:spacing w:after="0" w:line="161"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regulatory approval process is lengthy and time-consuming, and we may experience significant delays in the clinical development and regulatory approval of our product candidates.</w:t>
      </w:r>
    </w:p>
    <w:p>
      <w:pPr>
        <w:spacing w:after="0" w:line="161"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61"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and in-licensed patents and patent applications may not provide sufficient protection of our product candidates or result in any competitive advantage.</w:t>
      </w:r>
    </w:p>
    <w:p>
      <w:pPr>
        <w:spacing w:after="0" w:line="161"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shares of our common stock has been and is likely to continue to be volatile, and purchasers of our common stock could incur substantial losses.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a reverse stock split of our shares of common stock, which may reduce and may limit the market trading liquidity of the shares due to the reduced number of shares outstanding and may potentially have an anti-takeover effect.</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may have serious adverse consequences on our business, financial condition and share price.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thinly traded and our stockholders may be unable to sell their shares quickly or at market price.</w:t>
      </w:r>
    </w:p>
    <w:p>
      <w:pPr>
        <w:spacing w:after="0" w:line="225"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our ability to produce accurate financial statements on a timely basis could be impaired.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regarding our ability to continue as a going concern. We will require significant additional funding to finance our operations, which may not be available on acceptable terms or at all. Failure to obtain this necessary capital when needed may force us to delay, limit or terminate our product development efforts or our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existing cash and cash equivalents of $14.3 million as of June 30, 2025 is expected to fund our operations through less than 12 months from the date our consolidated financial statements are available to be issued. While we have begun to implement cost reductions in 2025, we have finite cash resources available to fund our operations. As part of cost reductions, we reduced our workforce by 21 of 26 full-time employees in April 2025. We also announced plans to explore a full range of strategic alternatives to advance our promising clinical stage programs and maximize stockholder value. Strategic alternatives under consideration may include, but are not limited to, mergers, acquisitions, partnerships, joint ventures, licensing arrangements or other strategic transactions. We have retained MTS Health Partners, L.P., an internationally recognized financial advisor with substantial experience in the biotechnology industry, to support us with the strategic evaluation process. If a strategic alternative is not available, we will be required to take additional actions, including a potential wind down of our operations.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we have not generated product revenues from our activities and have incurred substantial operating losses. We expect that we will continue to generate substantial operating losses for the foreseeable future until we complete development and approval of one of our product candidates.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acceptable terms, or at all. Our ability to raise additional capital has been adversely impacted by potential worsening global economic conditions, inflation expectations, and the recent disruptions to and volatility in the credit and financial markets in the United States and worldwide resulting from geopolitical tensions.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conditions raise substantial doubt about our ability to continue as a going concern. We have evaluated the significance of the uncertainty regarding our financial condition in relation to our ability to meet our obligations, which has raised substantial doubt about our ability to continue as a going concern. Our existing cash resources will not be sufficient to enable us to fund the anticipated level of operations through 12 months from the date the accompanying financial statements are issued. There can be no assurances that we will be able to secure additional financing or a strategic alternative. In the event we do not, we may be required to wind down our operations and our stockholders will lose their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activities to evaluate and pursue potential strategic alternatives may not result in any transaction or enhance stockholder value.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begun evaluating and exploring a variety of strategic alternatives focused on maximizing stockholder value, including, but not limited to, an acquisition, merger, reverse merger, other business combination, sales of assets or other strategic transactions. Our ability to successfully execute on a strategic alternative is dependent on a number of factors and we may not be able to execute upon a transaction or other strategic alternative upon favorable terms within an advantageous timeframe and recognize significant value for our assets, if at all. Additionally, the negotiation and consummation of a transaction or other strategic alternative may be costly and time-consuming. Any executed strategic alternative may not maximize or even enhance stockholder value, could result in total costs and expenses that are greater than expected, could make it more difficult to attract and retain qualified personnel and may disrupt our operations, each of which could have a material adverse effect on our business.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may reflect a market assumption that a strategic alternative will occur, and a failure to complete a strategic alternative could result in negative investor perceptions and could cause a decline in the market price of our common stock, which could adversely affect our ability to access the equity and financial markets, as well as our ability to explore and enter into different strategic alternatives. There can be no certainty that any strategic alternative will be completed, be on attractive terms, enhance stockholder value or deliver the anticipated benefits, and successful integration or execution of the strategic alternatives will be subject to additional risks. In addition, potential strategic alternatives that require stockholder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approval may not be approved by our stockholders. If we do not successfully consummate a strategic alternative, our board of directors may decide to pursue a dissolution and liquidation of our company. In such an event, the amount of cash available for distribution to our stockholders will depend heavily on the timing of such liquidation, the amount of cash that will need to be reserved for commitments and contingent liabilities. Depending on these factors, the amount available for distribution to our common stockholders could be as low as zero and result in a total loss of investment to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proprietary rights.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We have a sales agreement with Jefferies LLC (“Jefferies”) for our ATM Program, pursuant to which we may sell up to an aggregate of $14.5 million of our common stock. To the extent that we raise additional capital through the sale of equity or convertible debt securities, your ownership interest may be further diluted, and the terms of these securities may include liquidation or other preferences that adversely affect your rights as a stockholder. In addition, we may issue equity or debt securities as consideration for obtaining rights to additional compounds.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 and other operating restrictions that could negatively impact our ability to conduct our business. For example, our obligations under the Loan Agreement with Oxford were secured by a security interest in all of our assets, including our intellectual property. In addition, the Loan Agreement contained customary covenants that, subject to specific exceptions, restricted our ability to, among other things, declare dividends or redeem or repurchase equity interests, incur additional liens, make loans and investments, incur additional indebtedness, engage in mergers, acquisitions and asset sales, transact with affiliates, undergo a change in control, add or change business locations, or engage in businesses that were not related to our existing business. Using cash on hand, on April 8, 2025, we repaid $3.5 million in full satisfaction of the aggregate outstanding amount, including accrued interest and exit fees as of such date. Upon making such repayment, the Loan Agreement was terminated in accordance with its terms and all liens and security interests were terminated.</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we raise additional capital through future collaborations, strategic alliances or third-party licensing arrangements, we may have to relinquish future revenue streams, research programs or product candidates, or grant licenses on terms that may not be favorable to 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raise additional capital when needed, we may be required to delay, limit, reduce or terminate our drug development or future commercialization efforts, or grant rights to develop and market product candidates that we would otherwise develop and market ourselves.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recently implemented corporate restructuring intended to optimize our resource allocation and contain costs may not have the benefits we expect.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2025, we implemented a corporate restructuring plans designed to optimize our resource allocation and contain costs. In connection with the restructuring plan, we reduced our workforce by 21 of 26 full-time employees, which was completed by the end of April 2025. Further, in support of such efforts, on June 5, 2025, each of Stephen Brady, the Company’s Chief Executive Officer and President, Samuel Whiting, the Company’s Executive Vice President and Chief Medical Officer, and Nicholas Maestas, the Company’s Chief Financial Officer and Corporate Secretary, transitioned to consulting agreements with the Company, pursuant to which they will continue to serve the Company in their respective executive roles. These reductions in workforce may yield unintended consequences and costs, such as the loss of institutional knowledge and expertise, attrition beyond our intended workforce reduction, a decrease in morale among our remaining employees, and the risk that we may not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achieve the anticipated benefits of the restructuring, all of which may have an adverse effect on our results of operations or financial condition. In addition, while positions have been eliminated, certain functions necessary to our reduced operations will remain, and we may be unsuccessful in distributing the duties and obligations of departed employees among our remaining employees. Our failure to successfully accomplish any of the above activities and goals may have a material adverse impact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may be limited by applicable laws and regulations.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As our public float is currently less than $75.0 million, we are currently subject to this limitation. If our ability to utilize a Form S-3 registration statement for a primary offering of our securities continues to be limited to one-third of our public float, we may need to conduct such an offering pursuant to an exemption from registration under the Securities Act or under a Form S-1 registration statement, which would increase the cost of raising additional capital relative to utilizing a Form S-3 registration statement.</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 We incurred net losses of $18.7 million and $17.5 million for the six months ended June 30, 2025 and 2024, respectively. As of June 30, 2025, we had an accumulated deficit of $225.8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as we continue to conduct research and development, clinical testing, regulatory compliance activities, manufacturing activities, and, if any of our product candidates is approved, sales and marketing activities. Our prior losses, combined with our expected future losses, have had and will continue to have an adverse effect on our stockholders’ equity and working capital.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staffing,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attract and retain highly skilled employees to succeed.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results of operations and increase our capabilities to successfully commercialize our product candidates. In particular, we believe that our future success is highly dependent upon the contributions of our senior management, particularly our Chief Executive Officer and President, Stephen Brady and our Chief Medical Officer, Sam Whiting. The loss of services of Messrs. Brady or Whiting, or any of our other senior management,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or strategic alliances could disrupt our business and harm our financial condition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18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225"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right="1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225"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tax credit carryforwards may be subject to limitations.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or taxes may be limited. A Section 382 “ownership change” is generally defined as a greater than 50 percentage point change (by value) in its equity ownership by certain stockholders over a three-year period. We may have experienced ownership changes in the past, including as a result of the merger with Millendo, and may experience ownership changes in the future due to subsequent shifts in our stock ownership (some of which are outside of our control). Furthermore, the merger constituted an ownership change (within the meaning of Section 382 of the Code) of Millendo which may have eliminated or otherwise substantially limited our ability to use Millendo’s federal and state NOLs to offset our future taxable income. Consequently, even if we achieve profitability, we may not be able to utilize a material portion of Tempest Tx, Inc. (our predecessor), Millendo’s or our combined NOL carryforwards and other tax attributes, which could have a material adverse effect on cash flow and results of operations. Similar provisions of state tax law may also apply to limit our ability to use of accumulated state tax attributes. There is also a risk that due to regulatory changes, such as suspensions on the use of NOLs, or other unforeseen reasons, our existing NOLs could expire or otherwise be unavailable to offset future income tax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 and Regulatory Approval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obtain regulatory approval for and commercialize TPST-1495, amezalpat, or any of our future product candidates, or if we experience significant delays in doing so, our business will be materially harmed.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plan to invest a substantial amount of our efforts and financial resources in our current lead product candidates, TPST-1495, a dual EP2/EP4 prostaglandin (“PGE2”) receptor antagonist, and amezalpat, a peroxisome proliferator-activated receptor alpha (“PPARα”) antagonist for the treatment of various cancers. We have initiated Phase 1 clinical trials of TPST-1495 and amezalpat for the treatment of advanced solid tumors. We received positive feedback from the FDA on our potential pivotal Phase 3 trial design for amezalpat for HCC during the third quarter of 2024. Any delay in our ability to proceed to a pivotal trial for amezalpat will add time and expense to the development pathway and adversely impact the timing and potential for profitability. Our ability to generate product revenue will depend heavily on the successful development and eventual commercialization of TPST-1495 and amezalpat and any future product candidates, which may never occur. We currently generate no revenue from sales of any product and we may never be able to develop or commercialize a marketable product.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our programs and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TPST-1495 and amezalpat and any future product candidates must be authorized for marketing by the FDA, the Health Products and Food Branch of Health Canada (“HPFB”), the European Medicines Agency (“EMA”), and certain other foreign regulatory agencies before we may commercialize any of our product candidates in the United States, Canada, European Union, or other jurisdictions.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TPST-1495 and amezalpat and any future product candidates depends on multiple factors, including:</w:t>
      </w:r>
    </w:p>
    <w:p>
      <w:pPr>
        <w:spacing w:after="0" w:line="225" w:lineRule="exact"/>
        <w:rPr>
          <w:sz w:val="20"/>
          <w:szCs w:val="20"/>
          <w:color w:val="auto"/>
        </w:rPr>
      </w:pPr>
    </w:p>
    <w:p>
      <w:pPr>
        <w:jc w:val="both"/>
        <w:ind w:left="1020" w:right="1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including those compliant with Good Laboratory Practice (“GLP”), or GLP toxicology studies, biodistribution studies and minimum effective dose studies in animals, and successful enrollment and completion of clinical trials compliant with current Good Clinical Practices (“GCPs”);</w:t>
      </w:r>
    </w:p>
    <w:p>
      <w:pPr>
        <w:spacing w:after="0" w:line="175"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Investigational New Drug applications or other regulatory applications, that allow commencement of our planned clinical trials or future clinical trials for our product candidates in relevant territories;</w:t>
      </w:r>
    </w:p>
    <w:p>
      <w:pPr>
        <w:spacing w:after="0" w:line="161"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(“CROs”) and clinical sites for the clinical development of our product candidates, both in the United States and internationally;</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arrangements with third-party contract manufacturing organizations (“CMOs”) for key materials used in our manufacturing processes and to establish backup sources for clinical and large-scale commercial supply;</w:t>
      </w:r>
    </w:p>
    <w:p>
      <w:pPr>
        <w:spacing w:after="0" w:line="161"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clinical programs that are supportive of safety and efficacy and provide an acceptable risk-benefit profile for our product candidates in the intended patient populations;</w:t>
      </w:r>
    </w:p>
    <w:p>
      <w:pPr>
        <w:spacing w:after="0" w:line="161"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including those necessary for pricing and reimbursement of our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patent and trade secret protection and regulatory exclusivity for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launch of our product candidates, if and when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patient advocacy groups, third-party payors and the general medical community;</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with developers of other therapies available in the market;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adequate reimbursement from third-party payors for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or in-license additional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prosecution, maintenance, enforcement and defense of intellectual property rights and claims;</w:t>
      </w:r>
    </w:p>
    <w:p>
      <w:pPr>
        <w:spacing w:after="0" w:line="225"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 candidates following approval, including meeting any post-marketing commitments or requirements imposed by or agreed to with applicable regulatory authorities;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factors surrounding the approval process, such as government shutdowns; or</w:t>
      </w:r>
    </w:p>
    <w:p>
      <w:pPr>
        <w:spacing w:after="0" w:line="225"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such as the Russia-Ukraine war and the war in Israel, natural disasters including earthquakes, typhoons, floods and fires, and public health crises.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our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 as favorable an outcome in later-stage or larger clinical trials, even if successful. We will be required to demonstrate through adequate and well-controlled clinical trials that our product candidates are safe and effective for their intended uses before we can seek regulatory approvals for their commercial sale. The conduct of Phase 3 trials and the submission of a New Drug Application (“NDA”) is a complicated process. We have not previously completed any pivotal clinical trials, have limited experience in preparing, submitting and supporting regulatory filings, and have not previously submitted an NDA. Consequently, we may be unable to successfully and efficiently execute and complete necessary clinical trials and other requirements in a way that leads to NDA submission and approval of any product candidate we are developing.</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our clinical trials demonstrate acceptable safety and efficacy of TPST-1495 and amezalpat or any future product candidates and such product candidates receive regulatory approval, the labeling we obtain through negotiations with the FDA or foreign regulatory authorities may not include data on secondary endpoints and may not provide us with a competitive advantage over other products approved for the same or similar indications.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does not consistently or sufficiently demonstrate the safety or efficacy of any of our product candidates, including TPST-1495 and amezalpat, to the satisfaction of the FDA or foreign regulatory authorities, then the regulatory approvals for such product candidates could be significantly delayed as we work to meet approval requirements, or, if we are not able to meet these requirements, such approvals could be withheld or withdrawn.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our conclusion. The enrollment of patients depends on many factors, including:</w:t>
      </w:r>
    </w:p>
    <w:p>
      <w:pPr>
        <w:spacing w:after="0" w:line="176"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our clinical trials will drop out of the trials before the infusion of our product candidates or trial completion.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crises or geopolitical tensions, such as the Russia-Ukraine war and the war in Israel, may delay or prevent patients from enrolling or from receiving treatment in accordance with the protocol and the required timelines, which could delay our clinical trials, or prevent us from completing our clinical trials at all.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because our product candidates represent unproven methods for cancer treatment, potential patients and their doctors may be inclined to use existing therapies rather than enroll patients in our clinical trials.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and preliminary data from our clinical trials that we may announce or publish from time to time may change as more patient data becomes available and are subject to audit and verification procedures that could result in material changes in the final data.</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business prospects.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are investigating amezalpat and TPST-1495 in combination with other approved therapies, and we may in the future investigate product candidates in combination with other approved and unapproved therapies, which exposes us to additional risks.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currently investigating and may continue to investigate one or more of our product candidates in combination with one or more other approved or unapproved therapies to treat cancers.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including shortages of those products for use in our intended clinical trials. If the therapies we use in combination with our product candidates are replaced as the standard of care for the indications we choose for any of our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product candidates, the FDA or comparable foreign regulatory authorities may require us to conduct additional clinical trials. The occurrence of any of these risks could result in our own products, if approved, being removed from the market or being less successful commercially. 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current product candidates or any product candidate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products or revoke their approval of, or if safety, efficacy, quality, manufacturing or supply issues arise with, the products we choose to evaluate in combination with our product candidate we develop, we may be unable to obtain approval of or market such combination therapy.</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Prior to commercialization, TPST-1495, amezalpat and any future product candidates must be approved by the FDA pursuant to an NDA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TPST-1495, amezalpat or any future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TPST-1495 and amezalpat and any future product candidates may be delayed or refused for many reasons, including:</w:t>
      </w:r>
    </w:p>
    <w:p>
      <w:pPr>
        <w:spacing w:after="0" w:line="225"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populations studied in clinical trials may not be sufficiently broad or representative to assure efficacy and safety in the populations for which we seek approval;</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comparable submission in foreign jurisdictions or to obtain regulatory approval in the United States or elsewhere;</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of third-party manufacturers with which we contract or procure certain service or raw materials, may not be adequate to support approval of our product candidates;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our product candidates meet their pre-specified safety and efficacy endpoints in clinical trials, the regulatory authorities may not complete their review processes in a timely manner and may not consider such clinical trial results sufficient to grant,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authorities also may approve a product candidate for more limited indications than requested or they may impose significant limitations in the form of narrow indications, warnings, contraindications or Risk Evaluation and Mitigation Strategies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TPST-1495, amezalpat and any future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our product candidates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including our ability to successfully sign collaboration or license agreements with external partners. Other treatments for cancers that utilize prostaglandin E2 antagonist or a PPARα antagonist or similar mechanism of action could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generate data that could adversely affect the clinical, regulatory or commercial perception of TPST-1495 and amezalpat and any future product candidates.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if any of our product candidates receives marketing approval, the FDA could require us to adopt a REMS to ensure that the benefits of the product outweigh our risks, which may include, for example, a Medication Guide outlining the risks of the product for distribution to patients and a communication plan to health care practitioners, or other elements to assure safe use of the product.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if we or others later identify undesirable side effects caused by our product candidates, several potentially significant negative consequences could result, including:</w:t>
      </w:r>
    </w:p>
    <w:p>
      <w:pPr>
        <w:spacing w:after="0" w:line="162"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in the product labeling;</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conduct additional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occurrences may harm our business, financial condition, results of operations and prospects significantly.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of product candidates and develop marketable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develop further product candidates, we may not be able to obtain product revenue in future periods, which would adversely affect our business, prospects, financial condition and results of operations.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our pipeline includes multiple programs, we are primarily focused on our lead product candidates, TPST-1495 and amezalpat, and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penalties if we fail to comply with regulatory requirements or if we experience unanticipated problems with our product candidates, when and if any of them are approved.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(“cGMP”),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FFDCA relating to the promotion of prescription drugs may lead to investigations alleging violations of federal and state healthcare fraud and abuse laws, as well as state consumer protection laws and similar laws in international jurisdictions.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162"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candidates, manufacturers or manufacturing processes;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any approved product from the market;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it may lose any marketing approval that we have obtained, and we may not achieve or sustain profitability.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Non-compliance with Canadian and European requirements regarding safety monitoring or pharmacovigilance, and with requirements related to the development of products for the pediatric population, can also result in significant financial penalties.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market and sell TPST-1495, amezalpat and any future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and Manufacturing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 candidates, including TPST-1495 and amezalpat, will depend upon their degree of market acceptance by providers, patients, patient advocacy groups, third-party payors and the general medical community.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the requisite approvals from the FDA, the HPFB, the EMA and other regulatory authorities internationally are obtained, the commercial success of our product candidates will depend, in part, on the acceptance of providers, patients and third-party payors of drugs designed to act as a dual antagonist of EP2 and EP4 and PPARα antagonists in general, and our product candidates in particular, as medically necessary, cost-effective and safe. In addition, we may face challenges in seeking to establish and grow sales of TPST-1495 and amezalpat or any future product candidates. Any product that we commercialize may not gain acceptance by providers, patients, patient advocacy groups, third-party payors and the general medical community. If these products do not achieve an adequate level of acceptance, we may not generate significant product revenue and may not become profitable.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 other third-party payors. Even if coverage is provided, the established reimbursement amount may not be high enough to allow us to establish or maintain pricing sufficient to realize a sufficient return on our investment.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government and private payors, professional organizations such as the American Medical Association,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 guidelines that limit reimbursement or utilization of our product candidates, if approved. Even if favorable coverage and reimbursement status is attained for one or more product candidates for which our collaborators receive regulatory approval, less favorable coverage policies and reimbursement rates may be implemented in the future.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increasing efforts by government and other third-party payors, in the United States and internationally, to cap or reduce healthcare costs may cause such payors to limit both coverage and the level of reimbursement for new products approved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as a result, they may not cover or provide adequate payment for our product candidates. We expect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we are successful in obtaining FDA approval to commercialize our product candidates, we cannot guarantee that we will be able to secure reimbursement for all patients for whom treatment with our product candidates is indicated.</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 parties on which we depend to conduct our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third-party CROs, CMOs, consultants and others to design, conduct, supervise and monitor key activities relating to, testing, discovery, manufacturing, preclinical studies and clinical trials of our product candidates, and we intend to do the same for future activities relating to existing and future programs. Because we rely on third parties and does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we do not control does not relieve us of these responsibilities and requirements. The FDA and other regulatory authorities enforce GCP through periodic inspections of trial sponsors, principal investigators and trial sites. If we or any of these third parties fails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have complied with GCP. In addition, our clinical trials must be conducted with product produced in accordance with cGMP. Our failure to comply with these regulations may require us to repeat clinical trials, which could delay or prevent the receipt of regulatory approvals. Any such event could have an adverse effect on our business, financial condition, results of operations and prospects.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TPST-1495, amezalpat, and any future product candidates.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government agencies and public and private research institutions that conduct research, seek patent protection, and establish collaborative arrangements for research, development, manufacturing and commercialization.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 products,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our product candidates against competitors.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common stock and could impair our ability to raise capital, maintain our research and development efforts, expand our business or continue operations. A decline in the value of our common stock also could cause you to lose all or part of your investment.</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to manufacture our clinical product supplies, and we may have to rely on third parties to produce and process our product candidates, if approved.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must currently rely on outside vendors to manufacture supplies and process our product candidates. We have not yet manufactured or processed our product candidates on a commercial scale and may not be able to achieve manufacturing and processing and may be unable to create an inventory of mass-produced, off-the-shelf product to satisfy demands for any of our product candidates.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 In addition, we anticipate reliance on a limited number of third-party manufacturers exposes us to the following risks:</w:t>
      </w:r>
    </w:p>
    <w:p>
      <w:pPr>
        <w:spacing w:after="0" w:line="72" w:lineRule="exact"/>
        <w:rPr>
          <w:sz w:val="20"/>
          <w:szCs w:val="20"/>
          <w:color w:val="auto"/>
        </w:rPr>
      </w:pPr>
    </w:p>
    <w:p>
      <w:pPr>
        <w:jc w:val="both"/>
        <w:ind w:left="102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spacing w:after="0" w:line="71"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timely formulate and manufacture our product or produce the quantity and quality required to meet our clinical and commercial needs, if 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not be able to execute our manufacturing procedures appropriately.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contract manufacturers may not perform as agreed or may not remain in the contract manufacturing business for the time required to supply our clinical trials or to successfully produce, store and distribute our products.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20" w:right="10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spacing w:after="0" w:line="6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could breach or terminate their agreement(s) with us.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contract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our ability to obtain marketing approval, or our ability to provide supply of our product candidates for patients, if approved, could be delayed or stopped.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 the FDA may deny an NDA approval until the deficiencies are corrected or we replace the manufacturer in our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 Furthermore, although we do not have day-to-day control over the operations of our CMOs, we are responsible for ensuring compliance with applicable laws and regulations, including cGMP.</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we will rely upon a limited number of manufacturers for our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do not have an organization for the sales, marketing and distribution of TPST-1495, amezalpat or any future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TPST-1495, amezalpat and any future product candidates, including in markets outside of the United States or for other large markets that are beyond our resources. This will reduce the revenue generated from the sales of these products.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 not successfully commercialize the product candidates, our ability to generate revenues from product sales will be adversely affected.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finding strategic collaborators for continuing development of certain of our future product candidates or successfully commercializing or competing in the market for certain indications.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future, we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expense. If we elect to increase our expenditures to fund development or commercialization activities on our product candidates,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or any failure by our partners to perform their obligations under collaboration agreements, would adversely affect us financially and could harm our business reputation or negatively impact our ability to successfully develop, obtain regulatory approvals for and commercialize our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regulatory approval process is lengthy and time consuming, and we may experience significant delays in the clinical development and regulatory approval of our product candidates.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may approve our product candidates for a more limited indication or a narrower patient population than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experience delays in obtaining regulatory approvals, including but not limited to:</w:t>
      </w:r>
    </w:p>
    <w:p>
      <w:pPr>
        <w:spacing w:after="0" w:line="225" w:lineRule="exact"/>
        <w:rPr>
          <w:sz w:val="20"/>
          <w:szCs w:val="20"/>
          <w:color w:val="auto"/>
        </w:rPr>
      </w:pPr>
    </w:p>
    <w:p>
      <w:pPr>
        <w:ind w:left="5540" w:right="5520" w:hanging="5023"/>
        <w:spacing w:after="0" w:line="485" w:lineRule="auto"/>
        <w:tabs>
          <w:tab w:leader="none" w:pos="103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 to begin a trial, if applicable;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study protocols and need to conduct additional studies as may be required by a regulator;</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and changes in regulation or policy relating to the development and commercialization of our product candidate by the FDA or other comparable foreign regulatory authorities;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and other comparable foreign regulatory authorities;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the planned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the terms of any collaboration agreements we may choose to initiate or conclude;</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such as CROs, or investigators to comply with regulatory requirements, including GCPs;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the necessary approvals from regulators or institutional review boards (“IRBs”), in order to commence a clinical trial at a prospective trial site, or their suspension or termination of a clinical trial once commenced;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and enroll suitable patients to participate in a trial;</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including having patients enrolled in clinical trials dropping out of the trial before the product candidate is manufactured and returned to the site, or return for post-treatment follow-up;</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having patients complete a trial or return for post-treatment follow-up;</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patient safety concerns that arise during the course of a trial;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add new clinical trial sites; or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the data generated from our preclinical or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expanding and scaling manufacturing capabilities;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or obtain from third parties, sufficient quantities of qualified materials under cGMP, for the completion in pre-clinical and clinical studies;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biopharmaceutical product candidate storage, stability and distribution resulting in global supply chain disruptions;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 for which we may receive regulatory approval in regions where we choose to commercialize our products on our own; or</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(such as the Russia-Ukraine war and the war in Israel), restrictions on trade, import or export restrictions, or public health crises.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may ultimately lead to the denial of regulatory approval of our product candidates.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or Fast Track designation by the FDA for one or more of our product candidates but may not receive such designation. Even if we secure such designation, it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Breakthrough Therapy or Fast Track designation for some of our product candidates. In February 2025, we announced that the FDA had granted Fast Track Designation to amezalpat for the treatment of HCC.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a drug company can submit completed sections of our NDA for review by FDA, rather than waiting until every section of our NDA is completed before the entire application can be reviewed. NDA review usually does not begin until the entire application has been submitted to the FDA.</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has broad discretion whether or not to grant these designations, so even if we believe a particular product candidate is eligible, we cannot assure that the FDA would decide to grant the designation. Even if we obtain Fast Track designation and/or Breakthrough Therapy designation for one or more of our product candidates, it may not experience a faster development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 including for amezalpat for the treatment of HCC.</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FDA approval of our product candidates through the accelerated approval pathway. If we are unable to obtain accelerated approval, we may be required to conduct additional preclinical studies or clinical trials beyond those that we currently contemplate, which could increase the expense of obtaining, and delay the receipt of, necessary marketing approvals.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decide to submit an NDA seeking accelerated approval or receive an expedited regulatory designation for any of our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we have received orphan drug designation for amezalpat and may continue to seek orphan drug designation for some or all of our current or future product candidates, we may be unsuccessful in obtaining Orphan Drug Designation for our product candidates or transfer of designations obtained by others for future product candidates, and, even if we obtain such designation, we may be unable to maintain the benefits associated with Orphan Drug Designation, including the potential for market exclusivity.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2025, we received Orphan Drug Designation for amezalpat for the treatment of patients with HCC. We may continue to seek orphan drug designation for one or more of our current or future product candidates, including TPST-1495. The FDA may designate drugs intended to treat relatively small patient populations as orphan drugs. Under the Orphan Drug Act, the FDA may designate a drug as an orphan drug if it is intended to treat a rare disease or condition, which is defined as a patient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population of fewer than 200,000 individuals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our drug by the applicable regulatory authority for a significant period of time unless we are able to show that our drug is clinically superior to the approved drug. The applicable period is seven years in the United States.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seek Orphan Drug Designation for one or more of our product candidates in the United States as part of our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may increase the difficulty and cost for us to commercialize and obtain marketing approval of our product candidates and may affect the prices we may set.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on August 16, 2022, the Inflation Reduction Act of 2022 (“IRA”) was signed into law, which among other things, extends enhanced subsidies for individuals purchasing health insurance coverage in ACA through plan year 2025. The IRA also reduces the "donut hole" under the Medicare Part D program beginning in 2025 by significantly lowering the beneficiary maximum out-of-pocket cost and through a newly established manufacturer discount program. In the future, there may be other efforts to challenge, repeal or replace the ACA. For example, on July 4, 2025, the annual reconciliation bill, the “One Big Beautiful Bill Act”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in 2025, which, among other provisions in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law, are anticipated to reduce the number of Americans with health insurance. We are continuing to monitor any further changes to the ACA that, in turn, may potentially impact our business in the future.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Recently, the cost of prescription pharmaceuticals has been the subject of considerable discussion in the United States at both the federal and state levels. The heightened governmental scrutiny in the United States of pharmaceutical pricing practices in light of the rising cost of prescription drugs and biologics, also has resulted in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IRA, among other things, (1) directs HHS to negotiate the price of certain high-expenditure, single-source drugs covered under Medicare that have been on the market for at least 7 years (the “Medicare Drug Price Negotiation Program”) and (2) imposes rebates under Medicare Part B and Medicare Part D to penalize price increases that outpace inflation. These provisions began to take effect progressively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current Trump administration is pursuing policies to reduce regulations and expenditures across government including at HHS, the FDA, the National Institutes of Health, CMS and related agencies. These actions, presently directed by executive orders or memoranda from the Office of Management and Budget, may propose policy changes that create additional uncertainty for our business. These actions and proposals include, for example, (1) reducing agency workforce; (2) directing program cuts; (3)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(4) directing HHS and other agencies to lower prescription drug costs for Medicare through a variety of initiatives, including by improving upon the Medicare Drug Price Negotiation Program and establishing Most-Favored-Nation pricing for pharmaceutical products; (5) imposing tariffs of imported pharmaceutical products; and (6) directing certain federal agencies to enforce existing law regarding hospital and price plan price transparency and by standardizing prices across hospitals and health plans.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the ACA and the IRA, as well as other healthcare reform measures that may be adopted in the future, particularly in light of the recent U.S. Presidential and Congressional elections,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FDA’s ability to review and approve new products may be hindered by a variety of factors, including budget and funding levels, ability to hire and retain key personnel, statutory, regulatory and policy changes and global health concerns.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and our (or the third parties with whom we work) actual or perceived failure to comply with them could harm our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transmit, and share (collectively, “process”) a large quantity of personal data and other sensitive information, including proprietary and confidential business data, trade secrets, intellectual property, and patient health information in connection with our preclinical and clinical studies.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there are numerous federal, state, and local privacy and data security laws and regulations governing the processing of personal data, including health information privacy laws, security breach notification laws, personal data privacy laws, consumer protection laws (e.g., Section 5 of the Federal Trade Commission Act), and other similar laws (e.g., wiretapping laws). Each of these laws is subject to varying interpretations and constantly evolving. In addition, we obtain health information from third parties (including research institutions from which it obtains clinical trial data) that are subject to privacy and security requirements under HIPAA, which imposes specific requirements relating to the privacy, security, and transmission of protected health information.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states have also adopted comprehensive privacy laws and regulations that impose certain obligations on covered businesses, including providing specific disclosures in privacy notices and affording residents with certain rights concerning their personal data. For example, the California Consumer Privacy Act, as amended by the California Privacy Rights Act (collectively, the “CCPA”) gives California residents expanded rights to access and delete their personal data, opt out of certain personal data sharing, and receive detailed information about how their personal information is used. The CCPA provides for civil penalties for violations, as well as a private right of action for data breaches that is expected to increase data breach litigation. Although the CCPA and other comprehensive U.S. state privacy laws exempt some data processed in the context of clinical trials, these developments further complicate compliance efforts if we become subject to those laws, potentially increasing our legal risk and compliance costs for us, and the third parties with whom we work. Similar laws are being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in several other states, as well as at the federal and local levels, and we expect more states to pass similar laws in the future.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in Canada, the Personal Information Protection and Electronic Documents Act (“PIPEDA”) and similar provincial laws may impose obligations with respect to processing personal data, including health-related information. PIPEDA requires companies to obtain an individual’s consent when collecting, using or disclosing that individual’s personal data. Individuals have the right to access and challenge the accuracy of their personal data held by an organization, and personal data may only be used for the purposes for which it was collected. If an organization intends to use personal data for another purpose, it must again obtain that individual’s consent. Failure to comply with PIPEDA could result in significant fines and penalties.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another example, the European Union’s General Data Protection Regulation (the “EU GDPR”) and the United Kingdom’s GDPR (the “UK GDPR”, and together with the EU GDPR, the “GDPR”) also impose strict requirements for processing personal data and substantial fines for breaches and violations (for example, under the EU GDPR, up to the greater of €20 million or 4% of our annual worldwide gross revenue). Additionally, under the GDPR, companies may face temporary or definitive bans on data processing and other corrective action or private litigation related to processing of personal data brought by classes of data subjects or consumer protection organizations authorized at law to represent their interests.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Regulators in the United States such as the Department of Justice are also increasingly scrutinizing certain personal data transfers and have proposed, and may enact, certain data export restrictions and localization requirements. For example, the “Preventing Access to U.S. Sensitive Personal Data and Government-Related Data by Countries of Concern or Covered Persons” rule (the “Rule”) finalized by the Department of Justice in late 2024 and enacting the Biden Administration’s executive order “Preventing Access to Americans’ Bulk Sensitive Personal Data and United States Government-Related Data by Countries of Concern,” will take effect on April 8, 2025. The Rule prohibits or restricts various categories of transactions involving bulk sensitive personal data between U.S. persons and countries of concern or covered persons. Companies subject to the Rule face the risk of non-compliance with restrictions on transferring bulk sensitive personal data to countries of concern, such as China, Russia, or Iran, or covered persons, which could lead to significant penalties, including civil and criminal charges, as well as reputational damage and operational disruptions.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and, we may become subject to such obligations in the future. We are also bound by contractual obligations related to data privacy and security, and our efforts to comply with such obligations may not be successful. We publish privacy policies,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marketing materials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Compliance with these obligations is a rigorous and time-intensive process, and we may be required to put in place additional mechanisms designed to ensure compliance with these obligations. If we fail (or are perceived to have failed) to comply with any such obligations, we may face significant consequences, including without limitation government enforcement actions (e.g., investigations, fines and penalties, audits, inspections); litigation (including class-action claims) and mass arbitration demands); additional reporting requirements and/or oversight; bans or restrictions on processing personal data; orders to destroy or not use personal data; imprisonment of company officials; or other consequences that could adversely affect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or our data, are or were compromised, we could experience adverse consequences, including disclosure of sensitive information, damage to our reputation, and significant financial and legal exposure.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proprietary, confidential, and sensitive data, including personal data (such as health-related data), intellectual property, trade secrets (collectively, sensitive information). Cyberattacks, malicious internet-based activity, online and offline fraud, and other similar activities threaten the confidentiality, integrity, and availability of our sensitive information and information technology systems, and those of the third parties with whom we work. These threats are increasing in their frequency, sophistication and intensity, have become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these attacks, including retaliatory cyberattacks, that could materially disrupt our systems and operations, supply chain, and ability to produce, sell and distribute our goods and services.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Cyberattacks could include wrongful conduct by hostile foreign governments, industrial espionage, wire fraud and other forms of cyber fraud, the deployment of harmful malware (including as a result of advanced persistent threat intrusions), denial-of-service attacks, social engineering attacks (including through deep-fakes, which are increasingly more difficult to identify as fake, and phishing attacks), malicious code (such as viruses and worms), denial-of-service attacks, credential stuffing attacks, credential harvesting, personnel misconduct or error, ransomware attacks, supply-chain attacks, software bugs, server malfunctions, software or hardware failures, loss of data, attacks enhanced or facilitated by AI or other information technology assets, fraud or other means to threaten confidentiality, integrity and availability of our sensitive information. We and the third parties with whom we work may also experience telecommunications failures, natural disasters, terrorism, war and other similar threats.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particular, severe ransomware attacks are becoming increasingly prevalent and can lead to significant interruptions in our operations, ability to provide our products or services, loss of sensitive information and income, reputational harm,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diversion of funds. Extortion payments may alleviate the negative impact of a ransomware attack, but we may be unwilling or unable to make such payments due to, for example, applicable laws or regulations prohibiting such payments.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more of our employees work remotely, the risk of a cybersecurity incident potentially occurring, and our investment in risk mitigations against such an incident, is increasing. For example, there has been an increase in phishing and spam emails as well as social engineering attempts from “hackers.”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rely on third parties and their technology to operate critical business systems to process sensitive information, including our CROs, CMOs and other contractors, consultants and law and accounting firms. Our ability to monitor these third parties’ information security practices is limited, and these third parties may not have adequate information security measures in place. If these third parties experience a security incident or other interruption, we could experience adverse consequences. While we may be entitled to damages if our third-party partners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devote resources to protect our information systems, we realize that cyberattacks are a threat, and there can be no assurance that our efforts will prevent information security breaches. We take steps designed to detect, mitigate, and remediate vulnerabilities in our information systems (such as our and the third parties’ with whom we work hardware and software).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A security incident or other interruption could disrupt our ability (and that of third parties with whom we work) to provide our services.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expend significant resources or may have to modify our business activities (including our clinical trial activities) to try to protect against security incidents. Certain data privacy and security obligations require us to implement and maintain specific security measures or industry-standard or reasonable security measures to protect our information technology systems and sensitive information. Applicable data privacy and security obligations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requirements could lead to adverse consequences.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successful or perceived security incident experienced by us or the third parties with whom we work could cause serious negative consequences for us, including, without limitation, the disruption of operations, the misappropriation of sensitive information, disclosure of corporate strategic plans, material disruption of our development programs and our business operations, government enforcement actions (e.g., investigations, fines, penalties, audits, inspections), additional reporting requirements and/or oversight, restrictions on processing sensitive information, litigation, indemnification obligations, reputational harm, negative publicity, and other harms. For example, the loss of data from preclinical studies or clinical trials could result in significant delays in our regulatory approval efforts and significantly increase our costs to recover or reproduce the data. To the extent that any disruption or security incident were to result in a loss of, or damage to, our sensitive information or applications, or inappropriate disclosure of such information, we could incur liability, our competitive position could be harmed, and the further development and commercialization of our product candidates could be significantly delayed.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or asserting our rights, those actions could have a significant impact on our business, including the imposition of significant fines or other sanctions.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under applicable U.S. federal and state healthcare laws and regulations include the following:</w:t>
      </w:r>
    </w:p>
    <w:p>
      <w:pPr>
        <w:spacing w:after="0" w:line="225" w:lineRule="exact"/>
        <w:rPr>
          <w:sz w:val="20"/>
          <w:szCs w:val="20"/>
          <w:color w:val="auto"/>
        </w:rPr>
      </w:pPr>
    </w:p>
    <w:p>
      <w:pPr>
        <w:jc w:val="both"/>
        <w:ind w:left="1020" w:hanging="503"/>
        <w:spacing w:after="0" w:line="25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Violations of the federal Anti-Kickback Statute can result in significant civil monetary penalties and criminal fines, as well as imprisonment and exclusion from participation in federal health care programs;</w:t>
      </w:r>
    </w:p>
    <w:p>
      <w:pPr>
        <w:spacing w:after="0" w:line="18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U.S. federal Anti-Kickback Statute constitutes a false or fraudulent claim for purposes of the civil False Claims Act;</w:t>
      </w:r>
    </w:p>
    <w:p>
      <w:pPr>
        <w:spacing w:after="0" w:line="18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79"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18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79"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(defined to include doctors, dentists, optometrists, podiatrists, and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chiropractors), other healthcare professionals (such as physician assistants and nurse practitioners), and, teaching hospitals, as well as certain ownership and investment interests held by physicians and their immediate family;</w:t>
      </w:r>
    </w:p>
    <w:p>
      <w:pPr>
        <w:spacing w:after="0" w:line="162" w:lineRule="exact"/>
        <w:rPr>
          <w:sz w:val="20"/>
          <w:szCs w:val="20"/>
          <w:color w:val="auto"/>
        </w:rPr>
      </w:pPr>
    </w:p>
    <w:p>
      <w:pPr>
        <w:ind w:left="1020" w:right="56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it may be costly to us in terms of money, time and resources, and we may be subject to criminal, civil or administrative sanctions, including exclusion from government-funded healthcare programs.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for costs and expenses, we may incur due to injuries to our employees resulting from the use of hazardous materials, this insurance may not provide adequate coverage against potential liabilities.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materially adversely affect 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modified or applied in a manner that is adverse to us, which could adversely affect our business and financial condition. For example, The U.S. government recently enacted the OBBBA, that (along with other recent U.S. federal tax reform legislation) has resulted in significant changes to the taxation of business entities including, among other changes, the imposition of minimum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taxes and excise taxes, changes to the taxation of income derived from international operations, changes in the deduction and amortization of research and development expenditures, and limitations on the deductibility of business interest. The Inflation Reduction Act enacted in 2022 includes, among other changes, a minimum tax equal to 15% of the adjusted financial statement income of certain large corporations, as well as a 1% excise tax on certain share buybacks by public corporations that is imposed on such corporations. Future guidance from the Internal Revenue Service and other tax authorities with respect to any legislation may affect us, and certain aspects of such legislation could be repealed or modified in future legislation or sunset in future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trade secret and other intellectual property protection of our proprietary technologies and product candidates, which include TPST-1495, amezalpat and any future product candidates we have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Additionally,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 In addition, we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may be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in-licenses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and may in the future depend on intellectual property licensed from third parties, and our current or future licensors may not always act in our best interest. If we fail to comply with our obligations under our intellectual property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licenses, if the licenses are terminated, or if disputes regarding these licenses arise, we could lose significant rights that may be important to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license intellectual property from the Regents of the University of California and may in the future depend on patents, know-how and proprietary technology licensed from third parties. Our licenses to such patents, know-how and proprietary technology may not provide exclusive rights in all relevant fields of use and in all territories in which we may wish to develop or commercialize our products in the future. The agreements under which we license patents, know-how and proprietary technology from others may be complex, and certain provisions in such agreements may be susceptible to multiple interpretations.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in the future need to obtain licenses from third parties to advance our research or allow commercialization of product candidates Tempest may develop. It is possible that we may be unable to obtain any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current or future licensors fail to adequately protect our licensed intellectual property, our ability to commercialize product candidates could suffer. We may not have complete control over the maintenance, prosecution and litigation of our current or future in-licensed patents and patent applications. For example, we cannot be certain that activities such as the maintenance and prosecution by our current or future licensors have been or will be conducted in compliance with applicable laws and regulations or will result in valid and enforceable patents and other intellectual property rights. It is possible that our current or future licensors’ infringement proceedings or defense activities may be less vigorous than had we conducted them ourselves or may not be conducted in accordance with our best interests.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resolution of any contract interpretation disagreement that may arise could narrow what we might believe to be the scope of our rights to the relevant patents, know-how and proprietary technology, or increase what we believe to be our financial or other obligations under the relevant agreement. Disputes that may arise between us and our current or future licensors regarding intellectual property subject to a license agreement could include disputes regarding:</w:t>
      </w:r>
    </w:p>
    <w:p>
      <w:pPr>
        <w:spacing w:after="0" w:line="180"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milestone or other payment obligations that may result from the advancement or commercial sale of any of our product candidates; and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currently license or may license in the future prevent or impair our ability to maintain our licensing arrangements on acceptable terms, we may be unable to successfully develop and commercialize the affected technology or product candidates.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owned and in-licensed patents and patent applications may not provide sufficient protection of our product candidates or result in any competitive advantage.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U.S. Patent and Trademark 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 adverse determination in any such submission, proceeding or litigation may result in loss of patent rights, loss of exclusivity, patent term adjustment being jeopardized, patent term being reduced,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patent applications in the United States and other countries are confidential for a period of time after filing or until issuance, at any moment in time, we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 products and technology.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patents or other intellectual property rights, or will design around the claims of patents that we have had issued that cover our product candidates or their use. Likewise, our currently owned patents and patent applications, if issued as patents, directed to our proprietary technologies and our product candidates are expected to expire from 2033 through 2046,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62" w:lineRule="exact"/>
        <w:rPr>
          <w:sz w:val="20"/>
          <w:szCs w:val="20"/>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that are similar to the active compositions of our product candidates but that are not covered by the claims of our patents;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APIs in our current product candidates will eventually become commercially available in generic drug products, and no patent protection may be available with regard to formulation or method of use;</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as the case may be, may fail to meet our or our obligations to the U.S. government regarding any patents and patent applications funded by U.S. government grants, leading to the loss or unenforceability of patent rights;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as the case may be, might not have been the first to file patent applications for certain inventions;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22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owned or in-licensed patents, as the case may be, or parts of our owned or in-licensed patents;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or our current or future licensors’, as the case may be, proprietary rights to the same extent as the laws of the United States;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adequately cover our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unenforceable or such omitted individuals may grant licenses to third parties;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or diagnostic tests we develop may be covered by third parties’ patents or other exclusive rights; or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conditions,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 of obtaining rights to key technologies through in-licenses may not be successful.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future growth of our business may depend in part on our ability to in-license or otherwise acquire the rights to additional product candidates and technologies. We cannot assure you that we will be able to in-license or acquire the rights to any product candidates or technologies from third parties on acceptable terms or at all.</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our agreements with certain of our third-party research partners provide that improvements developed in the course of our relationship may be owned solely by either we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conducts training that provides guidance on our expectations, and our advice for best practices, in protecting our trade secrets. Despite these efforts, any of these parties may breach the agreements and disclose our proprietary information, including our trade secrets, and we may not be able to obtain adequate remedies for such breaches.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through other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such as through a security incident, or if any of that information was independently developed by a competitor, our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courts outside the United States are sometimes less willing to protect trade secrets. If we choose to go to court to stop a third party from using any of our trade secrets, we may incur substantial costs. Even if we are successful, these types of lawsuits may result in substantial cost and require significant time from our scientists and management. Although we take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we may not be able to meaningfully protect our trade secrets. Any of the foregoing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delay or otherwise interfere with our product discovery and development efforts.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their intellectual property rights, we may face a number of issues, including, but not limited to:</w:t>
      </w:r>
    </w:p>
    <w:p>
      <w:pPr>
        <w:spacing w:after="0" w:line="162" w:lineRule="exact"/>
        <w:rPr>
          <w:sz w:val="20"/>
          <w:szCs w:val="20"/>
          <w:color w:val="auto"/>
        </w:rPr>
      </w:pPr>
    </w:p>
    <w:p>
      <w:pPr>
        <w:ind w:left="1020" w:right="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that, regardless of merit, may be expensive and time-consuming to litigate and may divert our management’s attention from our core business;</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third-party licenses our product rights or proprietary technology to us, which it is not required to do, on commercially reasonable terms or at all;</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redesign our product candidates or processes so they do not infringe, which may not be possible or may require substantial monetary expenditures and time;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including by enforcing our patents against us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may be third-party patents of which we are currently unaware of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that event, we would be unable to further develop and commercialize our product candidates, which could significantly harm our business.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 and could result in a finding that such patents are unenforceable or invalid.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The outcome following legal assertions of invalidity is unpredictable. Additionally, we may be subject to claims of patent infringement during those proceedings, and delays caused by the federal agencies may increase the time period that we are subject to such claims. For example, administrative changes, including reduced staff and budgets experienced by the Patent and Trial Appeal Board, could further delay our ability to timely challenge any such patents.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(such as, the Russia and Ukraine conflict; retaliatory measures by foreign countries in response to actions by the United States, in particular, tariffs)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the Russia-Ukraine war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Also, many foreign countries could threaten to impose retaliatory measures that may adversely impact our intellectual property rights in those countries. For example, on March 14, 2025, Brazil enacted Law No. 15.122/2025 (known as the “Economic Reciprocity Law”), which provides a framework that allows for the suspension of obligations related to foreign entity’s intellectual property rights. Accordingly,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trade secrets.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us, we may be subject to claims that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product candidates.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our implementation could increase the uncertainties and costs surrounding the prosecution of our patent applications and the enforcement or defense of our issued patents.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by the federal courts, the U.S. Congress or the USPTO may impact the value of our patent rights. For example, the Federal Circuit recently issued a decision involving the interaction of patent term adjustment (PTA), terminal disclaimers, and obviousness-type double patenting. This decision creates uncertainty to the patent terms of certain U.S. patents that share the same priority claim where on expires later than another due to accrued PTA. Depending on decisions by the U.S. Congress, the federal courts and the USPTO, the laws and regulations governing patents could change in unpredictable ways that would weaken our ability to obtain new patents or to enforce our existing patents and patents that we might obtain or license in the future. For example, in the case, Assoc. for Molecular Pathology v. Myriad Genetics, Inc., the U.S. Supreme Court held that certain claims to DNA molecules are not patent-eligible.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Similarly, other cases by the U.S. Supreme Court have held that certain methods of treatment or diagnosis are not patent-eligible. U.S. law regarding patent-eligibility continues to evolve. While we do not believe that any of our patents will be found invalid based on these changes to U.S. patent law, we cannot predict how future decisions by the courts, the U.S. Congress or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USPTO may impact the value of our patents and patent applications. Any similar adverse changes in the patent laws of other jurisdictions could also have a material adverse effect on our business, financial condition, results of operations and prospects.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further example, as of June 1, 2023, European patent applications and patents may be subjected to the jurisdiction of the Unified Patent Court (UPC). 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European patent applications will have the option, upon grant of a patent, of becoming a Unitary Patent, which will be subject to the jurisdiction of the UPC. The UPC and Unitary Patent are significant changes in European patent practice.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As the UPC is a new court system, there is no precedent for the court, increasing the uncertainty of any litigation in the UPC. As a single court system can invalidate a European patent, we, where applicable, may opt out of the UPC and as such, each European patent would need to be challenged in each individual country. We may decide to opt out future European patents from the UPC, but doing so may preclude us from realizing the benefits of the UPC. Moreover, if we do not meet all of the opt-out formalities and requirements under the UPC, our future European patents could remain under the jurisdiction of the UPC. The UPC will provide our competitors with a new forum to centrally revoke our European patents, and allow for the possibility of a competitor to obtain pan-European injunctions. Such a loss of patent protection could have a material adverse impact on our business and our ability to commercialize our technology and product candidates due to increased competition and, resultantly, on our financial condition, prospects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any product candidates we may develop, our business may be materially harmed.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U.S. and ex-U.S. law concerning patent term extensions and foreign equivalents continue to evolve.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Additionally, administrative changes at the USPTO or other applicable patent authorities, such as reduced hiring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and/or funding, may result in delays in issuance of a patent or in accrual of patent term extension, thereby reducing the amount of patent term extension that could otherwise be received. Administrative changes (e.g., at the FDA or USPTO) may also lead to delays in review and analysis of requests for patent term extension, which could result in a patent term extension not being timely granted (e.g., before the expiration of the patent). Moreover, the applicable time period of extension or the scope of patent protection afforded could be less than we project or request. If we are unable to obtain patent term extension or term of any such extension is less than we project or request, our competitors may obtain approval of competing products following our patent expiration sooner than expected, and our business, financial condition, results of operations and prospects could be materially harmed.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Intellectual property discovered through government funded programs may be subject to federal regulations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march-in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rights, certain reporting requirements and a preference for U.S.-based companies. Compliance with such regulations may limit our exclusive rights and limit our ability to contract with non-U.S. manufacturers.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patent application in-licensed from the Regents of the University of California has been supported through the use of U.S. government funding awarded by the National Institutes of Health. Although we do not currently own issued patents or pending patent applications that have been generated through the use of U.S. government funding, we may acquire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Recently, the government released a draft framework that may be used by an agency when deciding to exercise its march-in rights for public comments, and as such, the framework for deciding when march-in rights are exercised may change. If the U.S. government exercised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Other General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is likely to continue to be volatile, and purchasers of our common stock could incur substantial losses.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continue to be volatile. For example, during 2024, the closing price of our common stock on The Nasdaq Capital Market ranged from $9.08 per share to $70.72 per share. Some of the factors that may cause the market price of our common stock to fluctuate include: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w:t>
      </w:r>
    </w:p>
    <w:p>
      <w:pPr>
        <w:spacing w:after="0" w:line="22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 such as the Russia-Ukraine war and the armed conflict in Israel and the Gaza Strip; and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completed a reverse stock split of our shares of common stock, which may reduce and may limit the market trading liquidity of the shares due to the reduced number of shares outstanding and may potentially have an anti-takeover effect.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completed the Reverse Stock Split of our common stock by a ratio of 1-for-13, effective April 8, 2025. The liquidity of our common stock may be adversely affected by the Reverse Stock Split as a result of the reduced number of shares outstanding following the Reverse Stock Split. In addition, the Reverse Stock Split may increase the number of stockholders who own odd lots of our common stock, creating the potential for such stockholders to experience an increase in the cost of selling their shares and greater difficulty affecting such sales. Reducing the number of outstanding shares of our common stock through the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will result in the intended benefits, that the market price of our common stock will remain higher following the Reverse Stock Split or that the market price of our common stock will not decrease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share price.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volatility in the capital markets, significantly reduced liquidity and credit availability, decreases in consumer demand and confidence, declines in economic growth, increases in unemployment rates and uncertainty about economic stability. Our general business strategy may be materially or adversely impacted by if these unpredictable and unstable market conditions continue. Additionally, geopolitical tensions, like the Russia-Ukraine war and the war in Israel, and the imposition of tariffs in the U.S. and abroad, has created extreme volatility in the global capital markets and is expected to have further global economic consequences, including disruptions of the global supply chain and energy markets. Any such volatility and disruptions may have adverse consequences for us or the third parties on whom we rely. If the equity and credit markets deteriorate, including as a result of future bank closures or political unrest, war or a global or domestic recession or the fear thereof,, it may make any necessary debt or equity financing more difficult to obtain in a timely manner or on favorable terms, more costly or more dilutive.</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Trade disputes, trade restrictions, tariffs and other 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services, delay renewals or limit expansion opportunities with existing customers, limit our access to capital, or otherwise negatively impact our business and operations. In addition, retaliatory trade policies or anti-U.S. sentiment in certain regions whether driven by trade tensions, political disagreements, or regulatory concerns may make customers and governments more hesitant to adopt solutions offered by U.S.-based providers. This may lead to increased preference for local competitors, changes to government procurement policies, heightened regulatory scrutiny, decreased intellectual property protections, delays in regulatory approvals or other retaliatory regulatory non-tariff policies, the introduction of trade barriers applicable to digital services, which may result in heightened international legal and operational risks and difficulties in attracting and retaining non-U.S. customers, suppliers, employees, partners and investors. Ongoing tariff and macroeconomic uncertainty may also contribute to volatility in the price of our common stock.</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inflation can adversely affect us by increasing our costs, including salary costs. Any significant increases in inflation and related increase in interest rates could have a material adverse effect on our business, results of operations and financial condition. A weak or declining economy could also strain our suppliers and manufacturers, possibly resulting in supply and clinical trial disruption. Any of the foregoing could harm our business and we cannot anticipate all of the ways in which the current economic climate and financial market conditions could adversely impact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thinly traded and our stockholders may be unable to sell their shares quickly or at market price.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had periods of high-volume daily trading in our common stock, generally our stock is thinly traded. As a consequence of this lack of liquidity, the trading of relatively small quantities of shares by our stockholders may disproportionately influence the price of those shares in either direction. Our common stock price could, for example, decline significantly as a result of sales of a large number of shares of our common stock on the market without commensurate demand, as compared to a seasoned issuer that could better absorb those sales without adverse impact on its share price, or from the perception that these sales could occur.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reporting requirements applicable to smaller reporting companies may make our common stock less attractive to investors.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as defined in Section 12 of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reduced disclosure obligations regarding executive compensation in our periodic reports and proxy statements,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Status as a Public Company and Other General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incur increased costs as a result of operating as a public company, and our management is required to devote substantial time to compliance with our public company responsibilities and corporate governance practices.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incur significant legal, accounting and other expenses. The Sarbanes-Oxley Act, the Dodd-Frank Wall Street Reform and Consumer Protection Act, the listing requirements of the Nasdaq Stock Market (Nasdaq)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a report by management on, among other things, the effectiveness of our internal control over financial reporting. We will not be required to have our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auditors formally attest to the effectiveness of our internal control over financial reporting until we cease to be a smaller reporting company.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We cannot assure you that there will not be material weaknesses or significant deficiencies in the internal control over financial reporting in the future.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accurately report our financial condition, results of operations or cash flows.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other calamities, including public health crises, and our business continuity and disaster recovery plans may not adequately protect us from a serious disaster.</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that we may develop;</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collaboration relationships or disputes with our collaborators;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product recalls, withdrawals or labeling restrictions;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7"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22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for nominations to our board of directors;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actions by our stockholders by written consent;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be effected at a duly called stockholders meeting;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October 2023, we implemented a stockholder rights plan (the “Rights Plan”), also called a “poison pill,” that may have the effect of discouraging or preventing a change of control by, among other things, making it uneconomical for a third party to acquire us without the consent of our board of directors. We amended the Rights Plan on October 9, 2024 and on December 5, 2024. As a result of the amendments, the rights will expire immediately following our 2025 Annual Meeting of Stockholders, or, if our stockholders approve the Rights Plan, on October 10, 2026, unless the rights are earlier redeemed or exchanged by us.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manner prescribed by the statute.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our growth as opposed to paying dividends. As a result, capital appreciation, if any, of our common stock will be your sole source of gain, if any, for the foreseeable future.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 Bonus Agreements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11, 2025, we entered into success bonus agreements (each, a “Success Bonus Agreement” and, together, the “Success Bonus Agreements”), with certain individuals, including Stephen Brady, our Chief Executive Officer and President, Samuel Whiting, our Executive Vice President and Chief Medical Officer, Nicholas Maestas, our Chief Financial Officer and Corporate Secretary, and Justin Trojanowski, our Corporate Controller, Treasurer and principal accounting officer. Pursuant to the Success Bonus Agreements, each of Messrs. Brady, Whiting, Maestas and Trojanowski will be eligible to receive cash bonuses of $333,000, $100,000, $170,000 and $75,000, respectively (each, a “Success Bonus”), in each case, payable in a lump sum upon the consummation (the “Closing Date”) of a Change In Control, as such term is defined in our 2017 Equity Incentive Plan (the “2017 Plan”), that occurs prior to January 31, 2026. Payment of the Success Bonuses will be subject to the applicable executive’s continued employment with the Company through the Closing Date, and will be paid within thirty (30) days following the Closing Date.</w:t>
      </w:r>
    </w:p>
    <w:p>
      <w:pPr>
        <w:spacing w:after="0" w:line="1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Success Bonus Agreements does not purport to be complete and is qualified in its entirety by reference to the full text of the form of Success Bonus Agreement, a copy of which is filed as Exhibit 10.6 hereto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Offer Letter</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11, 2025, we entered into an amended and restated offer letter with Mr. Trojanowski (the “A&amp;R Offer Letter”). Pursuant to his A&amp;R Offer Letter, Mr. Trojanowski will receive an annual base salary of $266,680 and will be eligible to receive an annual discretionary bonus of 25% of his base salary. In the event that Mr. Trojanowski employment is terminated by us without Cause or he resigns for Good Reason (as such terms are defined in the A&amp;R Offer Letter), within six months following a Change in Control (as such term is defined in the A&amp;R Offer Letter), then, provided that he executes and makes effective a release of claims against the Company and its affiliates, Mr. Trojanowski will be entitled to receive (i) a lump-sum amount equal to the sum of (a) three months of his base salary, plus (b) an amount equal to any annual bonus for any completed calendar year, to the extent earned but not yet paid at the time of such termination, plus (c) a prorated target annual bonus for the fiscal year in which the termination occurs; and (ii) if elected, three months of health insurance coverage under COBRA, subject to normal COBRA termination rules.</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A&amp;R Offer Letter does not purport to be complete and is qualified in its entirety by reference to the full text of the A&amp;R Offer Letter, a copy of which is filed as Exhibit 10.7 hereto and are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under the Exchange Act) adopted or terminated a “Rule 10b5-1 trading arrangement” or “non-Rule 10b5-1 trading arrangement,” as each term is defined in Item 408(a) of Regulation S-K.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as part of this report.</w:t>
      </w:r>
    </w:p>
    <w:p>
      <w:pPr>
        <w:spacing w:after="0" w:line="26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36830</wp:posOffset>
            </wp:positionV>
            <wp:extent cx="28460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3"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6"/>
          <w:szCs w:val="16"/>
          <w:b w:val="1"/>
          <w:bCs w:val="1"/>
          <w:color w:val="auto"/>
        </w:rPr>
        <w:t>Filed or</w:t>
      </w:r>
    </w:p>
    <w:p>
      <w:pPr>
        <w:spacing w:after="0" w:line="28" w:lineRule="exact"/>
        <w:rPr>
          <w:sz w:val="20"/>
          <w:szCs w:val="20"/>
          <w:color w:val="auto"/>
        </w:rPr>
      </w:pPr>
    </w:p>
    <w:p>
      <w:pPr>
        <w:ind w:left="180"/>
        <w:spacing w:after="0"/>
        <w:tabs>
          <w:tab w:leader="none" w:pos="10300" w:val="left"/>
        </w:tabs>
        <w:rPr>
          <w:sz w:val="20"/>
          <w:szCs w:val="20"/>
          <w:color w:val="auto"/>
        </w:rPr>
      </w:pPr>
      <w:r>
        <w:rPr>
          <w:rFonts w:ascii="Times New Roman" w:cs="Times New Roman" w:eastAsia="Times New Roman" w:hAnsi="Times New Roman"/>
          <w:sz w:val="15"/>
          <w:szCs w:val="15"/>
          <w:b w:val="1"/>
          <w:bCs w:val="1"/>
          <w:color w:val="auto"/>
        </w:rPr>
        <w:t>Exhibit</w:t>
      </w:r>
      <w:r>
        <w:rPr>
          <w:sz w:val="20"/>
          <w:szCs w:val="20"/>
          <w:color w:val="auto"/>
        </w:rPr>
        <w:tab/>
      </w:r>
      <w:r>
        <w:rPr>
          <w:rFonts w:ascii="Times New Roman" w:cs="Times New Roman" w:eastAsia="Times New Roman" w:hAnsi="Times New Roman"/>
          <w:sz w:val="15"/>
          <w:szCs w:val="15"/>
          <w:b w:val="1"/>
          <w:bCs w:val="1"/>
          <w:color w:val="auto"/>
        </w:rPr>
        <w:t>Furnished</w:t>
      </w:r>
    </w:p>
    <w:p>
      <w:pPr>
        <w:spacing w:after="0" w:line="30" w:lineRule="exact"/>
        <w:rPr>
          <w:sz w:val="20"/>
          <w:szCs w:val="20"/>
          <w:color w:val="auto"/>
        </w:rPr>
      </w:pPr>
    </w:p>
    <w:p>
      <w:pPr>
        <w:ind w:left="180"/>
        <w:spacing w:after="0"/>
        <w:tabs>
          <w:tab w:leader="none" w:pos="3060" w:val="left"/>
          <w:tab w:leader="none" w:pos="6880" w:val="left"/>
          <w:tab w:leader="none" w:pos="7480" w:val="left"/>
          <w:tab w:leader="none" w:pos="8560" w:val="left"/>
          <w:tab w:leader="none" w:pos="9280" w:val="left"/>
          <w:tab w:leader="none" w:pos="1034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 of Exhibit</w:t>
      </w:r>
      <w:r>
        <w:rPr>
          <w:sz w:val="20"/>
          <w:szCs w:val="20"/>
          <w:color w:val="auto"/>
        </w:rPr>
        <w:tab/>
      </w:r>
      <w:r>
        <w:rPr>
          <w:rFonts w:ascii="Times New Roman" w:cs="Times New Roman" w:eastAsia="Times New Roman" w:hAnsi="Times New Roman"/>
          <w:sz w:val="16"/>
          <w:szCs w:val="16"/>
          <w:b w:val="1"/>
          <w:bCs w:val="1"/>
          <w:color w:val="auto"/>
        </w:rPr>
        <w:t>Form</w:t>
        <w:tab/>
        <w:t>File Number</w:t>
        <w:tab/>
        <w:t>Exhibit</w:t>
        <w:tab/>
        <w:t>Filing Date</w:t>
      </w:r>
      <w:r>
        <w:rPr>
          <w:sz w:val="20"/>
          <w:szCs w:val="20"/>
          <w:color w:val="auto"/>
        </w:rPr>
        <w:tab/>
      </w:r>
      <w:r>
        <w:rPr>
          <w:rFonts w:ascii="Times New Roman" w:cs="Times New Roman" w:eastAsia="Times New Roman" w:hAnsi="Times New Roman"/>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p>
      <w:pPr>
        <w:spacing w:after="0" w:line="124"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7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3.1</w:t>
            </w:r>
          </w:p>
        </w:tc>
        <w:tc>
          <w:tcPr>
            <w:tcW w:w="5760" w:type="dxa"/>
            <w:vAlign w:val="bottom"/>
            <w:gridSpan w:val="19"/>
          </w:tcPr>
          <w:p>
            <w:pPr>
              <w:spacing w:after="0"/>
              <w:rPr>
                <w:rFonts w:ascii="Times New Roman" w:cs="Times New Roman" w:eastAsia="Times New Roman" w:hAnsi="Times New Roman"/>
                <w:sz w:val="16"/>
                <w:szCs w:val="16"/>
                <w:color w:val="0000FF"/>
              </w:rPr>
            </w:pPr>
            <w:hyperlink r:id="rId274">
              <w:r>
                <w:rPr>
                  <w:rFonts w:ascii="Times New Roman" w:cs="Times New Roman" w:eastAsia="Times New Roman" w:hAnsi="Times New Roman"/>
                  <w:sz w:val="16"/>
                  <w:szCs w:val="16"/>
                  <w:color w:val="0000FF"/>
                </w:rPr>
                <w:t>Restated Certificate of Incorporation of the Registrant, as amended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0" w:type="dxa"/>
            <w:vAlign w:val="bottom"/>
          </w:tcPr>
          <w:p>
            <w:pPr>
              <w:spacing w:after="0"/>
              <w:rPr>
                <w:sz w:val="20"/>
                <w:szCs w:val="20"/>
                <w:color w:val="auto"/>
              </w:rPr>
            </w:pPr>
          </w:p>
        </w:tc>
        <w:tc>
          <w:tcPr>
            <w:tcW w:w="5760" w:type="dxa"/>
            <w:vAlign w:val="bottom"/>
            <w:gridSpan w:val="19"/>
          </w:tcPr>
          <w:p>
            <w:pPr>
              <w:spacing w:after="0"/>
              <w:rPr>
                <w:rFonts w:ascii="Times New Roman" w:cs="Times New Roman" w:eastAsia="Times New Roman" w:hAnsi="Times New Roman"/>
                <w:sz w:val="16"/>
                <w:szCs w:val="16"/>
                <w:color w:val="0000FF"/>
              </w:rPr>
            </w:pPr>
            <w:hyperlink r:id="rId275">
              <w:r>
                <w:rPr>
                  <w:rFonts w:ascii="Times New Roman" w:cs="Times New Roman" w:eastAsia="Times New Roman" w:hAnsi="Times New Roman"/>
                  <w:sz w:val="16"/>
                  <w:szCs w:val="16"/>
                  <w:color w:val="0000FF"/>
                </w:rPr>
                <w:t>Certificate of Amendment to the Restated Certificate of Incorporation of the Company,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jc w:val="center"/>
              <w:ind w:right="99"/>
              <w:spacing w:after="0" w:line="183" w:lineRule="exact"/>
              <w:rPr>
                <w:sz w:val="20"/>
                <w:szCs w:val="20"/>
                <w:color w:val="auto"/>
              </w:rPr>
            </w:pPr>
            <w:r>
              <w:rPr>
                <w:rFonts w:ascii="Times New Roman" w:cs="Times New Roman" w:eastAsia="Times New Roman" w:hAnsi="Times New Roman"/>
                <w:sz w:val="16"/>
                <w:szCs w:val="16"/>
                <w:color w:val="auto"/>
                <w:w w:val="99"/>
              </w:rPr>
              <w:t>3.2</w:t>
            </w:r>
          </w:p>
        </w:tc>
        <w:tc>
          <w:tcPr>
            <w:tcW w:w="5760" w:type="dxa"/>
            <w:vAlign w:val="bottom"/>
            <w:gridSpan w:val="19"/>
          </w:tcPr>
          <w:p>
            <w:pPr>
              <w:spacing w:after="0" w:line="183" w:lineRule="exact"/>
              <w:rPr>
                <w:rFonts w:ascii="Times New Roman" w:cs="Times New Roman" w:eastAsia="Times New Roman" w:hAnsi="Times New Roman"/>
                <w:sz w:val="16"/>
                <w:szCs w:val="16"/>
                <w:color w:val="0000FF"/>
              </w:rPr>
            </w:pPr>
            <w:hyperlink r:id="rId275">
              <w:r>
                <w:rPr>
                  <w:rFonts w:ascii="Times New Roman" w:cs="Times New Roman" w:eastAsia="Times New Roman" w:hAnsi="Times New Roman"/>
                  <w:sz w:val="16"/>
                  <w:szCs w:val="16"/>
                  <w:color w:val="0000FF"/>
                </w:rPr>
                <w:t>as filed with the Secretary of State of the State of Delaware on June 24, 2021</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5760" w:type="dxa"/>
            <w:vAlign w:val="bottom"/>
            <w:gridSpan w:val="19"/>
          </w:tcPr>
          <w:p>
            <w:pPr>
              <w:spacing w:after="0"/>
              <w:rPr>
                <w:rFonts w:ascii="Times New Roman" w:cs="Times New Roman" w:eastAsia="Times New Roman" w:hAnsi="Times New Roman"/>
                <w:sz w:val="16"/>
                <w:szCs w:val="16"/>
                <w:color w:val="0000FF"/>
              </w:rPr>
            </w:pPr>
            <w:hyperlink r:id="rId276">
              <w:r>
                <w:rPr>
                  <w:rFonts w:ascii="Times New Roman" w:cs="Times New Roman" w:eastAsia="Times New Roman" w:hAnsi="Times New Roman"/>
                  <w:sz w:val="16"/>
                  <w:szCs w:val="16"/>
                  <w:color w:val="0000FF"/>
                </w:rPr>
                <w:t>Certificate of Amendment to the Restated Certificate of Incorporation of the Company,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jc w:val="center"/>
              <w:ind w:right="99"/>
              <w:spacing w:after="0" w:line="183" w:lineRule="exact"/>
              <w:rPr>
                <w:sz w:val="20"/>
                <w:szCs w:val="20"/>
                <w:color w:val="auto"/>
              </w:rPr>
            </w:pPr>
            <w:r>
              <w:rPr>
                <w:rFonts w:ascii="Times New Roman" w:cs="Times New Roman" w:eastAsia="Times New Roman" w:hAnsi="Times New Roman"/>
                <w:sz w:val="16"/>
                <w:szCs w:val="16"/>
                <w:color w:val="auto"/>
                <w:w w:val="99"/>
              </w:rPr>
              <w:t>3.3</w:t>
            </w:r>
          </w:p>
        </w:tc>
        <w:tc>
          <w:tcPr>
            <w:tcW w:w="5760" w:type="dxa"/>
            <w:vAlign w:val="bottom"/>
            <w:gridSpan w:val="19"/>
          </w:tcPr>
          <w:p>
            <w:pPr>
              <w:spacing w:after="0" w:line="183" w:lineRule="exact"/>
              <w:rPr>
                <w:rFonts w:ascii="Times New Roman" w:cs="Times New Roman" w:eastAsia="Times New Roman" w:hAnsi="Times New Roman"/>
                <w:sz w:val="16"/>
                <w:szCs w:val="16"/>
                <w:color w:val="0000FF"/>
              </w:rPr>
            </w:pPr>
            <w:hyperlink r:id="rId276">
              <w:r>
                <w:rPr>
                  <w:rFonts w:ascii="Times New Roman" w:cs="Times New Roman" w:eastAsia="Times New Roman" w:hAnsi="Times New Roman"/>
                  <w:sz w:val="16"/>
                  <w:szCs w:val="16"/>
                  <w:color w:val="0000FF"/>
                </w:rPr>
                <w:t>as filed with the Secretary of State of the State of Delaware on June 25, 2021</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5760" w:type="dxa"/>
            <w:vAlign w:val="bottom"/>
            <w:gridSpan w:val="19"/>
          </w:tcPr>
          <w:p>
            <w:pPr>
              <w:spacing w:after="0"/>
              <w:rPr>
                <w:rFonts w:ascii="Times New Roman" w:cs="Times New Roman" w:eastAsia="Times New Roman" w:hAnsi="Times New Roman"/>
                <w:sz w:val="16"/>
                <w:szCs w:val="16"/>
                <w:color w:val="0000FF"/>
              </w:rPr>
            </w:pPr>
            <w:hyperlink r:id="rId277">
              <w:r>
                <w:rPr>
                  <w:rFonts w:ascii="Times New Roman" w:cs="Times New Roman" w:eastAsia="Times New Roman" w:hAnsi="Times New Roman"/>
                  <w:sz w:val="16"/>
                  <w:szCs w:val="16"/>
                  <w:color w:val="0000FF"/>
                </w:rPr>
                <w:t>Certificate of Designation of Series A Junior Participating Preferred Stock filed with the</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jc w:val="center"/>
              <w:ind w:right="99"/>
              <w:spacing w:after="0" w:line="183" w:lineRule="exact"/>
              <w:rPr>
                <w:sz w:val="20"/>
                <w:szCs w:val="20"/>
                <w:color w:val="auto"/>
              </w:rPr>
            </w:pPr>
            <w:r>
              <w:rPr>
                <w:rFonts w:ascii="Times New Roman" w:cs="Times New Roman" w:eastAsia="Times New Roman" w:hAnsi="Times New Roman"/>
                <w:sz w:val="16"/>
                <w:szCs w:val="16"/>
                <w:color w:val="auto"/>
                <w:w w:val="99"/>
              </w:rPr>
              <w:t>3.4</w:t>
            </w:r>
          </w:p>
        </w:tc>
        <w:tc>
          <w:tcPr>
            <w:tcW w:w="5760" w:type="dxa"/>
            <w:vAlign w:val="bottom"/>
            <w:gridSpan w:val="19"/>
          </w:tcPr>
          <w:p>
            <w:pPr>
              <w:spacing w:after="0" w:line="183" w:lineRule="exact"/>
              <w:rPr>
                <w:rFonts w:ascii="Times New Roman" w:cs="Times New Roman" w:eastAsia="Times New Roman" w:hAnsi="Times New Roman"/>
                <w:sz w:val="16"/>
                <w:szCs w:val="16"/>
                <w:color w:val="0000FF"/>
              </w:rPr>
            </w:pPr>
            <w:hyperlink r:id="rId277">
              <w:r>
                <w:rPr>
                  <w:rFonts w:ascii="Times New Roman" w:cs="Times New Roman" w:eastAsia="Times New Roman" w:hAnsi="Times New Roman"/>
                  <w:sz w:val="16"/>
                  <w:szCs w:val="16"/>
                  <w:color w:val="0000FF"/>
                </w:rPr>
                <w:t>Secretary of State of the State of Delaware on October 10, 2023</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9"/>
              </w:rPr>
              <w:t>3.5</w:t>
            </w:r>
          </w:p>
        </w:tc>
        <w:tc>
          <w:tcPr>
            <w:tcW w:w="5760" w:type="dxa"/>
            <w:vAlign w:val="bottom"/>
            <w:gridSpan w:val="19"/>
          </w:tcPr>
          <w:p>
            <w:pPr>
              <w:spacing w:after="0"/>
              <w:rPr>
                <w:rFonts w:ascii="Times New Roman" w:cs="Times New Roman" w:eastAsia="Times New Roman" w:hAnsi="Times New Roman"/>
                <w:sz w:val="16"/>
                <w:szCs w:val="16"/>
                <w:color w:val="0000FF"/>
              </w:rPr>
            </w:pPr>
            <w:hyperlink r:id="rId278">
              <w:r>
                <w:rPr>
                  <w:rFonts w:ascii="Times New Roman" w:cs="Times New Roman" w:eastAsia="Times New Roman" w:hAnsi="Times New Roman"/>
                  <w:sz w:val="16"/>
                  <w:szCs w:val="16"/>
                  <w:color w:val="0000FF"/>
                </w:rPr>
                <w:t>Certificate of Amendment to the Restated Certificate of Incorporation of the Company,</w:t>
              </w:r>
            </w:hyperlink>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continue"/>
          </w:tcPr>
          <w:p>
            <w:pPr>
              <w:spacing w:after="0"/>
              <w:rPr>
                <w:sz w:val="15"/>
                <w:szCs w:val="15"/>
                <w:color w:val="auto"/>
              </w:rPr>
            </w:pPr>
          </w:p>
        </w:tc>
        <w:tc>
          <w:tcPr>
            <w:tcW w:w="5760" w:type="dxa"/>
            <w:vAlign w:val="bottom"/>
            <w:gridSpan w:val="19"/>
          </w:tcPr>
          <w:p>
            <w:pPr>
              <w:spacing w:after="0" w:line="183" w:lineRule="exact"/>
              <w:rPr>
                <w:rFonts w:ascii="Times New Roman" w:cs="Times New Roman" w:eastAsia="Times New Roman" w:hAnsi="Times New Roman"/>
                <w:sz w:val="16"/>
                <w:szCs w:val="16"/>
                <w:color w:val="0000FF"/>
              </w:rPr>
            </w:pPr>
            <w:hyperlink r:id="rId278">
              <w:r>
                <w:rPr>
                  <w:rFonts w:ascii="Times New Roman" w:cs="Times New Roman" w:eastAsia="Times New Roman" w:hAnsi="Times New Roman"/>
                  <w:sz w:val="16"/>
                  <w:szCs w:val="16"/>
                  <w:color w:val="0000FF"/>
                </w:rPr>
                <w:t>as filed with the Secretary of State of the State of Delaware on April 4, 2025</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3.6</w:t>
            </w:r>
          </w:p>
        </w:tc>
        <w:tc>
          <w:tcPr>
            <w:tcW w:w="5760" w:type="dxa"/>
            <w:vAlign w:val="bottom"/>
            <w:gridSpan w:val="19"/>
          </w:tcPr>
          <w:p>
            <w:pPr>
              <w:spacing w:after="0"/>
              <w:rPr>
                <w:rFonts w:ascii="Times New Roman" w:cs="Times New Roman" w:eastAsia="Times New Roman" w:hAnsi="Times New Roman"/>
                <w:sz w:val="16"/>
                <w:szCs w:val="16"/>
                <w:color w:val="0000FF"/>
              </w:rPr>
            </w:pPr>
            <w:hyperlink r:id="rId279">
              <w:r>
                <w:rPr>
                  <w:rFonts w:ascii="Times New Roman" w:cs="Times New Roman" w:eastAsia="Times New Roman" w:hAnsi="Times New Roman"/>
                  <w:sz w:val="16"/>
                  <w:szCs w:val="16"/>
                  <w:color w:val="0000FF"/>
                </w:rPr>
                <w:t>Amended and Restated Bylaws of the Registrant</w:t>
              </w:r>
            </w:hyperlink>
          </w:p>
        </w:tc>
        <w:tc>
          <w:tcPr>
            <w:tcW w:w="0" w:type="dxa"/>
            <w:vAlign w:val="bottom"/>
          </w:tcPr>
          <w:p>
            <w:pPr>
              <w:spacing w:after="0"/>
              <w:rPr>
                <w:sz w:val="1"/>
                <w:szCs w:val="1"/>
                <w:color w:val="auto"/>
              </w:rPr>
            </w:pPr>
          </w:p>
        </w:tc>
      </w:tr>
      <w:tr>
        <w:trPr>
          <w:trHeight w:val="20"/>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9"/>
              </w:rPr>
              <w:t>4.1</w:t>
            </w: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vMerge w:val="continue"/>
          </w:tcPr>
          <w:p>
            <w:pPr>
              <w:spacing w:after="0"/>
              <w:rPr>
                <w:sz w:val="22"/>
                <w:szCs w:val="22"/>
                <w:color w:val="auto"/>
              </w:rPr>
            </w:pPr>
          </w:p>
        </w:tc>
        <w:tc>
          <w:tcPr>
            <w:tcW w:w="5760" w:type="dxa"/>
            <w:vAlign w:val="bottom"/>
            <w:gridSpan w:val="19"/>
          </w:tcPr>
          <w:p>
            <w:pPr>
              <w:spacing w:after="0"/>
              <w:rPr>
                <w:rFonts w:ascii="Times New Roman" w:cs="Times New Roman" w:eastAsia="Times New Roman" w:hAnsi="Times New Roman"/>
                <w:sz w:val="16"/>
                <w:szCs w:val="16"/>
                <w:color w:val="0000FF"/>
              </w:rPr>
            </w:pPr>
            <w:hyperlink r:id="rId280">
              <w:r>
                <w:rPr>
                  <w:rFonts w:ascii="Times New Roman" w:cs="Times New Roman" w:eastAsia="Times New Roman" w:hAnsi="Times New Roman"/>
                  <w:sz w:val="16"/>
                  <w:szCs w:val="16"/>
                  <w:color w:val="0000FF"/>
                </w:rPr>
                <w:t>Form of Pre-Funded Warrant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9"/>
              </w:rPr>
              <w:t>10.1</w:t>
            </w:r>
          </w:p>
        </w:tc>
        <w:tc>
          <w:tcPr>
            <w:tcW w:w="5760" w:type="dxa"/>
            <w:vAlign w:val="bottom"/>
            <w:gridSpan w:val="19"/>
          </w:tcPr>
          <w:p>
            <w:pPr>
              <w:spacing w:after="0" w:line="183" w:lineRule="exact"/>
              <w:rPr>
                <w:rFonts w:ascii="Times New Roman" w:cs="Times New Roman" w:eastAsia="Times New Roman" w:hAnsi="Times New Roman"/>
                <w:sz w:val="16"/>
                <w:szCs w:val="16"/>
                <w:color w:val="0000FF"/>
              </w:rPr>
            </w:pPr>
            <w:hyperlink r:id="rId281">
              <w:r>
                <w:rPr>
                  <w:rFonts w:ascii="Times New Roman" w:cs="Times New Roman" w:eastAsia="Times New Roman" w:hAnsi="Times New Roman"/>
                  <w:sz w:val="16"/>
                  <w:szCs w:val="16"/>
                  <w:color w:val="0000FF"/>
                </w:rPr>
                <w:t>Securities Purchase Agreement, dated June 11, 2025, by and among Tempest</w:t>
              </w:r>
            </w:hyperlink>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continue"/>
          </w:tcPr>
          <w:p>
            <w:pPr>
              <w:spacing w:after="0"/>
              <w:rPr>
                <w:sz w:val="15"/>
                <w:szCs w:val="15"/>
                <w:color w:val="auto"/>
              </w:rPr>
            </w:pPr>
          </w:p>
        </w:tc>
        <w:tc>
          <w:tcPr>
            <w:tcW w:w="5760" w:type="dxa"/>
            <w:vAlign w:val="bottom"/>
            <w:gridSpan w:val="19"/>
          </w:tcPr>
          <w:p>
            <w:pPr>
              <w:spacing w:after="0" w:line="183" w:lineRule="exact"/>
              <w:rPr>
                <w:rFonts w:ascii="Times New Roman" w:cs="Times New Roman" w:eastAsia="Times New Roman" w:hAnsi="Times New Roman"/>
                <w:sz w:val="16"/>
                <w:szCs w:val="16"/>
                <w:color w:val="0000FF"/>
              </w:rPr>
            </w:pPr>
            <w:hyperlink r:id="rId281">
              <w:r>
                <w:rPr>
                  <w:rFonts w:ascii="Times New Roman" w:cs="Times New Roman" w:eastAsia="Times New Roman" w:hAnsi="Times New Roman"/>
                  <w:sz w:val="16"/>
                  <w:szCs w:val="16"/>
                  <w:color w:val="0000FF"/>
                </w:rPr>
                <w:t>Therapeutics, Inc. and the purchaser party thereto.</w:t>
              </w:r>
            </w:hyperlink>
          </w:p>
        </w:tc>
        <w:tc>
          <w:tcPr>
            <w:tcW w:w="0" w:type="dxa"/>
            <w:vAlign w:val="bottom"/>
          </w:tcPr>
          <w:p>
            <w:pPr>
              <w:spacing w:after="0"/>
              <w:rPr>
                <w:sz w:val="1"/>
                <w:szCs w:val="1"/>
                <w:color w:val="auto"/>
              </w:rPr>
            </w:pPr>
          </w:p>
        </w:tc>
      </w:tr>
      <w:tr>
        <w:trPr>
          <w:trHeight w:val="20"/>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9"/>
              </w:rPr>
              <w:t>10.2</w:t>
            </w: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vMerge w:val="continue"/>
          </w:tcPr>
          <w:p>
            <w:pPr>
              <w:spacing w:after="0"/>
              <w:rPr>
                <w:sz w:val="24"/>
                <w:szCs w:val="24"/>
                <w:color w:val="auto"/>
              </w:rPr>
            </w:pPr>
          </w:p>
        </w:tc>
        <w:tc>
          <w:tcPr>
            <w:tcW w:w="57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Form of Consulting Agreement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9"/>
              </w:rPr>
              <w:t>10.3*</w:t>
            </w:r>
          </w:p>
        </w:tc>
        <w:tc>
          <w:tcPr>
            <w:tcW w:w="576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Separation Agreement, dated June 13, 2025, by and between Tempest Therapeutics, Inc.</w:t>
            </w:r>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continue"/>
          </w:tcPr>
          <w:p>
            <w:pPr>
              <w:spacing w:after="0"/>
              <w:rPr>
                <w:sz w:val="15"/>
                <w:szCs w:val="15"/>
                <w:color w:val="auto"/>
              </w:rPr>
            </w:pPr>
          </w:p>
        </w:tc>
        <w:tc>
          <w:tcPr>
            <w:tcW w:w="576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and Stephen Brady.</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9"/>
              </w:rPr>
              <w:t>10.4*</w:t>
            </w:r>
          </w:p>
        </w:tc>
        <w:tc>
          <w:tcPr>
            <w:tcW w:w="576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Separation Agreement, dated June 13, 2025, by and between Tempest Therapeutics, Inc.</w:t>
            </w:r>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continue"/>
          </w:tcPr>
          <w:p>
            <w:pPr>
              <w:spacing w:after="0"/>
              <w:rPr>
                <w:sz w:val="15"/>
                <w:szCs w:val="15"/>
                <w:color w:val="auto"/>
              </w:rPr>
            </w:pPr>
          </w:p>
        </w:tc>
        <w:tc>
          <w:tcPr>
            <w:tcW w:w="576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and Samuel Whiting.</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9"/>
              </w:rPr>
              <w:t>10.5*</w:t>
            </w:r>
          </w:p>
        </w:tc>
        <w:tc>
          <w:tcPr>
            <w:tcW w:w="576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Separation Agreement, dated June 13, 2025, by and between Tempest Therapeutics, Inc.</w:t>
            </w:r>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continue"/>
          </w:tcPr>
          <w:p>
            <w:pPr>
              <w:spacing w:after="0"/>
              <w:rPr>
                <w:sz w:val="15"/>
                <w:szCs w:val="15"/>
                <w:color w:val="auto"/>
              </w:rPr>
            </w:pPr>
          </w:p>
        </w:tc>
        <w:tc>
          <w:tcPr>
            <w:tcW w:w="576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and Nicholas Maestas.</w:t>
            </w:r>
          </w:p>
        </w:tc>
        <w:tc>
          <w:tcPr>
            <w:tcW w:w="0" w:type="dxa"/>
            <w:vAlign w:val="bottom"/>
          </w:tcPr>
          <w:p>
            <w:pPr>
              <w:spacing w:after="0"/>
              <w:rPr>
                <w:sz w:val="1"/>
                <w:szCs w:val="1"/>
                <w:color w:val="auto"/>
              </w:rPr>
            </w:pPr>
          </w:p>
        </w:tc>
      </w:tr>
      <w:tr>
        <w:trPr>
          <w:trHeight w:val="20"/>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9"/>
              </w:rPr>
              <w:t>10.6</w:t>
            </w: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gridSpan w:val="3"/>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vMerge w:val="continue"/>
          </w:tcPr>
          <w:p>
            <w:pPr>
              <w:spacing w:after="0"/>
              <w:rPr>
                <w:sz w:val="24"/>
                <w:szCs w:val="24"/>
                <w:color w:val="auto"/>
              </w:rPr>
            </w:pPr>
          </w:p>
        </w:tc>
        <w:tc>
          <w:tcPr>
            <w:tcW w:w="57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Form of Success Bonus Agreement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EE"/>
            </w:tcBorders>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9"/>
              </w:rPr>
              <w:t>10.7</w:t>
            </w:r>
          </w:p>
        </w:tc>
        <w:tc>
          <w:tcPr>
            <w:tcW w:w="576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Amended and Restated Offer Letter, dated August 11, 2025, by and between Tempest</w:t>
            </w:r>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continue"/>
          </w:tcPr>
          <w:p>
            <w:pPr>
              <w:spacing w:after="0"/>
              <w:rPr>
                <w:sz w:val="15"/>
                <w:szCs w:val="15"/>
                <w:color w:val="auto"/>
              </w:rPr>
            </w:pPr>
          </w:p>
        </w:tc>
        <w:tc>
          <w:tcPr>
            <w:tcW w:w="576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Therapeutics, Inc. and Justin Trojanowski.</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57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 15d-14(a)</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gridSpan w:val="7"/>
            <w:shd w:val="clear" w:color="auto" w:fill="0000FF"/>
          </w:tcPr>
          <w:p>
            <w:pPr>
              <w:spacing w:after="0" w:line="20" w:lineRule="exact"/>
              <w:rPr>
                <w:sz w:val="1"/>
                <w:szCs w:val="1"/>
                <w:color w:val="auto"/>
              </w:rPr>
            </w:pPr>
          </w:p>
        </w:tc>
        <w:tc>
          <w:tcPr>
            <w:tcW w:w="304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576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promulgated under the Securities Exchange Act of 1934, as adopted pursuant to Section</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gridSpan w:val="7"/>
            <w:shd w:val="clear" w:color="auto" w:fill="0000FF"/>
          </w:tcPr>
          <w:p>
            <w:pPr>
              <w:spacing w:after="0" w:line="20" w:lineRule="exact"/>
              <w:rPr>
                <w:sz w:val="1"/>
                <w:szCs w:val="1"/>
                <w:color w:val="auto"/>
              </w:rPr>
            </w:pPr>
          </w:p>
        </w:tc>
        <w:tc>
          <w:tcPr>
            <w:tcW w:w="304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jc w:val="center"/>
              <w:ind w:right="99"/>
              <w:spacing w:after="0" w:line="183" w:lineRule="exact"/>
              <w:rPr>
                <w:sz w:val="20"/>
                <w:szCs w:val="20"/>
                <w:color w:val="auto"/>
              </w:rPr>
            </w:pPr>
            <w:r>
              <w:rPr>
                <w:rFonts w:ascii="Times New Roman" w:cs="Times New Roman" w:eastAsia="Times New Roman" w:hAnsi="Times New Roman"/>
                <w:sz w:val="16"/>
                <w:szCs w:val="16"/>
                <w:color w:val="auto"/>
                <w:w w:val="99"/>
              </w:rPr>
              <w:t>31.1</w:t>
            </w:r>
          </w:p>
        </w:tc>
        <w:tc>
          <w:tcPr>
            <w:tcW w:w="576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302 of the Sarbanes-Oxley Act of 2002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EE"/>
            </w:tcBorders>
            <w:gridSpan w:val="7"/>
            <w:shd w:val="clear" w:color="auto" w:fill="0000FF"/>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0" w:type="dxa"/>
            <w:vAlign w:val="bottom"/>
          </w:tcPr>
          <w:p>
            <w:pPr>
              <w:spacing w:after="0"/>
              <w:rPr>
                <w:sz w:val="20"/>
                <w:szCs w:val="20"/>
                <w:color w:val="auto"/>
              </w:rPr>
            </w:pPr>
          </w:p>
        </w:tc>
        <w:tc>
          <w:tcPr>
            <w:tcW w:w="57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 15d-14(a)</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00" w:type="dxa"/>
            <w:vAlign w:val="bottom"/>
            <w:gridSpan w:val="1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576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promulgated under the Securities Exchange Act of 1934, as adopted pursuant to section</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80" w:type="dxa"/>
            <w:vAlign w:val="bottom"/>
            <w:gridSpan w:val="1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jc w:val="center"/>
              <w:ind w:right="99"/>
              <w:spacing w:after="0" w:line="183" w:lineRule="exact"/>
              <w:rPr>
                <w:sz w:val="20"/>
                <w:szCs w:val="20"/>
                <w:color w:val="auto"/>
              </w:rPr>
            </w:pPr>
            <w:r>
              <w:rPr>
                <w:rFonts w:ascii="Times New Roman" w:cs="Times New Roman" w:eastAsia="Times New Roman" w:hAnsi="Times New Roman"/>
                <w:sz w:val="16"/>
                <w:szCs w:val="16"/>
                <w:color w:val="auto"/>
                <w:w w:val="99"/>
              </w:rPr>
              <w:t>31.2</w:t>
            </w:r>
          </w:p>
        </w:tc>
        <w:tc>
          <w:tcPr>
            <w:tcW w:w="576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302 of the Sarbanes-Oxley Act of 2002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EE"/>
            </w:tcBorders>
            <w:gridSpan w:val="7"/>
            <w:shd w:val="clear" w:color="auto" w:fill="0000FF"/>
          </w:tcPr>
          <w:p>
            <w:pPr>
              <w:spacing w:after="0" w:line="20" w:lineRule="exact"/>
              <w:rPr>
                <w:sz w:val="1"/>
                <w:szCs w:val="1"/>
                <w:color w:val="auto"/>
              </w:rPr>
            </w:pPr>
          </w:p>
        </w:tc>
        <w:tc>
          <w:tcPr>
            <w:tcW w:w="312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57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80" w:type="dxa"/>
            <w:vAlign w:val="bottom"/>
            <w:gridSpan w:val="1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576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Rules 13a-14(b) and 15d-14(b) promulgated under the Securities Exchange Act of 1934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80" w:type="dxa"/>
            <w:vAlign w:val="bottom"/>
            <w:gridSpan w:val="1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2"/>
              </w:rPr>
              <w:t>32.1</w:t>
            </w:r>
            <w:r>
              <w:rPr>
                <w:rFonts w:ascii="Times New Roman" w:cs="Times New Roman" w:eastAsia="Times New Roman" w:hAnsi="Times New Roman"/>
                <w:sz w:val="21"/>
                <w:szCs w:val="21"/>
                <w:color w:val="auto"/>
                <w:w w:val="92"/>
                <w:vertAlign w:val="superscript"/>
              </w:rPr>
              <w:t>^</w:t>
            </w:r>
          </w:p>
        </w:tc>
        <w:tc>
          <w:tcPr>
            <w:tcW w:w="576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and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80" w:type="dxa"/>
            <w:vAlign w:val="bottom"/>
            <w:gridSpan w:val="1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continue"/>
          </w:tcPr>
          <w:p>
            <w:pPr>
              <w:spacing w:after="0"/>
              <w:rPr>
                <w:sz w:val="15"/>
                <w:szCs w:val="15"/>
                <w:color w:val="auto"/>
              </w:rPr>
            </w:pPr>
          </w:p>
        </w:tc>
        <w:tc>
          <w:tcPr>
            <w:tcW w:w="576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Act of 2002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496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101.INS</w:t>
            </w:r>
          </w:p>
        </w:tc>
        <w:tc>
          <w:tcPr>
            <w:tcW w:w="576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0" w:type="dxa"/>
            <w:vAlign w:val="bottom"/>
          </w:tcPr>
          <w:p>
            <w:pPr>
              <w:spacing w:after="0"/>
              <w:rPr>
                <w:sz w:val="1"/>
                <w:szCs w:val="1"/>
                <w:color w:val="auto"/>
              </w:rPr>
            </w:pPr>
          </w:p>
        </w:tc>
      </w:tr>
      <w:tr>
        <w:trPr>
          <w:trHeight w:val="210"/>
        </w:trPr>
        <w:tc>
          <w:tcPr>
            <w:tcW w:w="780" w:type="dxa"/>
            <w:vAlign w:val="bottom"/>
            <w:vMerge w:val="continue"/>
          </w:tcPr>
          <w:p>
            <w:pPr>
              <w:spacing w:after="0"/>
              <w:rPr>
                <w:sz w:val="18"/>
                <w:szCs w:val="18"/>
                <w:color w:val="auto"/>
              </w:rPr>
            </w:pPr>
          </w:p>
        </w:tc>
        <w:tc>
          <w:tcPr>
            <w:tcW w:w="576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Interactive Data File as its XBRL tags are embedded within the Inline XBRL document</w:t>
            </w:r>
          </w:p>
        </w:tc>
        <w:tc>
          <w:tcPr>
            <w:tcW w:w="0" w:type="dxa"/>
            <w:vAlign w:val="bottom"/>
          </w:tcPr>
          <w:p>
            <w:pPr>
              <w:spacing w:after="0"/>
              <w:rPr>
                <w:sz w:val="1"/>
                <w:szCs w:val="1"/>
                <w:color w:val="auto"/>
              </w:rPr>
            </w:pPr>
          </w:p>
        </w:tc>
      </w:tr>
      <w:tr>
        <w:trPr>
          <w:trHeight w:val="270"/>
        </w:trPr>
        <w:tc>
          <w:tcPr>
            <w:tcW w:w="7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101.SCH</w:t>
            </w:r>
          </w:p>
        </w:tc>
        <w:tc>
          <w:tcPr>
            <w:tcW w:w="576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c>
          <w:tcPr>
            <w:tcW w:w="0" w:type="dxa"/>
            <w:vAlign w:val="bottom"/>
          </w:tcPr>
          <w:p>
            <w:pPr>
              <w:spacing w:after="0"/>
              <w:rPr>
                <w:sz w:val="1"/>
                <w:szCs w:val="1"/>
                <w:color w:val="auto"/>
              </w:rPr>
            </w:pPr>
          </w:p>
        </w:tc>
      </w:tr>
      <w:tr>
        <w:trPr>
          <w:trHeight w:val="324"/>
        </w:trPr>
        <w:tc>
          <w:tcPr>
            <w:tcW w:w="7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104</w:t>
            </w:r>
          </w:p>
        </w:tc>
        <w:tc>
          <w:tcPr>
            <w:tcW w:w="576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Cover Page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10-Q</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5/15/2019</w:t>
            </w:r>
          </w:p>
        </w:tc>
      </w:tr>
      <w:tr>
        <w:trPr>
          <w:trHeight w:val="459"/>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6/28/2021</w:t>
            </w:r>
          </w:p>
        </w:tc>
      </w:tr>
      <w:tr>
        <w:trPr>
          <w:trHeight w:val="459"/>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6/28/2021</w:t>
            </w:r>
          </w:p>
        </w:tc>
      </w:tr>
      <w:tr>
        <w:trPr>
          <w:trHeight w:val="459"/>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10/11/2023</w:t>
            </w:r>
          </w:p>
        </w:tc>
      </w:tr>
      <w:tr>
        <w:trPr>
          <w:trHeight w:val="405"/>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4/7/2025</w:t>
            </w:r>
          </w:p>
        </w:tc>
      </w:tr>
      <w:tr>
        <w:trPr>
          <w:trHeight w:val="297"/>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9/24/2021</w:t>
            </w:r>
          </w:p>
        </w:tc>
      </w:tr>
      <w:tr>
        <w:trPr>
          <w:trHeight w:val="257"/>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6/12/2025</w:t>
            </w:r>
          </w:p>
        </w:tc>
      </w:tr>
      <w:tr>
        <w:trPr>
          <w:trHeight w:val="405"/>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6/12/2025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53" w:lineRule="exact"/>
        <w:rPr>
          <w:sz w:val="20"/>
          <w:szCs w:val="20"/>
          <w:color w:val="auto"/>
        </w:rPr>
      </w:pPr>
    </w:p>
    <w:p>
      <w:pPr>
        <w:sectPr>
          <w:pgSz w:w="11900" w:h="16838" w:orient="portrait"/>
          <w:cols w:equalWidth="0" w:num="3">
            <w:col w:w="6700" w:space="220"/>
            <w:col w:w="3180" w:space="520"/>
            <w:col w:w="400"/>
          </w:cols>
          <w:pgMar w:left="320" w:top="117" w:right="559" w:bottom="1440" w:gutter="0" w:footer="0" w:header="0"/>
          <w:type w:val="continuous"/>
        </w:sectPr>
      </w:pPr>
    </w:p>
    <w:p>
      <w:pPr>
        <w:spacing w:after="0" w:line="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8"/>
        <w:spacing w:after="0" w:line="282" w:lineRule="auto"/>
        <w:tabs>
          <w:tab w:leader="none" w:pos="1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and/or schedules have been omitted pursuant to Item 601(a)(5) of Regulation S-K. The registrant hereby undertakes to furnish supplementally copies of any of the omitted exhibits and schedules upon request by the SEC.</w:t>
      </w:r>
    </w:p>
    <w:p>
      <w:pPr>
        <w:spacing w:after="0" w:line="54" w:lineRule="exact"/>
        <w:rPr>
          <w:sz w:val="20"/>
          <w:szCs w:val="20"/>
          <w:color w:val="auto"/>
        </w:rPr>
      </w:pPr>
    </w:p>
    <w:p>
      <w:pPr>
        <w:jc w:val="both"/>
        <w:ind w:firstLine="8"/>
        <w:spacing w:after="0" w:line="257" w:lineRule="auto"/>
        <w:tabs>
          <w:tab w:leader="none" w:pos="1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ind w:left="596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1465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Stephen Brady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&amp; President (Principal Executive Officer)</w:t>
      </w:r>
    </w:p>
    <w:p>
      <w:pPr>
        <w:spacing w:after="0" w:line="200" w:lineRule="exact"/>
        <w:rPr>
          <w:sz w:val="20"/>
          <w:szCs w:val="20"/>
          <w:color w:val="auto"/>
        </w:rPr>
      </w:pPr>
    </w:p>
    <w:p>
      <w:pPr>
        <w:spacing w:after="0" w:line="223" w:lineRule="exact"/>
        <w:rPr>
          <w:sz w:val="20"/>
          <w:szCs w:val="20"/>
          <w:color w:val="auto"/>
        </w:rPr>
      </w:pPr>
    </w:p>
    <w:p>
      <w:pPr>
        <w:ind w:left="596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1465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&amp;  Head  of  Corporate  Strategy  (Principal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4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CONSULTING AGREEMENT</w:t>
      </w:r>
    </w:p>
    <w:p>
      <w:pPr>
        <w:spacing w:after="0" w:line="312" w:lineRule="exact"/>
        <w:rPr>
          <w:sz w:val="20"/>
          <w:szCs w:val="20"/>
          <w:color w:val="auto"/>
        </w:rPr>
      </w:pPr>
    </w:p>
    <w:p>
      <w:pPr>
        <w:ind w:left="760"/>
        <w:spacing w:after="0"/>
        <w:tabs>
          <w:tab w:leader="none" w:pos="7980" w:val="left"/>
        </w:tabs>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onsulting</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entered into effective as of [</w:t>
      </w:r>
      <w:r>
        <w:rPr>
          <w:sz w:val="20"/>
          <w:szCs w:val="20"/>
          <w:color w:val="auto"/>
        </w:rPr>
        <w:tab/>
      </w:r>
      <w:r>
        <w:rPr>
          <w:rFonts w:ascii="Times New Roman" w:cs="Times New Roman" w:eastAsia="Times New Roman" w:hAnsi="Times New Roman"/>
          <w:sz w:val="21"/>
          <w:szCs w:val="21"/>
          <w:color w:val="auto"/>
        </w:rPr>
        <w:t>], 2025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by and</w:t>
      </w:r>
    </w:p>
    <w:p>
      <w:pPr>
        <w:spacing w:after="0" w:line="211" w:lineRule="auto"/>
        <w:rPr>
          <w:sz w:val="20"/>
          <w:szCs w:val="20"/>
          <w:color w:val="auto"/>
        </w:rPr>
      </w:pPr>
      <w:r>
        <w:rPr>
          <w:rFonts w:ascii="Times New Roman" w:cs="Times New Roman" w:eastAsia="Times New Roman" w:hAnsi="Times New Roman"/>
          <w:sz w:val="22"/>
          <w:szCs w:val="22"/>
          <w:color w:val="auto"/>
        </w:rPr>
        <w:t xml:space="preserve">between </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empest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 Delaware corporation having its principal place of business located at 2000 Sierra Point</w:t>
      </w:r>
    </w:p>
    <w:p>
      <w:pPr>
        <w:spacing w:after="0" w:line="200" w:lineRule="exact"/>
        <w:rPr>
          <w:sz w:val="20"/>
          <w:szCs w:val="20"/>
          <w:color w:val="auto"/>
        </w:rPr>
      </w:pPr>
    </w:p>
    <w:p>
      <w:pPr>
        <w:spacing w:after="0" w:line="255"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22"/>
          <w:szCs w:val="22"/>
          <w:color w:val="auto"/>
        </w:rPr>
        <w:t>Parkway, Suite 400, Brisbane, CA 94005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 ], an individual with a principal address set forth below (</w:t>
      </w:r>
      <w:r>
        <w:rPr>
          <w:rFonts w:ascii="Times New Roman" w:cs="Times New Roman" w:eastAsia="Times New Roman" w:hAnsi="Times New Roman"/>
          <w:sz w:val="22"/>
          <w:szCs w:val="22"/>
          <w:b w:val="1"/>
          <w:bCs w:val="1"/>
          <w:i w:val="1"/>
          <w:iCs w:val="1"/>
          <w:color w:val="auto"/>
        </w:rPr>
        <w:t>“Consultant”</w:t>
      </w:r>
      <w:r>
        <w:rPr>
          <w:rFonts w:ascii="Times New Roman" w:cs="Times New Roman" w:eastAsia="Times New Roman" w:hAnsi="Times New Roman"/>
          <w:sz w:val="22"/>
          <w:szCs w:val="22"/>
          <w:color w:val="auto"/>
        </w:rPr>
        <w:t>).</w:t>
      </w:r>
    </w:p>
    <w:p>
      <w:pPr>
        <w:sectPr>
          <w:pgSz w:w="11900" w:h="16838" w:orient="portrait"/>
          <w:cols w:equalWidth="0" w:num="1">
            <w:col w:w="11320"/>
          </w:cols>
          <w:pgMar w:left="320" w:top="765" w:right="259" w:bottom="1440" w:gutter="0" w:footer="0" w:header="0"/>
        </w:sectPr>
      </w:pPr>
    </w:p>
    <w:p>
      <w:pPr>
        <w:spacing w:after="0" w:line="1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WHEREAS, the Consultant has been the [</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operations, including in connection with a strategic transaction;</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of the Company and has professional expertise to oversee its</w:t>
      </w:r>
    </w:p>
    <w:p>
      <w:pPr>
        <w:spacing w:after="0" w:line="449" w:lineRule="exact"/>
        <w:rPr>
          <w:sz w:val="20"/>
          <w:szCs w:val="20"/>
          <w:color w:val="auto"/>
        </w:rPr>
      </w:pPr>
    </w:p>
    <w:p>
      <w:pPr>
        <w:sectPr>
          <w:pgSz w:w="11900" w:h="16838" w:orient="portrait"/>
          <w:cols w:equalWidth="0" w:num="2">
            <w:col w:w="5500" w:space="0"/>
            <w:col w:w="5820"/>
          </w:cols>
          <w:pgMar w:left="320" w:top="765" w:right="259" w:bottom="1440" w:gutter="0" w:footer="0" w:header="0"/>
          <w:type w:val="continuous"/>
        </w:sect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desires to retain Consultant as an independent contractor to perform consulting services for the Company; and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Consultant is willing to perform such services, on the terms described below.</w:t>
      </w:r>
    </w:p>
    <w:p>
      <w:pPr>
        <w:spacing w:after="0" w:line="2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consideration of the mutual promises contained herein, the parties agree as follows:</w:t>
      </w:r>
    </w:p>
    <w:p>
      <w:pPr>
        <w:spacing w:after="0" w:line="202" w:lineRule="exact"/>
        <w:rPr>
          <w:sz w:val="20"/>
          <w:szCs w:val="20"/>
          <w:color w:val="auto"/>
        </w:rPr>
      </w:pPr>
    </w:p>
    <w:p>
      <w:pPr>
        <w:jc w:val="both"/>
        <w:ind w:right="80" w:firstLine="757"/>
        <w:spacing w:after="0" w:line="232" w:lineRule="auto"/>
        <w:tabs>
          <w:tab w:leader="none" w:pos="1018"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Services and Compensation. </w:t>
      </w:r>
      <w:r>
        <w:rPr>
          <w:rFonts w:ascii="Times New Roman" w:cs="Times New Roman" w:eastAsia="Times New Roman" w:hAnsi="Times New Roman"/>
          <w:sz w:val="22"/>
          <w:szCs w:val="22"/>
          <w:color w:val="auto"/>
        </w:rPr>
        <w:t>Consultant agrees to perform for the Company the services described in</w:t>
      </w:r>
      <w:r>
        <w:rPr>
          <w:rFonts w:ascii="Times New Roman" w:cs="Times New Roman" w:eastAsia="Times New Roman" w:hAnsi="Times New Roman"/>
          <w:sz w:val="22"/>
          <w:szCs w:val="22"/>
          <w:b w:val="1"/>
          <w:bCs w:val="1"/>
          <w:color w:val="auto"/>
        </w:rPr>
        <w:t xml:space="preserve"> Exhibit A </w:t>
      </w:r>
      <w:r>
        <w:rPr>
          <w:rFonts w:ascii="Times New Roman" w:cs="Times New Roman" w:eastAsia="Times New Roman" w:hAnsi="Times New Roman"/>
          <w:sz w:val="22"/>
          <w:szCs w:val="22"/>
          <w:color w:val="auto"/>
        </w:rPr>
        <w:t xml:space="preserve">attached hereto and made a part hereof as requested by the Company from time to time (the </w:t>
      </w:r>
      <w:r>
        <w:rPr>
          <w:rFonts w:ascii="Times New Roman" w:cs="Times New Roman" w:eastAsia="Times New Roman" w:hAnsi="Times New Roman"/>
          <w:sz w:val="22"/>
          <w:szCs w:val="22"/>
          <w:b w:val="1"/>
          <w:bCs w:val="1"/>
          <w:i w:val="1"/>
          <w:iCs w:val="1"/>
          <w:color w:val="auto"/>
        </w:rPr>
        <w:t>“Services”</w:t>
      </w:r>
      <w:r>
        <w:rPr>
          <w:rFonts w:ascii="Times New Roman" w:cs="Times New Roman" w:eastAsia="Times New Roman" w:hAnsi="Times New Roman"/>
          <w:sz w:val="22"/>
          <w:szCs w:val="22"/>
          <w:color w:val="auto"/>
        </w:rPr>
        <w:t xml:space="preserve">), and the Company agrees to pay Consultant the compensation described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for Consultant’s performance of the Services. If not specified on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the scope, timing, duration, and site of performance of said Services shall be mutually and reasonably agreed to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and Consultant and are subject to change upon the written agreement of both parties. Consultant will provide the Services in a timely and professional manner consistent with industry practices and in compliance with applicable laws, rules regulations, guidelines and regulatory requirements including without limitation, applicable privacy and protection of personal information laws, anti-fraud, anti-corruption and anti-bribery laws, United States export control laws, and Company safety rules in the performance of the Services. If Consultant’s work requires a professional license or similar authorization, Consultant warrants and represents that he/she has obtained that license or authorization, and it is in full force and effect. If Consultant is required to obtain the consent of Consultant’s employer, Consultant shall obtain such consent prior to commencing any activities or accepting any payment hereunder. If applicable, Consultant agrees to provide to Company copies of any policies or guidelines relating to Consultant's obligations to Consultant’s employer and outside consulting services, promptly upon request by Company. If Consultant is required by Consultant’s employer to make any disclosure or take any action that conflicts with the Services to be provided by Consultant hereunder or is contrary to the terms of this Agreement, Consultant will promptly in writing notify Company of such obligation, specifying the nature of such disclosure or action, prior to making such disclosure or taking such action. The compensation set forth on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shall constitute full payment for Services during the Term of this Agreement, and Consultant will receive no other remuneration resulting from or based upon the Services, nor shall Consultant receive any</w:t>
      </w:r>
    </w:p>
    <w:p>
      <w:pPr>
        <w:spacing w:after="0" w:line="3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765" w:right="259" w:bottom="1440" w:gutter="0" w:footer="0" w:header="0"/>
          <w:type w:val="continuous"/>
        </w:sectPr>
      </w:pPr>
    </w:p>
    <w:bookmarkStart w:id="85" w:name="page86"/>
    <w:bookmarkEnd w:id="85"/>
    <w:p>
      <w:pPr>
        <w:jc w:val="both"/>
        <w:spacing w:after="0" w:line="258" w:lineRule="auto"/>
        <w:rPr>
          <w:sz w:val="20"/>
          <w:szCs w:val="20"/>
          <w:color w:val="auto"/>
        </w:rPr>
      </w:pPr>
      <w:r>
        <w:rPr>
          <w:rFonts w:ascii="Times New Roman" w:cs="Times New Roman" w:eastAsia="Times New Roman" w:hAnsi="Times New Roman"/>
          <w:sz w:val="22"/>
          <w:szCs w:val="22"/>
          <w:color w:val="auto"/>
        </w:rPr>
        <w:t>additional benefits or compensation for the Services. Consultant shall be paid only for actual Services performed in accordance with this Agreement.</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 Confidentiality.</w:t>
      </w:r>
    </w:p>
    <w:p>
      <w:pPr>
        <w:spacing w:after="0" w:line="204"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2.1 Definitions. </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all data, information, technology and samples owned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possessed by the Company, including without limitation pertaining to its plans, products, technologies, business, financial, marketing, research, development, non-clinical, clinical or regulatory affairs including in relation to clinical trials, protocols and results, intellectual properties, manufacturing processes, methods and procedures, or information of any other third party, from whom the Company receives information on a confidential basis, whether written, graphic or oral, furnished to Consultant by or on behalf of the Company, either directly or indirectly, or obtained or observed by Consultant while providing Services hereunder, and the Services to be provided by Consultant hereunder. Confidential Information also includes all Inventions (as defined below) and any other data, documentation, information or materials in whatever form generated, developed or produced in connection with the Services, alone or with others, and copies and derivations of and improvements on any Confidential Information. Without limiting the preceding sentence, Consultant’s obligations under Section 2.2 shall not apply to information that Consultant can establish by competent written evidence: (a) has become publicly known and made generally available through no wrongful act or omission on the part of Consultant; (b) at the time of disclosure to Consultant by the Company, is known by Consultant from Consultant’s own sources and as evidenced by Consultant’s then-contemporaneous written records; or</w:t>
      </w:r>
    </w:p>
    <w:p>
      <w:pPr>
        <w:spacing w:after="0" w:line="10" w:lineRule="exact"/>
        <w:rPr>
          <w:sz w:val="20"/>
          <w:szCs w:val="20"/>
          <w:color w:val="auto"/>
        </w:rPr>
      </w:pPr>
    </w:p>
    <w:p>
      <w:pPr>
        <w:jc w:val="both"/>
        <w:ind w:firstLine="8"/>
        <w:spacing w:after="0" w:line="234" w:lineRule="auto"/>
        <w:tabs>
          <w:tab w:leader="none" w:pos="30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rightfully received by Consultant on a non-confidential basis from a third party legally and contractually entitled to make such disclosures; provided that any combination of individual items of information shall not be deemed to be within any of the foregoing exceptions merely because one or more of the individual items are within such exception, unless the combination as a whole is within such exception.</w:t>
      </w:r>
    </w:p>
    <w:p>
      <w:pPr>
        <w:spacing w:after="0" w:line="17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 xml:space="preserve">Nonuse and Nondisclosure. </w:t>
      </w:r>
      <w:r>
        <w:rPr>
          <w:rFonts w:ascii="Times New Roman" w:cs="Times New Roman" w:eastAsia="Times New Roman" w:hAnsi="Times New Roman"/>
          <w:sz w:val="21"/>
          <w:szCs w:val="21"/>
          <w:color w:val="auto"/>
        </w:rPr>
        <w:t>Consultant will not, during or subsequent to the Term (as defined below)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Agreement: (a) use the Confidential Information for any purpose whatsoever other than as necessary for the performance of</w:t>
      </w:r>
    </w:p>
    <w:p>
      <w:pPr>
        <w:spacing w:after="0" w:line="231" w:lineRule="auto"/>
        <w:rPr>
          <w:sz w:val="20"/>
          <w:szCs w:val="20"/>
          <w:color w:val="auto"/>
        </w:rPr>
      </w:pPr>
      <w:r>
        <w:rPr>
          <w:rFonts w:ascii="Times New Roman" w:cs="Times New Roman" w:eastAsia="Times New Roman" w:hAnsi="Times New Roman"/>
          <w:sz w:val="22"/>
          <w:szCs w:val="22"/>
          <w:color w:val="auto"/>
        </w:rPr>
        <w:t>the Services on behalf of the Company; (b) use any Confidential Information to apply for, secure or perfect any intellectual</w:t>
      </w:r>
    </w:p>
    <w:p>
      <w:pPr>
        <w:spacing w:after="0" w:line="231" w:lineRule="auto"/>
        <w:rPr>
          <w:sz w:val="20"/>
          <w:szCs w:val="20"/>
          <w:color w:val="auto"/>
        </w:rPr>
      </w:pPr>
      <w:r>
        <w:rPr>
          <w:rFonts w:ascii="Times New Roman" w:cs="Times New Roman" w:eastAsia="Times New Roman" w:hAnsi="Times New Roman"/>
          <w:sz w:val="22"/>
          <w:szCs w:val="22"/>
          <w:color w:val="auto"/>
        </w:rPr>
        <w:t>property rights; (c) attempt to modify or reverse engineer (or otherwise determine the chemical structure or sequence of)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Confidential Information without the prior written consent of Company or (d) disclose the Confidential Information to any third</w:t>
      </w:r>
    </w:p>
    <w:p>
      <w:pPr>
        <w:spacing w:after="0" w:line="231" w:lineRule="auto"/>
        <w:rPr>
          <w:sz w:val="20"/>
          <w:szCs w:val="20"/>
          <w:color w:val="auto"/>
        </w:rPr>
      </w:pPr>
      <w:r>
        <w:rPr>
          <w:rFonts w:ascii="Times New Roman" w:cs="Times New Roman" w:eastAsia="Times New Roman" w:hAnsi="Times New Roman"/>
          <w:sz w:val="22"/>
          <w:szCs w:val="22"/>
          <w:color w:val="auto"/>
        </w:rPr>
        <w:t>party, without the prior written consent of an authorized representative of the Company. Consultant agrees that, as between the</w:t>
      </w:r>
    </w:p>
    <w:p>
      <w:pPr>
        <w:spacing w:after="0" w:line="231" w:lineRule="auto"/>
        <w:rPr>
          <w:sz w:val="20"/>
          <w:szCs w:val="20"/>
          <w:color w:val="auto"/>
        </w:rPr>
      </w:pPr>
      <w:r>
        <w:rPr>
          <w:rFonts w:ascii="Times New Roman" w:cs="Times New Roman" w:eastAsia="Times New Roman" w:hAnsi="Times New Roman"/>
          <w:sz w:val="22"/>
          <w:szCs w:val="22"/>
          <w:color w:val="auto"/>
        </w:rPr>
        <w:t>Company and Consultant, all Confidential Information will remain the sole property of the Company. Consultant also agrees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hold in the strictest confidence and take all necessary and reasonable precautions to prevent any unauthorized disclosure or use of</w:t>
      </w:r>
    </w:p>
    <w:p>
      <w:pPr>
        <w:spacing w:after="0" w:line="231" w:lineRule="auto"/>
        <w:rPr>
          <w:sz w:val="20"/>
          <w:szCs w:val="20"/>
          <w:color w:val="auto"/>
        </w:rPr>
      </w:pPr>
      <w:r>
        <w:rPr>
          <w:rFonts w:ascii="Times New Roman" w:cs="Times New Roman" w:eastAsia="Times New Roman" w:hAnsi="Times New Roman"/>
          <w:sz w:val="22"/>
          <w:szCs w:val="22"/>
          <w:color w:val="auto"/>
        </w:rPr>
        <w:t>such Confidential Information. Anything to the contrary notwithstanding, Consultant may disclose Confidential Information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extent such disclosure is compelled by law, rule, regulation or a court of competent jurisdiction; provided that Consultant (x)</w:t>
      </w:r>
    </w:p>
    <w:p>
      <w:pPr>
        <w:spacing w:after="0" w:line="231" w:lineRule="auto"/>
        <w:rPr>
          <w:sz w:val="20"/>
          <w:szCs w:val="20"/>
          <w:color w:val="auto"/>
        </w:rPr>
      </w:pPr>
      <w:r>
        <w:rPr>
          <w:rFonts w:ascii="Times New Roman" w:cs="Times New Roman" w:eastAsia="Times New Roman" w:hAnsi="Times New Roman"/>
          <w:sz w:val="22"/>
          <w:szCs w:val="22"/>
          <w:color w:val="auto"/>
        </w:rPr>
        <w:t>promptly (and in any event, prior to such disclosure) notifies the Company in writing of such requirement, (y) uses his/her/their</w:t>
      </w:r>
    </w:p>
    <w:p>
      <w:pPr>
        <w:spacing w:after="0" w:line="231" w:lineRule="auto"/>
        <w:rPr>
          <w:sz w:val="20"/>
          <w:szCs w:val="20"/>
          <w:color w:val="auto"/>
        </w:rPr>
      </w:pPr>
      <w:r>
        <w:rPr>
          <w:rFonts w:ascii="Times New Roman" w:cs="Times New Roman" w:eastAsia="Times New Roman" w:hAnsi="Times New Roman"/>
          <w:sz w:val="22"/>
          <w:szCs w:val="22"/>
          <w:color w:val="auto"/>
        </w:rPr>
        <w:t>best efforts to assist Company in challenging or limiting such disclosure or seeking a protective order or similar confidential</w:t>
      </w:r>
    </w:p>
    <w:p>
      <w:pPr>
        <w:spacing w:after="0" w:line="231" w:lineRule="auto"/>
        <w:rPr>
          <w:sz w:val="20"/>
          <w:szCs w:val="20"/>
          <w:color w:val="auto"/>
        </w:rPr>
      </w:pPr>
      <w:r>
        <w:rPr>
          <w:rFonts w:ascii="Times New Roman" w:cs="Times New Roman" w:eastAsia="Times New Roman" w:hAnsi="Times New Roman"/>
          <w:sz w:val="22"/>
          <w:szCs w:val="22"/>
          <w:color w:val="auto"/>
        </w:rPr>
        <w:t>protection as may be available, and (z) only discloses that portion of the Confidential Information that is legally required to be</w:t>
      </w:r>
    </w:p>
    <w:p>
      <w:pPr>
        <w:spacing w:after="0" w:line="230" w:lineRule="auto"/>
        <w:rPr>
          <w:sz w:val="20"/>
          <w:szCs w:val="20"/>
          <w:color w:val="auto"/>
        </w:rPr>
      </w:pPr>
      <w:r>
        <w:rPr>
          <w:rFonts w:ascii="Times New Roman" w:cs="Times New Roman" w:eastAsia="Times New Roman" w:hAnsi="Times New Roman"/>
          <w:sz w:val="22"/>
          <w:szCs w:val="22"/>
          <w:color w:val="auto"/>
        </w:rPr>
        <w:t>disclosed. For the avoidance of doubt, such Confidential Information maintains its confidentiality protection for all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purposes other than</w:t>
      </w:r>
    </w:p>
    <w:p>
      <w:pPr>
        <w:spacing w:after="0" w:line="3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6" w:name="page87"/>
    <w:bookmarkEnd w:id="86"/>
    <w:p>
      <w:pPr>
        <w:jc w:val="both"/>
        <w:spacing w:after="0" w:line="238" w:lineRule="auto"/>
        <w:rPr>
          <w:sz w:val="20"/>
          <w:szCs w:val="20"/>
          <w:color w:val="auto"/>
        </w:rPr>
      </w:pPr>
      <w:r>
        <w:rPr>
          <w:rFonts w:ascii="Times New Roman" w:cs="Times New Roman" w:eastAsia="Times New Roman" w:hAnsi="Times New Roman"/>
          <w:sz w:val="22"/>
          <w:szCs w:val="22"/>
          <w:color w:val="auto"/>
        </w:rPr>
        <w:t>such legally-compelled disclosure. Consultant acknowledges that the use or disclosure of Confidential Information without the Company’s express written permission may cause the Company irreparable harm and that any breach or threatened breach of this Section 2 by Consultant will entitle the Company to seek to obtain injunctive relief and reasonable attorneys’ fees, in addition to any other legal remedies available to it, in any court of competent jurisdiction without having to prove actual damages or post a bond.</w:t>
      </w:r>
    </w:p>
    <w:p>
      <w:pPr>
        <w:spacing w:after="0" w:line="17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Third-Party Confidential Information.</w:t>
      </w:r>
    </w:p>
    <w:p>
      <w:pPr>
        <w:spacing w:after="0" w:line="210" w:lineRule="exact"/>
        <w:rPr>
          <w:sz w:val="20"/>
          <w:szCs w:val="20"/>
          <w:color w:val="auto"/>
        </w:rPr>
      </w:pPr>
    </w:p>
    <w:p>
      <w:pPr>
        <w:jc w:val="both"/>
        <w:ind w:firstLine="2254"/>
        <w:spacing w:after="0" w:line="235" w:lineRule="auto"/>
        <w:tabs>
          <w:tab w:leader="none" w:pos="2546"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Consultant recognizes that the Company has received, and in the future may receive, from third parties their confidential or proprietary information subject to a duty on the Company’s part to maintain the confidentiality of such information and to use it only for certain limited purposes. Consultant agrees that, during the Term of this Agreement and thereafter, Consultant owes the Company and such third parties a duty to hold all such confidential or proprietary information, which shall be deemed Confidential Information for purposes of this Agreement, in the strictest confidence and not to disclose it to any person, firm or other entity or to use it except as necessary in carrying out the Services for the Company consistent with the Company’s agreement with such third party.</w:t>
      </w:r>
    </w:p>
    <w:p>
      <w:pPr>
        <w:spacing w:after="0" w:line="183" w:lineRule="exact"/>
        <w:rPr>
          <w:rFonts w:ascii="Times New Roman" w:cs="Times New Roman" w:eastAsia="Times New Roman" w:hAnsi="Times New Roman"/>
          <w:sz w:val="22"/>
          <w:szCs w:val="22"/>
          <w:b w:val="1"/>
          <w:bCs w:val="1"/>
          <w:color w:val="auto"/>
        </w:rPr>
      </w:pPr>
    </w:p>
    <w:p>
      <w:pPr>
        <w:jc w:val="both"/>
        <w:ind w:firstLine="2254"/>
        <w:spacing w:after="0" w:line="233" w:lineRule="auto"/>
        <w:tabs>
          <w:tab w:leader="none" w:pos="2546"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Consultant agrees that Consultant will not use or disclose to Company, in connection with Consultant’s work for or for the benefit of Company, any confidential or proprietary information or trade secrets of any former or current employer or other person or entity with which Consultant has an agreement or duty to keep in confidence such information. Consultant also agrees that Consultant will not bring onto the premises of Company any unpublished document or confidential or proprietary information or trade secrets belonging to such employer, person or entity unless consented to in writing by the same. Consultant further agrees that any property situated on Company’s premises and owned by Company, including disks and other storage media, filing cabinets or other work areas, is subject to inspection by Company personnel at any time without notice. Consultant also recognizes and agrees that Consultant has no expectation of privacy with respect to Company’s telecommunications, networking or information processing systems (including, without limitation, stored computer files, email messages and voice messages), and that Consultant’s activity, and any files or messages, on or using any of those systems, may be monitored at any time without notice.</w:t>
      </w:r>
    </w:p>
    <w:p>
      <w:pPr>
        <w:spacing w:after="0" w:line="18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2.4 Return of Materials. </w:t>
      </w:r>
      <w:r>
        <w:rPr>
          <w:rFonts w:ascii="Times New Roman" w:cs="Times New Roman" w:eastAsia="Times New Roman" w:hAnsi="Times New Roman"/>
          <w:sz w:val="22"/>
          <w:szCs w:val="22"/>
          <w:color w:val="auto"/>
        </w:rPr>
        <w:t>Upon the expiration or termination of this Agreement, or upon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earlier request, Consultant will promptly deliver to the Company, and will not keep in Consultant’s possession, recreate or deliver to anyone else, any and all Company property, including, but not limited to, Confidential Information, tangible embodiments of Inventions, all devices and equipment belonging to the Company, all electronically-stored information and passwords to access such property, those records maintained pursuant to Section 3.5, and any reproductions of any of the foregoing items that Consultant may have in Consultant’s possession or control; and, upon the Company’s request, Consultant agrees to certify in writing that Consultant has fully complied with this obligation.</w:t>
      </w:r>
    </w:p>
    <w:p>
      <w:pPr>
        <w:spacing w:after="0" w:line="3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7" w:name="page88"/>
    <w:bookmarkEnd w:id="87"/>
    <w:p>
      <w:pPr>
        <w:ind w:left="760"/>
        <w:spacing w:after="0"/>
        <w:rPr>
          <w:sz w:val="20"/>
          <w:szCs w:val="20"/>
          <w:color w:val="auto"/>
        </w:rPr>
      </w:pPr>
      <w:r>
        <w:rPr>
          <w:rFonts w:ascii="Times New Roman" w:cs="Times New Roman" w:eastAsia="Times New Roman" w:hAnsi="Times New Roman"/>
          <w:sz w:val="22"/>
          <w:szCs w:val="22"/>
          <w:b w:val="1"/>
          <w:bCs w:val="1"/>
          <w:color w:val="auto"/>
        </w:rPr>
        <w:t>3. Ownership.</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3.1 Assignment. </w:t>
      </w:r>
      <w:r>
        <w:rPr>
          <w:rFonts w:ascii="Times New Roman" w:cs="Times New Roman" w:eastAsia="Times New Roman" w:hAnsi="Times New Roman"/>
          <w:sz w:val="22"/>
          <w:szCs w:val="22"/>
          <w:color w:val="auto"/>
        </w:rPr>
        <w:t>Consultant agrees that all deliverables including data, reports and other work product,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all information (including without limitation, business plans and/or business information), technology, know-how, materials, notes, records, drawings, designs, inventions, ideas, discoveries, enhancements, modifications, improvements, developments, devices, compositions, trade secrets, processes, methods and/or techniques, whether or not patentable or copyrightable, that are conceived, generated, made, discovered, developed or reduced to practice by Consultant, solely or jointly with others, in the course of performing Services or through the use of Confidential Information or the facilities, equipment, supplies or materials of the Company (collectively, </w:t>
      </w:r>
      <w:r>
        <w:rPr>
          <w:rFonts w:ascii="Times New Roman" w:cs="Times New Roman" w:eastAsia="Times New Roman" w:hAnsi="Times New Roman"/>
          <w:sz w:val="22"/>
          <w:szCs w:val="22"/>
          <w:b w:val="1"/>
          <w:bCs w:val="1"/>
          <w:i w:val="1"/>
          <w:iCs w:val="1"/>
          <w:color w:val="auto"/>
        </w:rPr>
        <w:t>“Inventions”</w:t>
      </w:r>
      <w:r>
        <w:rPr>
          <w:rFonts w:ascii="Times New Roman" w:cs="Times New Roman" w:eastAsia="Times New Roman" w:hAnsi="Times New Roman"/>
          <w:sz w:val="22"/>
          <w:szCs w:val="22"/>
          <w:color w:val="auto"/>
        </w:rPr>
        <w:t xml:space="preserve">), are and shall be the sole and exclusive property of the Company. Consultant agrees to disclose such Inventions promptly in writing to the Company and without additional consideration, hereby irrevocably assigns, and to the extent not assignable at present, agrees to assign, to the Company all right, title and interest in and to any and all such Inventions, including all intellectual property rights therein and thereto and enforcement rights. 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Times New Roman" w:cs="Times New Roman" w:eastAsia="Times New Roman" w:hAnsi="Times New Roman"/>
          <w:sz w:val="22"/>
          <w:szCs w:val="22"/>
          <w:b w:val="1"/>
          <w:bCs w:val="1"/>
          <w:i w:val="1"/>
          <w:iCs w:val="1"/>
          <w:color w:val="auto"/>
        </w:rPr>
        <w:t>“Moral Rights”</w:t>
      </w:r>
      <w:r>
        <w:rPr>
          <w:rFonts w:ascii="Times New Roman" w:cs="Times New Roman" w:eastAsia="Times New Roman" w:hAnsi="Times New Roman"/>
          <w:sz w:val="22"/>
          <w:szCs w:val="22"/>
          <w:color w:val="auto"/>
        </w:rPr>
        <w:t>). To the extent that Moral Rights cannot be assigned under applicable law, Consultant hereby waives and agrees not to enforce any and all Moral Rights, including, without limitation, any limitation on subsequent modification, to the extent permitted under applicable law.</w:t>
      </w:r>
    </w:p>
    <w:p>
      <w:pPr>
        <w:spacing w:after="0" w:line="177"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3.2 Further Assurances. </w:t>
      </w:r>
      <w:r>
        <w:rPr>
          <w:rFonts w:ascii="Times New Roman" w:cs="Times New Roman" w:eastAsia="Times New Roman" w:hAnsi="Times New Roman"/>
          <w:sz w:val="21"/>
          <w:szCs w:val="21"/>
          <w:color w:val="auto"/>
        </w:rPr>
        <w:t>Consultant will sign, execute and acknowledge, without cost but at the expense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any and all documents, and to perform such acts, as may be necessary, useful or convenient for the purposes of perfecting the foregoing assignment of such Inventions and to obtain, enforce and/or defend intellectual property rights, including copyright and patent rights, in any and all countries with respect to such Inventions. Consultant also agrees that Consultant’s obligation to sign, execute and acknowledge any such documents shall continue after the expiration or earlier termination of this Agreement. It is understood and agreed that Company or Company’s designee shall have the sole right, but not the obligation, to prepare, file, prosecute and maintain patent applications and patents worldwide with respect to Inventions.</w:t>
      </w:r>
    </w:p>
    <w:p>
      <w:pPr>
        <w:spacing w:after="0" w:line="17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b w:val="1"/>
          <w:bCs w:val="1"/>
          <w:color w:val="auto"/>
        </w:rPr>
        <w:t>3.3 Pre-Existing Materials</w:t>
      </w:r>
      <w:r>
        <w:rPr>
          <w:rFonts w:ascii="Times New Roman" w:cs="Times New Roman" w:eastAsia="Times New Roman" w:hAnsi="Times New Roman"/>
          <w:sz w:val="22"/>
          <w:szCs w:val="22"/>
          <w:color w:val="auto"/>
        </w:rPr>
        <w:t>. Subject to Section 3.1, Consultant agrees that if, in the course of performing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Consultant incorporates into any Invention developed hereunder or otherwise uses in the performance of any Services, any invention, improvement, development, concept, discovery or other proprietary subject matter owned by Consultant or in which Consultant has an interest prior to, or separate from, performing the Services under this Agreement (</w:t>
      </w:r>
      <w:r>
        <w:rPr>
          <w:rFonts w:ascii="Times New Roman" w:cs="Times New Roman" w:eastAsia="Times New Roman" w:hAnsi="Times New Roman"/>
          <w:sz w:val="22"/>
          <w:szCs w:val="22"/>
          <w:b w:val="1"/>
          <w:bCs w:val="1"/>
          <w:i w:val="1"/>
          <w:iCs w:val="1"/>
          <w:color w:val="auto"/>
        </w:rPr>
        <w:t>“Prior Inventions”</w:t>
      </w:r>
      <w:r>
        <w:rPr>
          <w:rFonts w:ascii="Times New Roman" w:cs="Times New Roman" w:eastAsia="Times New Roman" w:hAnsi="Times New Roman"/>
          <w:sz w:val="22"/>
          <w:szCs w:val="22"/>
          <w:color w:val="auto"/>
        </w:rPr>
        <w:t>), Consultant will inform Company in writing thereof, and without additional consideration, Consultant hereby grants, and to the extent such grant cannot be made at present, agrees to grant, to the Company a non-exclusive, fully paid up, royalty-free, perpetual, irrevocable, transferable, worldwide license, with right to grant and authorize sublicenses through multiple tiers, to make, have made, modify, reproduce, display, use, distribute, adapt, prepare derivative works of, display, perform, offer for sale, sell, import, export and otherwise practice and exploit such Prior Invention.</w:t>
      </w:r>
    </w:p>
    <w:p>
      <w:pPr>
        <w:spacing w:after="0" w:line="3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8" w:name="page89"/>
    <w:bookmarkEnd w:id="88"/>
    <w:p>
      <w:pPr>
        <w:jc w:val="both"/>
        <w:ind w:firstLine="149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3.4 Attorney-in-Fact. </w:t>
      </w:r>
      <w:r>
        <w:rPr>
          <w:rFonts w:ascii="Times New Roman" w:cs="Times New Roman" w:eastAsia="Times New Roman" w:hAnsi="Times New Roman"/>
          <w:sz w:val="22"/>
          <w:szCs w:val="22"/>
          <w:color w:val="auto"/>
        </w:rPr>
        <w:t>Consultant agrees that, if the Company is unable because of Consultant’s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unavailability, mental or physical incapacity, or for any other reason, to secure Consultant’s signature for the purpose of applying for or pursuing any application or registration for any intellectual property rights covering any Invention, then Consultant hereby irrevocably designates and appoints the Company and its duly authorized officers and agents as Consultant’s agent and attorney-in-fact, to act for and on Consultant’s behalf to execute and file any such applications and any associated documents, and to do all other lawfully permitted acts, to further the prosecution and issuance of such intellectual property rights thereon with the same legal force and effect as if executed by Consultant. This power of attorney shall be deemed coupled with an interest and shall be irrevocable.</w:t>
      </w:r>
    </w:p>
    <w:p>
      <w:pPr>
        <w:spacing w:after="0" w:line="17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3.5 Maintenance of Records. </w:t>
      </w:r>
      <w:r>
        <w:rPr>
          <w:rFonts w:ascii="Times New Roman" w:cs="Times New Roman" w:eastAsia="Times New Roman" w:hAnsi="Times New Roman"/>
          <w:sz w:val="22"/>
          <w:szCs w:val="22"/>
          <w:color w:val="auto"/>
        </w:rPr>
        <w:t>Consultant agrees to keep and maintain adequate, current, accurate, complete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authentic written records of all work conducted under this Agreement, and all Inventions. The records shall be in the form of notes, sketches, drawings, electronic files, reports, laboratory notebooks that are signed, dated and witnessed, or any other format that is customary in the industry and/or otherwise specified by the Company and shall properly reflect all work done and results achieved in sufficient detail and in a good scientific manner appropriate for patent and regulatory purposes. Such records are and remain the sole property and Confidential Information of the Company at all times and upon Company’s request, Consultant shall deliver (or cause to be delivered) such records (or copies thereof, if requested) to Company or its designee, and Company and its designees shall have the right to audit, inspect and copy any such records.</w:t>
      </w:r>
    </w:p>
    <w:p>
      <w:pPr>
        <w:spacing w:after="0" w:line="178"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3.6 Reports. </w:t>
      </w:r>
      <w:r>
        <w:rPr>
          <w:rFonts w:ascii="Times New Roman" w:cs="Times New Roman" w:eastAsia="Times New Roman" w:hAnsi="Times New Roman"/>
          <w:sz w:val="22"/>
          <w:szCs w:val="22"/>
          <w:color w:val="auto"/>
        </w:rPr>
        <w:t>For time to time during the term of this Agreement, or otherwise at the request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agrees to keep the Company advised as to Consultant’s progress in performing the Services under this Agreement. Consultant further agrees that Consultant will, as reasonably requested by the Company, prepare written reports with respect to such progress. The Company and Consultant agree that the reasonable time expended in preparing such written reports will be considered time devoted to the performance of the Services. All such reports prepared by Consultant shall be the sole property and Confidential Information of the Company.</w:t>
      </w:r>
    </w:p>
    <w:p>
      <w:pPr>
        <w:spacing w:after="0" w:line="175" w:lineRule="exact"/>
        <w:rPr>
          <w:sz w:val="20"/>
          <w:szCs w:val="20"/>
          <w:color w:val="auto"/>
        </w:rPr>
      </w:pPr>
    </w:p>
    <w:p>
      <w:pPr>
        <w:jc w:val="both"/>
        <w:ind w:right="2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3.7 No Implied Rights or Licenses. </w:t>
      </w:r>
      <w:r>
        <w:rPr>
          <w:rFonts w:ascii="Times New Roman" w:cs="Times New Roman" w:eastAsia="Times New Roman" w:hAnsi="Times New Roman"/>
          <w:sz w:val="22"/>
          <w:szCs w:val="22"/>
          <w:color w:val="auto"/>
        </w:rPr>
        <w:t>No rights or licenses, including without limitation to trademarks,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inventions, copyrights, patents or other intellectual properties or to any Confidential Information, are implied or granted to Consultant, whether by implication, estoppel or otherwise, under this Agreement.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4. Representations and Warranties; Limitation of Liability.</w:t>
      </w:r>
    </w:p>
    <w:p>
      <w:pPr>
        <w:spacing w:after="0" w:line="206" w:lineRule="exact"/>
        <w:rPr>
          <w:sz w:val="20"/>
          <w:szCs w:val="20"/>
          <w:color w:val="auto"/>
        </w:rPr>
      </w:pPr>
    </w:p>
    <w:p>
      <w:pPr>
        <w:jc w:val="both"/>
        <w:ind w:firstLine="1497"/>
        <w:spacing w:after="0" w:line="258" w:lineRule="exact"/>
        <w:rPr>
          <w:sz w:val="20"/>
          <w:szCs w:val="20"/>
          <w:color w:val="auto"/>
        </w:rPr>
      </w:pPr>
      <w:r>
        <w:rPr>
          <w:rFonts w:ascii="Times New Roman" w:cs="Times New Roman" w:eastAsia="Times New Roman" w:hAnsi="Times New Roman"/>
          <w:sz w:val="21"/>
          <w:szCs w:val="21"/>
          <w:b w:val="1"/>
          <w:bCs w:val="1"/>
          <w:color w:val="auto"/>
        </w:rPr>
        <w:t xml:space="preserve">4.1 Representations and Warranties. </w:t>
      </w:r>
      <w:r>
        <w:rPr>
          <w:rFonts w:ascii="Times New Roman" w:cs="Times New Roman" w:eastAsia="Times New Roman" w:hAnsi="Times New Roman"/>
          <w:sz w:val="21"/>
          <w:szCs w:val="21"/>
          <w:color w:val="auto"/>
        </w:rPr>
        <w:t>Consultant represents and warrants to the Company that Consultant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legally able to enter into this Agreement and that Consultant’s execution, delivery and performance of this Agreement does not, and will not, violate or conflict with any agreement, arrangement or understanding, written or oral, to which Consultant is a party or by which Consultant is bound. Consultant further certifies, represents and warrants that Consultant has never been: (a) debarred or convicted of a crime for which a person or entity can be debarred under Section 306(a) or 306(b) of the United States Generic Drug Enforcement Act of 1992 or under 42 U.S.C. Section 1320a</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7 or any foreign equivalent; or (b) sanctioned by,</w:t>
      </w:r>
    </w:p>
    <w:p>
      <w:pPr>
        <w:spacing w:after="0" w:line="3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9" w:name="page90"/>
    <w:bookmarkEnd w:id="89"/>
    <w:p>
      <w:pPr>
        <w:jc w:val="both"/>
        <w:spacing w:after="0" w:line="239" w:lineRule="auto"/>
        <w:rPr>
          <w:sz w:val="20"/>
          <w:szCs w:val="20"/>
          <w:color w:val="auto"/>
        </w:rPr>
      </w:pPr>
      <w:r>
        <w:rPr>
          <w:rFonts w:ascii="Times New Roman" w:cs="Times New Roman" w:eastAsia="Times New Roman" w:hAnsi="Times New Roman"/>
          <w:sz w:val="22"/>
          <w:szCs w:val="22"/>
          <w:color w:val="auto"/>
        </w:rPr>
        <w:t>suspended, excluded, or otherwise deemed ineligible to participate in any federal health care program including Medicare and Medicaid, or any other federal procurement or non-procurement programs. Should Consultant be debarred, convicted or sanctioned as described above, Consultant shall immediately notify the Company of such debarment, conviction or sanction and Company shall have the right to terminate this Agreement upon written notice to Consultant.</w:t>
      </w:r>
    </w:p>
    <w:p>
      <w:pPr>
        <w:spacing w:after="0" w:line="17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4.2 Limitation of Liability. </w:t>
      </w:r>
      <w:r>
        <w:rPr>
          <w:rFonts w:ascii="Times New Roman" w:cs="Times New Roman" w:eastAsia="Times New Roman" w:hAnsi="Times New Roman"/>
          <w:sz w:val="22"/>
          <w:szCs w:val="22"/>
          <w:color w:val="auto"/>
        </w:rPr>
        <w:t>IN NO EVENT SHALL COMPANY BE LIABLE TO CONSULTANT 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PARTY FOR ANY INDIRECT, INCIDENTAL, SPECIAL, EXEMPLARY, PUNITIVE OR CONSEQUENTIAL DAMAGES, OR DAMAGES FOR LOST PROFITS, LOSS OF USE OR LOSS OF BUSINESS, HOWEVER CAUSED AND UNDER ANY THEORY OF LIABILITY, WHETHER BASED IN CONTRACT, TORT (INCLUDING NEGLIGENCE) OR OTHER THEORY OF LIABILITY, REGARDLESS OF WHETHER COMPANY WAS ADVISED OF THE POSSIBILITY OF SUCH DAMAGES AND NOTWITHSTANDING THE FAILURE OF ESSENTIAL PURPOSE OF ANY LIMITED REMEDY. IN NO EVENT SHALL COMPANY’S LIABILITY ARISING OUT OF OR IN CONNECTION WITH THIS AGREEMENT EXCEED THE AMOUNTS PAID BY COMPANY TO CONSULTANT UNDER THIS AGREEMENT FOR THE SERVICES GIVING RISE TO SUCH LIABILITY.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 Term and Termination.</w:t>
      </w:r>
    </w:p>
    <w:p>
      <w:pPr>
        <w:spacing w:after="0" w:line="204" w:lineRule="exact"/>
        <w:rPr>
          <w:sz w:val="20"/>
          <w:szCs w:val="20"/>
          <w:color w:val="auto"/>
        </w:rPr>
      </w:pPr>
    </w:p>
    <w:p>
      <w:pPr>
        <w:jc w:val="both"/>
        <w:ind w:right="20" w:firstLine="1497"/>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5.1 Term. </w:t>
      </w:r>
      <w:r>
        <w:rPr>
          <w:rFonts w:ascii="Times New Roman" w:cs="Times New Roman" w:eastAsia="Times New Roman" w:hAnsi="Times New Roman"/>
          <w:sz w:val="22"/>
          <w:szCs w:val="22"/>
          <w:color w:val="auto"/>
        </w:rPr>
        <w:t>The initial term of this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 shall commence on the Effective Date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remain in full force and effect for one (1) year unless earlier terminated as provided in Section 5.2. The Term may be extended by the mutual written agreement of the parties.</w:t>
      </w:r>
    </w:p>
    <w:p>
      <w:pPr>
        <w:spacing w:after="0" w:line="16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5.2 Termination. </w:t>
      </w:r>
      <w:r>
        <w:rPr>
          <w:rFonts w:ascii="Times New Roman" w:cs="Times New Roman" w:eastAsia="Times New Roman" w:hAnsi="Times New Roman"/>
          <w:sz w:val="22"/>
          <w:szCs w:val="22"/>
          <w:color w:val="auto"/>
        </w:rPr>
        <w:t>Company may terminate this Agreement for any reason or no reason upon written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Consultant. Consultant may terminate this Agreement on written notice to Company if Company breaches any material provision of this Agreement and does not cure such breach within thirty (30) days after receipt of Consultant’s written notice of such breach.</w:t>
      </w:r>
    </w:p>
    <w:p>
      <w:pPr>
        <w:spacing w:after="0" w:line="17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5.3</w:t>
        <w:tab/>
        <w:t xml:space="preserve">Survival. </w:t>
      </w:r>
      <w:r>
        <w:rPr>
          <w:rFonts w:ascii="Times New Roman" w:cs="Times New Roman" w:eastAsia="Times New Roman" w:hAnsi="Times New Roman"/>
          <w:sz w:val="22"/>
          <w:szCs w:val="22"/>
          <w:color w:val="auto"/>
        </w:rPr>
        <w:t>Upon termination of this Agreement, all rights and duties of the parties hereunder shall cease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except:</w:t>
      </w:r>
    </w:p>
    <w:p>
      <w:pPr>
        <w:spacing w:after="0" w:line="182" w:lineRule="exact"/>
        <w:rPr>
          <w:sz w:val="20"/>
          <w:szCs w:val="20"/>
          <w:color w:val="auto"/>
        </w:rPr>
      </w:pPr>
    </w:p>
    <w:p>
      <w:pPr>
        <w:jc w:val="both"/>
        <w:ind w:firstLine="2254"/>
        <w:spacing w:after="0" w:line="261" w:lineRule="auto"/>
        <w:tabs>
          <w:tab w:leader="none" w:pos="2546"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will pay, within thirty (30) days after receipt of Consultant’s final statement, all undisputed amounts due and owing to Consultant for unpaid Services properly completed and accepted by the Company prior to the termination date and related reimbursable expenses, if any, submitted in accordance with the provisions of Exhibit A; and</w:t>
      </w:r>
    </w:p>
    <w:p>
      <w:pPr>
        <w:spacing w:after="0" w:line="157" w:lineRule="exact"/>
        <w:rPr>
          <w:rFonts w:ascii="Times New Roman" w:cs="Times New Roman" w:eastAsia="Times New Roman" w:hAnsi="Times New Roman"/>
          <w:sz w:val="21"/>
          <w:szCs w:val="21"/>
          <w:b w:val="1"/>
          <w:bCs w:val="1"/>
          <w:color w:val="auto"/>
        </w:rPr>
      </w:pPr>
    </w:p>
    <w:p>
      <w:pPr>
        <w:ind w:left="2560" w:hanging="306"/>
        <w:spacing w:after="0"/>
        <w:tabs>
          <w:tab w:leader="none" w:pos="25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Sections 1, 2, 3, 4, 5.3, 6, 7, 8 and 9 will survive the expiration or any termination of this</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Agreement.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 Independent Contractor; Benefits; Taxes.</w:t>
      </w:r>
    </w:p>
    <w:p>
      <w:pPr>
        <w:spacing w:after="0" w:line="20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1"/>
          <w:szCs w:val="21"/>
          <w:b w:val="1"/>
          <w:bCs w:val="1"/>
          <w:color w:val="auto"/>
        </w:rPr>
        <w:t>Independent Contractor; Government Employee Status.</w:t>
      </w:r>
    </w:p>
    <w:p>
      <w:pPr>
        <w:spacing w:after="0" w:line="210" w:lineRule="exact"/>
        <w:rPr>
          <w:sz w:val="20"/>
          <w:szCs w:val="20"/>
          <w:color w:val="auto"/>
        </w:rPr>
      </w:pPr>
    </w:p>
    <w:p>
      <w:pPr>
        <w:ind w:right="20" w:firstLine="2254"/>
        <w:spacing w:after="0" w:line="258" w:lineRule="auto"/>
        <w:tabs>
          <w:tab w:leader="none" w:pos="2546"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is the express intention of the Company and Consultant that Consultant performs the Services as an independent contractor to the Company, and nothing in</w:t>
      </w:r>
    </w:p>
    <w:p>
      <w:pPr>
        <w:spacing w:after="0" w:line="3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0" w:name="page91"/>
    <w:bookmarkEnd w:id="90"/>
    <w:p>
      <w:pPr>
        <w:jc w:val="both"/>
        <w:spacing w:after="0" w:line="238" w:lineRule="auto"/>
        <w:rPr>
          <w:sz w:val="20"/>
          <w:szCs w:val="20"/>
          <w:color w:val="auto"/>
        </w:rPr>
      </w:pPr>
      <w:r>
        <w:rPr>
          <w:rFonts w:ascii="Times New Roman" w:cs="Times New Roman" w:eastAsia="Times New Roman" w:hAnsi="Times New Roman"/>
          <w:sz w:val="22"/>
          <w:szCs w:val="22"/>
          <w:color w:val="auto"/>
        </w:rPr>
        <w:t>this Agreement should be construed to create an agency, partnership, joint venture or employer-employee relationship. Consultant (a) is not the agent, employee or representative of the Company and (b) is not authorized to bind the Company to any liability or obligation, or to represent that the Consultant has any such authority. Consultant warrants and represents that Consultant is customarily engaged in an independently established business of the same nature as that involved in the work performed hereunder.</w:t>
      </w:r>
    </w:p>
    <w:p>
      <w:pPr>
        <w:spacing w:after="0" w:line="177" w:lineRule="exact"/>
        <w:rPr>
          <w:sz w:val="20"/>
          <w:szCs w:val="20"/>
          <w:color w:val="auto"/>
        </w:rPr>
      </w:pPr>
    </w:p>
    <w:p>
      <w:pPr>
        <w:jc w:val="both"/>
        <w:ind w:firstLine="2254"/>
        <w:spacing w:after="0" w:line="233" w:lineRule="auto"/>
        <w:tabs>
          <w:tab w:leader="none" w:pos="2546"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that Consultant becomes employed by a federal, state, local, or foreign government (or an agency thereof) (collectively a “</w:t>
      </w:r>
      <w:r>
        <w:rPr>
          <w:rFonts w:ascii="Times New Roman" w:cs="Times New Roman" w:eastAsia="Times New Roman" w:hAnsi="Times New Roman"/>
          <w:sz w:val="22"/>
          <w:szCs w:val="22"/>
          <w:b w:val="1"/>
          <w:bCs w:val="1"/>
          <w:i w:val="1"/>
          <w:iCs w:val="1"/>
          <w:color w:val="auto"/>
        </w:rPr>
        <w:t>government employee</w:t>
      </w:r>
      <w:r>
        <w:rPr>
          <w:rFonts w:ascii="Times New Roman" w:cs="Times New Roman" w:eastAsia="Times New Roman" w:hAnsi="Times New Roman"/>
          <w:sz w:val="22"/>
          <w:szCs w:val="22"/>
          <w:color w:val="auto"/>
        </w:rPr>
        <w:t>”), Consultant shall certify that performance of the Services, and receipt of compensation and/or reimbursement hereunder: (i) do not conflict with any contractual obligation or terms of Consultant’s employment or official duties; and (ii) do not violate any law, policy or ethics rules relating to Consultant’s employment and Consultant’s performance of Services as an independent consultant to Company. Consultant shall further certify that Consultant has and will take any actions required by the entity or agency by which s/he is employed or to which s/he has been elected/appointed related to the Services and compensation/reimbursement hereunder, which may include, by way of example, disclosure of outside financial relationships, approval of outside consulting arrangements, and recusal from participation in certain decision-making activities. Failure to comply fully with this Section shall constitute a material breach of this Agreement, and Company reserves the right to require Consultant to refund any compensation, expenses, or costs hereunder, in addition to any other legal rights Company may have.</w:t>
      </w:r>
    </w:p>
    <w:p>
      <w:pPr>
        <w:spacing w:after="0" w:line="183"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6.2 Benefits. </w:t>
      </w:r>
      <w:r>
        <w:rPr>
          <w:rFonts w:ascii="Times New Roman" w:cs="Times New Roman" w:eastAsia="Times New Roman" w:hAnsi="Times New Roman"/>
          <w:sz w:val="22"/>
          <w:szCs w:val="22"/>
          <w:color w:val="auto"/>
        </w:rPr>
        <w:t>The Company and Consultant agree that Consultant will receive no Company-sponsored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from the Company. If Consultant is reclassified by a state or federal agency or court as the Company’s employee, Consultant will become a reclassified employee and will receive no benefits from the Company, except those mandated by state or federal law, even if by the terms of the Company’s benefit plans or programs of the Company in effect at the time of such reclassification, Consultant would otherwise be eligible for such benefits. Your outstanding equity awards shall continue to be governed by the plan and applicable grant notices and agreements under which they were granted.</w:t>
      </w:r>
    </w:p>
    <w:p>
      <w:pPr>
        <w:spacing w:after="0" w:line="175"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6.3 Taxes and Withholdings. </w:t>
      </w:r>
      <w:r>
        <w:rPr>
          <w:rFonts w:ascii="Times New Roman" w:cs="Times New Roman" w:eastAsia="Times New Roman" w:hAnsi="Times New Roman"/>
          <w:sz w:val="22"/>
          <w:szCs w:val="22"/>
          <w:color w:val="auto"/>
        </w:rPr>
        <w:t>The Company shall not be responsible for paying any federal, state or local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taxes on compensation, and Consultant shall be solely responsible for the payment thereof. The Company may, however, report payments made to Consultant hereunder to tax authorities. Consultant acknowledges and agrees that Consultant is obligated to report as income all compensation received by Consultant pursuant to this Agreement. Consultant further agrees to accept exclusive liability for complying with all applicable state and federal laws, including laws governing self-employed individuals, if applicable, such as laws related to payment of taxes, social security, disability, and other contributions based on fees paid to Consultant under this Agreement. The Company will not withhold or make payments for social security, unemployment insurance or disability insurance contributions, or obtain workers’ compensation insurance on Consultant’s behalf. Consultant hereby agrees to indemnify and defend the Company against any and all such taxes or contributions, including penalties and interest. Consultant agrees to provide proof of payment of appropriate taxes on any fees paid to Consultant under this Agreement upon reasonable request of the Company.</w:t>
      </w:r>
    </w:p>
    <w:p>
      <w:pPr>
        <w:spacing w:after="0" w:line="3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1" w:name="page92"/>
    <w:bookmarkEnd w:id="91"/>
    <w:p>
      <w:pPr>
        <w:ind w:left="760"/>
        <w:spacing w:after="0"/>
        <w:rPr>
          <w:sz w:val="20"/>
          <w:szCs w:val="20"/>
          <w:color w:val="auto"/>
        </w:rPr>
      </w:pPr>
      <w:r>
        <w:rPr>
          <w:rFonts w:ascii="Times New Roman" w:cs="Times New Roman" w:eastAsia="Times New Roman" w:hAnsi="Times New Roman"/>
          <w:sz w:val="22"/>
          <w:szCs w:val="22"/>
          <w:b w:val="1"/>
          <w:bCs w:val="1"/>
          <w:color w:val="auto"/>
        </w:rPr>
        <w:t>7. Conflicting Obligations; Nonsolicitation; Non-Disclosure.</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b w:val="1"/>
          <w:bCs w:val="1"/>
          <w:color w:val="auto"/>
        </w:rPr>
        <w:t>7.1 Conflicting Obligations</w:t>
      </w:r>
      <w:r>
        <w:rPr>
          <w:rFonts w:ascii="Times New Roman" w:cs="Times New Roman" w:eastAsia="Times New Roman" w:hAnsi="Times New Roman"/>
          <w:sz w:val="22"/>
          <w:szCs w:val="22"/>
          <w:color w:val="auto"/>
        </w:rPr>
        <w:t>. Consultant agrees to use his/her best efforts: (a) to segregate Consultant’s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performed under this Agreement from Consultant’s work done for any other corporation, institution or other person or entity so as to minimize any questions of disclosure of, or rights under, any inventions; (b) to notify the Chair of the Board, Chief Executive Officer, President or similar senior executive officer of the Company in writing if at any time the Consultant believes that such questions may result from his/her/their performance under this Agreement; and (c) to assist Company in fairly resolving any questions in this regard which may arise. The Services performed hereunder will not be conducted on time that is required to be devoted to any other third party. Consultant shall not use the funding, resources, personnel and/or facilities of any other third party, without the prior written consent of Company, to perform Services hereunder and shall not perform the Services hereunder in any manner that would give any third party rights, licenses or access to any work product (including Inventions) of such Services. In addition, Consultant will not, during the Term, enter into any agreement or modification of any existing agreement or arrangement (whether written or oral) that is inconsistent with or otherwise conflicts with Consultant’s obligations under this Agreement.</w:t>
      </w:r>
    </w:p>
    <w:p>
      <w:pPr>
        <w:spacing w:after="0" w:line="185"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7.2 Non-Disclosure. </w:t>
      </w:r>
      <w:r>
        <w:rPr>
          <w:rFonts w:ascii="Times New Roman" w:cs="Times New Roman" w:eastAsia="Times New Roman" w:hAnsi="Times New Roman"/>
          <w:sz w:val="22"/>
          <w:szCs w:val="22"/>
          <w:color w:val="auto"/>
        </w:rPr>
        <w:t>Consultant agrees that without the prior written consent of the Company, Consultant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not intentionally generate any publicity, news release or other announcement concerning the engagement of Consultant hereunder or the Services to be performed by Consultant hereunder or otherwise utilize the name of the Company or any of its affiliates or their employees for any advertising or promotional purposes.</w:t>
      </w:r>
    </w:p>
    <w:p>
      <w:pPr>
        <w:spacing w:after="0" w:line="172" w:lineRule="exact"/>
        <w:rPr>
          <w:sz w:val="20"/>
          <w:szCs w:val="20"/>
          <w:color w:val="auto"/>
        </w:rPr>
      </w:pPr>
    </w:p>
    <w:p>
      <w:pPr>
        <w:jc w:val="both"/>
        <w:ind w:firstLine="757"/>
        <w:spacing w:after="0" w:line="237" w:lineRule="auto"/>
        <w:tabs>
          <w:tab w:leader="none" w:pos="1018"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Voluntary Nature of Agreement. </w:t>
      </w:r>
      <w:r>
        <w:rPr>
          <w:rFonts w:ascii="Times New Roman" w:cs="Times New Roman" w:eastAsia="Times New Roman" w:hAnsi="Times New Roman"/>
          <w:sz w:val="22"/>
          <w:szCs w:val="22"/>
          <w:color w:val="auto"/>
        </w:rPr>
        <w:t>Consultant acknowledges and agrees that Consultant is executing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voluntarily and without any duress or undue influence by the Company or anyone else. Consultant further acknowledges and agrees that Consultant has carefully read this Agreement and has asked any questions needed to understand the terms, consequences and binding effect of this Agreement and fully understand it to his/her satisfaction. Finally, Consultant agrees that Consultant has been provided an opportunity to seek the advice of an attorney of his/her/their choice before signing this Agreement.</w:t>
      </w:r>
    </w:p>
    <w:p>
      <w:pPr>
        <w:spacing w:after="0" w:line="175"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9.1 Governing Law. </w:t>
      </w:r>
      <w:r>
        <w:rPr>
          <w:rFonts w:ascii="Times New Roman" w:cs="Times New Roman" w:eastAsia="Times New Roman" w:hAnsi="Times New Roman"/>
          <w:sz w:val="22"/>
          <w:szCs w:val="22"/>
          <w:color w:val="auto"/>
        </w:rPr>
        <w:t>This Agreement shall be governed by the laws of California without regard to conflicts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law rules. To the extent that any lawsuit is permitted under this Agreement, the parties hereby expressly consent to the personal and exclusive jurisdiction and venue of the state and federal courts located in San Francisco County, California.</w:t>
      </w:r>
    </w:p>
    <w:p>
      <w:pPr>
        <w:spacing w:after="0" w:line="16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9.2 Assignability. </w:t>
      </w:r>
      <w:r>
        <w:rPr>
          <w:rFonts w:ascii="Times New Roman" w:cs="Times New Roman" w:eastAsia="Times New Roman" w:hAnsi="Times New Roman"/>
          <w:sz w:val="22"/>
          <w:szCs w:val="22"/>
          <w:color w:val="auto"/>
        </w:rPr>
        <w:t>In light of the unique and specialized nature of Consultant’s services, Consultant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subcontract any portion of Consultant’s duties, nor assign, transfer or delegate any of his/her/their rights or obligations under this Agreement without the express prior written consent of the Company, and any such attempted subcontracting, assignment, delegation or transfer shall be null and void. Company may assign this Agreement, and its rights and obligations hereunder, without the consent of Consultant.</w:t>
      </w:r>
    </w:p>
    <w:p>
      <w:pPr>
        <w:spacing w:after="0" w:line="3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2" w:name="page93"/>
    <w:bookmarkEnd w:id="92"/>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9.3 Entire Agreement. </w:t>
      </w:r>
      <w:r>
        <w:rPr>
          <w:rFonts w:ascii="Times New Roman" w:cs="Times New Roman" w:eastAsia="Times New Roman" w:hAnsi="Times New Roman"/>
          <w:sz w:val="22"/>
          <w:szCs w:val="22"/>
          <w:color w:val="auto"/>
        </w:rPr>
        <w:t>This Agreement (including the Exhibit attached hereto) constitutes the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between the parties with respect to the subject matter of this Agreement and supersedes all prior written and oral agreements between the parties regarding the subject matter of this Agreement.</w:t>
      </w:r>
    </w:p>
    <w:p>
      <w:pPr>
        <w:spacing w:after="0" w:line="167"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9.4 Headings. </w:t>
      </w:r>
      <w:r>
        <w:rPr>
          <w:rFonts w:ascii="Times New Roman" w:cs="Times New Roman" w:eastAsia="Times New Roman" w:hAnsi="Times New Roman"/>
          <w:sz w:val="22"/>
          <w:szCs w:val="22"/>
          <w:color w:val="auto"/>
        </w:rPr>
        <w:t>Headings are used in this Agreement for reference only and shall not be considered when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interpreting this Agreement.</w:t>
      </w:r>
    </w:p>
    <w:p>
      <w:pPr>
        <w:spacing w:after="0" w:line="150"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9.5 Notices. </w:t>
      </w:r>
      <w:r>
        <w:rPr>
          <w:rFonts w:ascii="Times New Roman" w:cs="Times New Roman" w:eastAsia="Times New Roman" w:hAnsi="Times New Roman"/>
          <w:sz w:val="21"/>
          <w:szCs w:val="21"/>
          <w:color w:val="auto"/>
        </w:rPr>
        <w:t>Any notice or other communication required or permitted by this Agreement to be given to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 shall be in writing and shall be deemed given if delivered personally or by commercial messenger or nationally recognized overnight delivery service (e.g., Federal Express, UPS) or mailed by U.S. registered or certified mail (return receipt requested) to such party at such party’s address written below or at such other address as such party may have previously specified by like notice. If by mail, delivery shall be deemed effective three (3) business days after mailing in accordance with this Section 9.5.</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Tempest Therapeutics, Inc.</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2000 Sierra Point Parkway, Suite 400</w:t>
      </w:r>
    </w:p>
    <w:p>
      <w:pPr>
        <w:ind w:left="760"/>
        <w:spacing w:after="0"/>
        <w:rPr>
          <w:sz w:val="20"/>
          <w:szCs w:val="20"/>
          <w:color w:val="auto"/>
        </w:rPr>
      </w:pPr>
      <w:r>
        <w:rPr>
          <w:rFonts w:ascii="Times New Roman" w:cs="Times New Roman" w:eastAsia="Times New Roman" w:hAnsi="Times New Roman"/>
          <w:sz w:val="22"/>
          <w:szCs w:val="22"/>
          <w:color w:val="auto"/>
        </w:rPr>
        <w:t>Brisbane, CA 94005 Attention: Legal Department</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With a copy to: contracts@tempesttx.com</w:t>
      </w:r>
    </w:p>
    <w:p>
      <w:pPr>
        <w:spacing w:after="0" w:line="233"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If to Consultant, to the address for notice on the signature page to this Agreement or to a more recent address of Consultant provided by Consultant to the Company in writing.</w:t>
      </w:r>
    </w:p>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9.6 Amendments; Waiver. </w:t>
      </w:r>
      <w:r>
        <w:rPr>
          <w:rFonts w:ascii="Times New Roman" w:cs="Times New Roman" w:eastAsia="Times New Roman" w:hAnsi="Times New Roman"/>
          <w:sz w:val="22"/>
          <w:szCs w:val="22"/>
          <w:color w:val="auto"/>
        </w:rPr>
        <w:t>No modification of or amendment to this Agreement or the Exhibit,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waiver of any rights under this Agreement, will be effective unless in writing and signed by Consultant and the Company. Waiver of any term or provision of this Agreement or forbearance to enforce any term or provision by either party shall not constitute a waiver as to any subsequent breach or failure of the same term or provision or a waiver of any other term or provision of this Agreement.</w:t>
      </w:r>
    </w:p>
    <w:p>
      <w:pPr>
        <w:spacing w:after="0" w:line="17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9.7 Attorneys’ Fees. </w:t>
      </w:r>
      <w:r>
        <w:rPr>
          <w:rFonts w:ascii="Times New Roman" w:cs="Times New Roman" w:eastAsia="Times New Roman" w:hAnsi="Times New Roman"/>
          <w:sz w:val="22"/>
          <w:szCs w:val="22"/>
          <w:color w:val="auto"/>
        </w:rPr>
        <w:t>In any court action at law or equity that is brought by one of the parties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enforce or interpret the provisions of this Agreement, the prevailing party will be entitled to reasonable attorneys’ fees, in addition to any other relief to which that party may be entitled.</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9.8 Further Assurances. </w:t>
      </w:r>
      <w:r>
        <w:rPr>
          <w:rFonts w:ascii="Times New Roman" w:cs="Times New Roman" w:eastAsia="Times New Roman" w:hAnsi="Times New Roman"/>
          <w:sz w:val="22"/>
          <w:szCs w:val="22"/>
          <w:color w:val="auto"/>
        </w:rPr>
        <w:t>Without limiting Section 3.2 above, Consultant agrees, upon request, to execute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deliver any further documents or instruments necessary or desirable to carry out the purposes or intent of this Agreement.</w:t>
      </w:r>
    </w:p>
    <w:p>
      <w:pPr>
        <w:spacing w:after="0" w:line="15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9.9 Severability. </w:t>
      </w:r>
      <w:r>
        <w:rPr>
          <w:rFonts w:ascii="Times New Roman" w:cs="Times New Roman" w:eastAsia="Times New Roman" w:hAnsi="Times New Roman"/>
          <w:sz w:val="22"/>
          <w:szCs w:val="22"/>
          <w:color w:val="auto"/>
        </w:rPr>
        <w:t>If any provision of this Agreement becomes or is declared by a court of competent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jurisdiction to be illegal, void or unenforceable, this Agreement shall continue in full force and effect without said provision, provided that no such severability shall be effective if it materially changes the economic benefit of this Agreement to either Company or Consultant.</w:t>
      </w:r>
    </w:p>
    <w:p>
      <w:pPr>
        <w:spacing w:after="0" w:line="3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3" w:name="page94"/>
    <w:bookmarkEnd w:id="93"/>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9.10 Counterparts and Facsimiles. </w:t>
      </w:r>
      <w:r>
        <w:rPr>
          <w:rFonts w:ascii="Times New Roman" w:cs="Times New Roman" w:eastAsia="Times New Roman" w:hAnsi="Times New Roman"/>
          <w:sz w:val="22"/>
          <w:szCs w:val="22"/>
          <w:color w:val="auto"/>
        </w:rPr>
        <w:t>This Agreement may be executed in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taken together shall constitute one and the same instrument. Signatures delivered by electronic transmission (e.g., portable document format (PDF)) shall be deemed to be binding as originals for all purposes.</w:t>
      </w:r>
    </w:p>
    <w:p>
      <w:pPr>
        <w:spacing w:after="0" w:line="16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9.11 Defend Trade Secrets Act of 2016</w:t>
      </w:r>
      <w:r>
        <w:rPr>
          <w:rFonts w:ascii="Times New Roman" w:cs="Times New Roman" w:eastAsia="Times New Roman" w:hAnsi="Times New Roman"/>
          <w:sz w:val="22"/>
          <w:szCs w:val="22"/>
          <w:color w:val="auto"/>
        </w:rPr>
        <w:t>. Consultant acknowledges receipt of the following notice under 18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U.S.C. § 1833(b)(1):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7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9.12 Certain Claims</w:t>
      </w:r>
      <w:r>
        <w:rPr>
          <w:rFonts w:ascii="Times New Roman" w:cs="Times New Roman" w:eastAsia="Times New Roman" w:hAnsi="Times New Roman"/>
          <w:sz w:val="22"/>
          <w:szCs w:val="22"/>
          <w:color w:val="auto"/>
        </w:rPr>
        <w:t>. Consultant understands that this Agreement does not prohibit Consultant from pursuing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administrative claim with a local, state or federal administrative body such as the Department of Fair Employment and Housing, the Equal Employment Opportunity Commission, the National Labor Relations Board, or the workers’ compensation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4" w:name="page95"/>
    <w:bookmarkEnd w:id="94"/>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have executed this Agreement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22"/>
          <w:szCs w:val="22"/>
          <w:b w:val="1"/>
          <w:bCs w:val="1"/>
          <w:color w:val="auto"/>
        </w:rPr>
        <w:t>[EXECUTIVE]</w:t>
      </w:r>
      <w:r>
        <w:rPr>
          <w:sz w:val="20"/>
          <w:szCs w:val="20"/>
          <w:color w:val="auto"/>
        </w:rPr>
        <w:tab/>
      </w:r>
      <w:r>
        <w:rPr>
          <w:rFonts w:ascii="Times New Roman" w:cs="Times New Roman" w:eastAsia="Times New Roman" w:hAnsi="Times New Roman"/>
          <w:sz w:val="22"/>
          <w:szCs w:val="22"/>
          <w:b w:val="1"/>
          <w:bCs w:val="1"/>
          <w:color w:val="auto"/>
        </w:rPr>
        <w:t>Tempest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By:</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Name:</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2261235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13, 2025</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Stephen R. Brady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 Separation 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Steve:</w:t>
      </w:r>
    </w:p>
    <w:p>
      <w:pPr>
        <w:spacing w:after="0" w:line="216"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21"/>
          <w:szCs w:val="21"/>
          <w:color w:val="auto"/>
        </w:rPr>
        <w:t>This letter sets forth the substance of the separation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that Tempest Therapeutics,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is offering to you to aid in your employment transition.</w:t>
      </w:r>
    </w:p>
    <w:p>
      <w:pPr>
        <w:spacing w:after="0" w:line="155" w:lineRule="exact"/>
        <w:rPr>
          <w:sz w:val="20"/>
          <w:szCs w:val="20"/>
          <w:color w:val="auto"/>
        </w:rPr>
      </w:pPr>
    </w:p>
    <w:p>
      <w:pPr>
        <w:jc w:val="both"/>
        <w:ind w:firstLine="757"/>
        <w:spacing w:after="0" w:line="250" w:lineRule="auto"/>
        <w:tabs>
          <w:tab w:leader="none" w:pos="1018"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S</w:t>
      </w:r>
      <w:r>
        <w:rPr>
          <w:rFonts w:ascii="Times New Roman" w:cs="Times New Roman" w:eastAsia="Times New Roman" w:hAnsi="Times New Roman"/>
          <w:sz w:val="14"/>
          <w:szCs w:val="14"/>
          <w:b w:val="1"/>
          <w:bCs w:val="1"/>
          <w:color w:val="auto"/>
        </w:rPr>
        <w:t>eparation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Your employment termination date will be June 5, 2025 (the “</w:t>
      </w:r>
      <w:r>
        <w:rPr>
          <w:rFonts w:ascii="Times New Roman" w:cs="Times New Roman" w:eastAsia="Times New Roman" w:hAnsi="Times New Roman"/>
          <w:sz w:val="21"/>
          <w:szCs w:val="21"/>
          <w:b w:val="1"/>
          <w:bCs w:val="1"/>
          <w:color w:val="auto"/>
        </w:rPr>
        <w:t>Separation Date</w:t>
      </w:r>
      <w:r>
        <w:rPr>
          <w:rFonts w:ascii="Times New Roman" w:cs="Times New Roman" w:eastAsia="Times New Roman" w:hAnsi="Times New Roman"/>
          <w:sz w:val="21"/>
          <w:szCs w:val="21"/>
          <w:color w:val="auto"/>
        </w:rPr>
        <w:t>”). You understand and agree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you are not authorized to hold yourself out as being employed or affiliated with the Company in any way following the Separation Date.</w:t>
      </w:r>
    </w:p>
    <w:p>
      <w:pPr>
        <w:spacing w:after="0" w:line="178" w:lineRule="exact"/>
        <w:rPr>
          <w:rFonts w:ascii="Times New Roman" w:cs="Times New Roman" w:eastAsia="Times New Roman" w:hAnsi="Times New Roman"/>
          <w:sz w:val="22"/>
          <w:szCs w:val="22"/>
          <w:b w:val="1"/>
          <w:bCs w:val="1"/>
          <w:color w:val="auto"/>
        </w:rPr>
      </w:pPr>
    </w:p>
    <w:p>
      <w:pPr>
        <w:jc w:val="both"/>
        <w:ind w:firstLine="757"/>
        <w:spacing w:after="0" w:line="250" w:lineRule="auto"/>
        <w:tabs>
          <w:tab w:leader="none" w:pos="1018"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F</w:t>
      </w:r>
      <w:r>
        <w:rPr>
          <w:rFonts w:ascii="Times New Roman" w:cs="Times New Roman" w:eastAsia="Times New Roman" w:hAnsi="Times New Roman"/>
          <w:sz w:val="14"/>
          <w:szCs w:val="14"/>
          <w:b w:val="1"/>
          <w:bCs w:val="1"/>
          <w:color w:val="auto"/>
        </w:rPr>
        <w:t>inal</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4"/>
          <w:szCs w:val="14"/>
          <w:b w:val="1"/>
          <w:bCs w:val="1"/>
          <w:color w:val="auto"/>
        </w:rPr>
        <w:t>ayment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the Separation Date, the Company will pay you all accrued wages earned through the Separation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subject to standard payroll deductions and withholdings. You are entitled to these payments and benefits regardless of whether or not you sign this Agreement.</w:t>
      </w:r>
    </w:p>
    <w:p>
      <w:pPr>
        <w:spacing w:after="0" w:line="178" w:lineRule="exact"/>
        <w:rPr>
          <w:rFonts w:ascii="Times New Roman" w:cs="Times New Roman" w:eastAsia="Times New Roman" w:hAnsi="Times New Roman"/>
          <w:sz w:val="22"/>
          <w:szCs w:val="22"/>
          <w:b w:val="1"/>
          <w:bCs w:val="1"/>
          <w:color w:val="auto"/>
        </w:rPr>
      </w:pPr>
    </w:p>
    <w:p>
      <w:pPr>
        <w:jc w:val="both"/>
        <w:ind w:firstLine="757"/>
        <w:spacing w:after="0" w:line="260" w:lineRule="auto"/>
        <w:tabs>
          <w:tab w:leader="none" w:pos="1018"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everance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your employment agreement dated July 7, 2021 with the Company (the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Company’s termination of your employment is not for Cause (as defined in the Employment Agreement). As such, if you: (i) timely sign this Agreement; (ii) allow it to become effective; (iii) remain available after your Separation Date to answer any questions from the Company regarding your previous job duties; and (iv) comply with your obligations under it, including the terms of the Proprietary Information and Inventions Agreement (collectively, the “</w:t>
      </w:r>
      <w:r>
        <w:rPr>
          <w:rFonts w:ascii="Times New Roman" w:cs="Times New Roman" w:eastAsia="Times New Roman" w:hAnsi="Times New Roman"/>
          <w:sz w:val="20"/>
          <w:szCs w:val="20"/>
          <w:b w:val="1"/>
          <w:bCs w:val="1"/>
          <w:color w:val="auto"/>
        </w:rPr>
        <w:t>Severance Preconditions</w:t>
      </w:r>
      <w:r>
        <w:rPr>
          <w:rFonts w:ascii="Times New Roman" w:cs="Times New Roman" w:eastAsia="Times New Roman" w:hAnsi="Times New Roman"/>
          <w:sz w:val="20"/>
          <w:szCs w:val="20"/>
          <w:color w:val="auto"/>
        </w:rPr>
        <w:t>”), then in full satisfaction of any obligations for the Company to provide you with severance benefits for a termination without Cause as set forth in your Employment Agreement, the Company will provide you with the following as your sole severance benefits (the “</w:t>
      </w:r>
      <w:r>
        <w:rPr>
          <w:rFonts w:ascii="Times New Roman" w:cs="Times New Roman" w:eastAsia="Times New Roman" w:hAnsi="Times New Roman"/>
          <w:sz w:val="20"/>
          <w:szCs w:val="20"/>
          <w:b w:val="1"/>
          <w:bCs w:val="1"/>
          <w:color w:val="auto"/>
        </w:rPr>
        <w:t>Severance Benefits</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b w:val="1"/>
          <w:bCs w:val="1"/>
          <w:color w:val="auto"/>
        </w:rPr>
      </w:pPr>
    </w:p>
    <w:p>
      <w:pPr>
        <w:jc w:val="both"/>
        <w:ind w:firstLine="1505"/>
        <w:spacing w:after="0" w:line="251" w:lineRule="auto"/>
        <w:tabs>
          <w:tab w:leader="none" w:pos="2036" w:val="left"/>
        </w:tabs>
        <w:numPr>
          <w:ilvl w:val="1"/>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Severance Pay. </w:t>
      </w:r>
      <w:r>
        <w:rPr>
          <w:rFonts w:ascii="Times New Roman" w:cs="Times New Roman" w:eastAsia="Times New Roman" w:hAnsi="Times New Roman"/>
          <w:sz w:val="21"/>
          <w:szCs w:val="21"/>
          <w:color w:val="auto"/>
        </w:rPr>
        <w:t>The Company will pay you, as severance, the equivalent of twelve (12) months of your base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salary in effect as of the Separation Date, subject to standard payroll deductions and withholdings (the “</w:t>
      </w:r>
      <w:r>
        <w:rPr>
          <w:rFonts w:ascii="Times New Roman" w:cs="Times New Roman" w:eastAsia="Times New Roman" w:hAnsi="Times New Roman"/>
          <w:sz w:val="21"/>
          <w:szCs w:val="21"/>
          <w:b w:val="1"/>
          <w:bCs w:val="1"/>
          <w:color w:val="auto"/>
        </w:rPr>
        <w:t>Severance Pay</w:t>
      </w:r>
      <w:r>
        <w:rPr>
          <w:rFonts w:ascii="Times New Roman" w:cs="Times New Roman" w:eastAsia="Times New Roman" w:hAnsi="Times New Roman"/>
          <w:sz w:val="21"/>
          <w:szCs w:val="21"/>
          <w:color w:val="auto"/>
        </w:rPr>
        <w:t>”). The Severance Pay will be paid in a single lump sum on the Company’s first regular payroll date that is more than sixty (60) days or sooner following your Separation Date (provided that this Agreement is effective by that date).</w:t>
      </w:r>
    </w:p>
    <w:p>
      <w:pPr>
        <w:spacing w:after="0" w:line="177" w:lineRule="exact"/>
        <w:rPr>
          <w:rFonts w:ascii="Times New Roman" w:cs="Times New Roman" w:eastAsia="Times New Roman" w:hAnsi="Times New Roman"/>
          <w:sz w:val="21"/>
          <w:szCs w:val="21"/>
          <w:b w:val="1"/>
          <w:bCs w:val="1"/>
          <w:color w:val="auto"/>
        </w:rPr>
      </w:pPr>
    </w:p>
    <w:p>
      <w:pPr>
        <w:jc w:val="both"/>
        <w:ind w:firstLine="1505"/>
        <w:spacing w:after="0" w:line="275" w:lineRule="auto"/>
        <w:tabs>
          <w:tab w:leader="none" w:pos="2036" w:val="left"/>
        </w:tabs>
        <w:numPr>
          <w:ilvl w:val="1"/>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Bonus Severance. </w:t>
      </w:r>
      <w:r>
        <w:rPr>
          <w:rFonts w:ascii="Times New Roman" w:cs="Times New Roman" w:eastAsia="Times New Roman" w:hAnsi="Times New Roman"/>
          <w:sz w:val="20"/>
          <w:szCs w:val="20"/>
          <w:color w:val="auto"/>
        </w:rPr>
        <w:t>The Company will pay you an amount equal to 100% of your target annual bonus for fiscal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 2025, prorated based on the number of days you were employed in 2025, subject to standard payroll deductions and withholdings (such amount, the “</w:t>
      </w:r>
      <w:r>
        <w:rPr>
          <w:rFonts w:ascii="Times New Roman" w:cs="Times New Roman" w:eastAsia="Times New Roman" w:hAnsi="Times New Roman"/>
          <w:sz w:val="20"/>
          <w:szCs w:val="20"/>
          <w:b w:val="1"/>
          <w:bCs w:val="1"/>
          <w:color w:val="auto"/>
        </w:rPr>
        <w:t>Bonus Severance</w:t>
      </w:r>
      <w:r>
        <w:rPr>
          <w:rFonts w:ascii="Times New Roman" w:cs="Times New Roman" w:eastAsia="Times New Roman" w:hAnsi="Times New Roman"/>
          <w:sz w:val="20"/>
          <w:szCs w:val="20"/>
          <w:color w:val="auto"/>
        </w:rPr>
        <w:t>”). The Bonus Severance will be paid in a single lump sum on the Company’s first regular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1179195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96" w:name="page97"/>
    <w:bookmarkEnd w:id="96"/>
    <w:p>
      <w:pPr>
        <w:spacing w:after="0" w:line="270" w:lineRule="auto"/>
        <w:rPr>
          <w:sz w:val="20"/>
          <w:szCs w:val="20"/>
          <w:color w:val="auto"/>
        </w:rPr>
      </w:pPr>
      <w:r>
        <w:rPr>
          <w:rFonts w:ascii="Times New Roman" w:cs="Times New Roman" w:eastAsia="Times New Roman" w:hAnsi="Times New Roman"/>
          <w:sz w:val="21"/>
          <w:szCs w:val="21"/>
          <w:color w:val="auto"/>
        </w:rPr>
        <w:t>payroll date that is more than sixty (60) days, or sooner, following your Separation Date (provided that this Agreement is effective by that date).</w:t>
      </w:r>
    </w:p>
    <w:p>
      <w:pPr>
        <w:spacing w:after="0" w:line="157" w:lineRule="exact"/>
        <w:rPr>
          <w:sz w:val="20"/>
          <w:szCs w:val="20"/>
          <w:color w:val="auto"/>
        </w:rPr>
      </w:pPr>
    </w:p>
    <w:p>
      <w:pPr>
        <w:jc w:val="both"/>
        <w:ind w:firstLine="1505"/>
        <w:spacing w:after="0" w:line="243" w:lineRule="auto"/>
        <w:tabs>
          <w:tab w:leader="none" w:pos="2036" w:val="left"/>
        </w:tabs>
        <w:numPr>
          <w:ilvl w:val="1"/>
          <w:numId w:val="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COBRA Benefits. </w:t>
      </w:r>
      <w:r>
        <w:rPr>
          <w:rFonts w:ascii="Times New Roman" w:cs="Times New Roman" w:eastAsia="Times New Roman" w:hAnsi="Times New Roman"/>
          <w:sz w:val="21"/>
          <w:szCs w:val="21"/>
          <w:color w:val="auto"/>
        </w:rPr>
        <w:t>Unless you follow the procedures set forth in this paragraph, your participation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Company’s group health insurance plan will end on the last day of the month in which the Separation Date occurs. To the extent provided by the federal COBRA law or, if applicable, state insurance laws, and by the Company’s current group health insurance policies, you will be eligible to continue your group health insurance benefits at your own expense following the Separation Date. Later, you may be able to convert to an individual policy through the provider of the Company’s health insurance, if you wish. You will be provided with a separate notice describing your rights and obligations under COBRA and a form for electing COBRA coverage. As an additional Severance Benefit under this Agreement, provided that you satisfy the Severance Preconditions set forth above and timely elect continued coverage under COBRA, then the Company shall directly pay or reimburse you (at its sole discretion) for the COBRA premiums to continue your health insurance coverage (including coverage for eligible dependents, if applicable) through the period (the “</w:t>
      </w:r>
      <w:r>
        <w:rPr>
          <w:rFonts w:ascii="Times New Roman" w:cs="Times New Roman" w:eastAsia="Times New Roman" w:hAnsi="Times New Roman"/>
          <w:sz w:val="21"/>
          <w:szCs w:val="21"/>
          <w:b w:val="1"/>
          <w:bCs w:val="1"/>
          <w:color w:val="auto"/>
        </w:rPr>
        <w:t>COBRA Premium Period</w:t>
      </w:r>
      <w:r>
        <w:rPr>
          <w:rFonts w:ascii="Times New Roman" w:cs="Times New Roman" w:eastAsia="Times New Roman" w:hAnsi="Times New Roman"/>
          <w:sz w:val="21"/>
          <w:szCs w:val="21"/>
          <w:color w:val="auto"/>
        </w:rPr>
        <w:t>”) starting on the Separation Date and ending on the date that is twelve (12) months from the Separation Date, pursuant to the terms approved by the Board (the “</w:t>
      </w:r>
      <w:r>
        <w:rPr>
          <w:rFonts w:ascii="Times New Roman" w:cs="Times New Roman" w:eastAsia="Times New Roman" w:hAnsi="Times New Roman"/>
          <w:sz w:val="21"/>
          <w:szCs w:val="21"/>
          <w:b w:val="1"/>
          <w:bCs w:val="1"/>
          <w:color w:val="auto"/>
        </w:rPr>
        <w:t>COBRA Severance Benefit</w:t>
      </w:r>
      <w:r>
        <w:rPr>
          <w:rFonts w:ascii="Times New Roman" w:cs="Times New Roman" w:eastAsia="Times New Roman" w:hAnsi="Times New Roman"/>
          <w:sz w:val="21"/>
          <w:szCs w:val="21"/>
          <w:color w:val="auto"/>
        </w:rPr>
        <w:t>”) . Notwithstanding the foregoing and to the extent applicable, if at any time the Company determines, in its sole discretion, that the payment of the COBRA Severance Benefit would result in a violation of applicable law (including, but not limited to, Section 105(h) of the Internal Revenue Code of 1986, as amended, Section 2716 of the Public Health Service Act, or any statute or regulation of similar effect), then provided you remain eligible for reimbursement in accordance with this section, in lieu of providing the COBRA Severance Benefit, the Company will instead pay you on the last day of each remaining month of the COBRA Premium Period, a fully taxable cash payment equal to the COBRA Severance Benefit for that month, subject to applicable tax withholdings for the remainder of the COBRA Payment Period. You may, but are not obligated to, use this taxable payment to pay for medical expenses, including COBRA premiums.</w:t>
      </w:r>
    </w:p>
    <w:p>
      <w:pPr>
        <w:spacing w:after="0" w:line="187" w:lineRule="exact"/>
        <w:rPr>
          <w:rFonts w:ascii="Times New Roman" w:cs="Times New Roman" w:eastAsia="Times New Roman" w:hAnsi="Times New Roman"/>
          <w:sz w:val="21"/>
          <w:szCs w:val="21"/>
          <w:b w:val="1"/>
          <w:bCs w:val="1"/>
          <w:color w:val="auto"/>
        </w:rPr>
      </w:pPr>
    </w:p>
    <w:p>
      <w:pPr>
        <w:jc w:val="both"/>
        <w:ind w:firstLine="757"/>
        <w:spacing w:after="0" w:line="243" w:lineRule="auto"/>
        <w:tabs>
          <w:tab w:leader="none" w:pos="1018"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14"/>
          <w:szCs w:val="14"/>
          <w:b w:val="1"/>
          <w:bCs w:val="1"/>
          <w:color w:val="auto"/>
        </w:rPr>
        <w:t>hange in</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4"/>
          <w:szCs w:val="14"/>
          <w:b w:val="1"/>
          <w:bCs w:val="1"/>
          <w:color w:val="auto"/>
        </w:rPr>
        <w:t>ontrol</w:t>
      </w:r>
      <w:r>
        <w:rPr>
          <w:rFonts w:ascii="Times New Roman" w:cs="Times New Roman" w:eastAsia="Times New Roman" w:hAnsi="Times New Roman"/>
          <w:sz w:val="21"/>
          <w:szCs w:val="21"/>
          <w:b w:val="1"/>
          <w:bCs w:val="1"/>
          <w:color w:val="auto"/>
        </w:rPr>
        <w:t xml:space="preserve"> B</w:t>
      </w:r>
      <w:r>
        <w:rPr>
          <w:rFonts w:ascii="Times New Roman" w:cs="Times New Roman" w:eastAsia="Times New Roman" w:hAnsi="Times New Roman"/>
          <w:sz w:val="14"/>
          <w:szCs w:val="14"/>
          <w:b w:val="1"/>
          <w:bCs w:val="1"/>
          <w:color w:val="auto"/>
        </w:rPr>
        <w:t>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a Change in Control occurs after the date of this Agreement such that your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termination is within the Change in Control Period, as described in your Employment Agreement, then you will remain eligible to receive the Change in Control severance benefits set forth in Section 4(b)(ii) of the Employment Agreement (the “</w:t>
      </w:r>
      <w:r>
        <w:rPr>
          <w:rFonts w:ascii="Times New Roman" w:cs="Times New Roman" w:eastAsia="Times New Roman" w:hAnsi="Times New Roman"/>
          <w:sz w:val="21"/>
          <w:szCs w:val="21"/>
          <w:b w:val="1"/>
          <w:bCs w:val="1"/>
          <w:color w:val="auto"/>
        </w:rPr>
        <w:t>CIC Severance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Benefits</w:t>
      </w:r>
      <w:r>
        <w:rPr>
          <w:rFonts w:ascii="Times New Roman" w:cs="Times New Roman" w:eastAsia="Times New Roman" w:hAnsi="Times New Roman"/>
          <w:sz w:val="21"/>
          <w:szCs w:val="21"/>
          <w:color w:val="auto"/>
        </w:rPr>
        <w:t>”), as modified herein. The amount of any CIC Severance Benefits is subject to reduction by the amount of any Severance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Benefits already paid to you under this Agreement. Additionally, you and the Company mutually agree that the Board of Directors of the Company may reduce the amount of the CIC Severance Benefits to be paid to you if the Board determines, in its good faith discretion, that such reduction is necessary based on the Company’s cash on hand upon the closing of a Change in Control or such other factors as determined by the Board. Receipt of any CIC Severance Benefits is also subject to you timely executing and non-revocation of the Additional Release attached hereto as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Additional Release</w:t>
      </w:r>
      <w:r>
        <w:rPr>
          <w:rFonts w:ascii="Times New Roman" w:cs="Times New Roman" w:eastAsia="Times New Roman" w:hAnsi="Times New Roman"/>
          <w:sz w:val="21"/>
          <w:szCs w:val="21"/>
          <w:color w:val="auto"/>
        </w:rPr>
        <w:t>”). The Company will make commercially reasonable efforts to provide you with any such CIC Severance Benefits as soon as practicable after the Release Effective Date (as defined in the Additional Release).</w:t>
      </w:r>
    </w:p>
    <w:p>
      <w:pPr>
        <w:spacing w:after="0" w:line="187" w:lineRule="exact"/>
        <w:rPr>
          <w:rFonts w:ascii="Times New Roman" w:cs="Times New Roman" w:eastAsia="Times New Roman" w:hAnsi="Times New Roman"/>
          <w:sz w:val="22"/>
          <w:szCs w:val="22"/>
          <w:b w:val="1"/>
          <w:bCs w:val="1"/>
          <w:color w:val="auto"/>
        </w:rPr>
      </w:pPr>
    </w:p>
    <w:p>
      <w:pPr>
        <w:jc w:val="both"/>
        <w:ind w:firstLine="757"/>
        <w:spacing w:after="0" w:line="268" w:lineRule="auto"/>
        <w:tabs>
          <w:tab w:leader="none" w:pos="1018"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Vesting of any equity awards you may have received from the Company have been accelerated such that you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fully vested in any equity that you hold in the Company, as of the Separation Date. You will have until the earlier of either (i) the closing date of any Change in Control, or (ii) 180 days from the Separation Date, to exercise any vested equity. Your equity awards shall otherwise continue to be governed by the terms of the applicable grant notices, award agreements, and governing plan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97" w:name="page98"/>
    <w:bookmarkEnd w:id="97"/>
    <w:p>
      <w:pPr>
        <w:jc w:val="both"/>
        <w:ind w:left="-757" w:firstLine="757"/>
        <w:spacing w:after="0" w:line="243" w:lineRule="auto"/>
        <w:tabs>
          <w:tab w:leader="none" w:pos="261"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4"/>
          <w:szCs w:val="14"/>
          <w:b w:val="1"/>
          <w:bCs w:val="1"/>
          <w:color w:val="auto"/>
        </w:rPr>
        <w:t>ompensation or</w:t>
      </w:r>
      <w:r>
        <w:rPr>
          <w:rFonts w:ascii="Times New Roman" w:cs="Times New Roman" w:eastAsia="Times New Roman" w:hAnsi="Times New Roman"/>
          <w:sz w:val="21"/>
          <w:szCs w:val="21"/>
          <w:b w:val="1"/>
          <w:bCs w:val="1"/>
          <w:color w:val="auto"/>
        </w:rPr>
        <w:t xml:space="preserve"> B</w:t>
      </w:r>
      <w:r>
        <w:rPr>
          <w:rFonts w:ascii="Times New Roman" w:cs="Times New Roman" w:eastAsia="Times New Roman" w:hAnsi="Times New Roman"/>
          <w:sz w:val="14"/>
          <w:szCs w:val="14"/>
          <w:b w:val="1"/>
          <w:bCs w:val="1"/>
          <w:color w:val="auto"/>
        </w:rPr>
        <w:t>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executing this Agreement, you acknowledge and agree that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obligations to provide you with any severance benefits or any other payments are hereby extinguished (except for the benefits described in this Agreement). You further expressly acknowledge and agree that the Severance Benefits and/or the CIC Benefits, and other benefits provided herein, are in full and complete satisfaction of the Company’s obligations, if any, to pay you any severance benefits as contemplated in your Employment Agreement, or any other agreements, plans, or policies, and supersedes any such obligations. You also acknowledge that, except as expressly provided in this Agreement, you have not earned and will not receive from the Company any additional compensation, severance, or benefits on or after the Separation Date, with the exception of any vested right you may have under the express terms of a written benefit plan (e.g., 401(k) account). By way of example, you acknowledge that you have not earned and are not owed any bonus, vacation, incentive compensation, commissions, equity, or employee stock purchase plan.</w:t>
      </w:r>
    </w:p>
    <w:p>
      <w:pPr>
        <w:spacing w:after="0" w:line="200" w:lineRule="exact"/>
        <w:rPr>
          <w:rFonts w:ascii="Times New Roman" w:cs="Times New Roman" w:eastAsia="Times New Roman" w:hAnsi="Times New Roman"/>
          <w:sz w:val="22"/>
          <w:szCs w:val="22"/>
          <w:b w:val="1"/>
          <w:bCs w:val="1"/>
          <w:color w:val="auto"/>
        </w:rPr>
      </w:pPr>
    </w:p>
    <w:p>
      <w:pPr>
        <w:spacing w:after="0" w:line="233" w:lineRule="exact"/>
        <w:rPr>
          <w:rFonts w:ascii="Times New Roman" w:cs="Times New Roman" w:eastAsia="Times New Roman" w:hAnsi="Times New Roman"/>
          <w:sz w:val="22"/>
          <w:szCs w:val="22"/>
          <w:b w:val="1"/>
          <w:bCs w:val="1"/>
          <w:color w:val="auto"/>
        </w:rPr>
      </w:pPr>
    </w:p>
    <w:p>
      <w:pPr>
        <w:jc w:val="both"/>
        <w:ind w:left="-757" w:firstLine="757"/>
        <w:spacing w:after="0" w:line="247" w:lineRule="auto"/>
        <w:tabs>
          <w:tab w:leader="none" w:pos="261"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14"/>
          <w:szCs w:val="14"/>
          <w:b w:val="1"/>
          <w:bCs w:val="1"/>
          <w:color w:val="auto"/>
        </w:rPr>
        <w:t>xpense</w:t>
      </w:r>
      <w:r>
        <w:rPr>
          <w:rFonts w:ascii="Times New Roman" w:cs="Times New Roman" w:eastAsia="Times New Roman" w:hAnsi="Times New Roman"/>
          <w:sz w:val="21"/>
          <w:szCs w:val="21"/>
          <w:b w:val="1"/>
          <w:bCs w:val="1"/>
          <w:color w:val="auto"/>
        </w:rPr>
        <w:t xml:space="preserve"> R</w:t>
      </w:r>
      <w:r>
        <w:rPr>
          <w:rFonts w:ascii="Times New Roman" w:cs="Times New Roman" w:eastAsia="Times New Roman" w:hAnsi="Times New Roman"/>
          <w:sz w:val="14"/>
          <w:szCs w:val="14"/>
          <w:b w:val="1"/>
          <w:bCs w:val="1"/>
          <w:color w:val="auto"/>
        </w:rPr>
        <w:t>eimbursements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agree that, within five (5) calendar days after the Consulting Separation Date, you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submit your final documented expense reimbursement statement reflecting all business expenses you incurred through the Consulting Separation Date, if any, for which you seek reimbursement. The Company will reimburse you for these expenses pursuant to its regular business practice.</w:t>
      </w:r>
    </w:p>
    <w:p>
      <w:pPr>
        <w:spacing w:after="0" w:line="182" w:lineRule="exact"/>
        <w:rPr>
          <w:rFonts w:ascii="Times New Roman" w:cs="Times New Roman" w:eastAsia="Times New Roman" w:hAnsi="Times New Roman"/>
          <w:sz w:val="22"/>
          <w:szCs w:val="22"/>
          <w:b w:val="1"/>
          <w:bCs w:val="1"/>
          <w:color w:val="auto"/>
        </w:rPr>
      </w:pPr>
    </w:p>
    <w:p>
      <w:pPr>
        <w:jc w:val="both"/>
        <w:ind w:left="-757" w:firstLine="757"/>
        <w:spacing w:after="0" w:line="242" w:lineRule="auto"/>
        <w:tabs>
          <w:tab w:leader="none" w:pos="261"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R</w:t>
      </w:r>
      <w:r>
        <w:rPr>
          <w:rFonts w:ascii="Times New Roman" w:cs="Times New Roman" w:eastAsia="Times New Roman" w:hAnsi="Times New Roman"/>
          <w:sz w:val="14"/>
          <w:szCs w:val="14"/>
          <w:b w:val="1"/>
          <w:bCs w:val="1"/>
          <w:color w:val="auto"/>
        </w:rPr>
        <w:t>eturn</w:t>
      </w:r>
      <w:r>
        <w:rPr>
          <w:rFonts w:ascii="Times New Roman" w:cs="Times New Roman" w:eastAsia="Times New Roman" w:hAnsi="Times New Roman"/>
          <w:sz w:val="21"/>
          <w:szCs w:val="21"/>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4"/>
          <w:szCs w:val="14"/>
          <w:b w:val="1"/>
          <w:bCs w:val="1"/>
          <w:color w:val="auto"/>
        </w:rPr>
        <w:t>roperty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or within five (5) business days after the expiration or termination of your post-Separation Date consulting agreement with the Company (the “</w:t>
      </w:r>
      <w:r>
        <w:rPr>
          <w:rFonts w:ascii="Times New Roman" w:cs="Times New Roman" w:eastAsia="Times New Roman" w:hAnsi="Times New Roman"/>
          <w:sz w:val="21"/>
          <w:szCs w:val="21"/>
          <w:b w:val="1"/>
          <w:bCs w:val="1"/>
          <w:color w:val="auto"/>
        </w:rPr>
        <w:t>Consulting Separation Date</w:t>
      </w:r>
      <w:r>
        <w:rPr>
          <w:rFonts w:ascii="Times New Roman" w:cs="Times New Roman" w:eastAsia="Times New Roman" w:hAnsi="Times New Roman"/>
          <w:sz w:val="21"/>
          <w:szCs w:val="21"/>
          <w:color w:val="auto"/>
        </w:rPr>
        <w:t>”), you will return to the Company all Company documents (and all copies thereof) and other Company property in your possession or control, including, but not limited to, Company files, notes, drawings, records, business plans and forecasts, contact information, financial information, specifications, training materials,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You represent that you have made a diligent search to locate any such documents, property and information within the required timeframe. In addition, if you have used any personally owned computer, server, e-mail system, mobile phone, portable electronic device (e.g., smartphone, iPad or the like), (collectively, “</w:t>
      </w:r>
      <w:r>
        <w:rPr>
          <w:rFonts w:ascii="Times New Roman" w:cs="Times New Roman" w:eastAsia="Times New Roman" w:hAnsi="Times New Roman"/>
          <w:sz w:val="21"/>
          <w:szCs w:val="21"/>
          <w:b w:val="1"/>
          <w:bCs w:val="1"/>
          <w:color w:val="auto"/>
        </w:rPr>
        <w:t>Personal Systems</w:t>
      </w:r>
      <w:r>
        <w:rPr>
          <w:rFonts w:ascii="Times New Roman" w:cs="Times New Roman" w:eastAsia="Times New Roman" w:hAnsi="Times New Roman"/>
          <w:sz w:val="21"/>
          <w:szCs w:val="21"/>
          <w:color w:val="auto"/>
        </w:rPr>
        <w:t xml:space="preserve">”) to receive, store, prepare or transmit any Company confidential or proprietary data, materials or information, then within five (5) calendar days after the Separation Date, you will permanently delete and expunge all such Company confidential or proprietary information from such Personal Systems without retaining any copy or reproduction in any form (in whole or in part). You agree that, after the applicable timeframes noted above, you will neither use nor possess Company property. </w:t>
      </w:r>
      <w:r>
        <w:rPr>
          <w:rFonts w:ascii="Times New Roman" w:cs="Times New Roman" w:eastAsia="Times New Roman" w:hAnsi="Times New Roman"/>
          <w:sz w:val="21"/>
          <w:szCs w:val="21"/>
          <w:b w:val="1"/>
          <w:bCs w:val="1"/>
          <w:color w:val="auto"/>
        </w:rPr>
        <w:t>Your timely compliance with this paragraph is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condition precedent to your receipt of the Severance Benefits described above.</w:t>
      </w:r>
    </w:p>
    <w:p>
      <w:pPr>
        <w:spacing w:after="0" w:line="197" w:lineRule="exact"/>
        <w:rPr>
          <w:rFonts w:ascii="Times New Roman" w:cs="Times New Roman" w:eastAsia="Times New Roman" w:hAnsi="Times New Roman"/>
          <w:sz w:val="22"/>
          <w:szCs w:val="22"/>
          <w:b w:val="1"/>
          <w:bCs w:val="1"/>
          <w:color w:val="auto"/>
        </w:rPr>
      </w:pPr>
    </w:p>
    <w:p>
      <w:pPr>
        <w:jc w:val="both"/>
        <w:ind w:left="-757" w:firstLine="757"/>
        <w:spacing w:after="0" w:line="245" w:lineRule="auto"/>
        <w:tabs>
          <w:tab w:leader="none" w:pos="261"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14"/>
          <w:szCs w:val="14"/>
          <w:b w:val="1"/>
          <w:bCs w:val="1"/>
          <w:color w:val="auto"/>
        </w:rPr>
        <w:t>onfidentiality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provisions of this Agreement will be held in strictest confidence by you and will not be publicized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or disclosed by you in any manner whatsoever;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 you may disclose this Agreement in confidence to your immediate family and to your attorneys, accountants, tax preparers and financial advisors; (b) you may disclose this Agreement pursuant to a government investigation, if necessary to enforce its terms, or as otherwise required by law; and (c) you may disclose this Agreement to the extent permitted by the “Protected Rights” section below or in furtherance of your rights under Section 7 of the National Labor Relations Act,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1009015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4" w:right="339" w:bottom="1440" w:gutter="0" w:footer="0" w:header="0"/>
        </w:sectPr>
      </w:pPr>
    </w:p>
    <w:bookmarkStart w:id="98" w:name="page99"/>
    <w:bookmarkEnd w:id="98"/>
    <w:p>
      <w:pPr>
        <w:jc w:val="both"/>
        <w:ind w:firstLine="749"/>
        <w:spacing w:after="0" w:line="256" w:lineRule="auto"/>
        <w:rPr>
          <w:sz w:val="20"/>
          <w:szCs w:val="20"/>
          <w:color w:val="auto"/>
        </w:rPr>
      </w:pP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4"/>
          <w:szCs w:val="14"/>
          <w:b w:val="1"/>
          <w:bCs w:val="1"/>
          <w:color w:val="auto"/>
        </w:rPr>
        <w:t>dmissions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You understand and agree that the promises and payments in consideration of this Agreement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construed to be an admission of any liability or obligation by the Company to you or to any other person, and that the Company makes no such admission.</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w:t>
      </w: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4"/>
          <w:szCs w:val="14"/>
          <w:b w:val="1"/>
          <w:bCs w:val="1"/>
          <w:color w:val="auto"/>
        </w:rPr>
        <w:t>elease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4"/>
          <w:szCs w:val="14"/>
          <w:b w:val="1"/>
          <w:bCs w:val="1"/>
          <w:color w:val="auto"/>
        </w:rPr>
        <w:t>laims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4"/>
          <w:szCs w:val="14"/>
          <w:b w:val="1"/>
          <w:bCs w:val="1"/>
          <w:color w:val="auto"/>
        </w:rPr>
        <w:t>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4"/>
          <w:szCs w:val="14"/>
          <w:b w:val="1"/>
          <w:bCs w:val="1"/>
          <w:color w:val="auto"/>
        </w:rPr>
        <w:t>overage</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1505"/>
        <w:spacing w:after="0" w:line="247" w:lineRule="auto"/>
        <w:tabs>
          <w:tab w:leader="none" w:pos="1911" w:val="left"/>
        </w:tabs>
        <w:numPr>
          <w:ilvl w:val="1"/>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General Release. </w:t>
      </w:r>
      <w:r>
        <w:rPr>
          <w:rFonts w:ascii="Times New Roman" w:cs="Times New Roman" w:eastAsia="Times New Roman" w:hAnsi="Times New Roman"/>
          <w:sz w:val="21"/>
          <w:szCs w:val="21"/>
          <w:color w:val="auto"/>
        </w:rPr>
        <w:t>In exchange for the consideration provided to you under this Agreement to which you would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otherwise be entitled, you hereby generally and completely release the Company, and its past, present, or future affiliated, related, parent and subsidiary entities, and its and their directors, officers, employees, shareholders, partners, agents, attorneys, predecessors, successors, insurers, affiliates, and assigns (collectively, the “</w:t>
      </w:r>
      <w:r>
        <w:rPr>
          <w:rFonts w:ascii="Times New Roman" w:cs="Times New Roman" w:eastAsia="Times New Roman" w:hAnsi="Times New Roman"/>
          <w:sz w:val="21"/>
          <w:szCs w:val="21"/>
          <w:b w:val="1"/>
          <w:bCs w:val="1"/>
          <w:color w:val="auto"/>
        </w:rPr>
        <w:t>Released Parties</w:t>
      </w:r>
      <w:r>
        <w:rPr>
          <w:rFonts w:ascii="Times New Roman" w:cs="Times New Roman" w:eastAsia="Times New Roman" w:hAnsi="Times New Roman"/>
          <w:sz w:val="21"/>
          <w:szCs w:val="21"/>
          <w:color w:val="auto"/>
        </w:rPr>
        <w:t>”) from any and all claims, liabilities and obligations, both known and unknown, that arise out of or are in any way related to events, acts, conduct, or omissions occurring prior to or on the date you sign this Agreement (collectively, the “</w:t>
      </w:r>
      <w:r>
        <w:rPr>
          <w:rFonts w:ascii="Times New Roman" w:cs="Times New Roman" w:eastAsia="Times New Roman" w:hAnsi="Times New Roman"/>
          <w:sz w:val="21"/>
          <w:szCs w:val="21"/>
          <w:b w:val="1"/>
          <w:bCs w:val="1"/>
          <w:color w:val="auto"/>
        </w:rPr>
        <w:t>Released Claims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jc w:val="both"/>
        <w:ind w:firstLine="1505"/>
        <w:spacing w:after="0" w:line="243" w:lineRule="auto"/>
        <w:tabs>
          <w:tab w:leader="none" w:pos="1911" w:val="left"/>
        </w:tabs>
        <w:numPr>
          <w:ilvl w:val="1"/>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Scope of Release. </w:t>
      </w:r>
      <w:r>
        <w:rPr>
          <w:rFonts w:ascii="Times New Roman" w:cs="Times New Roman" w:eastAsia="Times New Roman" w:hAnsi="Times New Roman"/>
          <w:sz w:val="21"/>
          <w:szCs w:val="21"/>
          <w:color w:val="auto"/>
        </w:rPr>
        <w:t>The Released Claims include, but are not limited to: (i) all claims arising out of or in any way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related to your employment with the Company, or the termination of that employment; (ii) all claims related to your compensation or benefits from the Company, including salary, bonuses, commissions, vacation,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the federal Americans with Disabilities Act of 1990, the federal Age Discrimination in Employment Act of 1967 (the “</w:t>
      </w:r>
      <w:r>
        <w:rPr>
          <w:rFonts w:ascii="Times New Roman" w:cs="Times New Roman" w:eastAsia="Times New Roman" w:hAnsi="Times New Roman"/>
          <w:sz w:val="21"/>
          <w:szCs w:val="21"/>
          <w:b w:val="1"/>
          <w:bCs w:val="1"/>
          <w:color w:val="auto"/>
        </w:rPr>
        <w:t>ADEA</w:t>
      </w:r>
      <w:r>
        <w:rPr>
          <w:rFonts w:ascii="Times New Roman" w:cs="Times New Roman" w:eastAsia="Times New Roman" w:hAnsi="Times New Roman"/>
          <w:sz w:val="21"/>
          <w:szCs w:val="21"/>
          <w:color w:val="auto"/>
        </w:rPr>
        <w:t xml:space="preserve">”), the California Labor Code, the California Family Rights Act, and the California Fair Employment and Housing Act, all as amended. </w:t>
      </w:r>
      <w:r>
        <w:rPr>
          <w:rFonts w:ascii="Times New Roman" w:cs="Times New Roman" w:eastAsia="Times New Roman" w:hAnsi="Times New Roman"/>
          <w:sz w:val="21"/>
          <w:szCs w:val="21"/>
          <w:b w:val="1"/>
          <w:bCs w:val="1"/>
          <w:color w:val="auto"/>
        </w:rPr>
        <w:t>You acknowledge that you have been advised, as required by California Government Code Section 12964.5(b)(4),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that you have the right to consult an attorney regarding this Agreement and that you were given a reasonable time period of not less than five (5) business days in which to do so. </w:t>
      </w:r>
      <w:r>
        <w:rPr>
          <w:rFonts w:ascii="Times New Roman" w:cs="Times New Roman" w:eastAsia="Times New Roman" w:hAnsi="Times New Roman"/>
          <w:sz w:val="21"/>
          <w:szCs w:val="21"/>
          <w:color w:val="auto"/>
        </w:rPr>
        <w:t>You further acknowledge and agree that, in the event you sign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prior to the end of the reasonable time period provided by the Company, your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w:t>
      </w:r>
    </w:p>
    <w:p>
      <w:pPr>
        <w:spacing w:after="0" w:line="191" w:lineRule="exact"/>
        <w:rPr>
          <w:rFonts w:ascii="Times New Roman" w:cs="Times New Roman" w:eastAsia="Times New Roman" w:hAnsi="Times New Roman"/>
          <w:sz w:val="21"/>
          <w:szCs w:val="21"/>
          <w:b w:val="1"/>
          <w:bCs w:val="1"/>
          <w:color w:val="auto"/>
        </w:rPr>
      </w:pPr>
    </w:p>
    <w:p>
      <w:pPr>
        <w:jc w:val="both"/>
        <w:ind w:firstLine="1505"/>
        <w:spacing w:after="0" w:line="246" w:lineRule="auto"/>
        <w:tabs>
          <w:tab w:leader="none" w:pos="1911" w:val="left"/>
        </w:tabs>
        <w:numPr>
          <w:ilvl w:val="1"/>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ADEA Waiver. </w:t>
      </w:r>
      <w:r>
        <w:rPr>
          <w:rFonts w:ascii="Times New Roman" w:cs="Times New Roman" w:eastAsia="Times New Roman" w:hAnsi="Times New Roman"/>
          <w:sz w:val="21"/>
          <w:szCs w:val="21"/>
          <w:color w:val="auto"/>
        </w:rPr>
        <w:t>You acknowledge that you are knowingly and voluntarily waiving and releasing any rights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have under the ADEA, and that the consideration given for the waiver and release in this section is in addition to anything of value to which you are already entitled. You further acknowledge that you have been advised, as required by the ADEA, that: (i) your waiver and release do not apply to any rights or claims that may arise after the date that you sign this Agreement; (ii) you should consult with an attorney prior to signing this Agreement (although you may choose voluntarily not to do so); (iii) you have forty-five</w:t>
      </w:r>
    </w:p>
    <w:p>
      <w:pPr>
        <w:spacing w:after="0" w:line="3" w:lineRule="exact"/>
        <w:rPr>
          <w:rFonts w:ascii="Times New Roman" w:cs="Times New Roman" w:eastAsia="Times New Roman" w:hAnsi="Times New Roman"/>
          <w:sz w:val="21"/>
          <w:szCs w:val="21"/>
          <w:b w:val="1"/>
          <w:bCs w:val="1"/>
          <w:color w:val="auto"/>
        </w:rPr>
      </w:pPr>
    </w:p>
    <w:p>
      <w:pPr>
        <w:jc w:val="both"/>
        <w:ind w:firstLine="8"/>
        <w:spacing w:after="0" w:line="242" w:lineRule="auto"/>
        <w:tabs>
          <w:tab w:leader="none" w:pos="404"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calendar days to consider this Agreement (although you may choose voluntarily to sign it earlier, and changes to this Agreement, whether material or immaterial, do not restart the running of the forty-five (45) calendar day period); (iv) you have seven (7) calendar days following the date you sign this Agreement to revoke it (by providing written notice of your revocation to me); and (v) this Agreement will not be effective until the date upon which the revocation period has expired, which will be the eighth calendar day after the date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9" w:name="page100"/>
    <w:bookmarkEnd w:id="99"/>
    <w:p>
      <w:pPr>
        <w:ind w:right="20"/>
        <w:spacing w:after="0" w:line="272" w:lineRule="auto"/>
        <w:rPr>
          <w:sz w:val="20"/>
          <w:szCs w:val="20"/>
          <w:color w:val="auto"/>
        </w:rPr>
      </w:pPr>
      <w:r>
        <w:rPr>
          <w:rFonts w:ascii="Times New Roman" w:cs="Times New Roman" w:eastAsia="Times New Roman" w:hAnsi="Times New Roman"/>
          <w:sz w:val="21"/>
          <w:szCs w:val="21"/>
          <w:color w:val="auto"/>
        </w:rPr>
        <w:t>this Agreement is signed by you provided that you do not revoke it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You hereby further acknowledge that the Company has provided you with ADEA disclosure information (under 29 U.S.C. § 626(f)(1)(H)).</w:t>
      </w:r>
    </w:p>
    <w:p>
      <w:pPr>
        <w:spacing w:after="0" w:line="155" w:lineRule="exact"/>
        <w:rPr>
          <w:sz w:val="20"/>
          <w:szCs w:val="20"/>
          <w:color w:val="auto"/>
        </w:rPr>
      </w:pPr>
    </w:p>
    <w:p>
      <w:pPr>
        <w:ind w:left="1920" w:hanging="415"/>
        <w:spacing w:after="0"/>
        <w:tabs>
          <w:tab w:leader="none" w:pos="1920" w:val="left"/>
        </w:tabs>
        <w:numPr>
          <w:ilvl w:val="0"/>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Excluded Claims. </w:t>
      </w:r>
      <w:r>
        <w:rPr>
          <w:rFonts w:ascii="Times New Roman" w:cs="Times New Roman" w:eastAsia="Times New Roman" w:hAnsi="Times New Roman"/>
          <w:sz w:val="21"/>
          <w:szCs w:val="21"/>
          <w:color w:val="auto"/>
        </w:rPr>
        <w:t>Notwithstanding the foregoing, the following are not included in the Released Claims (the</w:t>
      </w:r>
    </w:p>
    <w:p>
      <w:pPr>
        <w:spacing w:after="0" w:line="27" w:lineRule="exact"/>
        <w:rPr>
          <w:rFonts w:ascii="Times New Roman" w:cs="Times New Roman" w:eastAsia="Times New Roman" w:hAnsi="Times New Roman"/>
          <w:sz w:val="21"/>
          <w:szCs w:val="21"/>
          <w:b w:val="1"/>
          <w:bCs w:val="1"/>
          <w:color w:val="auto"/>
        </w:rPr>
      </w:pPr>
    </w:p>
    <w:p>
      <w:pPr>
        <w:jc w:val="both"/>
        <w:ind w:right="20"/>
        <w:spacing w:after="0" w:line="243"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Claims</w:t>
      </w:r>
      <w:r>
        <w:rPr>
          <w:rFonts w:ascii="Times New Roman" w:cs="Times New Roman" w:eastAsia="Times New Roman" w:hAnsi="Times New Roman"/>
          <w:sz w:val="21"/>
          <w:szCs w:val="21"/>
          <w:color w:val="auto"/>
        </w:rPr>
        <w:t>”): (i) any rights or claims for indemnification you may have pursuant to any written indemnification agreement with the Company to which you are a party or under applicable law; (ii) any rights which are not waivable as a matter of law (such as claims for unemployment benefits or workers compensation); and (iii) any claims for breach of this Agreement.</w:t>
      </w:r>
    </w:p>
    <w:p>
      <w:pPr>
        <w:spacing w:after="0" w:line="185" w:lineRule="exact"/>
        <w:rPr>
          <w:rFonts w:ascii="Times New Roman" w:cs="Times New Roman" w:eastAsia="Times New Roman" w:hAnsi="Times New Roman"/>
          <w:sz w:val="21"/>
          <w:szCs w:val="21"/>
          <w:b w:val="1"/>
          <w:bCs w:val="1"/>
          <w:color w:val="auto"/>
        </w:rPr>
      </w:pPr>
    </w:p>
    <w:p>
      <w:pPr>
        <w:jc w:val="both"/>
        <w:ind w:firstLine="1505"/>
        <w:spacing w:after="0" w:line="243" w:lineRule="auto"/>
        <w:tabs>
          <w:tab w:leader="none" w:pos="1911" w:val="left"/>
        </w:tabs>
        <w:numPr>
          <w:ilvl w:val="0"/>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Protected Rights. </w:t>
      </w:r>
      <w:r>
        <w:rPr>
          <w:rFonts w:ascii="Times New Roman" w:cs="Times New Roman" w:eastAsia="Times New Roman" w:hAnsi="Times New Roman"/>
          <w:sz w:val="21"/>
          <w:szCs w:val="21"/>
          <w:color w:val="auto"/>
        </w:rPr>
        <w:t>You understand that nothing in this Agreement limits your ability to file a charge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complaint with the Equal Employment Opportunity Commission, the Department of Labor, the National Labor Relations Board, the Occupational Safety and Health Administration, the California Civil Rights Department, the Department of Justice, the Securities and Exchange Commission or any other federal, state or local governmental agency or commission (“</w:t>
      </w:r>
      <w:r>
        <w:rPr>
          <w:rFonts w:ascii="Times New Roman" w:cs="Times New Roman" w:eastAsia="Times New Roman" w:hAnsi="Times New Roman"/>
          <w:sz w:val="21"/>
          <w:szCs w:val="21"/>
          <w:b w:val="1"/>
          <w:bCs w:val="1"/>
          <w:color w:val="auto"/>
        </w:rPr>
        <w:t>Government Agencies</w:t>
      </w:r>
      <w:r>
        <w:rPr>
          <w:rFonts w:ascii="Times New Roman" w:cs="Times New Roman" w:eastAsia="Times New Roman" w:hAnsi="Times New Roman"/>
          <w:sz w:val="21"/>
          <w:szCs w:val="21"/>
          <w:color w:val="auto"/>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 government-issued award for information provided to any Government Agencies in connection with a government whistleblower program or protected whistleblower activity, you understand and agree that, to the maximum extent permitted by law, you are otherwise waiving any and all rights you may have to individual relief based on any claims that you have released and any rights you have waived by signing this Agreement. Nothing in this Agreement (i) prevents you from discussing or disclosing information about unlawful acts in the workplace, such as harassment or discrimination or any other conduct that you have reason to believe is unlawful; or (ii) waives any rights you may have under Section 7 of the National Labor Relations Act, if applicable (subject to the release of claims set forth herein).</w:t>
      </w:r>
    </w:p>
    <w:p>
      <w:pPr>
        <w:spacing w:after="0" w:line="194" w:lineRule="exact"/>
        <w:rPr>
          <w:rFonts w:ascii="Times New Roman" w:cs="Times New Roman" w:eastAsia="Times New Roman" w:hAnsi="Times New Roman"/>
          <w:sz w:val="21"/>
          <w:szCs w:val="21"/>
          <w:b w:val="1"/>
          <w:bCs w:val="1"/>
          <w:color w:val="auto"/>
        </w:rPr>
      </w:pPr>
    </w:p>
    <w:p>
      <w:pPr>
        <w:jc w:val="both"/>
        <w:ind w:firstLine="1505"/>
        <w:spacing w:after="0" w:line="256" w:lineRule="auto"/>
        <w:tabs>
          <w:tab w:leader="none" w:pos="1911" w:val="left"/>
        </w:tabs>
        <w:numPr>
          <w:ilvl w:val="0"/>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Continued Insurance Coverage. </w:t>
      </w:r>
      <w:r>
        <w:rPr>
          <w:rFonts w:ascii="Times New Roman" w:cs="Times New Roman" w:eastAsia="Times New Roman" w:hAnsi="Times New Roman"/>
          <w:sz w:val="21"/>
          <w:szCs w:val="21"/>
          <w:color w:val="auto"/>
        </w:rPr>
        <w:t>The Company agrees that you will continue to be covered under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Company’s directors and officers liability insurance policy during the Executive’s service as an officer and/or director, as applicable, and continuing through the term of the consultancy and any applicable tail coverage period.</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b w:val="1"/>
          <w:bCs w:val="1"/>
          <w:color w:val="auto"/>
        </w:rPr>
        <w:t>12.</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1542 W</w:t>
      </w:r>
      <w:r>
        <w:rPr>
          <w:rFonts w:ascii="Times New Roman" w:cs="Times New Roman" w:eastAsia="Times New Roman" w:hAnsi="Times New Roman"/>
          <w:sz w:val="14"/>
          <w:szCs w:val="14"/>
          <w:b w:val="1"/>
          <w:bCs w:val="1"/>
          <w:color w:val="auto"/>
        </w:rPr>
        <w:t>aiver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In giving the release herein, which includes claims which may be unknown to you at present,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acknowledge that you have read and understand Section 1542 of the California Civil Code, which reads as follows:</w:t>
      </w:r>
    </w:p>
    <w:p>
      <w:pPr>
        <w:spacing w:after="0" w:line="168" w:lineRule="exact"/>
        <w:rPr>
          <w:sz w:val="20"/>
          <w:szCs w:val="20"/>
          <w:color w:val="auto"/>
        </w:rPr>
      </w:pPr>
    </w:p>
    <w:p>
      <w:pPr>
        <w:jc w:val="both"/>
        <w:ind w:left="760" w:right="760"/>
        <w:spacing w:after="0" w:line="256" w:lineRule="auto"/>
        <w:rPr>
          <w:sz w:val="20"/>
          <w:szCs w:val="20"/>
          <w:color w:val="auto"/>
        </w:rPr>
      </w:pPr>
      <w:r>
        <w:rPr>
          <w:rFonts w:ascii="Times New Roman" w:cs="Times New Roman" w:eastAsia="Times New Roman" w:hAnsi="Times New Roman"/>
          <w:sz w:val="21"/>
          <w:szCs w:val="21"/>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You hereby expressly waive and relinquish all rights and benefits under that section and any law of any other jurisdiction of similar effect with respect to your release of claims herein, including but not limited to your release of unknown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991870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0" w:name="page101"/>
    <w:bookmarkEnd w:id="100"/>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13.</w:t>
      </w: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4"/>
          <w:szCs w:val="14"/>
          <w:b w:val="1"/>
          <w:bCs w:val="1"/>
          <w:color w:val="auto"/>
        </w:rPr>
        <w:t>epresentations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You hereby represent that you have been paid all compensation owed and for all hours worked,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received all the leave and leave benefits and protections for which you are eligible pursuant to the Family and Medical Leave Act, the California Family Rights Act, or otherwise, and have not suffered any on-the-job injury for which you have not already filed a workers’ compensation claim.</w:t>
      </w:r>
    </w:p>
    <w:p>
      <w:pPr>
        <w:spacing w:after="0" w:line="200" w:lineRule="exact"/>
        <w:rPr>
          <w:sz w:val="20"/>
          <w:szCs w:val="20"/>
          <w:color w:val="auto"/>
        </w:rPr>
      </w:pPr>
    </w:p>
    <w:p>
      <w:pPr>
        <w:spacing w:after="0" w:line="210"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2"/>
          <w:szCs w:val="22"/>
          <w:b w:val="1"/>
          <w:bCs w:val="1"/>
          <w:color w:val="auto"/>
        </w:rPr>
        <w:t>14.</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4"/>
          <w:szCs w:val="14"/>
          <w:b w:val="1"/>
          <w:bCs w:val="1"/>
          <w:color w:val="auto"/>
        </w:rPr>
        <w:t>ontinuing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You acknowledge and reaffirm your continuing obligations under your Proprietary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 xml:space="preserve">Information and Inventions Agreement, attached hereto as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which is incorporated herein by reference, and agree to abide by those continuing obligations.</w:t>
      </w:r>
    </w:p>
    <w:p>
      <w:pPr>
        <w:spacing w:after="0" w:line="152"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2"/>
          <w:szCs w:val="22"/>
          <w:b w:val="1"/>
          <w:bCs w:val="1"/>
          <w:color w:val="auto"/>
        </w:rPr>
        <w:t>15.</w:t>
      </w: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4"/>
          <w:szCs w:val="14"/>
          <w:b w:val="1"/>
          <w:bCs w:val="1"/>
          <w:color w:val="auto"/>
        </w:rPr>
        <w:t>isparagement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Except to the extent permitted by the “Protected Rights” section above, you agree not to disparage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the Released Parties in any manner likely to be harmful to its or their business, business reputation, or personal reputation; provided that you may respond accurately and fully to any request for information if required by legal process, or in connection with a government investigation. In addition, nothing in this provision or this Agreement prohibits or restrains you from making disclosures protected under whistleblower provisions of federal or state law or from exercising your rights to engage in protected speech under Section 7 of the National Labor Relations Act, if applicable.</w:t>
      </w:r>
    </w:p>
    <w:p>
      <w:pPr>
        <w:spacing w:after="0" w:line="160"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2"/>
          <w:szCs w:val="22"/>
          <w:b w:val="1"/>
          <w:bCs w:val="1"/>
          <w:color w:val="auto"/>
        </w:rPr>
        <w:t>16.</w:t>
      </w: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4"/>
          <w:szCs w:val="14"/>
          <w:b w:val="1"/>
          <w:bCs w:val="1"/>
          <w:color w:val="auto"/>
        </w:rPr>
        <w:t>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4"/>
          <w:szCs w:val="14"/>
          <w:b w:val="1"/>
          <w:bCs w:val="1"/>
          <w:color w:val="auto"/>
        </w:rPr>
        <w:t>dverse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4"/>
          <w:szCs w:val="14"/>
          <w:b w:val="1"/>
          <w:bCs w:val="1"/>
          <w:color w:val="auto"/>
        </w:rPr>
        <w:t>ction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You agree that you will not voluntarily (except in response to legal compulsion or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permitted under the section of this Agreement entitled “Protected Rights”) assist any person in bringing or pursuing any proposed or pending litigation, arbitration, administrative claim or other formal proceeding against the Company, its parent or subsidiary entities, affiliates, officers, directors, employees or agents.</w:t>
      </w:r>
    </w:p>
    <w:p>
      <w:pPr>
        <w:spacing w:after="0" w:line="15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4"/>
          <w:szCs w:val="14"/>
          <w:b w:val="1"/>
          <w:bCs w:val="1"/>
          <w:color w:val="auto"/>
        </w:rPr>
        <w:t>ooperation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You agree to cooperate fully with the Company in connection with its actual or contemplated defense,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prosecution, or investigation of any claims or demands by or against third parties, or other matters arising from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and will make reasonable efforts to accommodate your scheduling needs.</w:t>
      </w:r>
    </w:p>
    <w:p>
      <w:pPr>
        <w:spacing w:after="0" w:line="200" w:lineRule="exact"/>
        <w:rPr>
          <w:sz w:val="20"/>
          <w:szCs w:val="20"/>
          <w:color w:val="auto"/>
        </w:rPr>
      </w:pPr>
    </w:p>
    <w:p>
      <w:pPr>
        <w:spacing w:after="0" w:line="20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2"/>
          <w:szCs w:val="22"/>
          <w:b w:val="1"/>
          <w:bCs w:val="1"/>
          <w:color w:val="auto"/>
        </w:rPr>
        <w:t>18.</w:t>
      </w: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This Agreement, including its exhibits, constitutes the complete, final and exclusive embodiment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The Company may freely assign this Agreement, without your prior written consent. You may not assign any of your duties hereunder and you may not assign any of your rights hereunder without the written consent of the Company. If any provision of this Agreement is determined to be invalid or unenforceable, in whole or in part, this determination will not affect any other provision of this Agreement and the provision in question will be modified so as to be rendered enforceable. This Agreement will be deemed to have been entered into and will be construed and enforced in accordance with the laws of the State of California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1" w:name="page102"/>
    <w:bookmarkEnd w:id="101"/>
    <w:p>
      <w:pPr>
        <w:jc w:val="both"/>
        <w:spacing w:after="0" w:line="248" w:lineRule="auto"/>
        <w:rPr>
          <w:sz w:val="20"/>
          <w:szCs w:val="20"/>
          <w:color w:val="auto"/>
        </w:rPr>
      </w:pPr>
      <w:r>
        <w:rPr>
          <w:rFonts w:ascii="Times New Roman" w:cs="Times New Roman" w:eastAsia="Times New Roman" w:hAnsi="Times New Roman"/>
          <w:sz w:val="21"/>
          <w:szCs w:val="21"/>
          <w:color w:val="auto"/>
        </w:rPr>
        <w:t>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which shall be deemed to be part of one original, and facsimile and electronic image signatures (including .pdf or any electronic signature complying with the U.S. federal ESIGN Act of 2000, Uniform Electronic Transactions Act, or other applicable law) shall be equivalent to original signatures.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If this Agreement is acceptable to you, please sign below and return the original to me. You have forty-five (45) calendar days to decide whether you would like to accept this Agreement, and the Company’s offer contained herein will automatically expire if you do not sign and return it within this timeframe.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wish you the best in your future endeavors.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Sincerely,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w:t>
      </w:r>
      <w:r>
        <w:rPr>
          <w:rFonts w:ascii="Times New Roman" w:cs="Times New Roman" w:eastAsia="Times New Roman" w:hAnsi="Times New Roman"/>
          <w:sz w:val="14"/>
          <w:szCs w:val="14"/>
          <w:b w:val="1"/>
          <w:bCs w:val="1"/>
          <w:color w:val="auto"/>
        </w:rPr>
        <w:t>empest</w:t>
      </w:r>
      <w:r>
        <w:rPr>
          <w:rFonts w:ascii="Times New Roman" w:cs="Times New Roman" w:eastAsia="Times New Roman" w:hAnsi="Times New Roman"/>
          <w:sz w:val="21"/>
          <w:szCs w:val="21"/>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1"/>
          <w:szCs w:val="21"/>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-12065</wp:posOffset>
            </wp:positionV>
            <wp:extent cx="18796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4">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spacing w:after="0" w:line="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Nicholas Maestas</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Chief Financial Officer &amp; Head of Corporate Strategy</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 </w:t>
      </w:r>
      <w:r>
        <w:rPr>
          <w:rFonts w:ascii="Times New Roman" w:cs="Times New Roman" w:eastAsia="Times New Roman" w:hAnsi="Times New Roman"/>
          <w:sz w:val="14"/>
          <w:szCs w:val="14"/>
          <w:b w:val="1"/>
          <w:bCs w:val="1"/>
          <w:color w:val="auto"/>
        </w:rPr>
        <w:t>have read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4"/>
          <w:szCs w:val="14"/>
          <w:b w:val="1"/>
          <w:bCs w:val="1"/>
          <w:color w:val="auto"/>
        </w:rPr>
        <w:t>understand and agree fully to the foregoing</w:t>
      </w:r>
      <w:r>
        <w:rPr>
          <w:rFonts w:ascii="Times New Roman" w:cs="Times New Roman" w:eastAsia="Times New Roman" w:hAnsi="Times New Roman"/>
          <w:sz w:val="21"/>
          <w:szCs w:val="21"/>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1"/>
          <w:szCs w:val="21"/>
          <w:b w:val="1"/>
          <w:bCs w:val="1"/>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Stephen R.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31381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5">
                      <a:extLst>
                        <a:ext uri="{28A0092B-C50C-407E-A947-70E740481C1C}"/>
                      </a:extLst>
                    </a:blip>
                    <a:srcRect/>
                    <a:stretch>
                      <a:fillRect/>
                    </a:stretch>
                  </pic:blipFill>
                  <pic:spPr bwMode="auto">
                    <a:xfrm>
                      <a:off x="0" y="0"/>
                      <a:ext cx="131381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Stephen R. Brady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880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6">
                      <a:extLst>
                        <a:ext uri="{28A0092B-C50C-407E-A947-70E740481C1C}"/>
                      </a:extLst>
                    </a:blip>
                    <a:srcRect/>
                    <a:stretch>
                      <a:fillRect/>
                    </a:stretch>
                  </pic:blipFill>
                  <pic:spPr bwMode="auto">
                    <a:xfrm>
                      <a:off x="0" y="0"/>
                      <a:ext cx="78803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13, 2025</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Sam Whiting, M.D., Ph.D.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 Separation 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Sam:</w:t>
      </w:r>
    </w:p>
    <w:p>
      <w:pPr>
        <w:spacing w:after="0" w:line="216"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21"/>
          <w:szCs w:val="21"/>
          <w:color w:val="auto"/>
        </w:rPr>
        <w:t>This letter sets forth the substance of the separation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that Tempest Therapeutics,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is offering to you to aid in your employment transition.</w:t>
      </w:r>
    </w:p>
    <w:p>
      <w:pPr>
        <w:spacing w:after="0" w:line="155" w:lineRule="exact"/>
        <w:rPr>
          <w:sz w:val="20"/>
          <w:szCs w:val="20"/>
          <w:color w:val="auto"/>
        </w:rPr>
      </w:pPr>
    </w:p>
    <w:p>
      <w:pPr>
        <w:jc w:val="both"/>
        <w:ind w:firstLine="757"/>
        <w:spacing w:after="0" w:line="250" w:lineRule="auto"/>
        <w:tabs>
          <w:tab w:leader="none" w:pos="1018"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S</w:t>
      </w:r>
      <w:r>
        <w:rPr>
          <w:rFonts w:ascii="Times New Roman" w:cs="Times New Roman" w:eastAsia="Times New Roman" w:hAnsi="Times New Roman"/>
          <w:sz w:val="14"/>
          <w:szCs w:val="14"/>
          <w:b w:val="1"/>
          <w:bCs w:val="1"/>
          <w:color w:val="auto"/>
        </w:rPr>
        <w:t>eparation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Your employment termination date will be effective as of June 5, 2025 (the “</w:t>
      </w:r>
      <w:r>
        <w:rPr>
          <w:rFonts w:ascii="Times New Roman" w:cs="Times New Roman" w:eastAsia="Times New Roman" w:hAnsi="Times New Roman"/>
          <w:sz w:val="21"/>
          <w:szCs w:val="21"/>
          <w:b w:val="1"/>
          <w:bCs w:val="1"/>
          <w:color w:val="auto"/>
        </w:rPr>
        <w:t>Separation Date</w:t>
      </w:r>
      <w:r>
        <w:rPr>
          <w:rFonts w:ascii="Times New Roman" w:cs="Times New Roman" w:eastAsia="Times New Roman" w:hAnsi="Times New Roman"/>
          <w:sz w:val="21"/>
          <w:szCs w:val="21"/>
          <w:color w:val="auto"/>
        </w:rPr>
        <w:t>”).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understand and agree that you are not authorized to hold yourself out as being employed or affiliated with the Company in any way following the Separation Date.</w:t>
      </w:r>
    </w:p>
    <w:p>
      <w:pPr>
        <w:spacing w:after="0" w:line="178" w:lineRule="exact"/>
        <w:rPr>
          <w:rFonts w:ascii="Times New Roman" w:cs="Times New Roman" w:eastAsia="Times New Roman" w:hAnsi="Times New Roman"/>
          <w:sz w:val="22"/>
          <w:szCs w:val="22"/>
          <w:b w:val="1"/>
          <w:bCs w:val="1"/>
          <w:color w:val="auto"/>
        </w:rPr>
      </w:pPr>
    </w:p>
    <w:p>
      <w:pPr>
        <w:jc w:val="both"/>
        <w:ind w:firstLine="757"/>
        <w:spacing w:after="0" w:line="250" w:lineRule="auto"/>
        <w:tabs>
          <w:tab w:leader="none" w:pos="1018"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F</w:t>
      </w:r>
      <w:r>
        <w:rPr>
          <w:rFonts w:ascii="Times New Roman" w:cs="Times New Roman" w:eastAsia="Times New Roman" w:hAnsi="Times New Roman"/>
          <w:sz w:val="14"/>
          <w:szCs w:val="14"/>
          <w:b w:val="1"/>
          <w:bCs w:val="1"/>
          <w:color w:val="auto"/>
        </w:rPr>
        <w:t>inal</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4"/>
          <w:szCs w:val="14"/>
          <w:b w:val="1"/>
          <w:bCs w:val="1"/>
          <w:color w:val="auto"/>
        </w:rPr>
        <w:t>ayment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the Separation Date, the Company will pay you all accrued wages earned through the Separation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subject to standard payroll deductions and withholdings. You are entitled to these payments and benefits regardless of whether or not you sign this Agreement.</w:t>
      </w:r>
    </w:p>
    <w:p>
      <w:pPr>
        <w:spacing w:after="0" w:line="178" w:lineRule="exact"/>
        <w:rPr>
          <w:rFonts w:ascii="Times New Roman" w:cs="Times New Roman" w:eastAsia="Times New Roman" w:hAnsi="Times New Roman"/>
          <w:sz w:val="22"/>
          <w:szCs w:val="22"/>
          <w:b w:val="1"/>
          <w:bCs w:val="1"/>
          <w:color w:val="auto"/>
        </w:rPr>
      </w:pPr>
    </w:p>
    <w:p>
      <w:pPr>
        <w:jc w:val="both"/>
        <w:ind w:firstLine="757"/>
        <w:spacing w:after="0" w:line="260" w:lineRule="auto"/>
        <w:tabs>
          <w:tab w:leader="none" w:pos="1018"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everance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your employment agreement dated July 7, 2021 with the Company (the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Company’s termination of your employment is not for Cause (as defined in the Employment Agreement). As such, if you: (i) timely sign this Agreement; (ii) allow it to become effective; (iii) remain available after your Separation Date to answer any questions from the Company regarding your previous job duties; and (iv) comply with your obligations under it, including the terms of the Proprietary Information and Inventions Agreement (collectively, the “</w:t>
      </w:r>
      <w:r>
        <w:rPr>
          <w:rFonts w:ascii="Times New Roman" w:cs="Times New Roman" w:eastAsia="Times New Roman" w:hAnsi="Times New Roman"/>
          <w:sz w:val="20"/>
          <w:szCs w:val="20"/>
          <w:b w:val="1"/>
          <w:bCs w:val="1"/>
          <w:color w:val="auto"/>
        </w:rPr>
        <w:t>Severance Preconditions</w:t>
      </w:r>
      <w:r>
        <w:rPr>
          <w:rFonts w:ascii="Times New Roman" w:cs="Times New Roman" w:eastAsia="Times New Roman" w:hAnsi="Times New Roman"/>
          <w:sz w:val="20"/>
          <w:szCs w:val="20"/>
          <w:color w:val="auto"/>
        </w:rPr>
        <w:t>”), then in full satisfaction of any obligations for the Company to provide you with severance benefits for a termination without Cause as set forth in your Employment Agreement, the Company will provide you with the following as your sole severance benefits (the “</w:t>
      </w:r>
      <w:r>
        <w:rPr>
          <w:rFonts w:ascii="Times New Roman" w:cs="Times New Roman" w:eastAsia="Times New Roman" w:hAnsi="Times New Roman"/>
          <w:sz w:val="20"/>
          <w:szCs w:val="20"/>
          <w:b w:val="1"/>
          <w:bCs w:val="1"/>
          <w:color w:val="auto"/>
        </w:rPr>
        <w:t>Severance Benefits</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b w:val="1"/>
          <w:bCs w:val="1"/>
          <w:color w:val="auto"/>
        </w:rPr>
      </w:pPr>
    </w:p>
    <w:p>
      <w:pPr>
        <w:jc w:val="both"/>
        <w:ind w:firstLine="1505"/>
        <w:spacing w:after="0" w:line="251" w:lineRule="auto"/>
        <w:tabs>
          <w:tab w:leader="none" w:pos="2036" w:val="left"/>
        </w:tabs>
        <w:numPr>
          <w:ilvl w:val="1"/>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Severance Pay. </w:t>
      </w:r>
      <w:r>
        <w:rPr>
          <w:rFonts w:ascii="Times New Roman" w:cs="Times New Roman" w:eastAsia="Times New Roman" w:hAnsi="Times New Roman"/>
          <w:sz w:val="21"/>
          <w:szCs w:val="21"/>
          <w:color w:val="auto"/>
        </w:rPr>
        <w:t>The Company will pay you, as severance, the equivalent of nine (9) months of your base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salary in effect as of the Separation Date, subject to standard payroll deductions and withholdings (the “</w:t>
      </w:r>
      <w:r>
        <w:rPr>
          <w:rFonts w:ascii="Times New Roman" w:cs="Times New Roman" w:eastAsia="Times New Roman" w:hAnsi="Times New Roman"/>
          <w:sz w:val="21"/>
          <w:szCs w:val="21"/>
          <w:b w:val="1"/>
          <w:bCs w:val="1"/>
          <w:color w:val="auto"/>
        </w:rPr>
        <w:t>Severance Pay</w:t>
      </w:r>
      <w:r>
        <w:rPr>
          <w:rFonts w:ascii="Times New Roman" w:cs="Times New Roman" w:eastAsia="Times New Roman" w:hAnsi="Times New Roman"/>
          <w:sz w:val="21"/>
          <w:szCs w:val="21"/>
          <w:color w:val="auto"/>
        </w:rPr>
        <w:t>”). The Severance Pay will be paid in a single lump sum on the Company’s first regular payroll date that is more than sixty (60) days or sooner following your Separation Date (provided that this Agreement is effective by that date).</w:t>
      </w:r>
    </w:p>
    <w:p>
      <w:pPr>
        <w:spacing w:after="0" w:line="177" w:lineRule="exact"/>
        <w:rPr>
          <w:rFonts w:ascii="Times New Roman" w:cs="Times New Roman" w:eastAsia="Times New Roman" w:hAnsi="Times New Roman"/>
          <w:sz w:val="21"/>
          <w:szCs w:val="21"/>
          <w:b w:val="1"/>
          <w:bCs w:val="1"/>
          <w:color w:val="auto"/>
        </w:rPr>
      </w:pPr>
    </w:p>
    <w:p>
      <w:pPr>
        <w:jc w:val="both"/>
        <w:ind w:firstLine="1505"/>
        <w:spacing w:after="0" w:line="249" w:lineRule="auto"/>
        <w:tabs>
          <w:tab w:leader="none" w:pos="2036" w:val="left"/>
        </w:tabs>
        <w:numPr>
          <w:ilvl w:val="1"/>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Bonus Severance. </w:t>
      </w:r>
      <w:r>
        <w:rPr>
          <w:rFonts w:ascii="Times New Roman" w:cs="Times New Roman" w:eastAsia="Times New Roman" w:hAnsi="Times New Roman"/>
          <w:sz w:val="21"/>
          <w:szCs w:val="21"/>
          <w:color w:val="auto"/>
        </w:rPr>
        <w:t>The Company will pay you an amount equal to 100% of your target annual bonus for fiscal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year 2025, prorated based on the number of days you were employed in 2025, subject to standard payroll deductions and withholdings (such amount, the “</w:t>
      </w:r>
      <w:r>
        <w:rPr>
          <w:rFonts w:ascii="Times New Roman" w:cs="Times New Roman" w:eastAsia="Times New Roman" w:hAnsi="Times New Roman"/>
          <w:sz w:val="21"/>
          <w:szCs w:val="21"/>
          <w:b w:val="1"/>
          <w:bCs w:val="1"/>
          <w:color w:val="auto"/>
        </w:rPr>
        <w:t>Bonus Severance</w:t>
      </w:r>
      <w:r>
        <w:rPr>
          <w:rFonts w:ascii="Times New Roman" w:cs="Times New Roman" w:eastAsia="Times New Roman" w:hAnsi="Times New Roman"/>
          <w:sz w:val="21"/>
          <w:szCs w:val="21"/>
          <w:color w:val="auto"/>
        </w:rPr>
        <w:t>”). The Bonus Severance will be paid in a single lump sum on the Company’s first regular payroll date that is more than sixty (60) days, or sooner, following your Separation Date (provided that this Agreement is effective by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1040130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3" w:name="page104"/>
    <w:bookmarkEnd w:id="103"/>
    <w:p>
      <w:pPr>
        <w:jc w:val="both"/>
        <w:ind w:left="-757" w:firstLine="1505"/>
        <w:spacing w:after="0" w:line="268" w:lineRule="auto"/>
        <w:tabs>
          <w:tab w:leader="none" w:pos="1280" w:val="left"/>
        </w:tabs>
        <w:numPr>
          <w:ilvl w:val="1"/>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COBRA Benefits. </w:t>
      </w:r>
      <w:r>
        <w:rPr>
          <w:rFonts w:ascii="Times New Roman" w:cs="Times New Roman" w:eastAsia="Times New Roman" w:hAnsi="Times New Roman"/>
          <w:sz w:val="20"/>
          <w:szCs w:val="20"/>
          <w:color w:val="auto"/>
        </w:rPr>
        <w:t>You hereby agree that notwithstanding the terms of any other agreement, including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Agreement, your participation in the Company’s group health insurance plan will end on the last day of the month in which the Separation Date occurs. The Company shall not be obligated to provide any additional Severance Benefit under this Agreement to cover COBRA or other health insurance coverage premiums (including coverage for eligible dependents, if applicable).</w:t>
      </w:r>
    </w:p>
    <w:p>
      <w:pPr>
        <w:spacing w:after="0" w:line="160" w:lineRule="exact"/>
        <w:rPr>
          <w:rFonts w:ascii="Times New Roman" w:cs="Times New Roman" w:eastAsia="Times New Roman" w:hAnsi="Times New Roman"/>
          <w:sz w:val="20"/>
          <w:szCs w:val="20"/>
          <w:b w:val="1"/>
          <w:bCs w:val="1"/>
          <w:color w:val="auto"/>
        </w:rPr>
      </w:pPr>
    </w:p>
    <w:p>
      <w:pPr>
        <w:jc w:val="both"/>
        <w:ind w:left="-757" w:firstLine="757"/>
        <w:spacing w:after="0" w:line="243" w:lineRule="auto"/>
        <w:tabs>
          <w:tab w:leader="none" w:pos="261"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14"/>
          <w:szCs w:val="14"/>
          <w:b w:val="1"/>
          <w:bCs w:val="1"/>
          <w:color w:val="auto"/>
        </w:rPr>
        <w:t>hange in</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4"/>
          <w:szCs w:val="14"/>
          <w:b w:val="1"/>
          <w:bCs w:val="1"/>
          <w:color w:val="auto"/>
        </w:rPr>
        <w:t>ontrol</w:t>
      </w:r>
      <w:r>
        <w:rPr>
          <w:rFonts w:ascii="Times New Roman" w:cs="Times New Roman" w:eastAsia="Times New Roman" w:hAnsi="Times New Roman"/>
          <w:sz w:val="21"/>
          <w:szCs w:val="21"/>
          <w:b w:val="1"/>
          <w:bCs w:val="1"/>
          <w:color w:val="auto"/>
        </w:rPr>
        <w:t xml:space="preserve"> B</w:t>
      </w:r>
      <w:r>
        <w:rPr>
          <w:rFonts w:ascii="Times New Roman" w:cs="Times New Roman" w:eastAsia="Times New Roman" w:hAnsi="Times New Roman"/>
          <w:sz w:val="14"/>
          <w:szCs w:val="14"/>
          <w:b w:val="1"/>
          <w:bCs w:val="1"/>
          <w:color w:val="auto"/>
        </w:rPr>
        <w:t>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a Change in Control occurs after the date of this Agreement such that your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termination is within the Change in Control Period, as described in your Employment Agreement, then you will remain eligible to receive the Change in Control severance benefits set forth in Section 4(b)(ii) of the Employment Agreement (the “</w:t>
      </w:r>
      <w:r>
        <w:rPr>
          <w:rFonts w:ascii="Times New Roman" w:cs="Times New Roman" w:eastAsia="Times New Roman" w:hAnsi="Times New Roman"/>
          <w:sz w:val="21"/>
          <w:szCs w:val="21"/>
          <w:b w:val="1"/>
          <w:bCs w:val="1"/>
          <w:color w:val="auto"/>
        </w:rPr>
        <w:t>CIC Severance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Benefits</w:t>
      </w:r>
      <w:r>
        <w:rPr>
          <w:rFonts w:ascii="Times New Roman" w:cs="Times New Roman" w:eastAsia="Times New Roman" w:hAnsi="Times New Roman"/>
          <w:sz w:val="21"/>
          <w:szCs w:val="21"/>
          <w:color w:val="auto"/>
        </w:rPr>
        <w:t>”), as modified herein. The amount of any CIC Severance Benefits is subject to reduction by the amount of any Severance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Benefits already paid to you under this Agreement. Additionally, you and the Company mutually agree that the Board of Directors of the Company may reduce the amount of the CIC Severance Benefits to be paid to you if the Board determines, in its good faith discretion, that such reduction is necessary based on the Company’s cash on hand upon the closing of a Change in Control or such other factors as determined by the Board. Receipt of any CIC Severance Benefits is also subject to you timely executing and non-revocation of the Additional Release attached hereto as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Additional Release</w:t>
      </w:r>
      <w:r>
        <w:rPr>
          <w:rFonts w:ascii="Times New Roman" w:cs="Times New Roman" w:eastAsia="Times New Roman" w:hAnsi="Times New Roman"/>
          <w:sz w:val="21"/>
          <w:szCs w:val="21"/>
          <w:color w:val="auto"/>
        </w:rPr>
        <w:t>”). The Company will make commercially reasonable efforts to provide you with any such CIC Severance Benefits as soon as practicable after the Release Effective Date (as defined in the Additional Release).</w:t>
      </w:r>
    </w:p>
    <w:p>
      <w:pPr>
        <w:spacing w:after="0" w:line="187" w:lineRule="exact"/>
        <w:rPr>
          <w:rFonts w:ascii="Times New Roman" w:cs="Times New Roman" w:eastAsia="Times New Roman" w:hAnsi="Times New Roman"/>
          <w:sz w:val="22"/>
          <w:szCs w:val="22"/>
          <w:b w:val="1"/>
          <w:bCs w:val="1"/>
          <w:color w:val="auto"/>
        </w:rPr>
      </w:pPr>
    </w:p>
    <w:p>
      <w:pPr>
        <w:jc w:val="both"/>
        <w:ind w:left="-757" w:firstLine="757"/>
        <w:spacing w:after="0" w:line="268" w:lineRule="auto"/>
        <w:tabs>
          <w:tab w:leader="none" w:pos="261"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Vesting of any equity awards you may have received from the Company have been accelerated such that you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fully vested in any equity that you hold in the Company, as of the Separation Date. You will have until the earlier of either (i) the closing date of any Change in Control, or (ii) 180 days from the Separation Date, to exercise any vested equity. Your equity awards shall otherwise continue to be governed by the terms of the applicable grant notices, award agreements, and governing plan documents.</w:t>
      </w:r>
    </w:p>
    <w:p>
      <w:pPr>
        <w:spacing w:after="0" w:line="160" w:lineRule="exact"/>
        <w:rPr>
          <w:rFonts w:ascii="Times New Roman" w:cs="Times New Roman" w:eastAsia="Times New Roman" w:hAnsi="Times New Roman"/>
          <w:sz w:val="20"/>
          <w:szCs w:val="20"/>
          <w:b w:val="1"/>
          <w:bCs w:val="1"/>
          <w:color w:val="auto"/>
        </w:rPr>
      </w:pPr>
    </w:p>
    <w:p>
      <w:pPr>
        <w:jc w:val="both"/>
        <w:ind w:left="-757" w:firstLine="757"/>
        <w:spacing w:after="0" w:line="243" w:lineRule="auto"/>
        <w:tabs>
          <w:tab w:leader="none" w:pos="261"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4"/>
          <w:szCs w:val="14"/>
          <w:b w:val="1"/>
          <w:bCs w:val="1"/>
          <w:color w:val="auto"/>
        </w:rPr>
        <w:t>ompensation or</w:t>
      </w:r>
      <w:r>
        <w:rPr>
          <w:rFonts w:ascii="Times New Roman" w:cs="Times New Roman" w:eastAsia="Times New Roman" w:hAnsi="Times New Roman"/>
          <w:sz w:val="21"/>
          <w:szCs w:val="21"/>
          <w:b w:val="1"/>
          <w:bCs w:val="1"/>
          <w:color w:val="auto"/>
        </w:rPr>
        <w:t xml:space="preserve"> B</w:t>
      </w:r>
      <w:r>
        <w:rPr>
          <w:rFonts w:ascii="Times New Roman" w:cs="Times New Roman" w:eastAsia="Times New Roman" w:hAnsi="Times New Roman"/>
          <w:sz w:val="14"/>
          <w:szCs w:val="14"/>
          <w:b w:val="1"/>
          <w:bCs w:val="1"/>
          <w:color w:val="auto"/>
        </w:rPr>
        <w:t>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executing this Agreement, you acknowledge and agree that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obligations to provide you with any severance benefits or any other payments are hereby extinguished (except for the benefits described in this Agreement). You further expressly acknowledge and agree that the Severance Benefits and/or the CIC Benefits, and other benefits provided herein, are in full and complete satisfaction of the Company’s obligations, if any, to pay you any severance benefits as contemplated in your Employment Agreement, or any other agreements, plans, or policies, and supersedes any such obligations. You also acknowledge that, except as expressly provided in this Agreement, you have not earned and will not receive from the Company any additional compensation, severance, or benefits on or after the Separation Date, with the exception of any vested right you may have under the express terms of a written benefit plan (e.g., 401(k) account). By way of example, you acknowledge that you have not earned and are not owed any bonus, vacation, incentive compensation, commissions, equity, or employee stock purchase plan.</w:t>
      </w:r>
    </w:p>
    <w:p>
      <w:pPr>
        <w:spacing w:after="0" w:line="200" w:lineRule="exact"/>
        <w:rPr>
          <w:rFonts w:ascii="Times New Roman" w:cs="Times New Roman" w:eastAsia="Times New Roman" w:hAnsi="Times New Roman"/>
          <w:sz w:val="22"/>
          <w:szCs w:val="22"/>
          <w:b w:val="1"/>
          <w:bCs w:val="1"/>
          <w:color w:val="auto"/>
        </w:rPr>
      </w:pPr>
    </w:p>
    <w:p>
      <w:pPr>
        <w:spacing w:after="0" w:line="233" w:lineRule="exact"/>
        <w:rPr>
          <w:rFonts w:ascii="Times New Roman" w:cs="Times New Roman" w:eastAsia="Times New Roman" w:hAnsi="Times New Roman"/>
          <w:sz w:val="22"/>
          <w:szCs w:val="22"/>
          <w:b w:val="1"/>
          <w:bCs w:val="1"/>
          <w:color w:val="auto"/>
        </w:rPr>
      </w:pPr>
    </w:p>
    <w:p>
      <w:pPr>
        <w:jc w:val="both"/>
        <w:ind w:left="-757" w:firstLine="757"/>
        <w:spacing w:after="0" w:line="247" w:lineRule="auto"/>
        <w:tabs>
          <w:tab w:leader="none" w:pos="261"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14"/>
          <w:szCs w:val="14"/>
          <w:b w:val="1"/>
          <w:bCs w:val="1"/>
          <w:color w:val="auto"/>
        </w:rPr>
        <w:t>xpense</w:t>
      </w:r>
      <w:r>
        <w:rPr>
          <w:rFonts w:ascii="Times New Roman" w:cs="Times New Roman" w:eastAsia="Times New Roman" w:hAnsi="Times New Roman"/>
          <w:sz w:val="21"/>
          <w:szCs w:val="21"/>
          <w:b w:val="1"/>
          <w:bCs w:val="1"/>
          <w:color w:val="auto"/>
        </w:rPr>
        <w:t xml:space="preserve"> R</w:t>
      </w:r>
      <w:r>
        <w:rPr>
          <w:rFonts w:ascii="Times New Roman" w:cs="Times New Roman" w:eastAsia="Times New Roman" w:hAnsi="Times New Roman"/>
          <w:sz w:val="14"/>
          <w:szCs w:val="14"/>
          <w:b w:val="1"/>
          <w:bCs w:val="1"/>
          <w:color w:val="auto"/>
        </w:rPr>
        <w:t>eimbursements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agree that, within five (5) calendar days after the Consulting Separation Date, you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submit your final documented expense reimbursement statement reflecting all business expenses you incurred through the Consulting Separation Date, if any, for which you seek reimbursement. The Company will reimburse you for these expenses pursuant to its regular business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1007745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4" w:right="339" w:bottom="1440" w:gutter="0" w:footer="0" w:header="0"/>
        </w:sectPr>
      </w:pPr>
    </w:p>
    <w:bookmarkStart w:id="104" w:name="page105"/>
    <w:bookmarkEnd w:id="104"/>
    <w:p>
      <w:pPr>
        <w:jc w:val="both"/>
        <w:ind w:firstLine="757"/>
        <w:spacing w:after="0" w:line="242" w:lineRule="auto"/>
        <w:tabs>
          <w:tab w:leader="none" w:pos="1018"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R</w:t>
      </w:r>
      <w:r>
        <w:rPr>
          <w:rFonts w:ascii="Times New Roman" w:cs="Times New Roman" w:eastAsia="Times New Roman" w:hAnsi="Times New Roman"/>
          <w:sz w:val="14"/>
          <w:szCs w:val="14"/>
          <w:b w:val="1"/>
          <w:bCs w:val="1"/>
          <w:color w:val="auto"/>
        </w:rPr>
        <w:t>eturn</w:t>
      </w:r>
      <w:r>
        <w:rPr>
          <w:rFonts w:ascii="Times New Roman" w:cs="Times New Roman" w:eastAsia="Times New Roman" w:hAnsi="Times New Roman"/>
          <w:sz w:val="21"/>
          <w:szCs w:val="21"/>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4"/>
          <w:szCs w:val="14"/>
          <w:b w:val="1"/>
          <w:bCs w:val="1"/>
          <w:color w:val="auto"/>
        </w:rPr>
        <w:t>roperty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or within five (5) business days after the expiration or termination of your post-Separation Date consulting agreement with the Company (the “</w:t>
      </w:r>
      <w:r>
        <w:rPr>
          <w:rFonts w:ascii="Times New Roman" w:cs="Times New Roman" w:eastAsia="Times New Roman" w:hAnsi="Times New Roman"/>
          <w:sz w:val="21"/>
          <w:szCs w:val="21"/>
          <w:b w:val="1"/>
          <w:bCs w:val="1"/>
          <w:color w:val="auto"/>
        </w:rPr>
        <w:t>Consulting Separation Date</w:t>
      </w:r>
      <w:r>
        <w:rPr>
          <w:rFonts w:ascii="Times New Roman" w:cs="Times New Roman" w:eastAsia="Times New Roman" w:hAnsi="Times New Roman"/>
          <w:sz w:val="21"/>
          <w:szCs w:val="21"/>
          <w:color w:val="auto"/>
        </w:rPr>
        <w:t>”), you will return to the Company all Company documents (and all copies thereof) and other Company property in your possession or control, including, but not limited to, Company files, notes, drawings, records, business plans and forecasts, contact information, financial information, specifications, training materials,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You represent that you have made a diligent search to locate any such documents, property and information within the required timeframe. In addition, if you have used any personally owned computer, server, e-mail system, mobile phone, portable electronic device (e.g., smartphone, iPad or the like), (collectively, “</w:t>
      </w:r>
      <w:r>
        <w:rPr>
          <w:rFonts w:ascii="Times New Roman" w:cs="Times New Roman" w:eastAsia="Times New Roman" w:hAnsi="Times New Roman"/>
          <w:sz w:val="21"/>
          <w:szCs w:val="21"/>
          <w:b w:val="1"/>
          <w:bCs w:val="1"/>
          <w:color w:val="auto"/>
        </w:rPr>
        <w:t>Personal Systems</w:t>
      </w:r>
      <w:r>
        <w:rPr>
          <w:rFonts w:ascii="Times New Roman" w:cs="Times New Roman" w:eastAsia="Times New Roman" w:hAnsi="Times New Roman"/>
          <w:sz w:val="21"/>
          <w:szCs w:val="21"/>
          <w:color w:val="auto"/>
        </w:rPr>
        <w:t xml:space="preserve">”) to receive, store, prepare or transmit any Company confidential or proprietary data, materials or information, then within five (5) calendar days after the Separation Date, you will permanently delete and expunge all such Company confidential or proprietary information from such Personal Systems without retaining any copy or reproduction in any form (in whole or in part). You agree that, after the applicable timeframes noted above, you will neither use nor possess Company property. </w:t>
      </w:r>
      <w:r>
        <w:rPr>
          <w:rFonts w:ascii="Times New Roman" w:cs="Times New Roman" w:eastAsia="Times New Roman" w:hAnsi="Times New Roman"/>
          <w:sz w:val="21"/>
          <w:szCs w:val="21"/>
          <w:b w:val="1"/>
          <w:bCs w:val="1"/>
          <w:color w:val="auto"/>
        </w:rPr>
        <w:t>Your timely compliance with this paragraph is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condition precedent to your receipt of the Severance Benefits described above.</w:t>
      </w:r>
    </w:p>
    <w:p>
      <w:pPr>
        <w:spacing w:after="0" w:line="197" w:lineRule="exact"/>
        <w:rPr>
          <w:rFonts w:ascii="Times New Roman" w:cs="Times New Roman" w:eastAsia="Times New Roman" w:hAnsi="Times New Roman"/>
          <w:sz w:val="22"/>
          <w:szCs w:val="22"/>
          <w:b w:val="1"/>
          <w:bCs w:val="1"/>
          <w:color w:val="auto"/>
        </w:rPr>
      </w:pPr>
    </w:p>
    <w:p>
      <w:pPr>
        <w:jc w:val="both"/>
        <w:ind w:firstLine="757"/>
        <w:spacing w:after="0" w:line="245" w:lineRule="auto"/>
        <w:tabs>
          <w:tab w:leader="none" w:pos="1018"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14"/>
          <w:szCs w:val="14"/>
          <w:b w:val="1"/>
          <w:bCs w:val="1"/>
          <w:color w:val="auto"/>
        </w:rPr>
        <w:t>onfidentiality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provisions of this Agreement will be held in strictest confidence by you and will not be publicized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or disclosed by you in any manner whatsoever;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 you may disclose this Agreement in confidence to your immediate family and to your attorneys, accountants, tax preparers and financial advisors; (b) you may disclose this Agreement pursuant to a government investigation, if necessary to enforce its terms, or as otherwise required by law; and (c) you may disclose this Agreement to the extent permitted by the “Protected Rights” section below or in furtherance of your rights under Section 7 of the National Labor Relations Act, if applicable.</w:t>
      </w:r>
    </w:p>
    <w:p>
      <w:pPr>
        <w:spacing w:after="0" w:line="17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4"/>
          <w:szCs w:val="14"/>
          <w:b w:val="1"/>
          <w:bCs w:val="1"/>
          <w:color w:val="auto"/>
        </w:rPr>
        <w:t>dmissions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You understand and agree that the promises and payments in consideration of this Agreement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construed to be an admission of any liability or obligation by the Company to you or to any other person, and that the Company makes no such admission.</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w:t>
      </w: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4"/>
          <w:szCs w:val="14"/>
          <w:b w:val="1"/>
          <w:bCs w:val="1"/>
          <w:color w:val="auto"/>
        </w:rPr>
        <w:t>elease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4"/>
          <w:szCs w:val="14"/>
          <w:b w:val="1"/>
          <w:bCs w:val="1"/>
          <w:color w:val="auto"/>
        </w:rPr>
        <w:t>laims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4"/>
          <w:szCs w:val="14"/>
          <w:b w:val="1"/>
          <w:bCs w:val="1"/>
          <w:color w:val="auto"/>
        </w:rPr>
        <w:t>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4"/>
          <w:szCs w:val="14"/>
          <w:b w:val="1"/>
          <w:bCs w:val="1"/>
          <w:color w:val="auto"/>
        </w:rPr>
        <w:t>overage</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1505"/>
        <w:spacing w:after="0" w:line="247" w:lineRule="auto"/>
        <w:tabs>
          <w:tab w:leader="none" w:pos="1911"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General Release. </w:t>
      </w:r>
      <w:r>
        <w:rPr>
          <w:rFonts w:ascii="Times New Roman" w:cs="Times New Roman" w:eastAsia="Times New Roman" w:hAnsi="Times New Roman"/>
          <w:sz w:val="21"/>
          <w:szCs w:val="21"/>
          <w:color w:val="auto"/>
        </w:rPr>
        <w:t>In exchange for the consideration provided to you under this Agreement to which you would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otherwise be entitled, you hereby generally and completely release the Company, and its past, present, or future affiliated, related, parent and subsidiary entities, and its and their directors, officers, employees, shareholders, partners, agents, attorneys, predecessors, successors, insurers, affiliates, and assigns (collectively, the “</w:t>
      </w:r>
      <w:r>
        <w:rPr>
          <w:rFonts w:ascii="Times New Roman" w:cs="Times New Roman" w:eastAsia="Times New Roman" w:hAnsi="Times New Roman"/>
          <w:sz w:val="21"/>
          <w:szCs w:val="21"/>
          <w:b w:val="1"/>
          <w:bCs w:val="1"/>
          <w:color w:val="auto"/>
        </w:rPr>
        <w:t>Released Parties</w:t>
      </w:r>
      <w:r>
        <w:rPr>
          <w:rFonts w:ascii="Times New Roman" w:cs="Times New Roman" w:eastAsia="Times New Roman" w:hAnsi="Times New Roman"/>
          <w:sz w:val="21"/>
          <w:szCs w:val="21"/>
          <w:color w:val="auto"/>
        </w:rPr>
        <w:t>”) from any and all claims, liabilities and obligations, both known and unknown, that arise out of or are in any way related to events, acts, conduct, or omissions occurring prior to or on the date you sign this Agreement (collectively, the “</w:t>
      </w:r>
      <w:r>
        <w:rPr>
          <w:rFonts w:ascii="Times New Roman" w:cs="Times New Roman" w:eastAsia="Times New Roman" w:hAnsi="Times New Roman"/>
          <w:sz w:val="21"/>
          <w:szCs w:val="21"/>
          <w:b w:val="1"/>
          <w:bCs w:val="1"/>
          <w:color w:val="auto"/>
        </w:rPr>
        <w:t>Released Claims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jc w:val="both"/>
        <w:ind w:firstLine="1505"/>
        <w:spacing w:after="0" w:line="251" w:lineRule="auto"/>
        <w:tabs>
          <w:tab w:leader="none" w:pos="1911"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Scope of Release. </w:t>
      </w:r>
      <w:r>
        <w:rPr>
          <w:rFonts w:ascii="Times New Roman" w:cs="Times New Roman" w:eastAsia="Times New Roman" w:hAnsi="Times New Roman"/>
          <w:sz w:val="21"/>
          <w:szCs w:val="21"/>
          <w:color w:val="auto"/>
        </w:rPr>
        <w:t>The Released Claims include, but are not limited to: (i) all claims arising out of or in any way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related to your employment with the Company, or the termination of that employment; (ii) all claims related to your compensation or benefits from the Company, including salary, bonuses, commissions, vacation, expense reimbursements, severance pay, fringe benefits, stock, stock options, or any other ownership, equity, or profits interests in the Company;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5" w:name="page106"/>
    <w:bookmarkEnd w:id="105"/>
    <w:p>
      <w:pPr>
        <w:jc w:val="both"/>
        <w:spacing w:after="0" w:line="257" w:lineRule="auto"/>
        <w:rPr>
          <w:sz w:val="20"/>
          <w:szCs w:val="20"/>
          <w:color w:val="auto"/>
        </w:rPr>
      </w:pPr>
      <w:r>
        <w:rPr>
          <w:rFonts w:ascii="Times New Roman" w:cs="Times New Roman" w:eastAsia="Times New Roman" w:hAnsi="Times New Roman"/>
          <w:sz w:val="20"/>
          <w:szCs w:val="20"/>
          <w:color w:val="auto"/>
        </w:rPr>
        <w:t>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the federal Americans with Disabilities Act of 1990, the federal Age Discrimination in Employment Act of 1967 (the “</w:t>
      </w:r>
      <w:r>
        <w:rPr>
          <w:rFonts w:ascii="Times New Roman" w:cs="Times New Roman" w:eastAsia="Times New Roman" w:hAnsi="Times New Roman"/>
          <w:sz w:val="20"/>
          <w:szCs w:val="20"/>
          <w:b w:val="1"/>
          <w:bCs w:val="1"/>
          <w:color w:val="auto"/>
        </w:rPr>
        <w:t>ADEA</w:t>
      </w:r>
      <w:r>
        <w:rPr>
          <w:rFonts w:ascii="Times New Roman" w:cs="Times New Roman" w:eastAsia="Times New Roman" w:hAnsi="Times New Roman"/>
          <w:sz w:val="20"/>
          <w:szCs w:val="20"/>
          <w:color w:val="auto"/>
        </w:rPr>
        <w:t xml:space="preserve">”), the California Labor Code, the California Family Rights Act, and the California Fair Employment and Housing Act, all as amended. </w:t>
      </w:r>
      <w:r>
        <w:rPr>
          <w:rFonts w:ascii="Times New Roman" w:cs="Times New Roman" w:eastAsia="Times New Roman" w:hAnsi="Times New Roman"/>
          <w:sz w:val="20"/>
          <w:szCs w:val="20"/>
          <w:b w:val="1"/>
          <w:bCs w:val="1"/>
          <w:color w:val="auto"/>
        </w:rPr>
        <w:t>You acknowledge that you have been advised, as required by California Government Code</w:t>
      </w:r>
    </w:p>
    <w:p>
      <w:pPr>
        <w:spacing w:after="0" w:line="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b w:val="1"/>
          <w:bCs w:val="1"/>
          <w:color w:val="auto"/>
        </w:rPr>
        <w:t xml:space="preserve">Section 12964.5(b)(4), that you have the right to consult an attorney regarding this Agreement and that you were given a reasonable time period of not less than five (5) business days in which to do so. </w:t>
      </w:r>
      <w:r>
        <w:rPr>
          <w:rFonts w:ascii="Times New Roman" w:cs="Times New Roman" w:eastAsia="Times New Roman" w:hAnsi="Times New Roman"/>
          <w:sz w:val="21"/>
          <w:szCs w:val="21"/>
          <w:color w:val="auto"/>
        </w:rPr>
        <w:t>You further acknowledge and agree that,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event you sign this Agreement prior to the end of the reasonable time period provided by the Company, your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w:t>
      </w:r>
    </w:p>
    <w:p>
      <w:pPr>
        <w:spacing w:after="0" w:line="187" w:lineRule="exact"/>
        <w:rPr>
          <w:sz w:val="20"/>
          <w:szCs w:val="20"/>
          <w:color w:val="auto"/>
        </w:rPr>
      </w:pPr>
    </w:p>
    <w:p>
      <w:pPr>
        <w:jc w:val="both"/>
        <w:ind w:firstLine="1505"/>
        <w:spacing w:after="0" w:line="246" w:lineRule="auto"/>
        <w:tabs>
          <w:tab w:leader="none" w:pos="1911" w:val="left"/>
        </w:tabs>
        <w:numPr>
          <w:ilvl w:val="1"/>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ADEA Waiver. </w:t>
      </w:r>
      <w:r>
        <w:rPr>
          <w:rFonts w:ascii="Times New Roman" w:cs="Times New Roman" w:eastAsia="Times New Roman" w:hAnsi="Times New Roman"/>
          <w:sz w:val="21"/>
          <w:szCs w:val="21"/>
          <w:color w:val="auto"/>
        </w:rPr>
        <w:t>You acknowledge that you are knowingly and voluntarily waiving and releasing any rights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have under the ADEA, and that the consideration given for the waiver and release in this section is in addition to anything of value to which you are already entitled. You further acknowledge that you have been advised, as required by the ADEA, that: (i) your waiver and release do not apply to any rights or claims that may arise after the date that you sign this Agreement; (ii) you should consult with an attorney prior to signing this Agreement (although you may choose voluntarily not to do so); (iii) you have forty-five</w:t>
      </w:r>
    </w:p>
    <w:p>
      <w:pPr>
        <w:spacing w:after="0" w:line="3" w:lineRule="exact"/>
        <w:rPr>
          <w:rFonts w:ascii="Times New Roman" w:cs="Times New Roman" w:eastAsia="Times New Roman" w:hAnsi="Times New Roman"/>
          <w:sz w:val="21"/>
          <w:szCs w:val="21"/>
          <w:b w:val="1"/>
          <w:bCs w:val="1"/>
          <w:color w:val="auto"/>
        </w:rPr>
      </w:pPr>
    </w:p>
    <w:p>
      <w:pPr>
        <w:jc w:val="both"/>
        <w:ind w:firstLine="8"/>
        <w:spacing w:after="0" w:line="257" w:lineRule="auto"/>
        <w:tabs>
          <w:tab w:leader="none" w:pos="40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calendar days to consider this Agreement (although you may choose voluntarily to sign it earlier, and changes to this Agreement, whether material or immaterial, do not restart the running of the forty-five (45) calendar day period); (iv) you have seven (7) calendar days following the date you sign this Agreement to revoke it (by providing written notice of your revocation to me); and (v) this Agreement will not be effective until the date upon which the revocation period has expired, which will be the eighth calendar day after the date that this Agreement is signed by you provided that you do not revoke it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You hereby further acknowledge that the Company has provided you with ADEA disclosure information (under 29 U.S.C. § 626(f)(1)(H)).</w:t>
      </w:r>
    </w:p>
    <w:p>
      <w:pPr>
        <w:spacing w:after="0" w:line="170" w:lineRule="exact"/>
        <w:rPr>
          <w:rFonts w:ascii="Times New Roman" w:cs="Times New Roman" w:eastAsia="Times New Roman" w:hAnsi="Times New Roman"/>
          <w:sz w:val="20"/>
          <w:szCs w:val="20"/>
          <w:color w:val="auto"/>
        </w:rPr>
      </w:pPr>
    </w:p>
    <w:p>
      <w:pPr>
        <w:ind w:left="1920" w:hanging="415"/>
        <w:spacing w:after="0"/>
        <w:tabs>
          <w:tab w:leader="none" w:pos="1920" w:val="left"/>
        </w:tabs>
        <w:numPr>
          <w:ilvl w:val="1"/>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Excluded Claims. </w:t>
      </w:r>
      <w:r>
        <w:rPr>
          <w:rFonts w:ascii="Times New Roman" w:cs="Times New Roman" w:eastAsia="Times New Roman" w:hAnsi="Times New Roman"/>
          <w:sz w:val="21"/>
          <w:szCs w:val="21"/>
          <w:color w:val="auto"/>
        </w:rPr>
        <w:t>Notwithstanding the foregoing, the following are not included in the Released Claims (the</w:t>
      </w:r>
    </w:p>
    <w:p>
      <w:pPr>
        <w:spacing w:after="0" w:line="27" w:lineRule="exact"/>
        <w:rPr>
          <w:rFonts w:ascii="Times New Roman" w:cs="Times New Roman" w:eastAsia="Times New Roman" w:hAnsi="Times New Roman"/>
          <w:sz w:val="21"/>
          <w:szCs w:val="21"/>
          <w:b w:val="1"/>
          <w:bCs w:val="1"/>
          <w:color w:val="auto"/>
        </w:rPr>
      </w:pPr>
    </w:p>
    <w:p>
      <w:pPr>
        <w:jc w:val="both"/>
        <w:ind w:right="20"/>
        <w:spacing w:after="0" w:line="243"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Claims</w:t>
      </w:r>
      <w:r>
        <w:rPr>
          <w:rFonts w:ascii="Times New Roman" w:cs="Times New Roman" w:eastAsia="Times New Roman" w:hAnsi="Times New Roman"/>
          <w:sz w:val="21"/>
          <w:szCs w:val="21"/>
          <w:color w:val="auto"/>
        </w:rPr>
        <w:t>”): (i) any rights or claims for indemnification you may have pursuant to any written indemnification agreement with the Company to which you are a party or under applicable law; (ii) any rights which are not waivable as a matter of law (such as claims for unemployment benefits or workers compensation); and (iii) any claims for breach of this Agreement.</w:t>
      </w:r>
    </w:p>
    <w:p>
      <w:pPr>
        <w:spacing w:after="0" w:line="185" w:lineRule="exact"/>
        <w:rPr>
          <w:rFonts w:ascii="Times New Roman" w:cs="Times New Roman" w:eastAsia="Times New Roman" w:hAnsi="Times New Roman"/>
          <w:sz w:val="21"/>
          <w:szCs w:val="21"/>
          <w:b w:val="1"/>
          <w:bCs w:val="1"/>
          <w:color w:val="auto"/>
        </w:rPr>
      </w:pPr>
    </w:p>
    <w:p>
      <w:pPr>
        <w:jc w:val="both"/>
        <w:ind w:firstLine="1505"/>
        <w:spacing w:after="0" w:line="246" w:lineRule="auto"/>
        <w:tabs>
          <w:tab w:leader="none" w:pos="1911" w:val="left"/>
        </w:tabs>
        <w:numPr>
          <w:ilvl w:val="1"/>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Protected Rights. </w:t>
      </w:r>
      <w:r>
        <w:rPr>
          <w:rFonts w:ascii="Times New Roman" w:cs="Times New Roman" w:eastAsia="Times New Roman" w:hAnsi="Times New Roman"/>
          <w:sz w:val="21"/>
          <w:szCs w:val="21"/>
          <w:color w:val="auto"/>
        </w:rPr>
        <w:t>You understand that nothing in this Agreement limits your ability to file a charge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complaint with the Equal Employment Opportunity Commission, the Department of Labor, the National Labor Relations Board, the Occupational Safety and Health Administration, the California Civil Rights Department, the Department of Justice, the Securities and Exchange Commission or any other federal, state or local governmental agency or commission (“</w:t>
      </w:r>
      <w:r>
        <w:rPr>
          <w:rFonts w:ascii="Times New Roman" w:cs="Times New Roman" w:eastAsia="Times New Roman" w:hAnsi="Times New Roman"/>
          <w:sz w:val="21"/>
          <w:szCs w:val="21"/>
          <w:b w:val="1"/>
          <w:bCs w:val="1"/>
          <w:color w:val="auto"/>
        </w:rPr>
        <w:t>Government Agencies</w:t>
      </w:r>
      <w:r>
        <w:rPr>
          <w:rFonts w:ascii="Times New Roman" w:cs="Times New Roman" w:eastAsia="Times New Roman" w:hAnsi="Times New Roman"/>
          <w:sz w:val="21"/>
          <w:szCs w:val="21"/>
          <w:color w:val="auto"/>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06" w:name="page107"/>
    <w:bookmarkEnd w:id="106"/>
    <w:p>
      <w:pPr>
        <w:jc w:val="both"/>
        <w:spacing w:after="0" w:line="246" w:lineRule="auto"/>
        <w:rPr>
          <w:sz w:val="20"/>
          <w:szCs w:val="20"/>
          <w:color w:val="auto"/>
        </w:rPr>
      </w:pPr>
      <w:r>
        <w:rPr>
          <w:rFonts w:ascii="Times New Roman" w:cs="Times New Roman" w:eastAsia="Times New Roman" w:hAnsi="Times New Roman"/>
          <w:sz w:val="21"/>
          <w:szCs w:val="21"/>
          <w:color w:val="auto"/>
        </w:rPr>
        <w:t>receive a government-issued award for information provided to any Government Agencies in connection with a government whistleblower program or protected whistleblower activity, you understand and agree that, to the maximum extent permitted by law, you are otherwise waiving any and all rights you may have to individual relief based on any claims that you have released and any rights you have waived by signing this Agreement. Nothing in this Agreement (i) prevents you from discussing or disclosing information about unlawful acts in the workplace, such as harassment or discrimination or any other conduct that you have reason to believe is unlawful; or (ii) waives any rights you may have under Section 7 of the National Labor Relations Act, if applicable (subject to the release of claims set forth herein).</w:t>
      </w:r>
    </w:p>
    <w:p>
      <w:pPr>
        <w:spacing w:after="0" w:line="182" w:lineRule="exact"/>
        <w:rPr>
          <w:sz w:val="20"/>
          <w:szCs w:val="20"/>
          <w:color w:val="auto"/>
        </w:rPr>
      </w:pPr>
    </w:p>
    <w:p>
      <w:pPr>
        <w:jc w:val="both"/>
        <w:ind w:firstLine="1505"/>
        <w:spacing w:after="0" w:line="256" w:lineRule="auto"/>
        <w:tabs>
          <w:tab w:leader="none" w:pos="1911"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Continued Insurance Coverage. </w:t>
      </w:r>
      <w:r>
        <w:rPr>
          <w:rFonts w:ascii="Times New Roman" w:cs="Times New Roman" w:eastAsia="Times New Roman" w:hAnsi="Times New Roman"/>
          <w:sz w:val="21"/>
          <w:szCs w:val="21"/>
          <w:color w:val="auto"/>
        </w:rPr>
        <w:t>The Company agrees that you will continue to be covered under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Company’s directors and officers liability insurance policy during the Executive’s service as an officer and/or director, as applicable, and continuing through the term of the consultancy and any applicable tail coverage period.</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b w:val="1"/>
          <w:bCs w:val="1"/>
          <w:color w:val="auto"/>
        </w:rPr>
        <w:t>12.</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1542 W</w:t>
      </w:r>
      <w:r>
        <w:rPr>
          <w:rFonts w:ascii="Times New Roman" w:cs="Times New Roman" w:eastAsia="Times New Roman" w:hAnsi="Times New Roman"/>
          <w:sz w:val="14"/>
          <w:szCs w:val="14"/>
          <w:b w:val="1"/>
          <w:bCs w:val="1"/>
          <w:color w:val="auto"/>
        </w:rPr>
        <w:t>aiver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In giving the release herein, which includes claims which may be unknown to you at present,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acknowledge that you have read and understand Section 1542 of the California Civil Code, which reads as follows:</w:t>
      </w:r>
    </w:p>
    <w:p>
      <w:pPr>
        <w:spacing w:after="0" w:line="168" w:lineRule="exact"/>
        <w:rPr>
          <w:sz w:val="20"/>
          <w:szCs w:val="20"/>
          <w:color w:val="auto"/>
        </w:rPr>
      </w:pPr>
    </w:p>
    <w:p>
      <w:pPr>
        <w:jc w:val="both"/>
        <w:ind w:left="760" w:right="760"/>
        <w:spacing w:after="0" w:line="256" w:lineRule="auto"/>
        <w:rPr>
          <w:sz w:val="20"/>
          <w:szCs w:val="20"/>
          <w:color w:val="auto"/>
        </w:rPr>
      </w:pPr>
      <w:r>
        <w:rPr>
          <w:rFonts w:ascii="Times New Roman" w:cs="Times New Roman" w:eastAsia="Times New Roman" w:hAnsi="Times New Roman"/>
          <w:sz w:val="21"/>
          <w:szCs w:val="21"/>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You hereby expressly waive and relinquish all rights and benefits under that section and any law of any other jurisdiction of similar effect with respect to your release of claims herein, including but not limited to your release of unknown claims.</w:t>
      </w:r>
    </w:p>
    <w:p>
      <w:pPr>
        <w:spacing w:after="0" w:line="14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13.</w:t>
      </w: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4"/>
          <w:szCs w:val="14"/>
          <w:b w:val="1"/>
          <w:bCs w:val="1"/>
          <w:color w:val="auto"/>
        </w:rPr>
        <w:t>epresentations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You hereby represent that you have been paid all compensation owed and for all hours worked,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received all the leave and leave benefits and protections for which you are eligible pursuant to the Family and Medical Leave Act, the California Family Rights Act, or otherwise, and have not suffered any on-the-job injury for which you have not already filed a workers’ compensation claim.</w:t>
      </w:r>
    </w:p>
    <w:p>
      <w:pPr>
        <w:spacing w:after="0" w:line="200" w:lineRule="exact"/>
        <w:rPr>
          <w:sz w:val="20"/>
          <w:szCs w:val="20"/>
          <w:color w:val="auto"/>
        </w:rPr>
      </w:pPr>
    </w:p>
    <w:p>
      <w:pPr>
        <w:spacing w:after="0" w:line="210"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2"/>
          <w:szCs w:val="22"/>
          <w:b w:val="1"/>
          <w:bCs w:val="1"/>
          <w:color w:val="auto"/>
        </w:rPr>
        <w:t>14.</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4"/>
          <w:szCs w:val="14"/>
          <w:b w:val="1"/>
          <w:bCs w:val="1"/>
          <w:color w:val="auto"/>
        </w:rPr>
        <w:t>ontinuing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You acknowledge and reaffirm your continuing obligations under your Proprietary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 xml:space="preserve">Information and Inventions Agreement, attached hereto as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which is incorporated herein by reference, and agree to abide by those continuing obligations.</w:t>
      </w:r>
    </w:p>
    <w:p>
      <w:pPr>
        <w:spacing w:after="0" w:line="152"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2"/>
          <w:szCs w:val="22"/>
          <w:b w:val="1"/>
          <w:bCs w:val="1"/>
          <w:color w:val="auto"/>
        </w:rPr>
        <w:t>15.</w:t>
      </w: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4"/>
          <w:szCs w:val="14"/>
          <w:b w:val="1"/>
          <w:bCs w:val="1"/>
          <w:color w:val="auto"/>
        </w:rPr>
        <w:t>isparagement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Except to the extent permitted by the “Protected Rights” section above, you agree not to disparage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the Released Parties in any manner likely to be harmful to its or their business, business reputation, or personal reputation; provided that you may respond accurately and fully to any request for information if required by legal process, or in connection with a government investigation. In addition, nothing in this provision or this Agreement prohibits or restrains you from making disclosures protected under whistleblower provisions of federal or state law or from exercising your rights to engage in protected speech under Section 7 of the National Labor Relations Act, if applicable.</w:t>
      </w:r>
    </w:p>
    <w:p>
      <w:pPr>
        <w:spacing w:after="0" w:line="160" w:lineRule="exact"/>
        <w:rPr>
          <w:sz w:val="20"/>
          <w:szCs w:val="20"/>
          <w:color w:val="auto"/>
        </w:rPr>
      </w:pPr>
    </w:p>
    <w:p>
      <w:pPr>
        <w:jc w:val="both"/>
        <w:ind w:firstLine="749"/>
        <w:spacing w:after="0" w:line="284" w:lineRule="auto"/>
        <w:rPr>
          <w:sz w:val="20"/>
          <w:szCs w:val="20"/>
          <w:color w:val="auto"/>
        </w:rPr>
      </w:pPr>
      <w:r>
        <w:rPr>
          <w:rFonts w:ascii="Times New Roman" w:cs="Times New Roman" w:eastAsia="Times New Roman" w:hAnsi="Times New Roman"/>
          <w:sz w:val="22"/>
          <w:szCs w:val="22"/>
          <w:b w:val="1"/>
          <w:bCs w:val="1"/>
          <w:color w:val="auto"/>
        </w:rPr>
        <w:t>16.</w:t>
      </w: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4"/>
          <w:szCs w:val="14"/>
          <w:b w:val="1"/>
          <w:bCs w:val="1"/>
          <w:color w:val="auto"/>
        </w:rPr>
        <w:t>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4"/>
          <w:szCs w:val="14"/>
          <w:b w:val="1"/>
          <w:bCs w:val="1"/>
          <w:color w:val="auto"/>
        </w:rPr>
        <w:t>dverse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4"/>
          <w:szCs w:val="14"/>
          <w:b w:val="1"/>
          <w:bCs w:val="1"/>
          <w:color w:val="auto"/>
        </w:rPr>
        <w:t>ction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You agree that you will not voluntarily (except in response to legal compulsion or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permitted under the section of this Agreement entitled “Protected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981710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07" w:name="page108"/>
    <w:bookmarkEnd w:id="107"/>
    <w:p>
      <w:pPr>
        <w:jc w:val="both"/>
        <w:spacing w:after="0" w:line="270" w:lineRule="auto"/>
        <w:rPr>
          <w:sz w:val="20"/>
          <w:szCs w:val="20"/>
          <w:color w:val="auto"/>
        </w:rPr>
      </w:pPr>
      <w:r>
        <w:rPr>
          <w:rFonts w:ascii="Times New Roman" w:cs="Times New Roman" w:eastAsia="Times New Roman" w:hAnsi="Times New Roman"/>
          <w:sz w:val="21"/>
          <w:szCs w:val="21"/>
          <w:color w:val="auto"/>
        </w:rPr>
        <w:t>Rights”) assist any person in bringing or pursuing any proposed or pending litigation, arbitration, administrative claim or other formal proceeding against the Company, its parent or subsidiary entities, affiliates, officers, directors, employees or agents.</w:t>
      </w:r>
    </w:p>
    <w:p>
      <w:pPr>
        <w:spacing w:after="0" w:line="14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4"/>
          <w:szCs w:val="14"/>
          <w:b w:val="1"/>
          <w:bCs w:val="1"/>
          <w:color w:val="auto"/>
        </w:rPr>
        <w:t>ooperation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You agree to cooperate fully with the Company in connection with its actual or contemplated defense,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prosecution, or investigation of any claims or demands by or against third parties, or other matters arising from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and will make reasonable efforts to accommodate your scheduling needs.</w:t>
      </w:r>
    </w:p>
    <w:p>
      <w:pPr>
        <w:spacing w:after="0" w:line="200" w:lineRule="exact"/>
        <w:rPr>
          <w:sz w:val="20"/>
          <w:szCs w:val="20"/>
          <w:color w:val="auto"/>
        </w:rPr>
      </w:pPr>
    </w:p>
    <w:p>
      <w:pPr>
        <w:spacing w:after="0" w:line="20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b w:val="1"/>
          <w:bCs w:val="1"/>
          <w:color w:val="auto"/>
        </w:rPr>
        <w:t>18.</w:t>
      </w: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This Agreement, including its exhibits, constitutes the complete, final and exclusive embodiment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The Company may freely assign this Agreement, without your prior written consent. You may not assign any of your duties hereunder and you may not assign any of your rights hereunder without the written consent of the Company. If any provision of this Agreement is determined to be invalid or unenforceable, in whole or in part, this determination will not affect any other provision of this Agreement and the provision in question will be modified so as to be rendered enforceable. This Agreement will be deemed to have been entered into and will be construed and enforced in accordance with the laws of the State of California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which shall be deemed to be part of one original, and facsimile and electronic image signatures (including .pdf or any electronic signature complying with the U.S. federal ESIGN Act of 2000, Uniform Electronic Transactions Act, or other applicable law) shall be equivalent to original signatures.</w:t>
      </w:r>
    </w:p>
    <w:p>
      <w:pPr>
        <w:spacing w:after="0" w:line="200" w:lineRule="exact"/>
        <w:rPr>
          <w:sz w:val="20"/>
          <w:szCs w:val="20"/>
          <w:color w:val="auto"/>
        </w:rPr>
      </w:pP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If this Agreement is acceptable to you, please sign below and return the original to me. You have forty-five (45) calendar days to decide whether you would like to accept this Agreement, and the Company’s offer contained herein will automatically expire if you do not sign and return it within this timeframe.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1"/>
          <w:szCs w:val="21"/>
          <w:color w:val="auto"/>
        </w:rPr>
        <w:t>We wish you the best in your future endeavors.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Sincerely,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w:t>
      </w:r>
      <w:r>
        <w:rPr>
          <w:rFonts w:ascii="Times New Roman" w:cs="Times New Roman" w:eastAsia="Times New Roman" w:hAnsi="Times New Roman"/>
          <w:sz w:val="14"/>
          <w:szCs w:val="14"/>
          <w:b w:val="1"/>
          <w:bCs w:val="1"/>
          <w:color w:val="auto"/>
        </w:rPr>
        <w:t>empest</w:t>
      </w:r>
      <w:r>
        <w:rPr>
          <w:rFonts w:ascii="Times New Roman" w:cs="Times New Roman" w:eastAsia="Times New Roman" w:hAnsi="Times New Roman"/>
          <w:sz w:val="21"/>
          <w:szCs w:val="21"/>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1"/>
          <w:szCs w:val="21"/>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r>
        <w:rPr>
          <w:rFonts w:ascii="Times New Roman" w:cs="Times New Roman" w:eastAsia="Times New Roman" w:hAnsi="Times New Roman"/>
          <w:sz w:val="21"/>
          <w:szCs w:val="21"/>
          <w:u w:val="single" w:color="auto"/>
          <w:color w:val="auto"/>
        </w:rPr>
        <w:t>/s/ Stephen R. Brady</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Stephen R. Brady</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President &amp; Chief Executive Officer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 </w:t>
      </w:r>
      <w:r>
        <w:rPr>
          <w:rFonts w:ascii="Times New Roman" w:cs="Times New Roman" w:eastAsia="Times New Roman" w:hAnsi="Times New Roman"/>
          <w:sz w:val="14"/>
          <w:szCs w:val="14"/>
          <w:b w:val="1"/>
          <w:bCs w:val="1"/>
          <w:color w:val="auto"/>
        </w:rPr>
        <w:t>have read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4"/>
          <w:szCs w:val="14"/>
          <w:b w:val="1"/>
          <w:bCs w:val="1"/>
          <w:color w:val="auto"/>
        </w:rPr>
        <w:t>understand and agree fully to the foregoing</w:t>
      </w:r>
      <w:r>
        <w:rPr>
          <w:rFonts w:ascii="Times New Roman" w:cs="Times New Roman" w:eastAsia="Times New Roman" w:hAnsi="Times New Roman"/>
          <w:sz w:val="21"/>
          <w:szCs w:val="21"/>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1"/>
          <w:szCs w:val="21"/>
          <w:b w:val="1"/>
          <w:bCs w:val="1"/>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Sam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0509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4">
                      <a:extLst>
                        <a:ext uri="{28A0092B-C50C-407E-A947-70E740481C1C}"/>
                      </a:extLst>
                    </a:blip>
                    <a:srcRect/>
                    <a:stretch>
                      <a:fillRect/>
                    </a:stretch>
                  </pic:blipFill>
                  <pic:spPr bwMode="auto">
                    <a:xfrm>
                      <a:off x="0" y="0"/>
                      <a:ext cx="105092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Sam Whiting, M.D., Ph.D.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880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5">
                      <a:extLst>
                        <a:ext uri="{28A0092B-C50C-407E-A947-70E740481C1C}"/>
                      </a:extLst>
                    </a:blip>
                    <a:srcRect/>
                    <a:stretch>
                      <a:fillRect/>
                    </a:stretch>
                  </pic:blipFill>
                  <pic:spPr bwMode="auto">
                    <a:xfrm>
                      <a:off x="0" y="0"/>
                      <a:ext cx="788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6" w:right="1440"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13, 2025</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Nicholas Maestas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 Separation 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Nic:</w:t>
      </w:r>
    </w:p>
    <w:p>
      <w:pPr>
        <w:spacing w:after="0" w:line="216"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21"/>
          <w:szCs w:val="21"/>
          <w:color w:val="auto"/>
        </w:rPr>
        <w:t>This letter sets forth the substance of the separation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that Tempest Therapeutics,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is offering to you to aid in your employment transition.</w:t>
      </w:r>
    </w:p>
    <w:p>
      <w:pPr>
        <w:spacing w:after="0" w:line="155" w:lineRule="exact"/>
        <w:rPr>
          <w:sz w:val="20"/>
          <w:szCs w:val="20"/>
          <w:color w:val="auto"/>
        </w:rPr>
      </w:pPr>
    </w:p>
    <w:p>
      <w:pPr>
        <w:jc w:val="both"/>
        <w:ind w:firstLine="757"/>
        <w:spacing w:after="0" w:line="250" w:lineRule="auto"/>
        <w:tabs>
          <w:tab w:leader="none" w:pos="1018"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S</w:t>
      </w:r>
      <w:r>
        <w:rPr>
          <w:rFonts w:ascii="Times New Roman" w:cs="Times New Roman" w:eastAsia="Times New Roman" w:hAnsi="Times New Roman"/>
          <w:sz w:val="14"/>
          <w:szCs w:val="14"/>
          <w:b w:val="1"/>
          <w:bCs w:val="1"/>
          <w:color w:val="auto"/>
        </w:rPr>
        <w:t>eparation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Your employment termination date will be effective as of June 5, 2025 (the “</w:t>
      </w:r>
      <w:r>
        <w:rPr>
          <w:rFonts w:ascii="Times New Roman" w:cs="Times New Roman" w:eastAsia="Times New Roman" w:hAnsi="Times New Roman"/>
          <w:sz w:val="21"/>
          <w:szCs w:val="21"/>
          <w:b w:val="1"/>
          <w:bCs w:val="1"/>
          <w:color w:val="auto"/>
        </w:rPr>
        <w:t>Separation Date</w:t>
      </w:r>
      <w:r>
        <w:rPr>
          <w:rFonts w:ascii="Times New Roman" w:cs="Times New Roman" w:eastAsia="Times New Roman" w:hAnsi="Times New Roman"/>
          <w:sz w:val="21"/>
          <w:szCs w:val="21"/>
          <w:color w:val="auto"/>
        </w:rPr>
        <w:t>”).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understand and agree that you are not authorized to hold yourself out as being employed or affiliated with the Company in any way following the Separation Date.</w:t>
      </w:r>
    </w:p>
    <w:p>
      <w:pPr>
        <w:spacing w:after="0" w:line="178" w:lineRule="exact"/>
        <w:rPr>
          <w:rFonts w:ascii="Times New Roman" w:cs="Times New Roman" w:eastAsia="Times New Roman" w:hAnsi="Times New Roman"/>
          <w:sz w:val="22"/>
          <w:szCs w:val="22"/>
          <w:b w:val="1"/>
          <w:bCs w:val="1"/>
          <w:color w:val="auto"/>
        </w:rPr>
      </w:pPr>
    </w:p>
    <w:p>
      <w:pPr>
        <w:jc w:val="both"/>
        <w:ind w:firstLine="757"/>
        <w:spacing w:after="0" w:line="250" w:lineRule="auto"/>
        <w:tabs>
          <w:tab w:leader="none" w:pos="1018"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F</w:t>
      </w:r>
      <w:r>
        <w:rPr>
          <w:rFonts w:ascii="Times New Roman" w:cs="Times New Roman" w:eastAsia="Times New Roman" w:hAnsi="Times New Roman"/>
          <w:sz w:val="14"/>
          <w:szCs w:val="14"/>
          <w:b w:val="1"/>
          <w:bCs w:val="1"/>
          <w:color w:val="auto"/>
        </w:rPr>
        <w:t>inal</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4"/>
          <w:szCs w:val="14"/>
          <w:b w:val="1"/>
          <w:bCs w:val="1"/>
          <w:color w:val="auto"/>
        </w:rPr>
        <w:t>ayment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the Separation Date, the Company will pay you all accrued wages, and all accrued and unused paid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off earned through the Separation Date, subject to standard payroll deductions and withholdings. You are entitled to these payments and benefits regardless of whether or not you sign this Agreement.</w:t>
      </w:r>
    </w:p>
    <w:p>
      <w:pPr>
        <w:spacing w:after="0" w:line="178" w:lineRule="exact"/>
        <w:rPr>
          <w:rFonts w:ascii="Times New Roman" w:cs="Times New Roman" w:eastAsia="Times New Roman" w:hAnsi="Times New Roman"/>
          <w:sz w:val="22"/>
          <w:szCs w:val="22"/>
          <w:b w:val="1"/>
          <w:bCs w:val="1"/>
          <w:color w:val="auto"/>
        </w:rPr>
      </w:pPr>
    </w:p>
    <w:p>
      <w:pPr>
        <w:jc w:val="both"/>
        <w:ind w:firstLine="757"/>
        <w:spacing w:after="0" w:line="260" w:lineRule="auto"/>
        <w:tabs>
          <w:tab w:leader="none" w:pos="1018"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everance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your employment agreement dated July 7, 2021 with the Company (the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Company’s termination of your employment is not for Cause (as defined in the Employment Agreement). As such, if you: (i) timely sign this Agreement; (ii) allow it to become effective; (iii) remain available after your Separation Date to answer any questions from the Company regarding your previous job duties; and (iv) comply with your obligations under it, including the terms of the Proprietary Information and Inventions Agreement (collectively, the “</w:t>
      </w:r>
      <w:r>
        <w:rPr>
          <w:rFonts w:ascii="Times New Roman" w:cs="Times New Roman" w:eastAsia="Times New Roman" w:hAnsi="Times New Roman"/>
          <w:sz w:val="20"/>
          <w:szCs w:val="20"/>
          <w:b w:val="1"/>
          <w:bCs w:val="1"/>
          <w:color w:val="auto"/>
        </w:rPr>
        <w:t>Severance Preconditions</w:t>
      </w:r>
      <w:r>
        <w:rPr>
          <w:rFonts w:ascii="Times New Roman" w:cs="Times New Roman" w:eastAsia="Times New Roman" w:hAnsi="Times New Roman"/>
          <w:sz w:val="20"/>
          <w:szCs w:val="20"/>
          <w:color w:val="auto"/>
        </w:rPr>
        <w:t>”), then in full satisfaction of any obligations for the Company to provide you with severance benefits for a termination without Cause as set forth in your Employment Agreement, the Company will provide you with the following as your sole severance benefits (the “</w:t>
      </w:r>
      <w:r>
        <w:rPr>
          <w:rFonts w:ascii="Times New Roman" w:cs="Times New Roman" w:eastAsia="Times New Roman" w:hAnsi="Times New Roman"/>
          <w:sz w:val="20"/>
          <w:szCs w:val="20"/>
          <w:b w:val="1"/>
          <w:bCs w:val="1"/>
          <w:color w:val="auto"/>
        </w:rPr>
        <w:t>Severance Benefits</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b w:val="1"/>
          <w:bCs w:val="1"/>
          <w:color w:val="auto"/>
        </w:rPr>
      </w:pPr>
    </w:p>
    <w:p>
      <w:pPr>
        <w:jc w:val="both"/>
        <w:ind w:firstLine="1505"/>
        <w:spacing w:after="0" w:line="251" w:lineRule="auto"/>
        <w:tabs>
          <w:tab w:leader="none" w:pos="2036" w:val="left"/>
        </w:tabs>
        <w:numPr>
          <w:ilvl w:val="1"/>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Severance Pay. </w:t>
      </w:r>
      <w:r>
        <w:rPr>
          <w:rFonts w:ascii="Times New Roman" w:cs="Times New Roman" w:eastAsia="Times New Roman" w:hAnsi="Times New Roman"/>
          <w:sz w:val="21"/>
          <w:szCs w:val="21"/>
          <w:color w:val="auto"/>
        </w:rPr>
        <w:t>The Company will pay you, as severance, the equivalent of nine (9) months of your base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salary in effect as of the Separation Date, subject to standard payroll deductions and withholdings (the “</w:t>
      </w:r>
      <w:r>
        <w:rPr>
          <w:rFonts w:ascii="Times New Roman" w:cs="Times New Roman" w:eastAsia="Times New Roman" w:hAnsi="Times New Roman"/>
          <w:sz w:val="21"/>
          <w:szCs w:val="21"/>
          <w:b w:val="1"/>
          <w:bCs w:val="1"/>
          <w:color w:val="auto"/>
        </w:rPr>
        <w:t>Severance Pay</w:t>
      </w:r>
      <w:r>
        <w:rPr>
          <w:rFonts w:ascii="Times New Roman" w:cs="Times New Roman" w:eastAsia="Times New Roman" w:hAnsi="Times New Roman"/>
          <w:sz w:val="21"/>
          <w:szCs w:val="21"/>
          <w:color w:val="auto"/>
        </w:rPr>
        <w:t>”). The Severance Pay will be paid in a single lump sum on the Company’s first regular payroll date that is more than sixty (60) days or sooner following your Separation Date (provided that this Agreement is effective by that date).</w:t>
      </w:r>
    </w:p>
    <w:p>
      <w:pPr>
        <w:spacing w:after="0" w:line="177" w:lineRule="exact"/>
        <w:rPr>
          <w:rFonts w:ascii="Times New Roman" w:cs="Times New Roman" w:eastAsia="Times New Roman" w:hAnsi="Times New Roman"/>
          <w:sz w:val="21"/>
          <w:szCs w:val="21"/>
          <w:b w:val="1"/>
          <w:bCs w:val="1"/>
          <w:color w:val="auto"/>
        </w:rPr>
      </w:pPr>
    </w:p>
    <w:p>
      <w:pPr>
        <w:jc w:val="both"/>
        <w:ind w:firstLine="1505"/>
        <w:spacing w:after="0" w:line="275" w:lineRule="auto"/>
        <w:tabs>
          <w:tab w:leader="none" w:pos="2036" w:val="left"/>
        </w:tabs>
        <w:numPr>
          <w:ilvl w:val="1"/>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Bonus Severance. </w:t>
      </w:r>
      <w:r>
        <w:rPr>
          <w:rFonts w:ascii="Times New Roman" w:cs="Times New Roman" w:eastAsia="Times New Roman" w:hAnsi="Times New Roman"/>
          <w:sz w:val="20"/>
          <w:szCs w:val="20"/>
          <w:color w:val="auto"/>
        </w:rPr>
        <w:t>The Company will pay you an amount equal to 100% of your target annual bonus for fiscal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 2025, prorated based on the number of days you were employed in 2025, subject to standard payroll deductions and withholdings (such amount, the “</w:t>
      </w:r>
      <w:r>
        <w:rPr>
          <w:rFonts w:ascii="Times New Roman" w:cs="Times New Roman" w:eastAsia="Times New Roman" w:hAnsi="Times New Roman"/>
          <w:sz w:val="20"/>
          <w:szCs w:val="20"/>
          <w:b w:val="1"/>
          <w:bCs w:val="1"/>
          <w:color w:val="auto"/>
        </w:rPr>
        <w:t>Bonus Severance</w:t>
      </w:r>
      <w:r>
        <w:rPr>
          <w:rFonts w:ascii="Times New Roman" w:cs="Times New Roman" w:eastAsia="Times New Roman" w:hAnsi="Times New Roman"/>
          <w:sz w:val="20"/>
          <w:szCs w:val="20"/>
          <w:color w:val="auto"/>
        </w:rPr>
        <w:t>”). The Bonus Severance will be paid in a single lump sum on the Company’s first regular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0" w:name="page111"/>
    <w:bookmarkEnd w:id="110"/>
    <w:p>
      <w:pPr>
        <w:spacing w:after="0" w:line="270" w:lineRule="auto"/>
        <w:rPr>
          <w:sz w:val="20"/>
          <w:szCs w:val="20"/>
          <w:color w:val="auto"/>
        </w:rPr>
      </w:pPr>
      <w:r>
        <w:rPr>
          <w:rFonts w:ascii="Times New Roman" w:cs="Times New Roman" w:eastAsia="Times New Roman" w:hAnsi="Times New Roman"/>
          <w:sz w:val="21"/>
          <w:szCs w:val="21"/>
          <w:color w:val="auto"/>
        </w:rPr>
        <w:t>payroll date that is more than sixty (60) days, or sooner, following your Separation Date (provided that this Agreement is effective by that date).</w:t>
      </w:r>
    </w:p>
    <w:p>
      <w:pPr>
        <w:spacing w:after="0" w:line="157" w:lineRule="exact"/>
        <w:rPr>
          <w:sz w:val="20"/>
          <w:szCs w:val="20"/>
          <w:color w:val="auto"/>
        </w:rPr>
      </w:pPr>
    </w:p>
    <w:p>
      <w:pPr>
        <w:jc w:val="both"/>
        <w:ind w:firstLine="1505"/>
        <w:spacing w:after="0" w:line="243" w:lineRule="auto"/>
        <w:tabs>
          <w:tab w:leader="none" w:pos="2036" w:val="left"/>
        </w:tabs>
        <w:numPr>
          <w:ilvl w:val="1"/>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COBRA Benefits. </w:t>
      </w:r>
      <w:r>
        <w:rPr>
          <w:rFonts w:ascii="Times New Roman" w:cs="Times New Roman" w:eastAsia="Times New Roman" w:hAnsi="Times New Roman"/>
          <w:sz w:val="21"/>
          <w:szCs w:val="21"/>
          <w:color w:val="auto"/>
        </w:rPr>
        <w:t>Unless you follow the procedures set forth in this paragraph, your participation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Company’s group health insurance plan will end on the last day of the month in which the Separation Date occurs. To the extent provided by the federal COBRA law or, if applicable, state insurance laws, and by the Company’s current group health insurance policies, you will be eligible to continue your group health insurance benefits at your own expense following the Separation Date. Later, you may be able to convert to an individual policy through the provider of the Company’s health insurance, if you wish. You will be provided with a separate notice describing your rights and obligations under COBRA and a form for electing COBRA coverage. As an additional Severance Benefit under this Agreement, provided that you satisfy the Severance Preconditions set forth above and timely elect continued coverage under COBRA, then the Company shall directly pay or reimburse you (at its sole discretion) for the COBRA premiums to continue your health insurance coverage (including coverage for eligible dependents, if applicable) through the period (the “</w:t>
      </w:r>
      <w:r>
        <w:rPr>
          <w:rFonts w:ascii="Times New Roman" w:cs="Times New Roman" w:eastAsia="Times New Roman" w:hAnsi="Times New Roman"/>
          <w:sz w:val="21"/>
          <w:szCs w:val="21"/>
          <w:b w:val="1"/>
          <w:bCs w:val="1"/>
          <w:color w:val="auto"/>
        </w:rPr>
        <w:t>COBRA Premium Period</w:t>
      </w:r>
      <w:r>
        <w:rPr>
          <w:rFonts w:ascii="Times New Roman" w:cs="Times New Roman" w:eastAsia="Times New Roman" w:hAnsi="Times New Roman"/>
          <w:sz w:val="21"/>
          <w:szCs w:val="21"/>
          <w:color w:val="auto"/>
        </w:rPr>
        <w:t>”) starting on the Separation Date and ending on the date that is nine (9) months from the Separation Date, pursuant to the terms approved by the Board (the “</w:t>
      </w:r>
      <w:r>
        <w:rPr>
          <w:rFonts w:ascii="Times New Roman" w:cs="Times New Roman" w:eastAsia="Times New Roman" w:hAnsi="Times New Roman"/>
          <w:sz w:val="21"/>
          <w:szCs w:val="21"/>
          <w:b w:val="1"/>
          <w:bCs w:val="1"/>
          <w:color w:val="auto"/>
        </w:rPr>
        <w:t>COBRA Severance Benefit</w:t>
      </w:r>
      <w:r>
        <w:rPr>
          <w:rFonts w:ascii="Times New Roman" w:cs="Times New Roman" w:eastAsia="Times New Roman" w:hAnsi="Times New Roman"/>
          <w:sz w:val="21"/>
          <w:szCs w:val="21"/>
          <w:color w:val="auto"/>
        </w:rPr>
        <w:t>”) . Notwithstanding the foregoing and to the extent applicable, if at any time the Company determines, in its sole discretion, that the payment of the COBRA Severance Benefit would result in a violation of applicable law (including, but not limited to, Section 105(h) of the Internal Revenue Code of 1986, as amended, Section 2716 of the Public Health Service Act, or any statute or regulation of similar effect), then provided you remain eligible for reimbursement in accordance with this section, in lieu of providing the COBRA Severance Benefit, the Company will instead pay you on the last day of each remaining month of the COBRA Premium Period, a fully taxable cash payment equal to the COBRA Severance Benefit for that month, subject to applicable tax withholdings for the remainder of the COBRA Payment Period. You may, but are not obligated to, use this taxable payment to pay for medical expenses, including COBRA premiums.</w:t>
      </w:r>
    </w:p>
    <w:p>
      <w:pPr>
        <w:spacing w:after="0" w:line="187" w:lineRule="exact"/>
        <w:rPr>
          <w:rFonts w:ascii="Times New Roman" w:cs="Times New Roman" w:eastAsia="Times New Roman" w:hAnsi="Times New Roman"/>
          <w:sz w:val="21"/>
          <w:szCs w:val="21"/>
          <w:b w:val="1"/>
          <w:bCs w:val="1"/>
          <w:color w:val="auto"/>
        </w:rPr>
      </w:pPr>
    </w:p>
    <w:p>
      <w:pPr>
        <w:jc w:val="both"/>
        <w:ind w:firstLine="757"/>
        <w:spacing w:after="0" w:line="243" w:lineRule="auto"/>
        <w:tabs>
          <w:tab w:leader="none" w:pos="1018"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14"/>
          <w:szCs w:val="14"/>
          <w:b w:val="1"/>
          <w:bCs w:val="1"/>
          <w:color w:val="auto"/>
        </w:rPr>
        <w:t>hange in</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4"/>
          <w:szCs w:val="14"/>
          <w:b w:val="1"/>
          <w:bCs w:val="1"/>
          <w:color w:val="auto"/>
        </w:rPr>
        <w:t>ontrol</w:t>
      </w:r>
      <w:r>
        <w:rPr>
          <w:rFonts w:ascii="Times New Roman" w:cs="Times New Roman" w:eastAsia="Times New Roman" w:hAnsi="Times New Roman"/>
          <w:sz w:val="21"/>
          <w:szCs w:val="21"/>
          <w:b w:val="1"/>
          <w:bCs w:val="1"/>
          <w:color w:val="auto"/>
        </w:rPr>
        <w:t xml:space="preserve"> B</w:t>
      </w:r>
      <w:r>
        <w:rPr>
          <w:rFonts w:ascii="Times New Roman" w:cs="Times New Roman" w:eastAsia="Times New Roman" w:hAnsi="Times New Roman"/>
          <w:sz w:val="14"/>
          <w:szCs w:val="14"/>
          <w:b w:val="1"/>
          <w:bCs w:val="1"/>
          <w:color w:val="auto"/>
        </w:rPr>
        <w:t>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a Change in Control occurs after the date of this Agreement such that your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termination is within the Change in Control Period, as described in your Employment Agreement, then you will remain eligible to receive the Change in Control severance benefits set forth in Section 4(b)(ii) of the Employment Agreement (the “</w:t>
      </w:r>
      <w:r>
        <w:rPr>
          <w:rFonts w:ascii="Times New Roman" w:cs="Times New Roman" w:eastAsia="Times New Roman" w:hAnsi="Times New Roman"/>
          <w:sz w:val="21"/>
          <w:szCs w:val="21"/>
          <w:b w:val="1"/>
          <w:bCs w:val="1"/>
          <w:color w:val="auto"/>
        </w:rPr>
        <w:t>CIC Severance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Benefits</w:t>
      </w:r>
      <w:r>
        <w:rPr>
          <w:rFonts w:ascii="Times New Roman" w:cs="Times New Roman" w:eastAsia="Times New Roman" w:hAnsi="Times New Roman"/>
          <w:sz w:val="21"/>
          <w:szCs w:val="21"/>
          <w:color w:val="auto"/>
        </w:rPr>
        <w:t>”), as modified herein. The amount of any CIC Severance Benefits is subject to reduction by the amount of any Severance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Benefits already paid to you under this Agreement. Additionally, you and the Company mutually agree that the Board of Directors of the Company may reduce the amount of the CIC Severance Benefits to be paid to you if the Board determines, in its good faith discretion, that such reduction is necessary based on the Company’s cash on hand upon the closing of a Change in Control or such other factors as determined by the Board. Receipt of any CIC Severance Benefits is also subject to you timely executing and non-revocation of the Additional Release attached hereto as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Additional Release</w:t>
      </w:r>
      <w:r>
        <w:rPr>
          <w:rFonts w:ascii="Times New Roman" w:cs="Times New Roman" w:eastAsia="Times New Roman" w:hAnsi="Times New Roman"/>
          <w:sz w:val="21"/>
          <w:szCs w:val="21"/>
          <w:color w:val="auto"/>
        </w:rPr>
        <w:t>”). The Company will make commercially reasonable efforts to provide you with any such CIC Severance Benefits as soon as practicable after the Release Effective Date (as defined in the Additional Release).</w:t>
      </w:r>
    </w:p>
    <w:p>
      <w:pPr>
        <w:spacing w:after="0" w:line="187" w:lineRule="exact"/>
        <w:rPr>
          <w:rFonts w:ascii="Times New Roman" w:cs="Times New Roman" w:eastAsia="Times New Roman" w:hAnsi="Times New Roman"/>
          <w:sz w:val="22"/>
          <w:szCs w:val="22"/>
          <w:b w:val="1"/>
          <w:bCs w:val="1"/>
          <w:color w:val="auto"/>
        </w:rPr>
      </w:pPr>
    </w:p>
    <w:p>
      <w:pPr>
        <w:jc w:val="both"/>
        <w:ind w:firstLine="757"/>
        <w:spacing w:after="0" w:line="268" w:lineRule="auto"/>
        <w:tabs>
          <w:tab w:leader="none" w:pos="1018"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Vesting of any equity awards you may have received from the Company have been accelerated such that you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fully vested in any equity that you hold in the Company, as of the Separation Date. You will have until the earlier of either (i) the closing date of any Change in Control, or (ii) 180 days from the Separation Date, to exercise any vested equity. Your equity awards shall otherwise continue to be governed by the terms of the applicable grant notices, award agreements, and governing plan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11" w:name="page112"/>
    <w:bookmarkEnd w:id="111"/>
    <w:p>
      <w:pPr>
        <w:jc w:val="both"/>
        <w:ind w:left="-757" w:firstLine="757"/>
        <w:spacing w:after="0" w:line="243" w:lineRule="auto"/>
        <w:tabs>
          <w:tab w:leader="none" w:pos="261"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4"/>
          <w:szCs w:val="14"/>
          <w:b w:val="1"/>
          <w:bCs w:val="1"/>
          <w:color w:val="auto"/>
        </w:rPr>
        <w:t>ompensation or</w:t>
      </w:r>
      <w:r>
        <w:rPr>
          <w:rFonts w:ascii="Times New Roman" w:cs="Times New Roman" w:eastAsia="Times New Roman" w:hAnsi="Times New Roman"/>
          <w:sz w:val="21"/>
          <w:szCs w:val="21"/>
          <w:b w:val="1"/>
          <w:bCs w:val="1"/>
          <w:color w:val="auto"/>
        </w:rPr>
        <w:t xml:space="preserve"> B</w:t>
      </w:r>
      <w:r>
        <w:rPr>
          <w:rFonts w:ascii="Times New Roman" w:cs="Times New Roman" w:eastAsia="Times New Roman" w:hAnsi="Times New Roman"/>
          <w:sz w:val="14"/>
          <w:szCs w:val="14"/>
          <w:b w:val="1"/>
          <w:bCs w:val="1"/>
          <w:color w:val="auto"/>
        </w:rPr>
        <w:t>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executing this Agreement, you acknowledge and agree that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obligations to provide you with any severance benefits or any other payments are hereby extinguished (except for the benefits described in this Agreement). You further expressly acknowledge and agree that the Severance Benefits and/or the CIC Benefits, and other benefits provided herein, are in full and complete satisfaction of the Company’s obligations, if any, to pay you any severance benefits as contemplated in your Employment Agreement, or any other agreements, plans, or policies, and supersedes any such obligations. You also acknowledge that, except as expressly provided in this Agreement, you have not earned and will not receive from the Company any additional compensation, severance, or benefits on or after the Separation Date, with the exception of any vested right you may have under the express terms of a written benefit plan (e.g., 401(k) account). By way of example, you acknowledge that you have not earned and are not owed any bonus, vacation, incentive compensation, commissions, equity, or employee stock purchase plan.</w:t>
      </w:r>
    </w:p>
    <w:p>
      <w:pPr>
        <w:spacing w:after="0" w:line="200" w:lineRule="exact"/>
        <w:rPr>
          <w:rFonts w:ascii="Times New Roman" w:cs="Times New Roman" w:eastAsia="Times New Roman" w:hAnsi="Times New Roman"/>
          <w:sz w:val="22"/>
          <w:szCs w:val="22"/>
          <w:b w:val="1"/>
          <w:bCs w:val="1"/>
          <w:color w:val="auto"/>
        </w:rPr>
      </w:pPr>
    </w:p>
    <w:p>
      <w:pPr>
        <w:spacing w:after="0" w:line="233" w:lineRule="exact"/>
        <w:rPr>
          <w:rFonts w:ascii="Times New Roman" w:cs="Times New Roman" w:eastAsia="Times New Roman" w:hAnsi="Times New Roman"/>
          <w:sz w:val="22"/>
          <w:szCs w:val="22"/>
          <w:b w:val="1"/>
          <w:bCs w:val="1"/>
          <w:color w:val="auto"/>
        </w:rPr>
      </w:pPr>
    </w:p>
    <w:p>
      <w:pPr>
        <w:jc w:val="both"/>
        <w:ind w:left="-757" w:firstLine="757"/>
        <w:spacing w:after="0" w:line="247" w:lineRule="auto"/>
        <w:tabs>
          <w:tab w:leader="none" w:pos="261"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14"/>
          <w:szCs w:val="14"/>
          <w:b w:val="1"/>
          <w:bCs w:val="1"/>
          <w:color w:val="auto"/>
        </w:rPr>
        <w:t>xpense</w:t>
      </w:r>
      <w:r>
        <w:rPr>
          <w:rFonts w:ascii="Times New Roman" w:cs="Times New Roman" w:eastAsia="Times New Roman" w:hAnsi="Times New Roman"/>
          <w:sz w:val="21"/>
          <w:szCs w:val="21"/>
          <w:b w:val="1"/>
          <w:bCs w:val="1"/>
          <w:color w:val="auto"/>
        </w:rPr>
        <w:t xml:space="preserve"> R</w:t>
      </w:r>
      <w:r>
        <w:rPr>
          <w:rFonts w:ascii="Times New Roman" w:cs="Times New Roman" w:eastAsia="Times New Roman" w:hAnsi="Times New Roman"/>
          <w:sz w:val="14"/>
          <w:szCs w:val="14"/>
          <w:b w:val="1"/>
          <w:bCs w:val="1"/>
          <w:color w:val="auto"/>
        </w:rPr>
        <w:t>eimbursements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agree that, within five (5) calendar days after the Consulting Separation Date, you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submit your final documented expense reimbursement statement reflecting all business expenses you incurred through the Consulting Separation Date, if any, for which you seek reimbursement. The Company will reimburse you for these expenses pursuant to its regular business practice.</w:t>
      </w:r>
    </w:p>
    <w:p>
      <w:pPr>
        <w:spacing w:after="0" w:line="182" w:lineRule="exact"/>
        <w:rPr>
          <w:rFonts w:ascii="Times New Roman" w:cs="Times New Roman" w:eastAsia="Times New Roman" w:hAnsi="Times New Roman"/>
          <w:sz w:val="22"/>
          <w:szCs w:val="22"/>
          <w:b w:val="1"/>
          <w:bCs w:val="1"/>
          <w:color w:val="auto"/>
        </w:rPr>
      </w:pPr>
    </w:p>
    <w:p>
      <w:pPr>
        <w:jc w:val="both"/>
        <w:ind w:left="-757" w:firstLine="757"/>
        <w:spacing w:after="0" w:line="242" w:lineRule="auto"/>
        <w:tabs>
          <w:tab w:leader="none" w:pos="261"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R</w:t>
      </w:r>
      <w:r>
        <w:rPr>
          <w:rFonts w:ascii="Times New Roman" w:cs="Times New Roman" w:eastAsia="Times New Roman" w:hAnsi="Times New Roman"/>
          <w:sz w:val="14"/>
          <w:szCs w:val="14"/>
          <w:b w:val="1"/>
          <w:bCs w:val="1"/>
          <w:color w:val="auto"/>
        </w:rPr>
        <w:t>eturn</w:t>
      </w:r>
      <w:r>
        <w:rPr>
          <w:rFonts w:ascii="Times New Roman" w:cs="Times New Roman" w:eastAsia="Times New Roman" w:hAnsi="Times New Roman"/>
          <w:sz w:val="21"/>
          <w:szCs w:val="21"/>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4"/>
          <w:szCs w:val="14"/>
          <w:b w:val="1"/>
          <w:bCs w:val="1"/>
          <w:color w:val="auto"/>
        </w:rPr>
        <w:t>roperty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or within five (5) business days after the expiration or termination of your post-Separation Date consulting agreement with the Company (the “</w:t>
      </w:r>
      <w:r>
        <w:rPr>
          <w:rFonts w:ascii="Times New Roman" w:cs="Times New Roman" w:eastAsia="Times New Roman" w:hAnsi="Times New Roman"/>
          <w:sz w:val="21"/>
          <w:szCs w:val="21"/>
          <w:b w:val="1"/>
          <w:bCs w:val="1"/>
          <w:color w:val="auto"/>
        </w:rPr>
        <w:t>Consulting Separation Date</w:t>
      </w:r>
      <w:r>
        <w:rPr>
          <w:rFonts w:ascii="Times New Roman" w:cs="Times New Roman" w:eastAsia="Times New Roman" w:hAnsi="Times New Roman"/>
          <w:sz w:val="21"/>
          <w:szCs w:val="21"/>
          <w:color w:val="auto"/>
        </w:rPr>
        <w:t>”), you will return to the Company all Company documents (and all copies thereof) and other Company property in your possession or control, including, but not limited to, Company files, notes, drawings, records, business plans and forecasts, contact information, financial information, specifications, training materials,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You represent that you have made a diligent search to locate any such documents, property and information within the required timeframe. In addition, if you have used any personally owned computer, server, e-mail system, mobile phone, portable electronic device (e.g., smartphone, iPad or the like), (collectively, “</w:t>
      </w:r>
      <w:r>
        <w:rPr>
          <w:rFonts w:ascii="Times New Roman" w:cs="Times New Roman" w:eastAsia="Times New Roman" w:hAnsi="Times New Roman"/>
          <w:sz w:val="21"/>
          <w:szCs w:val="21"/>
          <w:b w:val="1"/>
          <w:bCs w:val="1"/>
          <w:color w:val="auto"/>
        </w:rPr>
        <w:t>Personal Systems</w:t>
      </w:r>
      <w:r>
        <w:rPr>
          <w:rFonts w:ascii="Times New Roman" w:cs="Times New Roman" w:eastAsia="Times New Roman" w:hAnsi="Times New Roman"/>
          <w:sz w:val="21"/>
          <w:szCs w:val="21"/>
          <w:color w:val="auto"/>
        </w:rPr>
        <w:t xml:space="preserve">”) to receive, store, prepare or transmit any Company confidential or proprietary data, materials or information, then within five (5) calendar days after the Separation Date, you will permanently delete and expunge all such Company confidential or proprietary information from such Personal Systems without retaining any copy or reproduction in any form (in whole or in part). You agree that, after the applicable timeframes noted above, you will neither use nor possess Company property. </w:t>
      </w:r>
      <w:r>
        <w:rPr>
          <w:rFonts w:ascii="Times New Roman" w:cs="Times New Roman" w:eastAsia="Times New Roman" w:hAnsi="Times New Roman"/>
          <w:sz w:val="21"/>
          <w:szCs w:val="21"/>
          <w:b w:val="1"/>
          <w:bCs w:val="1"/>
          <w:color w:val="auto"/>
        </w:rPr>
        <w:t>Your timely compliance with this paragraph is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condition precedent to your receipt of the Severance Benefits described above.</w:t>
      </w:r>
    </w:p>
    <w:p>
      <w:pPr>
        <w:spacing w:after="0" w:line="197" w:lineRule="exact"/>
        <w:rPr>
          <w:rFonts w:ascii="Times New Roman" w:cs="Times New Roman" w:eastAsia="Times New Roman" w:hAnsi="Times New Roman"/>
          <w:sz w:val="22"/>
          <w:szCs w:val="22"/>
          <w:b w:val="1"/>
          <w:bCs w:val="1"/>
          <w:color w:val="auto"/>
        </w:rPr>
      </w:pPr>
    </w:p>
    <w:p>
      <w:pPr>
        <w:jc w:val="both"/>
        <w:ind w:left="-757" w:firstLine="757"/>
        <w:spacing w:after="0" w:line="245" w:lineRule="auto"/>
        <w:tabs>
          <w:tab w:leader="none" w:pos="261"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14"/>
          <w:szCs w:val="14"/>
          <w:b w:val="1"/>
          <w:bCs w:val="1"/>
          <w:color w:val="auto"/>
        </w:rPr>
        <w:t>onfidentiality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provisions of this Agreement will be held in strictest confidence by you and will not be publicized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or disclosed by you in any manner whatsoever;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 you may disclose this Agreement in confidence to your immediate family and to your attorneys, accountants, tax preparers and financial advisors; (b) you may disclose this Agreement pursuant to a government investigation, if necessary to enforce its terms, or as otherwise required by law; and (c) you may disclose this Agreement to the extent permitted by the “Protected Rights” section below or in furtherance of your rights under Section 7 of the National Labor Relations Act,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1009015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4" w:right="339" w:bottom="1440" w:gutter="0" w:footer="0" w:header="0"/>
        </w:sectPr>
      </w:pPr>
    </w:p>
    <w:bookmarkStart w:id="112" w:name="page113"/>
    <w:bookmarkEnd w:id="112"/>
    <w:p>
      <w:pPr>
        <w:jc w:val="both"/>
        <w:ind w:firstLine="749"/>
        <w:spacing w:after="0" w:line="256" w:lineRule="auto"/>
        <w:rPr>
          <w:sz w:val="20"/>
          <w:szCs w:val="20"/>
          <w:color w:val="auto"/>
        </w:rPr>
      </w:pP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4"/>
          <w:szCs w:val="14"/>
          <w:b w:val="1"/>
          <w:bCs w:val="1"/>
          <w:color w:val="auto"/>
        </w:rPr>
        <w:t>dmissions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You understand and agree that the promises and payments in consideration of this Agreement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construed to be an admission of any liability or obligation by the Company to you or to any other person, and that the Company makes no such admission.</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w:t>
      </w: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4"/>
          <w:szCs w:val="14"/>
          <w:b w:val="1"/>
          <w:bCs w:val="1"/>
          <w:color w:val="auto"/>
        </w:rPr>
        <w:t>elease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4"/>
          <w:szCs w:val="14"/>
          <w:b w:val="1"/>
          <w:bCs w:val="1"/>
          <w:color w:val="auto"/>
        </w:rPr>
        <w:t>laims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4"/>
          <w:szCs w:val="14"/>
          <w:b w:val="1"/>
          <w:bCs w:val="1"/>
          <w:color w:val="auto"/>
        </w:rPr>
        <w:t>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4"/>
          <w:szCs w:val="14"/>
          <w:b w:val="1"/>
          <w:bCs w:val="1"/>
          <w:color w:val="auto"/>
        </w:rPr>
        <w:t>overage</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1505"/>
        <w:spacing w:after="0" w:line="247" w:lineRule="auto"/>
        <w:tabs>
          <w:tab w:leader="none" w:pos="1911" w:val="left"/>
        </w:tabs>
        <w:numPr>
          <w:ilvl w:val="1"/>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General Release. </w:t>
      </w:r>
      <w:r>
        <w:rPr>
          <w:rFonts w:ascii="Times New Roman" w:cs="Times New Roman" w:eastAsia="Times New Roman" w:hAnsi="Times New Roman"/>
          <w:sz w:val="21"/>
          <w:szCs w:val="21"/>
          <w:color w:val="auto"/>
        </w:rPr>
        <w:t>In exchange for the consideration provided to you under this Agreement to which you would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otherwise be entitled, you hereby generally and completely release the Company, and its past, present, or future affiliated, related, parent and subsidiary entities, and its and their directors, officers, employees, shareholders, partners, agents, attorneys, predecessors, successors, insurers, affiliates, and assigns (collectively, the “</w:t>
      </w:r>
      <w:r>
        <w:rPr>
          <w:rFonts w:ascii="Times New Roman" w:cs="Times New Roman" w:eastAsia="Times New Roman" w:hAnsi="Times New Roman"/>
          <w:sz w:val="21"/>
          <w:szCs w:val="21"/>
          <w:b w:val="1"/>
          <w:bCs w:val="1"/>
          <w:color w:val="auto"/>
        </w:rPr>
        <w:t>Released Parties</w:t>
      </w:r>
      <w:r>
        <w:rPr>
          <w:rFonts w:ascii="Times New Roman" w:cs="Times New Roman" w:eastAsia="Times New Roman" w:hAnsi="Times New Roman"/>
          <w:sz w:val="21"/>
          <w:szCs w:val="21"/>
          <w:color w:val="auto"/>
        </w:rPr>
        <w:t>”) from any and all claims, liabilities and obligations, both known and unknown, that arise out of or are in any way related to events, acts, conduct, or omissions occurring prior to or on the date you sign this Agreement (collectively, the “</w:t>
      </w:r>
      <w:r>
        <w:rPr>
          <w:rFonts w:ascii="Times New Roman" w:cs="Times New Roman" w:eastAsia="Times New Roman" w:hAnsi="Times New Roman"/>
          <w:sz w:val="21"/>
          <w:szCs w:val="21"/>
          <w:b w:val="1"/>
          <w:bCs w:val="1"/>
          <w:color w:val="auto"/>
        </w:rPr>
        <w:t>Released Claims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jc w:val="both"/>
        <w:ind w:firstLine="1505"/>
        <w:spacing w:after="0" w:line="243" w:lineRule="auto"/>
        <w:tabs>
          <w:tab w:leader="none" w:pos="1911" w:val="left"/>
        </w:tabs>
        <w:numPr>
          <w:ilvl w:val="1"/>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Scope of Release. </w:t>
      </w:r>
      <w:r>
        <w:rPr>
          <w:rFonts w:ascii="Times New Roman" w:cs="Times New Roman" w:eastAsia="Times New Roman" w:hAnsi="Times New Roman"/>
          <w:sz w:val="21"/>
          <w:szCs w:val="21"/>
          <w:color w:val="auto"/>
        </w:rPr>
        <w:t>The Released Claims include, but are not limited to: (i) all claims arising out of or in any way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related to your employment with the Company, or the termination of that employment; (ii) all claims related to your compensation or benefits from the Company, including salary, bonuses, commissions, vacation,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the federal Americans with Disabilities Act of 1990, the federal Age Discrimination in Employment Act of 1967 (the “</w:t>
      </w:r>
      <w:r>
        <w:rPr>
          <w:rFonts w:ascii="Times New Roman" w:cs="Times New Roman" w:eastAsia="Times New Roman" w:hAnsi="Times New Roman"/>
          <w:sz w:val="21"/>
          <w:szCs w:val="21"/>
          <w:b w:val="1"/>
          <w:bCs w:val="1"/>
          <w:color w:val="auto"/>
        </w:rPr>
        <w:t>ADEA</w:t>
      </w:r>
      <w:r>
        <w:rPr>
          <w:rFonts w:ascii="Times New Roman" w:cs="Times New Roman" w:eastAsia="Times New Roman" w:hAnsi="Times New Roman"/>
          <w:sz w:val="21"/>
          <w:szCs w:val="21"/>
          <w:color w:val="auto"/>
        </w:rPr>
        <w:t xml:space="preserve">”), the California Labor Code, the California Family Rights Act, and the California Fair Employment and Housing Act, all as amended. </w:t>
      </w:r>
      <w:r>
        <w:rPr>
          <w:rFonts w:ascii="Times New Roman" w:cs="Times New Roman" w:eastAsia="Times New Roman" w:hAnsi="Times New Roman"/>
          <w:sz w:val="21"/>
          <w:szCs w:val="21"/>
          <w:b w:val="1"/>
          <w:bCs w:val="1"/>
          <w:color w:val="auto"/>
        </w:rPr>
        <w:t>You acknowledge that you have been advised, as required by California Government Code Section 12964.5(b)(4),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that you have the right to consult an attorney regarding this Agreement and that you were given a reasonable time period of not less than five (5) business days in which to do so. </w:t>
      </w:r>
      <w:r>
        <w:rPr>
          <w:rFonts w:ascii="Times New Roman" w:cs="Times New Roman" w:eastAsia="Times New Roman" w:hAnsi="Times New Roman"/>
          <w:sz w:val="21"/>
          <w:szCs w:val="21"/>
          <w:color w:val="auto"/>
        </w:rPr>
        <w:t>You further acknowledge and agree that, in the event you sign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prior to the end of the reasonable time period provided by the Company, your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w:t>
      </w:r>
    </w:p>
    <w:p>
      <w:pPr>
        <w:spacing w:after="0" w:line="191" w:lineRule="exact"/>
        <w:rPr>
          <w:rFonts w:ascii="Times New Roman" w:cs="Times New Roman" w:eastAsia="Times New Roman" w:hAnsi="Times New Roman"/>
          <w:sz w:val="21"/>
          <w:szCs w:val="21"/>
          <w:b w:val="1"/>
          <w:bCs w:val="1"/>
          <w:color w:val="auto"/>
        </w:rPr>
      </w:pPr>
    </w:p>
    <w:p>
      <w:pPr>
        <w:jc w:val="both"/>
        <w:ind w:firstLine="1505"/>
        <w:spacing w:after="0" w:line="246" w:lineRule="auto"/>
        <w:tabs>
          <w:tab w:leader="none" w:pos="1911" w:val="left"/>
        </w:tabs>
        <w:numPr>
          <w:ilvl w:val="1"/>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ADEA Waiver. </w:t>
      </w:r>
      <w:r>
        <w:rPr>
          <w:rFonts w:ascii="Times New Roman" w:cs="Times New Roman" w:eastAsia="Times New Roman" w:hAnsi="Times New Roman"/>
          <w:sz w:val="21"/>
          <w:szCs w:val="21"/>
          <w:color w:val="auto"/>
        </w:rPr>
        <w:t>You acknowledge that you are knowingly and voluntarily waiving and releasing any rights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have under the ADEA, and that the consideration given for the waiver and release in this section is in addition to anything of value to which you are already entitled. You further acknowledge that you have been advised, as required by the ADEA, that: (i) your waiver and release do not apply to any rights or claims that may arise after the date that you sign this Agreement; (ii) you should consult with an attorney prior to signing this Agreement (although you may choose voluntarily not to do so); (iii) you have forty-five</w:t>
      </w:r>
    </w:p>
    <w:p>
      <w:pPr>
        <w:spacing w:after="0" w:line="3" w:lineRule="exact"/>
        <w:rPr>
          <w:rFonts w:ascii="Times New Roman" w:cs="Times New Roman" w:eastAsia="Times New Roman" w:hAnsi="Times New Roman"/>
          <w:sz w:val="21"/>
          <w:szCs w:val="21"/>
          <w:b w:val="1"/>
          <w:bCs w:val="1"/>
          <w:color w:val="auto"/>
        </w:rPr>
      </w:pPr>
    </w:p>
    <w:p>
      <w:pPr>
        <w:jc w:val="both"/>
        <w:ind w:firstLine="8"/>
        <w:spacing w:after="0" w:line="242" w:lineRule="auto"/>
        <w:tabs>
          <w:tab w:leader="none" w:pos="404"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calendar days to consider this Agreement (although you may choose voluntarily to sign it earlier, and changes to this Agreement, whether material or immaterial, do not restart the running of the forty-five (45) calendar day period); (iv) you have seven (7) calendar days following the date you sign this Agreement to revoke it (by providing written notice of your revocation to me); and (v) this Agreement will not be effective until the date upon which the revocation period has expired, which will be the eighth calendar day after the date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3" w:name="page114"/>
    <w:bookmarkEnd w:id="113"/>
    <w:p>
      <w:pPr>
        <w:ind w:right="20"/>
        <w:spacing w:after="0" w:line="272" w:lineRule="auto"/>
        <w:rPr>
          <w:sz w:val="20"/>
          <w:szCs w:val="20"/>
          <w:color w:val="auto"/>
        </w:rPr>
      </w:pPr>
      <w:r>
        <w:rPr>
          <w:rFonts w:ascii="Times New Roman" w:cs="Times New Roman" w:eastAsia="Times New Roman" w:hAnsi="Times New Roman"/>
          <w:sz w:val="21"/>
          <w:szCs w:val="21"/>
          <w:color w:val="auto"/>
        </w:rPr>
        <w:t>this Agreement is signed by you provided that you do not revoke it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You hereby further acknowledge that the Company has provided you with ADEA disclosure information (under 29 U.S.C. § 626(f)(1)(H)).</w:t>
      </w:r>
    </w:p>
    <w:p>
      <w:pPr>
        <w:spacing w:after="0" w:line="155" w:lineRule="exact"/>
        <w:rPr>
          <w:sz w:val="20"/>
          <w:szCs w:val="20"/>
          <w:color w:val="auto"/>
        </w:rPr>
      </w:pPr>
    </w:p>
    <w:p>
      <w:pPr>
        <w:ind w:left="1920" w:hanging="415"/>
        <w:spacing w:after="0"/>
        <w:tabs>
          <w:tab w:leader="none" w:pos="1920"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Excluded Claims. </w:t>
      </w:r>
      <w:r>
        <w:rPr>
          <w:rFonts w:ascii="Times New Roman" w:cs="Times New Roman" w:eastAsia="Times New Roman" w:hAnsi="Times New Roman"/>
          <w:sz w:val="21"/>
          <w:szCs w:val="21"/>
          <w:color w:val="auto"/>
        </w:rPr>
        <w:t>Notwithstanding the foregoing, the following are not included in the Released Claims (the</w:t>
      </w:r>
    </w:p>
    <w:p>
      <w:pPr>
        <w:spacing w:after="0" w:line="27" w:lineRule="exact"/>
        <w:rPr>
          <w:rFonts w:ascii="Times New Roman" w:cs="Times New Roman" w:eastAsia="Times New Roman" w:hAnsi="Times New Roman"/>
          <w:sz w:val="21"/>
          <w:szCs w:val="21"/>
          <w:b w:val="1"/>
          <w:bCs w:val="1"/>
          <w:color w:val="auto"/>
        </w:rPr>
      </w:pPr>
    </w:p>
    <w:p>
      <w:pPr>
        <w:jc w:val="both"/>
        <w:ind w:right="20"/>
        <w:spacing w:after="0" w:line="243"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Claims</w:t>
      </w:r>
      <w:r>
        <w:rPr>
          <w:rFonts w:ascii="Times New Roman" w:cs="Times New Roman" w:eastAsia="Times New Roman" w:hAnsi="Times New Roman"/>
          <w:sz w:val="21"/>
          <w:szCs w:val="21"/>
          <w:color w:val="auto"/>
        </w:rPr>
        <w:t>”): (i) any rights or claims for indemnification you may have pursuant to any written indemnification agreement with the Company to which you are a party or under applicable law; (ii) any rights which are not waivable as a matter of law (such as claims for unemployment benefits or workers compensation); and (iii) any claims for breach of this Agreement.</w:t>
      </w:r>
    </w:p>
    <w:p>
      <w:pPr>
        <w:spacing w:after="0" w:line="185" w:lineRule="exact"/>
        <w:rPr>
          <w:rFonts w:ascii="Times New Roman" w:cs="Times New Roman" w:eastAsia="Times New Roman" w:hAnsi="Times New Roman"/>
          <w:sz w:val="21"/>
          <w:szCs w:val="21"/>
          <w:b w:val="1"/>
          <w:bCs w:val="1"/>
          <w:color w:val="auto"/>
        </w:rPr>
      </w:pPr>
    </w:p>
    <w:p>
      <w:pPr>
        <w:jc w:val="both"/>
        <w:ind w:firstLine="1505"/>
        <w:spacing w:after="0" w:line="243" w:lineRule="auto"/>
        <w:tabs>
          <w:tab w:leader="none" w:pos="1911"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Protected Rights. </w:t>
      </w:r>
      <w:r>
        <w:rPr>
          <w:rFonts w:ascii="Times New Roman" w:cs="Times New Roman" w:eastAsia="Times New Roman" w:hAnsi="Times New Roman"/>
          <w:sz w:val="21"/>
          <w:szCs w:val="21"/>
          <w:color w:val="auto"/>
        </w:rPr>
        <w:t>You understand that nothing in this Agreement limits your ability to file a charge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complaint with the Equal Employment Opportunity Commission, the Department of Labor, the National Labor Relations Board, the Occupational Safety and Health Administration, the California Civil Rights Department, the Department of Justice, the Securities and Exchange Commission or any other federal, state or local governmental agency or commission (“</w:t>
      </w:r>
      <w:r>
        <w:rPr>
          <w:rFonts w:ascii="Times New Roman" w:cs="Times New Roman" w:eastAsia="Times New Roman" w:hAnsi="Times New Roman"/>
          <w:sz w:val="21"/>
          <w:szCs w:val="21"/>
          <w:b w:val="1"/>
          <w:bCs w:val="1"/>
          <w:color w:val="auto"/>
        </w:rPr>
        <w:t>Government Agencies</w:t>
      </w:r>
      <w:r>
        <w:rPr>
          <w:rFonts w:ascii="Times New Roman" w:cs="Times New Roman" w:eastAsia="Times New Roman" w:hAnsi="Times New Roman"/>
          <w:sz w:val="21"/>
          <w:szCs w:val="21"/>
          <w:color w:val="auto"/>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 government-issued award for information provided to any Government Agencies in connection with a government whistleblower program or protected whistleblower activity, you understand and agree that, to the maximum extent permitted by law, you are otherwise waiving any and all rights you may have to individual relief based on any claims that you have released and any rights you have waived by signing this Agreement. Nothing in this Agreement (i) prevents you from discussing or disclosing information about unlawful acts in the workplace, such as harassment or discrimination or any other conduct that you have reason to believe is unlawful; or (ii) waives any rights you may have under Section 7 of the National Labor Relations Act, if applicable (subject to the release of claims set forth herein).</w:t>
      </w:r>
    </w:p>
    <w:p>
      <w:pPr>
        <w:spacing w:after="0" w:line="194" w:lineRule="exact"/>
        <w:rPr>
          <w:rFonts w:ascii="Times New Roman" w:cs="Times New Roman" w:eastAsia="Times New Roman" w:hAnsi="Times New Roman"/>
          <w:sz w:val="21"/>
          <w:szCs w:val="21"/>
          <w:b w:val="1"/>
          <w:bCs w:val="1"/>
          <w:color w:val="auto"/>
        </w:rPr>
      </w:pPr>
    </w:p>
    <w:p>
      <w:pPr>
        <w:jc w:val="both"/>
        <w:ind w:firstLine="1505"/>
        <w:spacing w:after="0" w:line="256" w:lineRule="auto"/>
        <w:tabs>
          <w:tab w:leader="none" w:pos="1911"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Continued Insurance Coverage. </w:t>
      </w:r>
      <w:r>
        <w:rPr>
          <w:rFonts w:ascii="Times New Roman" w:cs="Times New Roman" w:eastAsia="Times New Roman" w:hAnsi="Times New Roman"/>
          <w:sz w:val="21"/>
          <w:szCs w:val="21"/>
          <w:color w:val="auto"/>
        </w:rPr>
        <w:t>The Company agrees that you will continue to be covered under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Company’s directors and officers liability insurance policy during the Executive’s service as an officer and/or director, as applicable, and continuing through the term of the consultancy and any applicable tail coverage period.</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b w:val="1"/>
          <w:bCs w:val="1"/>
          <w:color w:val="auto"/>
        </w:rPr>
        <w:t>12.</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1542 W</w:t>
      </w:r>
      <w:r>
        <w:rPr>
          <w:rFonts w:ascii="Times New Roman" w:cs="Times New Roman" w:eastAsia="Times New Roman" w:hAnsi="Times New Roman"/>
          <w:sz w:val="14"/>
          <w:szCs w:val="14"/>
          <w:b w:val="1"/>
          <w:bCs w:val="1"/>
          <w:color w:val="auto"/>
        </w:rPr>
        <w:t>aiver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In giving the release herein, which includes claims which may be unknown to you at present,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acknowledge that you have read and understand Section 1542 of the California Civil Code, which reads as follows:</w:t>
      </w:r>
    </w:p>
    <w:p>
      <w:pPr>
        <w:spacing w:after="0" w:line="168" w:lineRule="exact"/>
        <w:rPr>
          <w:sz w:val="20"/>
          <w:szCs w:val="20"/>
          <w:color w:val="auto"/>
        </w:rPr>
      </w:pPr>
    </w:p>
    <w:p>
      <w:pPr>
        <w:jc w:val="both"/>
        <w:ind w:left="760" w:right="760"/>
        <w:spacing w:after="0" w:line="256" w:lineRule="auto"/>
        <w:rPr>
          <w:sz w:val="20"/>
          <w:szCs w:val="20"/>
          <w:color w:val="auto"/>
        </w:rPr>
      </w:pPr>
      <w:r>
        <w:rPr>
          <w:rFonts w:ascii="Times New Roman" w:cs="Times New Roman" w:eastAsia="Times New Roman" w:hAnsi="Times New Roman"/>
          <w:sz w:val="21"/>
          <w:szCs w:val="21"/>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You hereby expressly waive and relinquish all rights and benefits under that section and any law of any other jurisdiction of similar effect with respect to your release of claims herein, including but not limited to your release of unknown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991870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4" w:name="page115"/>
    <w:bookmarkEnd w:id="114"/>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13.</w:t>
      </w: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4"/>
          <w:szCs w:val="14"/>
          <w:b w:val="1"/>
          <w:bCs w:val="1"/>
          <w:color w:val="auto"/>
        </w:rPr>
        <w:t>epresentations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You hereby represent that you have been paid all compensation owed and for all hours worked,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received all the leave and leave benefits and protections for which you are eligible pursuant to the Family and Medical Leave Act, the California Family Rights Act, or otherwise, and have not suffered any on-the-job injury for which you have not already filed a workers’ compensation claim.</w:t>
      </w:r>
    </w:p>
    <w:p>
      <w:pPr>
        <w:spacing w:after="0" w:line="200" w:lineRule="exact"/>
        <w:rPr>
          <w:sz w:val="20"/>
          <w:szCs w:val="20"/>
          <w:color w:val="auto"/>
        </w:rPr>
      </w:pPr>
    </w:p>
    <w:p>
      <w:pPr>
        <w:spacing w:after="0" w:line="210"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2"/>
          <w:szCs w:val="22"/>
          <w:b w:val="1"/>
          <w:bCs w:val="1"/>
          <w:color w:val="auto"/>
        </w:rPr>
        <w:t>14.</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4"/>
          <w:szCs w:val="14"/>
          <w:b w:val="1"/>
          <w:bCs w:val="1"/>
          <w:color w:val="auto"/>
        </w:rPr>
        <w:t>ontinuing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You acknowledge and reaffirm your continuing obligations under your Proprietary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 xml:space="preserve">Information and Inventions Agreement, attached hereto as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which is incorporated herein by reference, and agree to abide by those continuing obligations.</w:t>
      </w:r>
    </w:p>
    <w:p>
      <w:pPr>
        <w:spacing w:after="0" w:line="152"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2"/>
          <w:szCs w:val="22"/>
          <w:b w:val="1"/>
          <w:bCs w:val="1"/>
          <w:color w:val="auto"/>
        </w:rPr>
        <w:t>15.</w:t>
      </w: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4"/>
          <w:szCs w:val="14"/>
          <w:b w:val="1"/>
          <w:bCs w:val="1"/>
          <w:color w:val="auto"/>
        </w:rPr>
        <w:t>isparagement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Except to the extent permitted by the “Protected Rights” section above, you agree not to disparage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the Released Parties in any manner likely to be harmful to its or their business, business reputation, or personal reputation; provided that you may respond accurately and fully to any request for information if required by legal process, or in connection with a government investigation. In addition, nothing in this provision or this Agreement prohibits or restrains you from making disclosures protected under whistleblower provisions of federal or state law or from exercising your rights to engage in protected speech under Section 7 of the National Labor Relations Act, if applicable.</w:t>
      </w:r>
    </w:p>
    <w:p>
      <w:pPr>
        <w:spacing w:after="0" w:line="160"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2"/>
          <w:szCs w:val="22"/>
          <w:b w:val="1"/>
          <w:bCs w:val="1"/>
          <w:color w:val="auto"/>
        </w:rPr>
        <w:t>16.</w:t>
      </w: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4"/>
          <w:szCs w:val="14"/>
          <w:b w:val="1"/>
          <w:bCs w:val="1"/>
          <w:color w:val="auto"/>
        </w:rPr>
        <w:t>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4"/>
          <w:szCs w:val="14"/>
          <w:b w:val="1"/>
          <w:bCs w:val="1"/>
          <w:color w:val="auto"/>
        </w:rPr>
        <w:t>dverse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4"/>
          <w:szCs w:val="14"/>
          <w:b w:val="1"/>
          <w:bCs w:val="1"/>
          <w:color w:val="auto"/>
        </w:rPr>
        <w:t>ction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You agree that you will not voluntarily (except in response to legal compulsion or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permitted under the section of this Agreement entitled “Protected Rights”) assist any person in bringing or pursuing any proposed or pending litigation, arbitration, administrative claim or other formal proceeding against the Company, its parent or subsidiary entities, affiliates, officers, directors, employees or agents.</w:t>
      </w:r>
    </w:p>
    <w:p>
      <w:pPr>
        <w:spacing w:after="0" w:line="15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4"/>
          <w:szCs w:val="14"/>
          <w:b w:val="1"/>
          <w:bCs w:val="1"/>
          <w:color w:val="auto"/>
        </w:rPr>
        <w:t>ooperation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You agree to cooperate fully with the Company in connection with its actual or contemplated defense,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prosecution, or investigation of any claims or demands by or against third parties, or other matters arising from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and will make reasonable efforts to accommodate your scheduling needs.</w:t>
      </w:r>
    </w:p>
    <w:p>
      <w:pPr>
        <w:spacing w:after="0" w:line="200" w:lineRule="exact"/>
        <w:rPr>
          <w:sz w:val="20"/>
          <w:szCs w:val="20"/>
          <w:color w:val="auto"/>
        </w:rPr>
      </w:pPr>
    </w:p>
    <w:p>
      <w:pPr>
        <w:spacing w:after="0" w:line="20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2"/>
          <w:szCs w:val="22"/>
          <w:b w:val="1"/>
          <w:bCs w:val="1"/>
          <w:color w:val="auto"/>
        </w:rPr>
        <w:t>18.</w:t>
      </w: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This Agreement, including its exhibits, constitutes the complete, final and exclusive embodiment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The Company may freely assign this Agreement, without your prior written consent. You may not assign any of your duties hereunder and you may not assign any of your rights hereunder without the written consent of the Company. If any provision of this Agreement is determined to be invalid or unenforceable, in whole or in part, this determination will not affect any other provision of this Agreement and the provision in question will be modified so as to be rendered enforceable. This Agreement will be deemed to have been entered into and will be construed and enforced in accordance with the laws of the State of California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5" w:name="page116"/>
    <w:bookmarkEnd w:id="115"/>
    <w:p>
      <w:pPr>
        <w:jc w:val="both"/>
        <w:spacing w:after="0" w:line="248" w:lineRule="auto"/>
        <w:rPr>
          <w:sz w:val="20"/>
          <w:szCs w:val="20"/>
          <w:color w:val="auto"/>
        </w:rPr>
      </w:pPr>
      <w:r>
        <w:rPr>
          <w:rFonts w:ascii="Times New Roman" w:cs="Times New Roman" w:eastAsia="Times New Roman" w:hAnsi="Times New Roman"/>
          <w:sz w:val="21"/>
          <w:szCs w:val="21"/>
          <w:color w:val="auto"/>
        </w:rPr>
        <w:t>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which shall be deemed to be part of one original, and facsimile and electronic image signatures (including .pdf or any electronic signature complying with the U.S. federal ESIGN Act of 2000, Uniform Electronic Transactions Act, or other applicable law) shall be equivalent to original signatures.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If this Agreement is acceptable to you, please sign below and return the original to me. You have forty-five (45) calendar days to decide whether you would like to accept this Agreement, and the Company’s offer contained herein will automatically expire if you do not sign and return it within this timeframe.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wish you the best in your future endeavors.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Sincerely,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w:t>
      </w:r>
      <w:r>
        <w:rPr>
          <w:rFonts w:ascii="Times New Roman" w:cs="Times New Roman" w:eastAsia="Times New Roman" w:hAnsi="Times New Roman"/>
          <w:sz w:val="14"/>
          <w:szCs w:val="14"/>
          <w:b w:val="1"/>
          <w:bCs w:val="1"/>
          <w:color w:val="auto"/>
        </w:rPr>
        <w:t>empest</w:t>
      </w:r>
      <w:r>
        <w:rPr>
          <w:rFonts w:ascii="Times New Roman" w:cs="Times New Roman" w:eastAsia="Times New Roman" w:hAnsi="Times New Roman"/>
          <w:sz w:val="21"/>
          <w:szCs w:val="21"/>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1"/>
          <w:szCs w:val="21"/>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r>
        <w:rPr>
          <w:rFonts w:ascii="Times New Roman" w:cs="Times New Roman" w:eastAsia="Times New Roman" w:hAnsi="Times New Roman"/>
          <w:sz w:val="21"/>
          <w:szCs w:val="21"/>
          <w:u w:val="single" w:color="auto"/>
          <w:color w:val="auto"/>
        </w:rPr>
        <w:t>/s/ Stephen R. Brady</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Stephen R. Brady</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President &amp; Chief Executive Officer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 </w:t>
      </w:r>
      <w:r>
        <w:rPr>
          <w:rFonts w:ascii="Times New Roman" w:cs="Times New Roman" w:eastAsia="Times New Roman" w:hAnsi="Times New Roman"/>
          <w:sz w:val="14"/>
          <w:szCs w:val="14"/>
          <w:b w:val="1"/>
          <w:bCs w:val="1"/>
          <w:color w:val="auto"/>
        </w:rPr>
        <w:t>have read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4"/>
          <w:szCs w:val="14"/>
          <w:b w:val="1"/>
          <w:bCs w:val="1"/>
          <w:color w:val="auto"/>
        </w:rPr>
        <w:t>understand and agree fully to the foregoing</w:t>
      </w:r>
      <w:r>
        <w:rPr>
          <w:rFonts w:ascii="Times New Roman" w:cs="Times New Roman" w:eastAsia="Times New Roman" w:hAnsi="Times New Roman"/>
          <w:sz w:val="21"/>
          <w:szCs w:val="21"/>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3138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3">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Nicholas Maestas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880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4">
                      <a:extLst>
                        <a:ext uri="{28A0092B-C50C-407E-A947-70E740481C1C}"/>
                      </a:extLst>
                    </a:blip>
                    <a:srcRect/>
                    <a:stretch>
                      <a:fillRect/>
                    </a:stretch>
                  </pic:blipFill>
                  <pic:spPr bwMode="auto">
                    <a:xfrm>
                      <a:off x="0" y="0"/>
                      <a:ext cx="788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0"/>
          <w:szCs w:val="20"/>
          <w:b w:val="1"/>
          <w:bCs w:val="1"/>
          <w:color w:val="auto"/>
        </w:rPr>
        <w:t>Exhibit 10.6</w:t>
      </w:r>
    </w:p>
    <w:p>
      <w:pPr>
        <w:spacing w:after="0" w:line="200" w:lineRule="exact"/>
        <w:rPr>
          <w:sz w:val="20"/>
          <w:szCs w:val="20"/>
          <w:color w:val="auto"/>
        </w:rPr>
      </w:pPr>
    </w:p>
    <w:p>
      <w:pPr>
        <w:spacing w:after="0" w:line="2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empest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uccess</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onus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200" w:lineRule="exact"/>
        <w:rPr>
          <w:sz w:val="20"/>
          <w:szCs w:val="20"/>
          <w:color w:val="auto"/>
        </w:rPr>
      </w:pPr>
    </w:p>
    <w:p>
      <w:pPr>
        <w:spacing w:after="0" w:line="206"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This Success Bonus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entered into by Tempest Therapeutics,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[NAME]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you</w:t>
      </w:r>
      <w:r>
        <w:rPr>
          <w:rFonts w:ascii="Times New Roman" w:cs="Times New Roman" w:eastAsia="Times New Roman" w:hAnsi="Times New Roman"/>
          <w:sz w:val="20"/>
          <w:szCs w:val="20"/>
          <w:color w:val="auto"/>
        </w:rPr>
        <w:t>”), as of [__], 2025.</w:t>
      </w:r>
    </w:p>
    <w:p>
      <w:pPr>
        <w:spacing w:after="0" w:line="179" w:lineRule="exact"/>
        <w:rPr>
          <w:sz w:val="20"/>
          <w:szCs w:val="20"/>
          <w:color w:val="auto"/>
        </w:rPr>
      </w:pPr>
    </w:p>
    <w:p>
      <w:pPr>
        <w:jc w:val="both"/>
        <w:ind w:firstLine="8"/>
        <w:spacing w:after="0" w:line="244" w:lineRule="auto"/>
        <w:tabs>
          <w:tab w:leader="none" w:pos="509"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Purpose</w:t>
      </w:r>
      <w:r>
        <w:rPr>
          <w:rFonts w:ascii="Times New Roman" w:cs="Times New Roman" w:eastAsia="Times New Roman" w:hAnsi="Times New Roman"/>
          <w:sz w:val="20"/>
          <w:szCs w:val="20"/>
          <w:color w:val="auto"/>
        </w:rPr>
        <w:t>. The purpose of this Agreement is to provide a cash bonus as an incentive for Participant to continue to provide services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through the consummation of a Change in Control (as such term is defined in the Company’s 2017 Equity Incentive Plan) (the “</w:t>
      </w:r>
      <w:r>
        <w:rPr>
          <w:rFonts w:ascii="Times New Roman" w:cs="Times New Roman" w:eastAsia="Times New Roman" w:hAnsi="Times New Roman"/>
          <w:sz w:val="20"/>
          <w:szCs w:val="20"/>
          <w:b w:val="1"/>
          <w:bCs w:val="1"/>
          <w:i w:val="1"/>
          <w:iCs w:val="1"/>
          <w:color w:val="auto"/>
        </w:rPr>
        <w:t>Closing</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Success Bonus</w:t>
      </w:r>
      <w:r>
        <w:rPr>
          <w:rFonts w:ascii="Times New Roman" w:cs="Times New Roman" w:eastAsia="Times New Roman" w:hAnsi="Times New Roman"/>
          <w:sz w:val="20"/>
          <w:szCs w:val="20"/>
          <w:color w:val="auto"/>
        </w:rPr>
        <w:t>.</w:t>
      </w:r>
    </w:p>
    <w:p>
      <w:pPr>
        <w:spacing w:after="0" w:line="196" w:lineRule="exact"/>
        <w:rPr>
          <w:rFonts w:ascii="Times New Roman" w:cs="Times New Roman" w:eastAsia="Times New Roman" w:hAnsi="Times New Roman"/>
          <w:sz w:val="22"/>
          <w:szCs w:val="22"/>
          <w:b w:val="1"/>
          <w:bCs w:val="1"/>
          <w:color w:val="auto"/>
        </w:rPr>
      </w:pPr>
    </w:p>
    <w:p>
      <w:pPr>
        <w:ind w:right="20" w:firstLine="757"/>
        <w:spacing w:after="0" w:line="269" w:lineRule="auto"/>
        <w:tabs>
          <w:tab w:leader="none" w:pos="1018"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Success Bonus</w:t>
      </w:r>
      <w:r>
        <w:rPr>
          <w:rFonts w:ascii="Times New Roman" w:cs="Times New Roman" w:eastAsia="Times New Roman" w:hAnsi="Times New Roman"/>
          <w:sz w:val="20"/>
          <w:szCs w:val="20"/>
          <w:color w:val="auto"/>
        </w:rPr>
        <w:t>. Upon the Closing and subject to the terms of this Agreement, Participant shall be eligible to receive a cash bonus in an amount of $[______], less tax withholdings and deductions, if applicable (the “</w:t>
      </w:r>
      <w:r>
        <w:rPr>
          <w:rFonts w:ascii="Times New Roman" w:cs="Times New Roman" w:eastAsia="Times New Roman" w:hAnsi="Times New Roman"/>
          <w:sz w:val="20"/>
          <w:szCs w:val="20"/>
          <w:b w:val="1"/>
          <w:bCs w:val="1"/>
          <w:i w:val="1"/>
          <w:iCs w:val="1"/>
          <w:color w:val="auto"/>
        </w:rPr>
        <w:t>Success Bonus</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b w:val="1"/>
          <w:bCs w:val="1"/>
          <w:color w:val="auto"/>
        </w:rPr>
      </w:pPr>
    </w:p>
    <w:p>
      <w:pPr>
        <w:jc w:val="both"/>
        <w:ind w:firstLine="757"/>
        <w:spacing w:after="0" w:line="249" w:lineRule="auto"/>
        <w:tabs>
          <w:tab w:leader="none" w:pos="1018"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Participant’s eligibility to receive payment of the Success Bonus is subject to Participant’s Continuous Service (as such term is defined in the Company’s Amended and Restated 2023 Equity Incentive Plan) with the Company through the Closing. If Participant’s Continuous Service with the Company ceases for any reason before the Closing, then Participant shall forfeit all rights to receive the Success Bonus, and this Agreement shall be null and void and of no further force or effect.</w:t>
      </w:r>
    </w:p>
    <w:p>
      <w:pPr>
        <w:spacing w:after="0" w:line="179" w:lineRule="exact"/>
        <w:rPr>
          <w:rFonts w:ascii="Times New Roman" w:cs="Times New Roman" w:eastAsia="Times New Roman" w:hAnsi="Times New Roman"/>
          <w:sz w:val="20"/>
          <w:szCs w:val="20"/>
          <w:b w:val="1"/>
          <w:bCs w:val="1"/>
          <w:color w:val="auto"/>
        </w:rPr>
      </w:pPr>
    </w:p>
    <w:p>
      <w:pPr>
        <w:ind w:right="20" w:firstLine="757"/>
        <w:spacing w:after="0" w:line="269" w:lineRule="auto"/>
        <w:tabs>
          <w:tab w:leader="none" w:pos="1018"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Payment of Success Bonus</w:t>
      </w:r>
      <w:r>
        <w:rPr>
          <w:rFonts w:ascii="Times New Roman" w:cs="Times New Roman" w:eastAsia="Times New Roman" w:hAnsi="Times New Roman"/>
          <w:sz w:val="20"/>
          <w:szCs w:val="20"/>
          <w:color w:val="auto"/>
        </w:rPr>
        <w:t>. Provided the conditions set forth in this Agreement are satisfied, the Success Bonus shall be paid in a lump sum cash payment within thirty (30) days following the Closing.</w:t>
      </w:r>
    </w:p>
    <w:p>
      <w:pPr>
        <w:spacing w:after="0" w:line="168" w:lineRule="exact"/>
        <w:rPr>
          <w:rFonts w:ascii="Times New Roman" w:cs="Times New Roman" w:eastAsia="Times New Roman" w:hAnsi="Times New Roman"/>
          <w:sz w:val="20"/>
          <w:szCs w:val="20"/>
          <w:b w:val="1"/>
          <w:bCs w:val="1"/>
          <w:color w:val="auto"/>
        </w:rPr>
      </w:pPr>
    </w:p>
    <w:p>
      <w:pPr>
        <w:jc w:val="both"/>
        <w:ind w:firstLine="8"/>
        <w:spacing w:after="0" w:line="242" w:lineRule="auto"/>
        <w:tabs>
          <w:tab w:leader="none" w:pos="509"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Release of Claims</w:t>
      </w:r>
      <w:r>
        <w:rPr>
          <w:rFonts w:ascii="Times New Roman" w:cs="Times New Roman" w:eastAsia="Times New Roman" w:hAnsi="Times New Roman"/>
          <w:sz w:val="20"/>
          <w:szCs w:val="20"/>
          <w:color w:val="auto"/>
        </w:rPr>
        <w:t>. You must sign a general release of claims against the Company, its affiliated entities, officers,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employees, stockholders, agents and other standard releasees, in the form provided by the Company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within the applicable period set forth therein and allow the Release to become effective and irrevocable in accordance with its terms, which must occur no later than thirty (30) days following the Closing.</w:t>
      </w:r>
    </w:p>
    <w:p>
      <w:pPr>
        <w:spacing w:after="0" w:line="196" w:lineRule="exact"/>
        <w:rPr>
          <w:rFonts w:ascii="Times New Roman" w:cs="Times New Roman" w:eastAsia="Times New Roman" w:hAnsi="Times New Roman"/>
          <w:sz w:val="22"/>
          <w:szCs w:val="22"/>
          <w:b w:val="1"/>
          <w:bCs w:val="1"/>
          <w:color w:val="auto"/>
        </w:rPr>
      </w:pPr>
    </w:p>
    <w:p>
      <w:pPr>
        <w:jc w:val="both"/>
        <w:ind w:firstLine="8"/>
        <w:spacing w:after="0"/>
        <w:tabs>
          <w:tab w:leader="none" w:pos="509"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 is intended that any payment or benefit set forth in this Agreement satisfy one or more exemptions from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application of Section 409A of U.S. Internal Revenue Code of 1986, as amended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xml:space="preserve">”) to the maximum extent that an exemption is available and any ambiguities herein shall be interpreted accordingly;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to the extent such an exemption is not available, the payments or benefits provided hereunder are intended to comply with the requirements of Section 409A to the extent necessary to avoid adverse tax consequences and any ambiguities herein shall be interpreted accordingly. To the extent any payment or benefit under this Agreement may be classified as a “short-term deferral” within the meaning of Section 409A, such payment or benefit shall be deemed a short-term deferral, even if it may also qualify for an exemption from Section 409A under another provision of Section 409A. To the extent required by Section 409A, if the return deadline and post-execution revocation period specified in the Release crosses tax years, the Success Bonus shall be paid in the later tax year after effectiveness of the Release.</w:t>
      </w:r>
    </w:p>
    <w:p>
      <w:pPr>
        <w:spacing w:after="0" w:line="202" w:lineRule="exact"/>
        <w:rPr>
          <w:rFonts w:ascii="Times New Roman" w:cs="Times New Roman" w:eastAsia="Times New Roman" w:hAnsi="Times New Roman"/>
          <w:sz w:val="22"/>
          <w:szCs w:val="22"/>
          <w:b w:val="1"/>
          <w:bCs w:val="1"/>
          <w:color w:val="auto"/>
        </w:rPr>
      </w:pPr>
    </w:p>
    <w:p>
      <w:pPr>
        <w:ind w:firstLine="8"/>
        <w:spacing w:after="0" w:line="249" w:lineRule="auto"/>
        <w:tabs>
          <w:tab w:leader="none" w:pos="509"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Interpretation and Administration</w:t>
      </w:r>
      <w:r>
        <w:rPr>
          <w:rFonts w:ascii="Times New Roman" w:cs="Times New Roman" w:eastAsia="Times New Roman" w:hAnsi="Times New Roman"/>
          <w:sz w:val="20"/>
          <w:szCs w:val="20"/>
          <w:color w:val="auto"/>
        </w:rPr>
        <w:t>. This Agreement shall be interpreted and administered by the Company’s Board of Directors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or a committee of the Board (the “</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1323340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17" w:name="page118"/>
    <w:bookmarkEnd w:id="117"/>
    <w:p>
      <w:pPr>
        <w:ind w:firstLine="509"/>
        <w:spacing w:after="0" w:line="269" w:lineRule="auto"/>
        <w:rPr>
          <w:sz w:val="20"/>
          <w:szCs w:val="20"/>
          <w:color w:val="auto"/>
        </w:rPr>
      </w:pPr>
      <w:r>
        <w:rPr>
          <w:rFonts w:ascii="Times New Roman" w:cs="Times New Roman" w:eastAsia="Times New Roman" w:hAnsi="Times New Roman"/>
          <w:sz w:val="20"/>
          <w:szCs w:val="20"/>
          <w:color w:val="auto"/>
        </w:rPr>
        <w:t>actions taken by the Administrator in interpreting the terms of this Agreement and administration of this Agreement shall be final and binding on you.</w:t>
      </w:r>
    </w:p>
    <w:p>
      <w:pPr>
        <w:spacing w:after="0" w:line="169" w:lineRule="exact"/>
        <w:rPr>
          <w:sz w:val="20"/>
          <w:szCs w:val="20"/>
          <w:color w:val="auto"/>
        </w:rPr>
      </w:pPr>
    </w:p>
    <w:p>
      <w:pPr>
        <w:jc w:val="both"/>
        <w:ind w:firstLine="8"/>
        <w:spacing w:after="0" w:line="241" w:lineRule="auto"/>
        <w:tabs>
          <w:tab w:leader="none" w:pos="509"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Amendment; Waiver</w:t>
      </w:r>
      <w:r>
        <w:rPr>
          <w:rFonts w:ascii="Times New Roman" w:cs="Times New Roman" w:eastAsia="Times New Roman" w:hAnsi="Times New Roman"/>
          <w:sz w:val="20"/>
          <w:szCs w:val="20"/>
          <w:color w:val="auto"/>
        </w:rPr>
        <w:t>. This Agreement may be amended by the Administrator, provided that no amendment shall adversely affect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rights hereunder without the written consent of Participant unless such amendment is necessary, in the good faith determination of the Administrator, to bring this Agreement into exemption from or compliance with Section 409A.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97" w:lineRule="exact"/>
        <w:rPr>
          <w:rFonts w:ascii="Times New Roman" w:cs="Times New Roman" w:eastAsia="Times New Roman" w:hAnsi="Times New Roman"/>
          <w:sz w:val="22"/>
          <w:szCs w:val="22"/>
          <w:b w:val="1"/>
          <w:bCs w:val="1"/>
          <w:color w:val="auto"/>
        </w:rPr>
      </w:pPr>
    </w:p>
    <w:p>
      <w:pPr>
        <w:jc w:val="both"/>
        <w:ind w:firstLine="8"/>
        <w:spacing w:after="0" w:line="242" w:lineRule="auto"/>
        <w:tabs>
          <w:tab w:leader="none" w:pos="509"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No Advice</w:t>
      </w:r>
      <w:r>
        <w:rPr>
          <w:rFonts w:ascii="Times New Roman" w:cs="Times New Roman" w:eastAsia="Times New Roman" w:hAnsi="Times New Roman"/>
          <w:sz w:val="20"/>
          <w:szCs w:val="20"/>
          <w:color w:val="auto"/>
        </w:rPr>
        <w:t>. You are encouraged to contact your personal legal and tax advisors with respect to the Success Bonus. Neither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nor any of its employees, directors, officers, or agents shall, or are authorized to, provide any tax or legal advice to you. The Company has no duty or obligation to minimize the tax consequences to you under this Agreement and shall not be liable to you for any adverse tax consequences to you in connection with this Agreement.</w:t>
      </w:r>
    </w:p>
    <w:p>
      <w:pPr>
        <w:spacing w:after="0" w:line="196" w:lineRule="exact"/>
        <w:rPr>
          <w:rFonts w:ascii="Times New Roman" w:cs="Times New Roman" w:eastAsia="Times New Roman" w:hAnsi="Times New Roman"/>
          <w:sz w:val="22"/>
          <w:szCs w:val="22"/>
          <w:b w:val="1"/>
          <w:bCs w:val="1"/>
          <w:color w:val="auto"/>
        </w:rPr>
      </w:pPr>
    </w:p>
    <w:p>
      <w:pPr>
        <w:jc w:val="both"/>
        <w:ind w:firstLine="8"/>
        <w:spacing w:after="0" w:line="242" w:lineRule="auto"/>
        <w:tabs>
          <w:tab w:leader="none" w:pos="509"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No Guarantee of Employment or Continued Service</w:t>
      </w:r>
      <w:r>
        <w:rPr>
          <w:rFonts w:ascii="Times New Roman" w:cs="Times New Roman" w:eastAsia="Times New Roman" w:hAnsi="Times New Roman"/>
          <w:sz w:val="20"/>
          <w:szCs w:val="20"/>
          <w:color w:val="auto"/>
        </w:rPr>
        <w:t>. This Agreement is intended to provide a financial incentive to you and does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confer to you any rights to continued employment or engagement as a service provider with the Company. To the extent you are an employee, your employment with the Company shall remain at-will and subject to termination by either the Company or you at any time, for any reason and without notice.</w:t>
      </w:r>
    </w:p>
    <w:p>
      <w:pPr>
        <w:spacing w:after="0" w:line="196" w:lineRule="exact"/>
        <w:rPr>
          <w:rFonts w:ascii="Times New Roman" w:cs="Times New Roman" w:eastAsia="Times New Roman" w:hAnsi="Times New Roman"/>
          <w:sz w:val="22"/>
          <w:szCs w:val="22"/>
          <w:b w:val="1"/>
          <w:bCs w:val="1"/>
          <w:color w:val="auto"/>
        </w:rPr>
      </w:pPr>
    </w:p>
    <w:p>
      <w:pPr>
        <w:jc w:val="both"/>
        <w:ind w:firstLine="8"/>
        <w:spacing w:after="0" w:line="244" w:lineRule="auto"/>
        <w:tabs>
          <w:tab w:leader="none" w:pos="509"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No Equity Interest; Status as Creditor</w:t>
      </w:r>
      <w:r>
        <w:rPr>
          <w:rFonts w:ascii="Times New Roman" w:cs="Times New Roman" w:eastAsia="Times New Roman" w:hAnsi="Times New Roman"/>
          <w:sz w:val="20"/>
          <w:szCs w:val="20"/>
          <w:color w:val="auto"/>
        </w:rPr>
        <w:t>. Nothing in this Agreement creates or conveys any equity or ownership interest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or any rights commonly associated with any such interest, including, but not limited to, the right to vote on any matters put before the Company’s stockholders. Participant’s sole right under this Agreement shall be as a general unsecured creditor of the Company.</w:t>
      </w:r>
    </w:p>
    <w:p>
      <w:pPr>
        <w:spacing w:after="0" w:line="193" w:lineRule="exact"/>
        <w:rPr>
          <w:rFonts w:ascii="Times New Roman" w:cs="Times New Roman" w:eastAsia="Times New Roman" w:hAnsi="Times New Roman"/>
          <w:sz w:val="22"/>
          <w:szCs w:val="22"/>
          <w:b w:val="1"/>
          <w:bCs w:val="1"/>
          <w:color w:val="auto"/>
        </w:rPr>
      </w:pPr>
    </w:p>
    <w:p>
      <w:pPr>
        <w:ind w:firstLine="8"/>
        <w:spacing w:after="0" w:line="249" w:lineRule="auto"/>
        <w:tabs>
          <w:tab w:leader="none" w:pos="509"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Unfunded Plan</w:t>
      </w:r>
      <w:r>
        <w:rPr>
          <w:rFonts w:ascii="Times New Roman" w:cs="Times New Roman" w:eastAsia="Times New Roman" w:hAnsi="Times New Roman"/>
          <w:sz w:val="20"/>
          <w:szCs w:val="20"/>
          <w:color w:val="auto"/>
        </w:rPr>
        <w:t>. Any payment under this Agreement shall be unfunded and shall not create (or be construed to create) a trust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separate fund.</w:t>
      </w:r>
    </w:p>
    <w:p>
      <w:pPr>
        <w:spacing w:after="0" w:line="187" w:lineRule="exact"/>
        <w:rPr>
          <w:rFonts w:ascii="Times New Roman" w:cs="Times New Roman" w:eastAsia="Times New Roman" w:hAnsi="Times New Roman"/>
          <w:sz w:val="22"/>
          <w:szCs w:val="22"/>
          <w:b w:val="1"/>
          <w:bCs w:val="1"/>
          <w:color w:val="auto"/>
        </w:rPr>
      </w:pPr>
    </w:p>
    <w:p>
      <w:pPr>
        <w:jc w:val="both"/>
        <w:ind w:firstLine="8"/>
        <w:spacing w:after="0" w:line="242" w:lineRule="auto"/>
        <w:tabs>
          <w:tab w:leader="none" w:pos="509"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Assignment or Transfer by Participant</w:t>
      </w:r>
      <w:r>
        <w:rPr>
          <w:rFonts w:ascii="Times New Roman" w:cs="Times New Roman" w:eastAsia="Times New Roman" w:hAnsi="Times New Roman"/>
          <w:sz w:val="20"/>
          <w:szCs w:val="20"/>
          <w:color w:val="auto"/>
        </w:rPr>
        <w:t>. Your rights under this Agreement may not be assigned or transferred except by will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laws of descent and distribution. Any purported assignment or transfer by you shall be void. Participant may, by delivering written notice to the Company in a form satisfactory to the Company, designate a third party who, in the event of the death of Participant, shall be entitled to receive a payment (if any) due to Participant hereunder.</w:t>
      </w:r>
    </w:p>
    <w:p>
      <w:pPr>
        <w:spacing w:after="0" w:line="196" w:lineRule="exact"/>
        <w:rPr>
          <w:rFonts w:ascii="Times New Roman" w:cs="Times New Roman" w:eastAsia="Times New Roman" w:hAnsi="Times New Roman"/>
          <w:sz w:val="22"/>
          <w:szCs w:val="22"/>
          <w:b w:val="1"/>
          <w:bCs w:val="1"/>
          <w:color w:val="auto"/>
        </w:rPr>
      </w:pPr>
    </w:p>
    <w:p>
      <w:pPr>
        <w:jc w:val="both"/>
        <w:ind w:firstLine="8"/>
        <w:spacing w:after="0" w:line="242" w:lineRule="auto"/>
        <w:tabs>
          <w:tab w:leader="none" w:pos="509"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Termination of this Agreement. </w:t>
      </w:r>
      <w:r>
        <w:rPr>
          <w:rFonts w:ascii="Times New Roman" w:cs="Times New Roman" w:eastAsia="Times New Roman" w:hAnsi="Times New Roman"/>
          <w:sz w:val="20"/>
          <w:szCs w:val="20"/>
          <w:color w:val="auto"/>
        </w:rPr>
        <w:t>This Agreement and the potential to earn the Success Bonus hereunder shall terminate and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amounts shall be earned and payable hereunder as of and effective on the earliest to occur of: (i) termination of Participant’s Continuous Service; (ii) any liquidation, dissolution or winding up of the Company; (iii) at such time as all earned payments due under this Agreement have been paid; and (iv) January 31, 2026.</w:t>
      </w:r>
    </w:p>
    <w:p>
      <w:pPr>
        <w:spacing w:after="0" w:line="196" w:lineRule="exact"/>
        <w:rPr>
          <w:rFonts w:ascii="Times New Roman" w:cs="Times New Roman" w:eastAsia="Times New Roman" w:hAnsi="Times New Roman"/>
          <w:sz w:val="22"/>
          <w:szCs w:val="22"/>
          <w:b w:val="1"/>
          <w:bCs w:val="1"/>
          <w:color w:val="auto"/>
        </w:rPr>
      </w:pPr>
    </w:p>
    <w:p>
      <w:pPr>
        <w:ind w:right="20" w:firstLine="8"/>
        <w:spacing w:after="0" w:line="249" w:lineRule="auto"/>
        <w:tabs>
          <w:tab w:leader="none" w:pos="509"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This Agreement sets forth the entire understanding between you and the Company regarding the matters set forth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herein and supersedes all prior oral and written agreements, promises and/or representations on such matters.</w:t>
      </w:r>
    </w:p>
    <w:p>
      <w:pPr>
        <w:spacing w:after="0" w:line="187" w:lineRule="exact"/>
        <w:rPr>
          <w:rFonts w:ascii="Times New Roman" w:cs="Times New Roman" w:eastAsia="Times New Roman" w:hAnsi="Times New Roman"/>
          <w:sz w:val="22"/>
          <w:szCs w:val="22"/>
          <w:b w:val="1"/>
          <w:bCs w:val="1"/>
          <w:color w:val="auto"/>
        </w:rPr>
      </w:pPr>
    </w:p>
    <w:p>
      <w:pPr>
        <w:jc w:val="both"/>
        <w:ind w:firstLine="8"/>
        <w:spacing w:after="0" w:line="244" w:lineRule="auto"/>
        <w:tabs>
          <w:tab w:leader="none" w:pos="509"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Confidentiality</w:t>
      </w:r>
      <w:r>
        <w:rPr>
          <w:rFonts w:ascii="Times New Roman" w:cs="Times New Roman" w:eastAsia="Times New Roman" w:hAnsi="Times New Roman"/>
          <w:sz w:val="20"/>
          <w:szCs w:val="20"/>
          <w:color w:val="auto"/>
        </w:rPr>
        <w:t>. You must keep this Agreement and your eligibility and rights hereunder confidential except (i) to the extent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required in connection with the performance of your responsibilities for the Company and/or the acquiring, surviving or successor company (or its affiliate) in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ind w:right="20" w:firstLine="509"/>
        <w:spacing w:after="0" w:line="269" w:lineRule="auto"/>
        <w:rPr>
          <w:sz w:val="20"/>
          <w:szCs w:val="20"/>
          <w:color w:val="auto"/>
        </w:rPr>
      </w:pPr>
      <w:r>
        <w:rPr>
          <w:rFonts w:ascii="Times New Roman" w:cs="Times New Roman" w:eastAsia="Times New Roman" w:hAnsi="Times New Roman"/>
          <w:sz w:val="20"/>
          <w:szCs w:val="20"/>
          <w:color w:val="auto"/>
        </w:rPr>
        <w:t>the Change in Control, (ii) you may disclose this Agreement to your family and tax or legal advisors, provided they agree to keep this Agreement and your eligibility and rights hereunder confidential, or (iii) as required by applicable law.</w:t>
      </w:r>
    </w:p>
    <w:p>
      <w:pPr>
        <w:spacing w:after="0" w:line="169" w:lineRule="exact"/>
        <w:rPr>
          <w:sz w:val="20"/>
          <w:szCs w:val="20"/>
          <w:color w:val="auto"/>
        </w:rPr>
      </w:pPr>
    </w:p>
    <w:p>
      <w:pPr>
        <w:ind w:firstLine="8"/>
        <w:spacing w:after="0" w:line="249" w:lineRule="auto"/>
        <w:tabs>
          <w:tab w:leader="none" w:pos="509"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Your rights and obligations under this Agreement shall be governed by and interpreted, construed and enforced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laws of the state of California without regard to its or any other jurisdiction’s conflicts of laws principles.</w:t>
      </w:r>
    </w:p>
    <w:p>
      <w:pPr>
        <w:spacing w:after="0" w:line="187" w:lineRule="exact"/>
        <w:rPr>
          <w:rFonts w:ascii="Times New Roman" w:cs="Times New Roman" w:eastAsia="Times New Roman" w:hAnsi="Times New Roman"/>
          <w:sz w:val="22"/>
          <w:szCs w:val="22"/>
          <w:b w:val="1"/>
          <w:bCs w:val="1"/>
          <w:color w:val="auto"/>
        </w:rPr>
      </w:pPr>
    </w:p>
    <w:p>
      <w:pPr>
        <w:ind w:firstLine="8"/>
        <w:spacing w:after="0" w:line="249" w:lineRule="auto"/>
        <w:tabs>
          <w:tab w:leader="none" w:pos="509"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If any provision of this Agreement is held invalid or unenforceable, its invalidity or unenforceability shall not affect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provision of this Agreement, and this Agreement shall be construed and enforced as if such provision had not been included.</w:t>
      </w:r>
    </w:p>
    <w:p>
      <w:pPr>
        <w:spacing w:after="0" w:line="187" w:lineRule="exact"/>
        <w:rPr>
          <w:rFonts w:ascii="Times New Roman" w:cs="Times New Roman" w:eastAsia="Times New Roman" w:hAnsi="Times New Roman"/>
          <w:sz w:val="22"/>
          <w:szCs w:val="22"/>
          <w:b w:val="1"/>
          <w:bCs w:val="1"/>
          <w:color w:val="auto"/>
        </w:rPr>
      </w:pPr>
    </w:p>
    <w:p>
      <w:pPr>
        <w:jc w:val="both"/>
        <w:ind w:firstLine="8"/>
        <w:spacing w:after="0" w:line="244" w:lineRule="auto"/>
        <w:tabs>
          <w:tab w:leader="none" w:pos="509"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Acknowledgment</w:t>
      </w:r>
      <w:r>
        <w:rPr>
          <w:rFonts w:ascii="Times New Roman" w:cs="Times New Roman" w:eastAsia="Times New Roman" w:hAnsi="Times New Roman"/>
          <w:sz w:val="20"/>
          <w:szCs w:val="20"/>
          <w:color w:val="auto"/>
        </w:rPr>
        <w:t>. By signing in the space provided below, you agree to be bound by the terms and conditions of this Agreement,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same may be amended from time to time, and represent to the Company that you have received and read and fully understand the terms and conditions of this Agreement.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empest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381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9">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[Name]</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By signing below, I hereby agree to the terms and conditions of this Success Bonus Agreement.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262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0">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August 8, 2025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Justin Trojanowski</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 Tempest Employment Terms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Justin,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81818"/>
        </w:rPr>
        <w:t xml:space="preserve">You are currently employed by </w:t>
      </w:r>
      <w:r>
        <w:rPr>
          <w:rFonts w:ascii="Arial" w:cs="Arial" w:eastAsia="Arial" w:hAnsi="Arial"/>
          <w:sz w:val="18"/>
          <w:szCs w:val="18"/>
          <w:color w:val="000000"/>
        </w:rPr>
        <w:t>Tempest Therapeutics, Inc. ("</w:t>
      </w:r>
      <w:r>
        <w:rPr>
          <w:rFonts w:ascii="Arial" w:cs="Arial" w:eastAsia="Arial" w:hAnsi="Arial"/>
          <w:sz w:val="18"/>
          <w:szCs w:val="18"/>
          <w:b w:val="1"/>
          <w:bCs w:val="1"/>
          <w:i w:val="1"/>
          <w:iCs w:val="1"/>
          <w:color w:val="000000"/>
        </w:rPr>
        <w:t>Tempest</w:t>
      </w:r>
      <w:r>
        <w:rPr>
          <w:rFonts w:ascii="Arial" w:cs="Arial" w:eastAsia="Arial" w:hAnsi="Arial"/>
          <w:sz w:val="18"/>
          <w:szCs w:val="18"/>
          <w:color w:val="000000"/>
        </w:rPr>
        <w:t>" or the "</w:t>
      </w:r>
      <w:r>
        <w:rPr>
          <w:rFonts w:ascii="Arial" w:cs="Arial" w:eastAsia="Arial" w:hAnsi="Arial"/>
          <w:sz w:val="18"/>
          <w:szCs w:val="18"/>
          <w:b w:val="1"/>
          <w:bCs w:val="1"/>
          <w:i w:val="1"/>
          <w:iCs w:val="1"/>
          <w:color w:val="000000"/>
        </w:rPr>
        <w:t>Company</w:t>
      </w:r>
      <w:r>
        <w:rPr>
          <w:rFonts w:ascii="Arial" w:cs="Arial" w:eastAsia="Arial" w:hAnsi="Arial"/>
          <w:sz w:val="18"/>
          <w:szCs w:val="18"/>
          <w:color w:val="000000"/>
        </w:rPr>
        <w:t>")</w:t>
      </w:r>
      <w:r>
        <w:rPr>
          <w:rFonts w:ascii="Arial" w:cs="Arial" w:eastAsia="Arial" w:hAnsi="Arial"/>
          <w:sz w:val="18"/>
          <w:szCs w:val="18"/>
          <w:color w:val="181818"/>
        </w:rPr>
        <w:t xml:space="preserve"> pursuant to the terms of the offer letter you entered into with the Company on May 19, 2022 (the “</w:t>
      </w:r>
      <w:r>
        <w:rPr>
          <w:rFonts w:ascii="Arial" w:cs="Arial" w:eastAsia="Arial" w:hAnsi="Arial"/>
          <w:sz w:val="18"/>
          <w:szCs w:val="18"/>
          <w:b w:val="1"/>
          <w:bCs w:val="1"/>
          <w:i w:val="1"/>
          <w:iCs w:val="1"/>
          <w:color w:val="181818"/>
        </w:rPr>
        <w:t>Offer Letter</w:t>
      </w:r>
      <w:r>
        <w:rPr>
          <w:rFonts w:ascii="Arial" w:cs="Arial" w:eastAsia="Arial" w:hAnsi="Arial"/>
          <w:sz w:val="18"/>
          <w:szCs w:val="18"/>
          <w:color w:val="181818"/>
        </w:rPr>
        <w:t>”). The terms and conditions set forth in this amended offer letter (this “</w:t>
      </w:r>
      <w:r>
        <w:rPr>
          <w:rFonts w:ascii="Arial" w:cs="Arial" w:eastAsia="Arial" w:hAnsi="Arial"/>
          <w:sz w:val="18"/>
          <w:szCs w:val="18"/>
          <w:b w:val="1"/>
          <w:bCs w:val="1"/>
          <w:i w:val="1"/>
          <w:iCs w:val="1"/>
          <w:color w:val="181818"/>
        </w:rPr>
        <w:t>Amended Offer Letter</w:t>
      </w:r>
      <w:r>
        <w:rPr>
          <w:rFonts w:ascii="Arial" w:cs="Arial" w:eastAsia="Arial" w:hAnsi="Arial"/>
          <w:sz w:val="18"/>
          <w:szCs w:val="18"/>
          <w:color w:val="181818"/>
        </w:rPr>
        <w:t>”) shall become effective as of the date hereof and shall supersede and replace the terms and conditions set forth in the Offer Letter.</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You are currently the Company’s Corporate Controller and Treasurer. In this role, you are responsible for maintaining the Company’s internal control framework in accordance with Sarbanes-Oxley, review of quarterly and annual financial statements, overseeing accounting and treasury operations as well as performing such duties as are assigned to you from time to time. You will also continue to hold the designation of principal accounting officer. You'll be reporting to Nicholas Maestas and will work at our office located at 2000 Sierra Point Parkway, Suite 400 in Brisbane, California. Of course, the Company may change your position, duties, and work location from time to time in its discretion.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Benefits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Your current base salary is paid at the rate of $266,680 per year ($11,111.67 payable semi-monthly), less payroll deductions and withholdings, paid on the Company's normal payroll schedule.</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You will continue to be eligible to earn an annual discretionary bonus equal to 25% of your base salary (the "</w:t>
      </w:r>
      <w:r>
        <w:rPr>
          <w:rFonts w:ascii="Arial" w:cs="Arial" w:eastAsia="Arial" w:hAnsi="Arial"/>
          <w:sz w:val="18"/>
          <w:szCs w:val="18"/>
          <w:b w:val="1"/>
          <w:bCs w:val="1"/>
          <w:i w:val="1"/>
          <w:iCs w:val="1"/>
          <w:color w:val="auto"/>
        </w:rPr>
        <w:t>Bonus</w:t>
      </w:r>
      <w:r>
        <w:rPr>
          <w:rFonts w:ascii="Arial" w:cs="Arial" w:eastAsia="Arial" w:hAnsi="Arial"/>
          <w:sz w:val="18"/>
          <w:szCs w:val="18"/>
          <w:color w:val="auto"/>
        </w:rPr>
        <w:t>"). The amount of the Bonus will be determined in the sole discretion of the Company and based, in part, on your performance and the performance of the Company during the calendar year, as well as any other criteria the Company deems relevant. The Bonus is not earned until paid and no pro-rated amount will be paid if your employment terminates for any reason prior to the payment date</w:t>
      </w:r>
      <w:r>
        <w:rPr>
          <w:rFonts w:ascii="Arial" w:cs="Arial" w:eastAsia="Arial" w:hAnsi="Arial"/>
          <w:sz w:val="18"/>
          <w:szCs w:val="18"/>
          <w:color w:val="181818"/>
        </w:rPr>
        <w:t>, except as otherwise provided for in</w:t>
      </w:r>
      <w:r>
        <w:rPr>
          <w:rFonts w:ascii="Arial" w:cs="Arial" w:eastAsia="Arial" w:hAnsi="Arial"/>
          <w:sz w:val="18"/>
          <w:szCs w:val="18"/>
          <w:color w:val="auto"/>
        </w:rPr>
        <w:t xml:space="preserve"> </w:t>
      </w:r>
      <w:r>
        <w:rPr>
          <w:rFonts w:ascii="Arial" w:cs="Arial" w:eastAsia="Arial" w:hAnsi="Arial"/>
          <w:sz w:val="18"/>
          <w:szCs w:val="18"/>
          <w:color w:val="181818"/>
        </w:rPr>
        <w:t>this Amended Offer Letter</w:t>
      </w:r>
      <w:r>
        <w:rPr>
          <w:rFonts w:ascii="Arial" w:cs="Arial" w:eastAsia="Arial" w:hAnsi="Arial"/>
          <w:sz w:val="18"/>
          <w:szCs w:val="18"/>
          <w:color w:val="000000"/>
        </w:rPr>
        <w:t>.</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your employment, you will also continue to be eligible to participate in the benefits plans offered to similarly situated employees by the Company from time to time, subject to plan terms and generally applicable Company policies. The Company has a PTO program pursuant to which employees earn paid time off on an annual basis, in addition to Company holidays. A full description of current benefits is available for your review. The Company may change compensation and benefits from time to time in its discretion.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81818"/>
        </w:rPr>
        <w:t>The Company previously granted you options to purchase shares of the Company’s common stock, which shall continue to be governed by the terms of the applicable stock option agreements and equity incentive plans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Information and Company Policies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Company employee, you will continue to be expected to abide by Company rules and policies. You must continue to comply with the employee Proprietary Information and Inventions Agreement you previously signed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1262380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1" w:name="page122"/>
    <w:bookmarkEnd w:id="121"/>
    <w:p>
      <w:pPr>
        <w:jc w:val="both"/>
        <w:spacing w:after="0"/>
        <w:rPr>
          <w:sz w:val="20"/>
          <w:szCs w:val="20"/>
          <w:color w:val="auto"/>
        </w:rPr>
      </w:pPr>
      <w:r>
        <w:rPr>
          <w:rFonts w:ascii="Arial" w:cs="Arial" w:eastAsia="Arial" w:hAnsi="Arial"/>
          <w:sz w:val="18"/>
          <w:szCs w:val="18"/>
          <w:color w:val="auto"/>
        </w:rPr>
        <w:t xml:space="preserve">By signing this </w:t>
      </w:r>
      <w:r>
        <w:rPr>
          <w:rFonts w:ascii="Arial" w:cs="Arial" w:eastAsia="Arial" w:hAnsi="Arial"/>
          <w:sz w:val="18"/>
          <w:szCs w:val="18"/>
          <w:color w:val="181818"/>
        </w:rPr>
        <w:t>Amended Offer</w:t>
      </w:r>
      <w:r>
        <w:rPr>
          <w:rFonts w:ascii="Arial" w:cs="Arial" w:eastAsia="Arial" w:hAnsi="Arial"/>
          <w:sz w:val="18"/>
          <w:szCs w:val="18"/>
          <w:color w:val="auto"/>
        </w:rPr>
        <w:t xml:space="preserve"> Letter, you are representing that you continue to have full authority to continue in this position and perform the duties of the position without conflict with any other obligations and that you are not involved in any situation that might create, or appear to create, a conflict of interest with respect to your loyalty or duties to the Company. You specifically warrant that you are not subject to an employment agreement or restrictive covenant preventing full performance of your duties to the Company. You agree not to bring to the Company or use in the performance of your responsibilities at the Company any materials or documents of a former employer that are not generally available to the public, unless you have obtained express written authorization from the former employer for their possession and use. You also agree to continue to honor all obligations to former employers during your employment with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At-Will Employment and Exempt Status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Your employment with the Company continues to be "at-will." You may terminate your employment with the Company at any time and for any reason. Likewise, the Company may terminate your employment at any time, with or without cause or advance notice. Your employment at-will status can only be modified in a written agreement signed by you and by an officer of the Company.</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an exempt salaried employee, you will be expected to work the Company's normal business hours as well as additional hours as required by the nature of your work assignments, and you will not be eligible for overtime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Severance</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181818"/>
        </w:rPr>
        <w:t xml:space="preserve">If within six (6) months of </w:t>
      </w:r>
      <w:r>
        <w:rPr>
          <w:rFonts w:ascii="Arial" w:cs="Arial" w:eastAsia="Arial" w:hAnsi="Arial"/>
          <w:sz w:val="18"/>
          <w:szCs w:val="18"/>
          <w:color w:val="000000"/>
        </w:rPr>
        <w:t>the consummation of a Change in Control (as such term is defined in the Company’s 2017 Equity Incentive Plan)</w:t>
      </w:r>
      <w:r>
        <w:rPr>
          <w:rFonts w:ascii="Arial" w:cs="Arial" w:eastAsia="Arial" w:hAnsi="Arial"/>
          <w:sz w:val="18"/>
          <w:szCs w:val="18"/>
          <w:color w:val="181818"/>
        </w:rPr>
        <w:t xml:space="preserve"> your employment with the Company is terminated (x) by the Company for any reason other than Cause (</w:t>
      </w:r>
      <w:r>
        <w:rPr>
          <w:rFonts w:ascii="Arial" w:cs="Arial" w:eastAsia="Arial" w:hAnsi="Arial"/>
          <w:sz w:val="18"/>
          <w:szCs w:val="18"/>
          <w:color w:val="000000"/>
        </w:rPr>
        <w:t>as such term is defined in the</w:t>
      </w:r>
      <w:r>
        <w:rPr>
          <w:rFonts w:ascii="Arial" w:cs="Arial" w:eastAsia="Arial" w:hAnsi="Arial"/>
          <w:sz w:val="18"/>
          <w:szCs w:val="18"/>
          <w:color w:val="181818"/>
        </w:rPr>
        <w:t xml:space="preserve"> </w:t>
      </w:r>
      <w:r>
        <w:rPr>
          <w:rFonts w:ascii="Arial" w:cs="Arial" w:eastAsia="Arial" w:hAnsi="Arial"/>
          <w:sz w:val="18"/>
          <w:szCs w:val="18"/>
          <w:color w:val="000000"/>
        </w:rPr>
        <w:t>Company’s Amended and Restated 2023 Equity Incentive Plan)</w:t>
      </w:r>
      <w:r>
        <w:rPr>
          <w:rFonts w:ascii="Arial" w:cs="Arial" w:eastAsia="Arial" w:hAnsi="Arial"/>
          <w:sz w:val="18"/>
          <w:szCs w:val="18"/>
          <w:color w:val="181818"/>
        </w:rPr>
        <w:t>) or (y) by you for Good Reason (as defined below), subject to your</w:t>
      </w:r>
      <w:r>
        <w:rPr>
          <w:rFonts w:ascii="Arial" w:cs="Arial" w:eastAsia="Arial" w:hAnsi="Arial"/>
          <w:sz w:val="18"/>
          <w:szCs w:val="18"/>
          <w:color w:val="000000"/>
        </w:rPr>
        <w:t xml:space="preserve"> </w:t>
      </w:r>
      <w:r>
        <w:rPr>
          <w:rFonts w:ascii="Arial" w:cs="Arial" w:eastAsia="Arial" w:hAnsi="Arial"/>
          <w:sz w:val="18"/>
          <w:szCs w:val="18"/>
          <w:color w:val="181818"/>
        </w:rPr>
        <w:t>compliance with the Severance Conditions (as defined below), the Company will pay you the following severance benefits (the “</w:t>
      </w:r>
      <w:r>
        <w:rPr>
          <w:rFonts w:ascii="Arial" w:cs="Arial" w:eastAsia="Arial" w:hAnsi="Arial"/>
          <w:sz w:val="18"/>
          <w:szCs w:val="18"/>
          <w:b w:val="1"/>
          <w:bCs w:val="1"/>
          <w:i w:val="1"/>
          <w:iCs w:val="1"/>
          <w:color w:val="181818"/>
        </w:rPr>
        <w:t>Severance</w:t>
      </w:r>
      <w:r>
        <w:rPr>
          <w:rFonts w:ascii="Arial" w:cs="Arial" w:eastAsia="Arial" w:hAnsi="Arial"/>
          <w:sz w:val="18"/>
          <w:szCs w:val="18"/>
          <w:color w:val="181818"/>
        </w:rPr>
        <w:t xml:space="preserve"> </w:t>
      </w:r>
      <w:r>
        <w:rPr>
          <w:rFonts w:ascii="Arial" w:cs="Arial" w:eastAsia="Arial" w:hAnsi="Arial"/>
          <w:sz w:val="18"/>
          <w:szCs w:val="18"/>
          <w:b w:val="1"/>
          <w:bCs w:val="1"/>
          <w:i w:val="1"/>
          <w:iCs w:val="1"/>
          <w:color w:val="181818"/>
        </w:rPr>
        <w:t>Benefits</w:t>
      </w:r>
      <w:r>
        <w:rPr>
          <w:rFonts w:ascii="Arial" w:cs="Arial" w:eastAsia="Arial" w:hAnsi="Arial"/>
          <w:sz w:val="18"/>
          <w:szCs w:val="18"/>
          <w:color w:val="181818"/>
        </w:rPr>
        <w:t>”):</w:t>
      </w:r>
    </w:p>
    <w:p>
      <w:pPr>
        <w:spacing w:after="0" w:line="60" w:lineRule="exact"/>
        <w:rPr>
          <w:sz w:val="20"/>
          <w:szCs w:val="20"/>
          <w:color w:val="auto"/>
        </w:rPr>
      </w:pPr>
    </w:p>
    <w:p>
      <w:pPr>
        <w:ind w:left="760" w:hanging="378"/>
        <w:spacing w:after="0"/>
        <w:tabs>
          <w:tab w:leader="none" w:pos="760" w:val="left"/>
        </w:tabs>
        <w:numPr>
          <w:ilvl w:val="0"/>
          <w:numId w:val="75"/>
        </w:numPr>
        <w:rPr>
          <w:rFonts w:ascii="Arial" w:cs="Arial" w:eastAsia="Arial" w:hAnsi="Arial"/>
          <w:sz w:val="18"/>
          <w:szCs w:val="18"/>
          <w:color w:val="181818"/>
        </w:rPr>
      </w:pPr>
      <w:r>
        <w:rPr>
          <w:rFonts w:ascii="Arial" w:cs="Arial" w:eastAsia="Arial" w:hAnsi="Arial"/>
          <w:sz w:val="18"/>
          <w:szCs w:val="18"/>
          <w:color w:val="181818"/>
        </w:rPr>
        <w:t>three (3) months’ base salary;</w:t>
      </w:r>
    </w:p>
    <w:p>
      <w:pPr>
        <w:spacing w:after="0" w:line="103" w:lineRule="exact"/>
        <w:rPr>
          <w:rFonts w:ascii="Arial" w:cs="Arial" w:eastAsia="Arial" w:hAnsi="Arial"/>
          <w:sz w:val="18"/>
          <w:szCs w:val="18"/>
          <w:color w:val="181818"/>
        </w:rPr>
      </w:pPr>
    </w:p>
    <w:p>
      <w:pPr>
        <w:ind w:left="760" w:right="20" w:hanging="378"/>
        <w:spacing w:after="0" w:line="271" w:lineRule="auto"/>
        <w:tabs>
          <w:tab w:leader="none" w:pos="760" w:val="left"/>
        </w:tabs>
        <w:numPr>
          <w:ilvl w:val="0"/>
          <w:numId w:val="75"/>
        </w:numPr>
        <w:rPr>
          <w:rFonts w:ascii="Arial" w:cs="Arial" w:eastAsia="Arial" w:hAnsi="Arial"/>
          <w:sz w:val="18"/>
          <w:szCs w:val="18"/>
          <w:color w:val="181818"/>
        </w:rPr>
      </w:pPr>
      <w:r>
        <w:rPr>
          <w:rFonts w:ascii="Arial" w:cs="Arial" w:eastAsia="Arial" w:hAnsi="Arial"/>
          <w:sz w:val="18"/>
          <w:szCs w:val="18"/>
          <w:color w:val="181818"/>
        </w:rPr>
        <w:t>a prorated target annual bonus for the fiscal year in which the termination occurs, with the proration equal to the number of days elapsed during the fiscal year through the termination date divided by 365;</w:t>
      </w:r>
    </w:p>
    <w:p>
      <w:pPr>
        <w:spacing w:after="0" w:line="45" w:lineRule="exact"/>
        <w:rPr>
          <w:rFonts w:ascii="Arial" w:cs="Arial" w:eastAsia="Arial" w:hAnsi="Arial"/>
          <w:sz w:val="18"/>
          <w:szCs w:val="18"/>
          <w:color w:val="181818"/>
        </w:rPr>
      </w:pPr>
    </w:p>
    <w:p>
      <w:pPr>
        <w:ind w:left="760" w:hanging="378"/>
        <w:spacing w:after="0"/>
        <w:tabs>
          <w:tab w:leader="none" w:pos="760" w:val="left"/>
        </w:tabs>
        <w:numPr>
          <w:ilvl w:val="0"/>
          <w:numId w:val="75"/>
        </w:numPr>
        <w:rPr>
          <w:rFonts w:ascii="Arial" w:cs="Arial" w:eastAsia="Arial" w:hAnsi="Arial"/>
          <w:sz w:val="18"/>
          <w:szCs w:val="18"/>
          <w:color w:val="181818"/>
        </w:rPr>
      </w:pPr>
      <w:r>
        <w:rPr>
          <w:rFonts w:ascii="Arial" w:cs="Arial" w:eastAsia="Arial" w:hAnsi="Arial"/>
          <w:sz w:val="18"/>
          <w:szCs w:val="18"/>
          <w:color w:val="181818"/>
        </w:rPr>
        <w:t>the target bonus for any fiscal year completed but which has not yet been paid; and</w:t>
      </w:r>
    </w:p>
    <w:p>
      <w:pPr>
        <w:spacing w:after="0" w:line="103" w:lineRule="exact"/>
        <w:rPr>
          <w:rFonts w:ascii="Arial" w:cs="Arial" w:eastAsia="Arial" w:hAnsi="Arial"/>
          <w:sz w:val="18"/>
          <w:szCs w:val="18"/>
          <w:color w:val="181818"/>
        </w:rPr>
      </w:pPr>
    </w:p>
    <w:p>
      <w:pPr>
        <w:jc w:val="both"/>
        <w:ind w:left="760" w:hanging="378"/>
        <w:spacing w:after="0" w:line="247" w:lineRule="auto"/>
        <w:tabs>
          <w:tab w:leader="none" w:pos="760" w:val="left"/>
        </w:tabs>
        <w:numPr>
          <w:ilvl w:val="0"/>
          <w:numId w:val="75"/>
        </w:numPr>
        <w:rPr>
          <w:rFonts w:ascii="Arial" w:cs="Arial" w:eastAsia="Arial" w:hAnsi="Arial"/>
          <w:sz w:val="18"/>
          <w:szCs w:val="18"/>
          <w:color w:val="181818"/>
        </w:rPr>
      </w:pPr>
      <w:r>
        <w:rPr>
          <w:rFonts w:ascii="Arial" w:cs="Arial" w:eastAsia="Arial" w:hAnsi="Arial"/>
          <w:sz w:val="18"/>
          <w:szCs w:val="18"/>
          <w:color w:val="181818"/>
        </w:rPr>
        <w:t>if you timely elect coverage under the Consolidated Omnibus Budget Reconciliation Act of 1985, as amended (“</w:t>
      </w:r>
      <w:r>
        <w:rPr>
          <w:rFonts w:ascii="Arial" w:cs="Arial" w:eastAsia="Arial" w:hAnsi="Arial"/>
          <w:sz w:val="18"/>
          <w:szCs w:val="18"/>
          <w:b w:val="1"/>
          <w:bCs w:val="1"/>
          <w:i w:val="1"/>
          <w:iCs w:val="1"/>
          <w:color w:val="181818"/>
        </w:rPr>
        <w:t>COBRA</w:t>
      </w:r>
      <w:r>
        <w:rPr>
          <w:rFonts w:ascii="Arial" w:cs="Arial" w:eastAsia="Arial" w:hAnsi="Arial"/>
          <w:sz w:val="18"/>
          <w:szCs w:val="18"/>
          <w:color w:val="181818"/>
        </w:rPr>
        <w:t>”), and subject to any legal limitations under Section 105(h) of the Code, Section 2716 of the Public Health Service Act, or other applicable laws, such COBRA coverage for medical and dental coverage will continue for you and you eligible dependents (as applicable) at active employee rates for up to three (3) months, subject to normal COBRA termination rules.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may withhold all standard deductions and taxes which, by applicable federal, state, local or other law, the Company is required to withhold from the Severance Benefits. The Severance Benefits will be payable in a lump sum with the first payroll date that occurs at least five (5) days after the Release (as defined below) becomes effective and non-revocable.</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Your receipt of the Severance Benefits is conditioned upon the following (the “</w:t>
      </w:r>
      <w:r>
        <w:rPr>
          <w:rFonts w:ascii="Arial" w:cs="Arial" w:eastAsia="Arial" w:hAnsi="Arial"/>
          <w:sz w:val="18"/>
          <w:szCs w:val="18"/>
          <w:b w:val="1"/>
          <w:bCs w:val="1"/>
          <w:i w:val="1"/>
          <w:iCs w:val="1"/>
          <w:color w:val="auto"/>
        </w:rPr>
        <w:t>Severance Conditions</w:t>
      </w:r>
      <w:r>
        <w:rPr>
          <w:rFonts w:ascii="Arial" w:cs="Arial" w:eastAsia="Arial" w:hAnsi="Arial"/>
          <w:sz w:val="18"/>
          <w:szCs w:val="18"/>
          <w:color w:val="auto"/>
        </w:rPr>
        <w:t>”): (i) you continuing to comply with your obligations under any agreements between you and the Company, including without limitation your Proprietary Information and Inventions Agreement; (ii) your timely return of all Tempest property, including without limitation confidential information and all electronically stored information, and (iii) your timely execution, delivery, and non-revocation of an effective release of all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1138555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2" w:name="page123"/>
    <w:bookmarkEnd w:id="122"/>
    <w:p>
      <w:pPr>
        <w:spacing w:after="0" w:line="271" w:lineRule="auto"/>
        <w:rPr>
          <w:sz w:val="20"/>
          <w:szCs w:val="20"/>
          <w:color w:val="auto"/>
        </w:rPr>
      </w:pPr>
      <w:r>
        <w:rPr>
          <w:rFonts w:ascii="Arial" w:cs="Arial" w:eastAsia="Arial" w:hAnsi="Arial"/>
          <w:sz w:val="18"/>
          <w:szCs w:val="18"/>
          <w:color w:val="auto"/>
        </w:rPr>
        <w:t>against the Company and its affiliates in a form presented by the Company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within the timeframe specified therein, which shall be no longer than sixty (60) days after your separation from service.</w:t>
      </w:r>
    </w:p>
    <w:p>
      <w:pPr>
        <w:spacing w:after="0" w:line="14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For purposes of this Amended Offer Letter, you shall have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for resigning from employment with the Company if any of the following actions are taken by the Company without your prior written consent:</w:t>
      </w:r>
    </w:p>
    <w:p>
      <w:pPr>
        <w:spacing w:after="0" w:line="46" w:lineRule="exact"/>
        <w:rPr>
          <w:sz w:val="20"/>
          <w:szCs w:val="20"/>
          <w:color w:val="auto"/>
        </w:rPr>
      </w:pPr>
    </w:p>
    <w:p>
      <w:pPr>
        <w:ind w:left="1140" w:hanging="758"/>
        <w:spacing w:after="0" w:line="271" w:lineRule="auto"/>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material reduction in your base salary, which the parties agree is a reduction of at least 10% of your base salary (unless pursuant to a salary reduction program applicable generally to the Company’s similarly situated employees);</w:t>
      </w:r>
    </w:p>
    <w:p>
      <w:pPr>
        <w:spacing w:after="0" w:line="45" w:lineRule="exact"/>
        <w:rPr>
          <w:rFonts w:ascii="Arial" w:cs="Arial" w:eastAsia="Arial" w:hAnsi="Arial"/>
          <w:sz w:val="18"/>
          <w:szCs w:val="18"/>
          <w:color w:val="auto"/>
        </w:rPr>
      </w:pPr>
    </w:p>
    <w:p>
      <w:pPr>
        <w:jc w:val="both"/>
        <w:ind w:left="1140" w:hanging="758"/>
        <w:spacing w:after="0" w:line="253" w:lineRule="auto"/>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a material reduction in your duties (including responsibilities and/or authorities),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a change in job position (including a change in title) shall not be deemed a “material reduction” in and of itself unless your new duties are materially reduced from the prior duties; or</w:t>
      </w:r>
    </w:p>
    <w:p>
      <w:pPr>
        <w:spacing w:after="0" w:line="60" w:lineRule="exact"/>
        <w:rPr>
          <w:rFonts w:ascii="Arial" w:cs="Arial" w:eastAsia="Arial" w:hAnsi="Arial"/>
          <w:sz w:val="18"/>
          <w:szCs w:val="18"/>
          <w:color w:val="auto"/>
        </w:rPr>
      </w:pPr>
    </w:p>
    <w:p>
      <w:pPr>
        <w:ind w:left="1140" w:hanging="758"/>
        <w:spacing w:after="0" w:line="271" w:lineRule="auto"/>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relocation of your principal place of employment to a place that increases your one-way commute by more than fifty (50) miles as compared to your then-current principal place of employment immediately prior to such relocation.</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order to resign for Good Reason, you must provide written notice to the Company within 30 days of the initial existence of the condition constituting Good Reason, allow the Company at least 30 days from receipt of such written notice to cure such event, and if such event is not reasonably cured within such period, you must resign from all positions, including the designation as the Company’s principal accounting officer, you then hold with the Company not later than 30 days after the expiration of the cure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Section 409A</w:t>
      </w:r>
    </w:p>
    <w:p>
      <w:pPr>
        <w:spacing w:after="0" w:line="20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It is intended that any payment or benefit set forth in this Amended Offer Letter satisfy one or more exemptions from the application of Section 409A of U.S. Internal Revenue Code of 1986, as amended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xml:space="preserve">”) to the maximum extent that an exemption is available and any ambiguities herein shall be interpreted accordingly;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to the extent such an exemption is not available, the payments or benefits provided hereunder are intended to comply with the requirements of Section 409A to the extent necessary to avoid adverse tax consequences and any ambiguities herein shall be interpreted accordingly. To the extent any payment or benefit under this </w:t>
      </w:r>
      <w:r>
        <w:rPr>
          <w:rFonts w:ascii="Arial" w:cs="Arial" w:eastAsia="Arial" w:hAnsi="Arial"/>
          <w:sz w:val="20"/>
          <w:szCs w:val="20"/>
          <w:color w:val="181818"/>
        </w:rPr>
        <w:t>Agreement</w:t>
      </w:r>
      <w:r>
        <w:rPr>
          <w:rFonts w:ascii="Arial" w:cs="Arial" w:eastAsia="Arial" w:hAnsi="Arial"/>
          <w:sz w:val="20"/>
          <w:szCs w:val="20"/>
          <w:color w:val="auto"/>
        </w:rPr>
        <w:t xml:space="preserve"> may be classified as a “short-term deferral” within the meaning of Section 409A, such payment or benefit shall be deemed a short-term deferral, even if it may also qualify for an exemption from Section 409A under another provision of Section 409A. To the extent required by Section 409A, if the return deadline and post-execution revocation period specified in the Release crosses tax years, the Severance Benefits shall be paid in the later tax year after effectiveness of the Release.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Dispute Resolution and Complete Agreement</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To ensure the rapid and economical resolution of disputes that may arise in connection with your employment with the Company, 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pursuant to the Federal Arbitration Act, 9 U.S.C. § 1-16, to the fullest extent permitted by law, by final, binding and confidential arbitration conducted by JAMS or its successor, under JAMS' then applicable rules and procedures for employment disputes before a single arbitrator (available upon request and also currently available at http://www.jamsadr.com/rules-employment-arbitration/). </w:t>
      </w:r>
      <w:r>
        <w:rPr>
          <w:rFonts w:ascii="Arial" w:cs="Arial" w:eastAsia="Arial" w:hAnsi="Arial"/>
          <w:sz w:val="18"/>
          <w:szCs w:val="18"/>
          <w:b w:val="1"/>
          <w:bCs w:val="1"/>
          <w:color w:val="auto"/>
        </w:rPr>
        <w:t>You acknowledge that by agreeing to this arbitration procedure, both you and the Company waive the right</w:t>
      </w:r>
      <w:r>
        <w:rPr>
          <w:rFonts w:ascii="Arial" w:cs="Arial" w:eastAsia="Arial" w:hAnsi="Arial"/>
          <w:sz w:val="18"/>
          <w:szCs w:val="18"/>
          <w:color w:val="auto"/>
        </w:rPr>
        <w:t xml:space="preserve"> </w:t>
      </w:r>
      <w:r>
        <w:rPr>
          <w:rFonts w:ascii="Arial" w:cs="Arial" w:eastAsia="Arial" w:hAnsi="Arial"/>
          <w:sz w:val="18"/>
          <w:szCs w:val="18"/>
          <w:b w:val="1"/>
          <w:bCs w:val="1"/>
          <w:color w:val="auto"/>
        </w:rPr>
        <w:t>to resolve any such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1275080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3" w:name="page124"/>
    <w:bookmarkEnd w:id="123"/>
    <w:p>
      <w:pPr>
        <w:jc w:val="both"/>
        <w:spacing w:after="0" w:line="236" w:lineRule="auto"/>
        <w:rPr>
          <w:sz w:val="20"/>
          <w:szCs w:val="20"/>
          <w:color w:val="auto"/>
        </w:rPr>
      </w:pPr>
      <w:r>
        <w:rPr>
          <w:rFonts w:ascii="Arial" w:cs="Arial" w:eastAsia="Arial" w:hAnsi="Arial"/>
          <w:sz w:val="18"/>
          <w:szCs w:val="18"/>
          <w:b w:val="1"/>
          <w:bCs w:val="1"/>
          <w:color w:val="auto"/>
        </w:rPr>
        <w:t>through a trial by jury or judge or administrative proceeding</w:t>
      </w:r>
      <w:r>
        <w:rPr>
          <w:rFonts w:ascii="Arial" w:cs="Arial" w:eastAsia="Arial" w:hAnsi="Arial"/>
          <w:sz w:val="18"/>
          <w:szCs w:val="18"/>
          <w:color w:val="auto"/>
        </w:rPr>
        <w:t>. In addition, all claims, disputes, or causes of action under this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law(s) to be submitted to mandatory arbitration and the applicable law(s) are not preempted by the Federal Arbitration Act or otherwise invalid (collectively, the "</w:t>
      </w:r>
      <w:r>
        <w:rPr>
          <w:rFonts w:ascii="Arial" w:cs="Arial" w:eastAsia="Arial" w:hAnsi="Arial"/>
          <w:sz w:val="18"/>
          <w:szCs w:val="18"/>
          <w:b w:val="1"/>
          <w:bCs w:val="1"/>
          <w:i w:val="1"/>
          <w:iCs w:val="1"/>
          <w:color w:val="auto"/>
        </w:rPr>
        <w:t>Excluded Claims</w:t>
      </w:r>
      <w:r>
        <w:rPr>
          <w:rFonts w:ascii="Arial" w:cs="Arial" w:eastAsia="Arial" w:hAnsi="Arial"/>
          <w:sz w:val="18"/>
          <w:szCs w:val="18"/>
          <w:color w:val="auto"/>
        </w:rPr>
        <w:t xml:space="preserve">"). In the event you intend to bring multiple claims, including one of the Excluded Claims listed above, the Excluded Claims may be filed with a court, while any other claims will remain subject to mandatory arbitration. You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w:t>
      </w:r>
      <w:r>
        <w:rPr>
          <w:rFonts w:ascii="Arial" w:cs="Arial" w:eastAsia="Arial" w:hAnsi="Arial"/>
          <w:sz w:val="18"/>
          <w:szCs w:val="18"/>
          <w:color w:val="181818"/>
        </w:rPr>
        <w:t>Amended Offer Letter</w:t>
      </w:r>
      <w:r>
        <w:rPr>
          <w:rFonts w:ascii="Arial" w:cs="Arial" w:eastAsia="Arial" w:hAnsi="Arial"/>
          <w:sz w:val="18"/>
          <w:szCs w:val="18"/>
          <w:color w:val="auto"/>
        </w:rPr>
        <w:t xml:space="preserve">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9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Amended Offer Letter, together with your employee Proprietary Information and Inventions Agreement, forms the complete and exclusive statement of your employment agreement with the Company. It supersedes any other agreements or promises made to you by anyone, whether oral or written</w:t>
      </w:r>
      <w:r>
        <w:rPr>
          <w:rFonts w:ascii="Arial" w:cs="Arial" w:eastAsia="Arial" w:hAnsi="Arial"/>
          <w:sz w:val="18"/>
          <w:szCs w:val="18"/>
          <w:color w:val="181818"/>
        </w:rPr>
        <w:t>, including without limitation the Offer Letter</w:t>
      </w:r>
      <w:r>
        <w:rPr>
          <w:rFonts w:ascii="Arial" w:cs="Arial" w:eastAsia="Arial" w:hAnsi="Arial"/>
          <w:sz w:val="18"/>
          <w:szCs w:val="18"/>
          <w:color w:val="auto"/>
        </w:rPr>
        <w:t xml:space="preserve">. Changes in your employment terms, other than those changes expressly reserved to the Company's discretion in this </w:t>
      </w:r>
      <w:r>
        <w:rPr>
          <w:rFonts w:ascii="Arial" w:cs="Arial" w:eastAsia="Arial" w:hAnsi="Arial"/>
          <w:sz w:val="18"/>
          <w:szCs w:val="18"/>
          <w:color w:val="181818"/>
        </w:rPr>
        <w:t>Amended Offer Letter</w:t>
      </w:r>
      <w:r>
        <w:rPr>
          <w:rFonts w:ascii="Arial" w:cs="Arial" w:eastAsia="Arial" w:hAnsi="Arial"/>
          <w:sz w:val="18"/>
          <w:szCs w:val="18"/>
          <w:color w:val="auto"/>
        </w:rPr>
        <w:t xml:space="preserve">, require a written modification signed by an officer of the Company. If any provision of this </w:t>
      </w:r>
      <w:r>
        <w:rPr>
          <w:rFonts w:ascii="Arial" w:cs="Arial" w:eastAsia="Arial" w:hAnsi="Arial"/>
          <w:sz w:val="18"/>
          <w:szCs w:val="18"/>
          <w:color w:val="181818"/>
        </w:rPr>
        <w:t>Amended Offer Letter</w:t>
      </w:r>
      <w:r>
        <w:rPr>
          <w:rFonts w:ascii="Arial" w:cs="Arial" w:eastAsia="Arial" w:hAnsi="Arial"/>
          <w:sz w:val="18"/>
          <w:szCs w:val="18"/>
          <w:color w:val="auto"/>
        </w:rPr>
        <w:t xml:space="preserve"> is determined to be invalid or unenforceable, in whole or in part, this determination shall not affect any other provision of this </w:t>
      </w:r>
      <w:r>
        <w:rPr>
          <w:rFonts w:ascii="Arial" w:cs="Arial" w:eastAsia="Arial" w:hAnsi="Arial"/>
          <w:sz w:val="18"/>
          <w:szCs w:val="18"/>
          <w:color w:val="181818"/>
        </w:rPr>
        <w:t>Amended Offer Letter</w:t>
      </w:r>
      <w:r>
        <w:rPr>
          <w:rFonts w:ascii="Arial" w:cs="Arial" w:eastAsia="Arial" w:hAnsi="Arial"/>
          <w:sz w:val="18"/>
          <w:szCs w:val="18"/>
          <w:color w:val="auto"/>
        </w:rPr>
        <w:t xml:space="preserve"> and the provision in question shall be modified so as to be rendered enforceable in a manner consistent with the intent of the parties insofar as possible under applicable law. This </w:t>
      </w:r>
      <w:r>
        <w:rPr>
          <w:rFonts w:ascii="Arial" w:cs="Arial" w:eastAsia="Arial" w:hAnsi="Arial"/>
          <w:sz w:val="18"/>
          <w:szCs w:val="18"/>
          <w:color w:val="181818"/>
        </w:rPr>
        <w:t>Amended Offer Letter</w:t>
      </w:r>
      <w:r>
        <w:rPr>
          <w:rFonts w:ascii="Arial" w:cs="Arial" w:eastAsia="Arial" w:hAnsi="Arial"/>
          <w:sz w:val="18"/>
          <w:szCs w:val="18"/>
          <w:color w:val="auto"/>
        </w:rPr>
        <w:t xml:space="preserve">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180" w:lineRule="exact"/>
        <w:rPr>
          <w:sz w:val="20"/>
          <w:szCs w:val="20"/>
          <w:color w:val="auto"/>
        </w:rPr>
      </w:pPr>
    </w:p>
    <w:p>
      <w:pPr>
        <w:jc w:val="center"/>
        <w:spacing w:after="0"/>
        <w:tabs>
          <w:tab w:leader="none" w:pos="300" w:val="left"/>
          <w:tab w:leader="none" w:pos="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1299210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4" w:name="page125"/>
    <w:bookmarkEnd w:id="124"/>
    <w:p>
      <w:pPr>
        <w:spacing w:after="0" w:line="19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1A1A1A"/>
        </w:rPr>
        <w:t xml:space="preserve">If you wish to accept the amended terms of your employment at the Company under the terms described above, please sign and date this </w:t>
      </w:r>
      <w:r>
        <w:rPr>
          <w:rFonts w:ascii="Arial" w:cs="Arial" w:eastAsia="Arial" w:hAnsi="Arial"/>
          <w:sz w:val="18"/>
          <w:szCs w:val="18"/>
          <w:color w:val="181818"/>
        </w:rPr>
        <w:t xml:space="preserve">Amended Offer Letter </w:t>
      </w:r>
      <w:r>
        <w:rPr>
          <w:rFonts w:ascii="Arial" w:cs="Arial" w:eastAsia="Arial" w:hAnsi="Arial"/>
          <w:sz w:val="18"/>
          <w:szCs w:val="18"/>
          <w:color w:val="1A1A1A"/>
        </w:rPr>
        <w:t>and return it to me no later than August 11, 2025.</w:t>
      </w:r>
    </w:p>
    <w:p>
      <w:pPr>
        <w:spacing w:after="0" w:line="15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8890</wp:posOffset>
            </wp:positionV>
            <wp:extent cx="365188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6">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Nicholas Maestas</w:t>
      </w:r>
    </w:p>
    <w:p>
      <w:pPr>
        <w:ind w:left="4600"/>
        <w:spacing w:after="0"/>
        <w:rPr>
          <w:sz w:val="20"/>
          <w:szCs w:val="20"/>
          <w:color w:val="auto"/>
        </w:rPr>
      </w:pPr>
      <w:r>
        <w:rPr>
          <w:rFonts w:ascii="Arial" w:cs="Arial" w:eastAsia="Arial" w:hAnsi="Arial"/>
          <w:sz w:val="18"/>
          <w:szCs w:val="18"/>
          <w:color w:val="auto"/>
        </w:rPr>
        <w:t>Chief Financial Officer and Head of Strategy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Understood and Accepted:</w:t>
            </w:r>
          </w:p>
        </w:tc>
        <w:tc>
          <w:tcPr>
            <w:tcW w:w="13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380"/>
        </w:trPr>
        <w:tc>
          <w:tcPr>
            <w:tcW w:w="10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/s/ Justin Trojanowski</w:t>
            </w:r>
          </w:p>
        </w:tc>
        <w:tc>
          <w:tcPr>
            <w:tcW w:w="5880" w:type="dxa"/>
            <w:vAlign w:val="bottom"/>
            <w:gridSpan w:val="2"/>
          </w:tcPr>
          <w:p>
            <w:pPr>
              <w:spacing w:after="0"/>
              <w:rPr>
                <w:sz w:val="20"/>
                <w:szCs w:val="20"/>
                <w:color w:val="auto"/>
              </w:rPr>
            </w:pPr>
            <w:r>
              <w:rPr>
                <w:rFonts w:ascii="Arial" w:cs="Arial" w:eastAsia="Arial" w:hAnsi="Arial"/>
                <w:sz w:val="18"/>
                <w:szCs w:val="18"/>
                <w:color w:val="auto"/>
              </w:rPr>
              <w:t>August 11, 2025</w:t>
            </w:r>
          </w:p>
        </w:tc>
      </w:tr>
      <w:tr>
        <w:trPr>
          <w:trHeight w:val="226"/>
        </w:trPr>
        <w:tc>
          <w:tcPr>
            <w:tcW w:w="100" w:type="dxa"/>
            <w:vAlign w:val="bottom"/>
          </w:tcPr>
          <w:p>
            <w:pPr>
              <w:spacing w:after="0"/>
              <w:rPr>
                <w:sz w:val="19"/>
                <w:szCs w:val="19"/>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Justin Trojanowski</w:t>
            </w:r>
          </w:p>
        </w:tc>
        <w:tc>
          <w:tcPr>
            <w:tcW w:w="3260" w:type="dxa"/>
            <w:vAlign w:val="bottom"/>
          </w:tcPr>
          <w:p>
            <w:pPr>
              <w:spacing w:after="0"/>
              <w:rPr>
                <w:sz w:val="19"/>
                <w:szCs w:val="19"/>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580" w:type="dxa"/>
            <w:vAlign w:val="bottom"/>
          </w:tcPr>
          <w:p>
            <w:pPr>
              <w:spacing w:after="0"/>
              <w:rPr>
                <w:sz w:val="19"/>
                <w:szCs w:val="19"/>
                <w:color w:val="auto"/>
              </w:rPr>
            </w:pPr>
          </w:p>
        </w:tc>
      </w:tr>
      <w:tr>
        <w:trPr>
          <w:trHeight w:val="2671"/>
        </w:trPr>
        <w:tc>
          <w:tcPr>
            <w:tcW w:w="1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Brady, certify that:</w:t>
      </w:r>
    </w:p>
    <w:p>
      <w:pPr>
        <w:spacing w:after="0" w:line="225" w:lineRule="exact"/>
        <w:rPr>
          <w:sz w:val="20"/>
          <w:szCs w:val="20"/>
          <w:color w:val="auto"/>
        </w:rPr>
      </w:pPr>
    </w:p>
    <w:p>
      <w:pPr>
        <w:ind w:left="380" w:hanging="372"/>
        <w:spacing w:after="0"/>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Tempest Therapeutics,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25" w:lineRule="exact"/>
        <w:rPr>
          <w:sz w:val="20"/>
          <w:szCs w:val="20"/>
          <w:color w:val="auto"/>
        </w:rPr>
      </w:pPr>
    </w:p>
    <w:p>
      <w:pPr>
        <w:ind w:left="6980"/>
        <w:spacing w:after="0"/>
        <w:tabs>
          <w:tab w:leader="none" w:pos="7420" w:val="left"/>
        </w:tabs>
        <w:rPr>
          <w:sz w:val="20"/>
          <w:szCs w:val="20"/>
          <w:color w:val="auto"/>
        </w:rPr>
      </w:pPr>
      <w:r>
        <w:rPr>
          <w:rFonts w:ascii="Times New Roman" w:cs="Times New Roman" w:eastAsia="Times New Roman" w:hAnsi="Times New Roman"/>
          <w:sz w:val="18"/>
          <w:szCs w:val="18"/>
          <w:color w:val="auto"/>
        </w:rPr>
        <w:t>By:</w:t>
        <w:tab/>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9">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Stephen Brady</w:t>
      </w:r>
    </w:p>
    <w:p>
      <w:pPr>
        <w:spacing w:after="0" w:line="2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Executive Officer &amp; President (Principal</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Nicholas Maestas, certify that:</w:t>
      </w:r>
    </w:p>
    <w:p>
      <w:pPr>
        <w:spacing w:after="0" w:line="225" w:lineRule="exact"/>
        <w:rPr>
          <w:sz w:val="20"/>
          <w:szCs w:val="20"/>
          <w:color w:val="auto"/>
        </w:rPr>
      </w:pPr>
    </w:p>
    <w:p>
      <w:pPr>
        <w:ind w:left="380" w:hanging="372"/>
        <w:spacing w:after="0"/>
        <w:tabs>
          <w:tab w:leader="none" w:pos="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Tempest Therapeutics,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25" w:lineRule="exact"/>
        <w:rPr>
          <w:sz w:val="20"/>
          <w:szCs w:val="20"/>
          <w:color w:val="auto"/>
        </w:rPr>
      </w:pPr>
    </w:p>
    <w:p>
      <w:pPr>
        <w:ind w:left="6980"/>
        <w:spacing w:after="0"/>
        <w:tabs>
          <w:tab w:leader="none" w:pos="7420" w:val="left"/>
        </w:tabs>
        <w:rPr>
          <w:sz w:val="20"/>
          <w:szCs w:val="20"/>
          <w:color w:val="auto"/>
        </w:rPr>
      </w:pPr>
      <w:r>
        <w:rPr>
          <w:rFonts w:ascii="Times New Roman" w:cs="Times New Roman" w:eastAsia="Times New Roman" w:hAnsi="Times New Roman"/>
          <w:sz w:val="18"/>
          <w:szCs w:val="18"/>
          <w:color w:val="auto"/>
        </w:rPr>
        <w:t>By:</w:t>
        <w:tab/>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2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Financial  Officer  &amp;  Head  of  Corporate</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Strategy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Stephen Brady, Chief Executive Officer of Tempest Therapeutics, Inc. (the “Company”), and Nicholas Maestas, Chief Financial Officer &amp; Head of Corporate Strategy, of the Company, each hereby certifies that, to the best of his or her knowledge:</w:t>
      </w:r>
    </w:p>
    <w:p>
      <w:pPr>
        <w:spacing w:after="0" w:line="180" w:lineRule="exact"/>
        <w:rPr>
          <w:sz w:val="20"/>
          <w:szCs w:val="20"/>
          <w:color w:val="auto"/>
        </w:rPr>
      </w:pPr>
    </w:p>
    <w:p>
      <w:pPr>
        <w:ind w:left="380" w:hanging="372"/>
        <w:spacing w:after="0" w:line="282" w:lineRule="auto"/>
        <w:tabs>
          <w:tab w:leader="none" w:pos="3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2025, to which this Certification is attached as Exhibit 32.1 (the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right="400" w:firstLine="8"/>
        <w:spacing w:after="0" w:line="532" w:lineRule="auto"/>
        <w:tabs>
          <w:tab w:leader="none" w:pos="37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August 11, 2025</w:t>
      </w: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 Stephen Brady</w:t>
            </w:r>
          </w:p>
        </w:tc>
        <w:tc>
          <w:tcPr>
            <w:tcW w:w="32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 Nicholas Maestas</w:t>
            </w:r>
          </w:p>
        </w:tc>
      </w:tr>
      <w:tr>
        <w:trPr>
          <w:trHeight w:val="27"/>
        </w:trPr>
        <w:tc>
          <w:tcPr>
            <w:tcW w:w="4140" w:type="dxa"/>
            <w:vAlign w:val="bottom"/>
            <w:tcBorders>
              <w:bottom w:val="single" w:sz="8" w:color="auto"/>
            </w:tcBorders>
          </w:tcPr>
          <w:p>
            <w:pPr>
              <w:spacing w:after="0"/>
              <w:rPr>
                <w:sz w:val="2"/>
                <w:szCs w:val="2"/>
                <w:color w:val="auto"/>
              </w:rPr>
            </w:pPr>
          </w:p>
        </w:tc>
        <w:tc>
          <w:tcPr>
            <w:tcW w:w="324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6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Stephen Brady</w:t>
            </w:r>
          </w:p>
        </w:tc>
        <w:tc>
          <w:tcPr>
            <w:tcW w:w="3240" w:type="dxa"/>
            <w:vAlign w:val="bottom"/>
          </w:tcPr>
          <w:p>
            <w:pPr>
              <w:spacing w:after="0"/>
              <w:rPr>
                <w:sz w:val="22"/>
                <w:szCs w:val="22"/>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Nicholas Maestas</w:t>
            </w:r>
          </w:p>
        </w:tc>
      </w:tr>
      <w:tr>
        <w:trPr>
          <w:trHeight w:val="225"/>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 (Principal</w:t>
            </w:r>
          </w:p>
        </w:tc>
        <w:tc>
          <w:tcPr>
            <w:tcW w:w="324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&amp;  Head  of  Corporate</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32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Strategy (Principal Financial Officer)</w:t>
            </w: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8" w:name="page129"/>
    <w:bookmarkEnd w:id="1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1)"/>
      <w:numFmt w:val="decimal"/>
      <w:start w:val="1"/>
    </w:lvl>
  </w:abstractNum>
  <w:abstractNum w:abstractNumId="5">
    <w:nsid w:val="6A2342EC"/>
    <w:multiLevelType w:val="hybridMultilevel"/>
    <w:lvl w:ilvl="0">
      <w:lvlJc w:val="left"/>
      <w:lvlText w:val="(%1)"/>
      <w:numFmt w:val="decimal"/>
      <w:start w:val="1"/>
    </w:lvl>
  </w:abstractNum>
  <w:abstractNum w:abstractNumId="6">
    <w:nsid w:val="2A487CB0"/>
    <w:multiLevelType w:val="hybridMultilevel"/>
    <w:lvl w:ilvl="0">
      <w:lvlJc w:val="left"/>
      <w:lvlText w:val="(%1)"/>
      <w:numFmt w:val="decimal"/>
      <w:start w:val="1"/>
    </w:lvl>
  </w:abstractNum>
  <w:abstractNum w:abstractNumId="7">
    <w:nsid w:val="1D4ED43B"/>
    <w:multiLevelType w:val="hybridMultilevel"/>
    <w:lvl w:ilvl="0">
      <w:lvlJc w:val="left"/>
      <w:lvlText w:val="%1."/>
      <w:numFmt w:val="decimal"/>
      <w:start w:val="5"/>
    </w:lvl>
  </w:abstractNum>
  <w:abstractNum w:abstractNumId="8">
    <w:nsid w:val="725A06FB"/>
    <w:multiLevelType w:val="hybridMultilevel"/>
    <w:lvl w:ilvl="0">
      <w:lvlJc w:val="left"/>
      <w:lvlText w:val="(%1)"/>
      <w:numFmt w:val="lowerRoman"/>
      <w:start w:val="1"/>
    </w:lvl>
  </w:abstractNum>
  <w:abstractNum w:abstractNumId="9">
    <w:nsid w:val="2CD89A32"/>
    <w:multiLevelType w:val="hybridMultilevel"/>
    <w:lvl w:ilvl="0">
      <w:lvlJc w:val="left"/>
      <w:lvlText w:val="%1."/>
      <w:numFmt w:val="decimal"/>
      <w:start w:val="7"/>
    </w:lvl>
  </w:abstractNum>
  <w:abstractNum w:abstractNumId="10">
    <w:nsid w:val="57E4CCAF"/>
    <w:multiLevelType w:val="hybridMultilevel"/>
    <w:lvl w:ilvl="0">
      <w:lvlJc w:val="left"/>
      <w:lvlText w:val="%1."/>
      <w:numFmt w:val="decimal"/>
      <w:start w:val="8"/>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1."/>
      <w:numFmt w:val="decimal"/>
      <w:start w:val="1"/>
    </w:lvl>
  </w:abstractNum>
  <w:abstractNum w:abstractNumId="43">
    <w:nsid w:val="3F6AB60F"/>
    <w:multiLevelType w:val="hybridMultilevel"/>
    <w:lvl w:ilvl="0">
      <w:lvlJc w:val="left"/>
      <w:lvlText w:val="(%1)"/>
      <w:numFmt w:val="lowerLetter"/>
      <w:start w:val="3"/>
    </w:lvl>
  </w:abstractNum>
  <w:abstractNum w:abstractNumId="44">
    <w:nsid w:val="61574095"/>
    <w:multiLevelType w:val="hybridMultilevel"/>
    <w:lvl w:ilvl="0">
      <w:lvlJc w:val="left"/>
      <w:lvlText w:val="(%1)"/>
      <w:numFmt w:val="lowerLetter"/>
      <w:start w:val="1"/>
    </w:lvl>
  </w:abstractNum>
  <w:abstractNum w:abstractNumId="45">
    <w:nsid w:val="7E0C57B1"/>
    <w:multiLevelType w:val="hybridMultilevel"/>
    <w:lvl w:ilvl="0">
      <w:lvlJc w:val="left"/>
      <w:lvlText w:val="(%1)"/>
      <w:numFmt w:val="lowerLetter"/>
      <w:start w:val="1"/>
    </w:lvl>
  </w:abstractNum>
  <w:abstractNum w:abstractNumId="46">
    <w:nsid w:val="77AE35EB"/>
    <w:multiLevelType w:val="hybridMultilevel"/>
    <w:lvl w:ilvl="0">
      <w:lvlJc w:val="left"/>
      <w:lvlText w:val="(%1)"/>
      <w:numFmt w:val="lowerLetter"/>
      <w:start w:val="1"/>
    </w:lvl>
  </w:abstractNum>
  <w:abstractNum w:abstractNumId="47">
    <w:nsid w:val="579BE4F1"/>
    <w:multiLevelType w:val="hybridMultilevel"/>
    <w:lvl w:ilvl="0">
      <w:lvlJc w:val="left"/>
      <w:lvlText w:val="(%1)"/>
      <w:numFmt w:val="lowerLetter"/>
      <w:start w:val="2"/>
    </w:lvl>
  </w:abstractNum>
  <w:abstractNum w:abstractNumId="48">
    <w:nsid w:val="310C50B3"/>
    <w:multiLevelType w:val="hybridMultilevel"/>
    <w:lvl w:ilvl="0">
      <w:lvlJc w:val="left"/>
      <w:lvlText w:val="%1."/>
      <w:numFmt w:val="decimal"/>
      <w:start w:val="8"/>
    </w:lvl>
  </w:abstractNum>
  <w:abstractNum w:abstractNumId="49">
    <w:nsid w:val="5FF87E05"/>
    <w:multiLevelType w:val="hybridMultilevel"/>
    <w:lvl w:ilvl="0">
      <w:lvlJc w:val="left"/>
      <w:lvlText w:val="%1."/>
      <w:numFmt w:val="decimal"/>
      <w:start w:val="1"/>
    </w:lvl>
    <w:lvl w:ilvl="1">
      <w:lvlJc w:val="left"/>
      <w:lvlText w:val="(%2)"/>
      <w:numFmt w:val="lowerLetter"/>
      <w:start w:val="1"/>
    </w:lvl>
  </w:abstractNum>
  <w:abstractNum w:abstractNumId="50">
    <w:nsid w:val="2F305DEF"/>
    <w:multiLevelType w:val="hybridMultilevel"/>
    <w:lvl w:ilvl="0">
      <w:lvlJc w:val="left"/>
      <w:lvlText w:val="%1"/>
      <w:numFmt w:val="decimal"/>
      <w:start w:val="1"/>
    </w:lvl>
    <w:lvl w:ilvl="1">
      <w:lvlJc w:val="left"/>
      <w:lvlText w:val="(%2)"/>
      <w:numFmt w:val="lowerLetter"/>
      <w:start w:val="3"/>
    </w:lvl>
  </w:abstractNum>
  <w:abstractNum w:abstractNumId="51">
    <w:nsid w:val="25A70BF7"/>
    <w:multiLevelType w:val="hybridMultilevel"/>
    <w:lvl w:ilvl="0">
      <w:lvlJc w:val="left"/>
      <w:lvlText w:val="%1."/>
      <w:numFmt w:val="decimal"/>
      <w:start w:val="4"/>
    </w:lvl>
    <w:lvl w:ilvl="1">
      <w:lvlJc w:val="left"/>
      <w:lvlText w:val="%2"/>
      <w:numFmt w:val="lowerLetter"/>
      <w:start w:val="1"/>
    </w:lvl>
  </w:abstractNum>
  <w:abstractNum w:abstractNumId="52">
    <w:nsid w:val="1DBABF00"/>
    <w:multiLevelType w:val="hybridMultilevel"/>
    <w:lvl w:ilvl="0">
      <w:lvlJc w:val="left"/>
      <w:lvlText w:val="%1."/>
      <w:numFmt w:val="decimal"/>
      <w:start w:val="6"/>
    </w:lvl>
  </w:abstractNum>
  <w:abstractNum w:abstractNumId="53">
    <w:nsid w:val="4AD084E9"/>
    <w:multiLevelType w:val="hybridMultilevel"/>
    <w:lvl w:ilvl="0">
      <w:lvlJc w:val="left"/>
      <w:lvlText w:val="%1"/>
      <w:numFmt w:val="decimal"/>
      <w:start w:val="1"/>
    </w:lvl>
    <w:lvl w:ilvl="1">
      <w:lvlJc w:val="left"/>
      <w:lvlText w:val="(%2)"/>
      <w:numFmt w:val="lowerLetter"/>
      <w:start w:val="1"/>
    </w:lvl>
  </w:abstractNum>
  <w:abstractNum w:abstractNumId="54">
    <w:nsid w:val="1F48EAA1"/>
    <w:multiLevelType w:val="hybridMultilevel"/>
    <w:lvl w:ilvl="0">
      <w:lvlJc w:val="left"/>
      <w:lvlText w:val="(%1)"/>
      <w:numFmt w:val="decimal"/>
      <w:start w:val="45"/>
    </w:lvl>
    <w:lvl w:ilvl="1">
      <w:lvlJc w:val="left"/>
      <w:lvlText w:val="%2"/>
      <w:numFmt w:val="lowerLetter"/>
      <w:start w:val="1"/>
    </w:lvl>
  </w:abstractNum>
  <w:abstractNum w:abstractNumId="55">
    <w:nsid w:val="1381823A"/>
    <w:multiLevelType w:val="hybridMultilevel"/>
    <w:lvl w:ilvl="0">
      <w:lvlJc w:val="left"/>
      <w:lvlText w:val="(%1)"/>
      <w:numFmt w:val="lowerLetter"/>
      <w:start w:val="4"/>
    </w:lvl>
  </w:abstractNum>
  <w:abstractNum w:abstractNumId="56">
    <w:nsid w:val="5DB70AE5"/>
    <w:multiLevelType w:val="hybridMultilevel"/>
    <w:lvl w:ilvl="0">
      <w:lvlJc w:val="left"/>
      <w:lvlText w:val="%1."/>
      <w:numFmt w:val="decimal"/>
      <w:start w:val="1"/>
    </w:lvl>
    <w:lvl w:ilvl="1">
      <w:lvlJc w:val="left"/>
      <w:lvlText w:val="(%2)"/>
      <w:numFmt w:val="lowerLetter"/>
      <w:start w:val="1"/>
    </w:lvl>
  </w:abstractNum>
  <w:abstractNum w:abstractNumId="57">
    <w:nsid w:val="100F8FCA"/>
    <w:multiLevelType w:val="hybridMultilevel"/>
    <w:lvl w:ilvl="0">
      <w:lvlJc w:val="left"/>
      <w:lvlText w:val="%1"/>
      <w:numFmt w:val="decimal"/>
      <w:start w:val="1"/>
    </w:lvl>
    <w:lvl w:ilvl="1">
      <w:lvlJc w:val="left"/>
      <w:lvlText w:val="(%2)"/>
      <w:numFmt w:val="lowerLetter"/>
      <w:start w:val="3"/>
    </w:lvl>
  </w:abstractNum>
  <w:abstractNum w:abstractNumId="58">
    <w:nsid w:val="6590700B"/>
    <w:multiLevelType w:val="hybridMultilevel"/>
    <w:lvl w:ilvl="0">
      <w:lvlJc w:val="left"/>
      <w:lvlText w:val="%1."/>
      <w:numFmt w:val="decimal"/>
      <w:start w:val="4"/>
    </w:lvl>
    <w:lvl w:ilvl="1">
      <w:lvlJc w:val="left"/>
      <w:lvlText w:val="%2"/>
      <w:numFmt w:val="lowerLetter"/>
      <w:start w:val="1"/>
    </w:lvl>
  </w:abstractNum>
  <w:abstractNum w:abstractNumId="59">
    <w:nsid w:val="15014ACB"/>
    <w:multiLevelType w:val="hybridMultilevel"/>
    <w:lvl w:ilvl="0">
      <w:lvlJc w:val="left"/>
      <w:lvlText w:val="%1."/>
      <w:numFmt w:val="decimal"/>
      <w:start w:val="8"/>
    </w:lvl>
  </w:abstractNum>
  <w:abstractNum w:abstractNumId="60">
    <w:nsid w:val="5F5E7FD0"/>
    <w:multiLevelType w:val="hybridMultilevel"/>
    <w:lvl w:ilvl="0">
      <w:lvlJc w:val="left"/>
      <w:lvlText w:val="(%1)"/>
      <w:numFmt w:val="lowerLetter"/>
      <w:start w:val="1"/>
    </w:lvl>
  </w:abstractNum>
  <w:abstractNum w:abstractNumId="61">
    <w:nsid w:val="98A3148"/>
    <w:multiLevelType w:val="hybridMultilevel"/>
    <w:lvl w:ilvl="0">
      <w:lvlJc w:val="left"/>
      <w:lvlText w:val="%1"/>
      <w:numFmt w:val="decimal"/>
      <w:start w:val="1"/>
    </w:lvl>
    <w:lvl w:ilvl="1">
      <w:lvlJc w:val="left"/>
      <w:lvlText w:val="(%2)"/>
      <w:numFmt w:val="lowerLetter"/>
      <w:start w:val="3"/>
    </w:lvl>
  </w:abstractNum>
  <w:abstractNum w:abstractNumId="62">
    <w:nsid w:val="799D0247"/>
    <w:multiLevelType w:val="hybridMultilevel"/>
    <w:lvl w:ilvl="0">
      <w:lvlJc w:val="left"/>
      <w:lvlText w:val="(%1)"/>
      <w:numFmt w:val="decimal"/>
      <w:start w:val="45"/>
    </w:lvl>
    <w:lvl w:ilvl="1">
      <w:lvlJc w:val="left"/>
      <w:lvlText w:val="(%2)"/>
      <w:numFmt w:val="lowerLetter"/>
      <w:start w:val="4"/>
    </w:lvl>
  </w:abstractNum>
  <w:abstractNum w:abstractNumId="63">
    <w:nsid w:val="6B94764"/>
    <w:multiLevelType w:val="hybridMultilevel"/>
    <w:lvl w:ilvl="0">
      <w:lvlJc w:val="left"/>
      <w:lvlText w:val="(%1)"/>
      <w:numFmt w:val="lowerLetter"/>
      <w:start w:val="6"/>
    </w:lvl>
  </w:abstractNum>
  <w:abstractNum w:abstractNumId="64">
    <w:nsid w:val="42C296BD"/>
    <w:multiLevelType w:val="hybridMultilevel"/>
    <w:lvl w:ilvl="0">
      <w:lvlJc w:val="left"/>
      <w:lvlText w:val="%1."/>
      <w:numFmt w:val="decimal"/>
      <w:start w:val="1"/>
    </w:lvl>
    <w:lvl w:ilvl="1">
      <w:lvlJc w:val="left"/>
      <w:lvlText w:val="(%2)"/>
      <w:numFmt w:val="lowerLetter"/>
      <w:start w:val="1"/>
    </w:lvl>
  </w:abstractNum>
  <w:abstractNum w:abstractNumId="65">
    <w:nsid w:val="168E121F"/>
    <w:multiLevelType w:val="hybridMultilevel"/>
    <w:lvl w:ilvl="0">
      <w:lvlJc w:val="left"/>
      <w:lvlText w:val="%1"/>
      <w:numFmt w:val="decimal"/>
      <w:start w:val="1"/>
    </w:lvl>
    <w:lvl w:ilvl="1">
      <w:lvlJc w:val="left"/>
      <w:lvlText w:val="(%2)"/>
      <w:numFmt w:val="lowerLetter"/>
      <w:start w:val="3"/>
    </w:lvl>
  </w:abstractNum>
  <w:abstractNum w:abstractNumId="66">
    <w:nsid w:val="1EBA5D23"/>
    <w:multiLevelType w:val="hybridMultilevel"/>
    <w:lvl w:ilvl="0">
      <w:lvlJc w:val="left"/>
      <w:lvlText w:val="%1."/>
      <w:numFmt w:val="decimal"/>
      <w:start w:val="4"/>
    </w:lvl>
    <w:lvl w:ilvl="1">
      <w:lvlJc w:val="left"/>
      <w:lvlText w:val="%2"/>
      <w:numFmt w:val="lowerLetter"/>
      <w:start w:val="1"/>
    </w:lvl>
  </w:abstractNum>
  <w:abstractNum w:abstractNumId="67">
    <w:nsid w:val="661E3F1E"/>
    <w:multiLevelType w:val="hybridMultilevel"/>
    <w:lvl w:ilvl="0">
      <w:lvlJc w:val="left"/>
      <w:lvlText w:val="%1."/>
      <w:numFmt w:val="decimal"/>
      <w:start w:val="6"/>
    </w:lvl>
  </w:abstractNum>
  <w:abstractNum w:abstractNumId="68">
    <w:nsid w:val="5DC79EA8"/>
    <w:multiLevelType w:val="hybridMultilevel"/>
    <w:lvl w:ilvl="0">
      <w:lvlJc w:val="left"/>
      <w:lvlText w:val="%1"/>
      <w:numFmt w:val="decimal"/>
      <w:start w:val="1"/>
    </w:lvl>
    <w:lvl w:ilvl="1">
      <w:lvlJc w:val="left"/>
      <w:lvlText w:val="(%2)"/>
      <w:numFmt w:val="lowerLetter"/>
      <w:start w:val="1"/>
    </w:lvl>
  </w:abstractNum>
  <w:abstractNum w:abstractNumId="69">
    <w:nsid w:val="540A471C"/>
    <w:multiLevelType w:val="hybridMultilevel"/>
    <w:lvl w:ilvl="0">
      <w:lvlJc w:val="left"/>
      <w:lvlText w:val="(%1)"/>
      <w:numFmt w:val="decimal"/>
      <w:start w:val="45"/>
    </w:lvl>
    <w:lvl w:ilvl="1">
      <w:lvlJc w:val="left"/>
      <w:lvlText w:val="%2"/>
      <w:numFmt w:val="lowerLetter"/>
      <w:start w:val="1"/>
    </w:lvl>
  </w:abstractNum>
  <w:abstractNum w:abstractNumId="70">
    <w:nsid w:val="7BD3EE7B"/>
    <w:multiLevelType w:val="hybridMultilevel"/>
    <w:lvl w:ilvl="0">
      <w:lvlJc w:val="left"/>
      <w:lvlText w:val="(%1)"/>
      <w:numFmt w:val="lowerLetter"/>
      <w:start w:val="4"/>
    </w:lvl>
  </w:abstractNum>
  <w:abstractNum w:abstractNumId="71">
    <w:nsid w:val="51D9C564"/>
    <w:multiLevelType w:val="hybridMultilevel"/>
    <w:lvl w:ilvl="0">
      <w:lvlJc w:val="left"/>
      <w:lvlText w:val="%1."/>
      <w:numFmt w:val="decimal"/>
      <w:start w:val="1"/>
    </w:lvl>
    <w:lvl w:ilvl="1">
      <w:lvlJc w:val="left"/>
      <w:lvlText w:val="(%2)"/>
      <w:numFmt w:val="lowerLetter"/>
      <w:start w:val="1"/>
    </w:lvl>
  </w:abstractNum>
  <w:abstractNum w:abstractNumId="72">
    <w:nsid w:val="613EFDC5"/>
    <w:multiLevelType w:val="hybridMultilevel"/>
    <w:lvl w:ilvl="0">
      <w:lvlJc w:val="left"/>
      <w:lvlText w:val="%1."/>
      <w:numFmt w:val="decimal"/>
      <w:start w:val="6"/>
    </w:lvl>
  </w:abstractNum>
  <w:abstractNum w:abstractNumId="73">
    <w:nsid w:val="BF72B14"/>
    <w:multiLevelType w:val="hybridMultilevel"/>
    <w:lvl w:ilvl="0">
      <w:lvlJc w:val="left"/>
      <w:lvlText w:val="%1."/>
      <w:numFmt w:val="decimal"/>
      <w:start w:val="15"/>
    </w:lvl>
  </w:abstractNum>
  <w:abstractNum w:abstractNumId="74">
    <w:nsid w:val="11447B73"/>
    <w:multiLevelType w:val="hybridMultilevel"/>
    <w:lvl w:ilvl="0">
      <w:lvlJc w:val="left"/>
      <w:lvlText w:val="%1)"/>
      <w:numFmt w:val="lowerLetter"/>
      <w:start w:val="1"/>
    </w:lvl>
  </w:abstractNum>
  <w:abstractNum w:abstractNumId="75">
    <w:nsid w:val="42963E5A"/>
    <w:multiLevelType w:val="hybridMultilevel"/>
    <w:lvl w:ilvl="0">
      <w:lvlJc w:val="left"/>
      <w:lvlText w:val="%1)"/>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82" Type="http://schemas.openxmlformats.org/officeDocument/2006/relationships/image" Target="media/image267.png"/><Relationship Id="rId283" Type="http://schemas.openxmlformats.org/officeDocument/2006/relationships/image" Target="media/image268.png"/><Relationship Id="rId284" Type="http://schemas.openxmlformats.org/officeDocument/2006/relationships/image" Target="media/image269.png"/><Relationship Id="rId285" Type="http://schemas.openxmlformats.org/officeDocument/2006/relationships/image" Target="media/image270.png"/><Relationship Id="rId286" Type="http://schemas.openxmlformats.org/officeDocument/2006/relationships/image" Target="media/image271.png"/><Relationship Id="rId287" Type="http://schemas.openxmlformats.org/officeDocument/2006/relationships/image" Target="media/image272.png"/><Relationship Id="rId288" Type="http://schemas.openxmlformats.org/officeDocument/2006/relationships/image" Target="media/image273.png"/><Relationship Id="rId289" Type="http://schemas.openxmlformats.org/officeDocument/2006/relationships/image" Target="media/image274.png"/><Relationship Id="rId290" Type="http://schemas.openxmlformats.org/officeDocument/2006/relationships/image" Target="media/image275.png"/><Relationship Id="rId291" Type="http://schemas.openxmlformats.org/officeDocument/2006/relationships/image" Target="media/image276.png"/><Relationship Id="rId292" Type="http://schemas.openxmlformats.org/officeDocument/2006/relationships/image" Target="media/image277.png"/><Relationship Id="rId293" Type="http://schemas.openxmlformats.org/officeDocument/2006/relationships/image" Target="media/image278.png"/><Relationship Id="rId294" Type="http://schemas.openxmlformats.org/officeDocument/2006/relationships/image" Target="media/image279.png"/><Relationship Id="rId295" Type="http://schemas.openxmlformats.org/officeDocument/2006/relationships/image" Target="media/image280.png"/><Relationship Id="rId296" Type="http://schemas.openxmlformats.org/officeDocument/2006/relationships/image" Target="media/image281.png"/><Relationship Id="rId297" Type="http://schemas.openxmlformats.org/officeDocument/2006/relationships/image" Target="media/image282.png"/><Relationship Id="rId298" Type="http://schemas.openxmlformats.org/officeDocument/2006/relationships/image" Target="media/image283.png"/><Relationship Id="rId299" Type="http://schemas.openxmlformats.org/officeDocument/2006/relationships/image" Target="media/image284.png"/><Relationship Id="rId300" Type="http://schemas.openxmlformats.org/officeDocument/2006/relationships/image" Target="media/image285.png"/><Relationship Id="rId301" Type="http://schemas.openxmlformats.org/officeDocument/2006/relationships/image" Target="media/image286.png"/><Relationship Id="rId302" Type="http://schemas.openxmlformats.org/officeDocument/2006/relationships/image" Target="media/image287.png"/><Relationship Id="rId303" Type="http://schemas.openxmlformats.org/officeDocument/2006/relationships/image" Target="media/image288.png"/><Relationship Id="rId304" Type="http://schemas.openxmlformats.org/officeDocument/2006/relationships/image" Target="media/image289.png"/><Relationship Id="rId305" Type="http://schemas.openxmlformats.org/officeDocument/2006/relationships/image" Target="media/image290.png"/><Relationship Id="rId306" Type="http://schemas.openxmlformats.org/officeDocument/2006/relationships/image" Target="media/image291.png"/><Relationship Id="rId307" Type="http://schemas.openxmlformats.org/officeDocument/2006/relationships/image" Target="media/image292.png"/><Relationship Id="rId308" Type="http://schemas.openxmlformats.org/officeDocument/2006/relationships/image" Target="media/image293.png"/><Relationship Id="rId309" Type="http://schemas.openxmlformats.org/officeDocument/2006/relationships/image" Target="media/image294.png"/><Relationship Id="rId310" Type="http://schemas.openxmlformats.org/officeDocument/2006/relationships/image" Target="media/image295.png"/><Relationship Id="rId311" Type="http://schemas.openxmlformats.org/officeDocument/2006/relationships/image" Target="media/image296.png"/><Relationship Id="rId312" Type="http://schemas.openxmlformats.org/officeDocument/2006/relationships/image" Target="media/image297.png"/><Relationship Id="rId313" Type="http://schemas.openxmlformats.org/officeDocument/2006/relationships/image" Target="media/image298.png"/><Relationship Id="rId314" Type="http://schemas.openxmlformats.org/officeDocument/2006/relationships/image" Target="media/image299.png"/><Relationship Id="rId315" Type="http://schemas.openxmlformats.org/officeDocument/2006/relationships/image" Target="media/image300.png"/><Relationship Id="rId316" Type="http://schemas.openxmlformats.org/officeDocument/2006/relationships/image" Target="media/image301.png"/><Relationship Id="rId317" Type="http://schemas.openxmlformats.org/officeDocument/2006/relationships/image" Target="media/image302.png"/><Relationship Id="rId318" Type="http://schemas.openxmlformats.org/officeDocument/2006/relationships/image" Target="media/image303.png"/><Relationship Id="rId319" Type="http://schemas.openxmlformats.org/officeDocument/2006/relationships/image" Target="media/image304.png"/><Relationship Id="rId320" Type="http://schemas.openxmlformats.org/officeDocument/2006/relationships/image" Target="media/image305.png"/><Relationship Id="rId321" Type="http://schemas.openxmlformats.org/officeDocument/2006/relationships/image" Target="media/image306.png"/><Relationship Id="rId322" Type="http://schemas.openxmlformats.org/officeDocument/2006/relationships/image" Target="media/image307.png"/><Relationship Id="rId323" Type="http://schemas.openxmlformats.org/officeDocument/2006/relationships/image" Target="media/image308.png"/><Relationship Id="rId324" Type="http://schemas.openxmlformats.org/officeDocument/2006/relationships/image" Target="media/image309.png"/><Relationship Id="rId325" Type="http://schemas.openxmlformats.org/officeDocument/2006/relationships/image" Target="media/image310.png"/><Relationship Id="rId326" Type="http://schemas.openxmlformats.org/officeDocument/2006/relationships/image" Target="media/image311.png"/><Relationship Id="rId327" Type="http://schemas.openxmlformats.org/officeDocument/2006/relationships/image" Target="media/image312.png"/><Relationship Id="rId328" Type="http://schemas.openxmlformats.org/officeDocument/2006/relationships/image" Target="media/image313.png"/><Relationship Id="rId329" Type="http://schemas.openxmlformats.org/officeDocument/2006/relationships/image" Target="media/image314.png"/><Relationship Id="rId330" Type="http://schemas.openxmlformats.org/officeDocument/2006/relationships/image" Target="media/image315.png"/><Relationship Id="rId331" Type="http://schemas.openxmlformats.org/officeDocument/2006/relationships/image" Target="media/image316.png"/><Relationship Id="rId332" Type="http://schemas.openxmlformats.org/officeDocument/2006/relationships/image" Target="media/image317.png"/><Relationship Id="rId333" Type="http://schemas.openxmlformats.org/officeDocument/2006/relationships/image" Target="media/image318.png"/><Relationship Id="rId334" Type="http://schemas.openxmlformats.org/officeDocument/2006/relationships/image" Target="media/image319.png"/><Relationship Id="rId335" Type="http://schemas.openxmlformats.org/officeDocument/2006/relationships/image" Target="media/image320.png"/><Relationship Id="rId336" Type="http://schemas.openxmlformats.org/officeDocument/2006/relationships/image" Target="media/image321.png"/><Relationship Id="rId337" Type="http://schemas.openxmlformats.org/officeDocument/2006/relationships/image" Target="media/image322.png"/><Relationship Id="rId338" Type="http://schemas.openxmlformats.org/officeDocument/2006/relationships/image" Target="media/image323.png"/><Relationship Id="rId339" Type="http://schemas.openxmlformats.org/officeDocument/2006/relationships/image" Target="media/image324.png"/><Relationship Id="rId340" Type="http://schemas.openxmlformats.org/officeDocument/2006/relationships/image" Target="media/image325.png"/><Relationship Id="rId341" Type="http://schemas.openxmlformats.org/officeDocument/2006/relationships/image" Target="media/image326.png"/><Relationship Id="rId342" Type="http://schemas.openxmlformats.org/officeDocument/2006/relationships/image" Target="media/image327.png"/><Relationship Id="rId343" Type="http://schemas.openxmlformats.org/officeDocument/2006/relationships/image" Target="media/image328.png"/><Relationship Id="rId274" Type="http://schemas.openxmlformats.org/officeDocument/2006/relationships/hyperlink" Target="https://www.sec.gov/Archives/edgar/data/1544227/000155837019005038/mlnd-20190331ex31b53fa83.htm" TargetMode="External"/><Relationship Id="rId275" Type="http://schemas.openxmlformats.org/officeDocument/2006/relationships/hyperlink" Target="https://www.sec.gov/Archives/edgar/data/1544227/000119312521201157/d196630dex31.htm" TargetMode="External"/><Relationship Id="rId276" Type="http://schemas.openxmlformats.org/officeDocument/2006/relationships/hyperlink" Target="https://www.sec.gov/Archives/edgar/data/1544227/000119312521201157/d196630dex32.htm" TargetMode="External"/><Relationship Id="rId277" Type="http://schemas.openxmlformats.org/officeDocument/2006/relationships/hyperlink" Target="https://www.sec.gov/Archives/edgar/data/1544227/000119312523253882/d547808dex31.htm" TargetMode="External"/><Relationship Id="rId278" Type="http://schemas.openxmlformats.org/officeDocument/2006/relationships/hyperlink" Target="https://www.sec.gov/Archives/edgar/data/1544227/000119312525073987/d905141dex31.htm" TargetMode="External"/><Relationship Id="rId279" Type="http://schemas.openxmlformats.org/officeDocument/2006/relationships/hyperlink" Target="https://www.sec.gov/Archives/edgar/data/1544227/000119312521281694/d222030dex31.htm" TargetMode="External"/><Relationship Id="rId280" Type="http://schemas.openxmlformats.org/officeDocument/2006/relationships/hyperlink" Target="https://www.sec.gov/Archives/edgar/data/1544227/000119312525139899/d908664dex41.htm" TargetMode="External"/><Relationship Id="rId281" Type="http://schemas.openxmlformats.org/officeDocument/2006/relationships/hyperlink" Target="https://www.sec.gov/Archives/edgar/data/1544227/000119312525139899/d90866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2025-08-11T15:23:38Z</dcterms:created>
  <dcterms:modified xsi:type="dcterms:W3CDTF">2025-08-11T15:23:38Z</dcterms:modified>
</cp:coreProperties>
</file>