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8044d8k.htm"/>
      <w:bookmarkStart w:id="1" w:name="ksd1080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2000 Sierra Point Parkway, Suite 400</w:t>
            </w:r>
          </w:p>
          <w:p>
            <w:pPr>
              <w:pStyle w:val="TableContents"/>
              <w:bidi w:val="0"/>
              <w:spacing w:before="0" w:after="20"/>
              <w:jc w:val="center"/>
              <w:rPr>
                <w:rFonts w:ascii="Times New Roman" w:hAnsi="Times New Roman"/>
                <w:b/>
                <w:sz w:val="20"/>
              </w:rPr>
            </w:pPr>
            <w:r>
              <w:rPr>
                <w:rFonts w:ascii="Times New Roman" w:hAnsi="Times New Roman"/>
                <w:b/>
                <w:sz w:val="20"/>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135" w:type="dxa"/>
        <w:jc w:val="left"/>
        <w:tblInd w:w="0" w:type="dxa"/>
        <w:tblLayout w:type="fixed"/>
        <w:tblCellMar>
          <w:top w:w="0" w:type="dxa"/>
          <w:left w:w="0" w:type="dxa"/>
          <w:bottom w:w="0" w:type="dxa"/>
          <w:right w:w="0" w:type="dxa"/>
        </w:tblCellMar>
      </w:tblPr>
      <w:tblGrid>
        <w:gridCol w:w="5255"/>
        <w:gridCol w:w="60"/>
        <w:gridCol w:w="71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On September 11, 2026, Tempest Therapeutics, Inc. (the “</w:t>
      </w:r>
      <w:r>
        <w:rPr>
          <w:rFonts w:ascii="Times New Roman" w:hAnsi="Times New Roman"/>
          <w:b/>
          <w:i/>
          <w:sz w:val="20"/>
        </w:rPr>
        <w:t>Company</w:t>
      </w:r>
      <w:r>
        <w:rPr>
          <w:rFonts w:ascii="Times New Roman" w:hAnsi="Times New Roman"/>
          <w:sz w:val="20"/>
        </w:rPr>
        <w:t>”) entered into a securities purchase agreement (the “</w:t>
      </w:r>
      <w:r>
        <w:rPr>
          <w:rFonts w:ascii="Times New Roman" w:hAnsi="Times New Roman"/>
          <w:b/>
          <w:i/>
          <w:sz w:val="20"/>
        </w:rPr>
        <w:t>Purchase Agreement</w:t>
      </w:r>
      <w:r>
        <w:rPr>
          <w:rFonts w:ascii="Times New Roman" w:hAnsi="Times New Roman"/>
          <w:sz w:val="20"/>
        </w:rPr>
        <w:t>”) with an institutional investor (the “</w:t>
      </w:r>
      <w:r>
        <w:rPr>
          <w:rFonts w:ascii="Times New Roman" w:hAnsi="Times New Roman"/>
          <w:b/>
          <w:i/>
          <w:sz w:val="20"/>
        </w:rPr>
        <w:t>Investor</w:t>
      </w:r>
      <w:r>
        <w:rPr>
          <w:rFonts w:ascii="Times New Roman" w:hAnsi="Times New Roman"/>
          <w:sz w:val="20"/>
        </w:rPr>
        <w:t>”), pursuant to which the Company issued and sold in a private placement (the “</w:t>
      </w:r>
      <w:r>
        <w:rPr>
          <w:rFonts w:ascii="Times New Roman" w:hAnsi="Times New Roman"/>
          <w:b/>
          <w:i/>
          <w:sz w:val="20"/>
        </w:rPr>
        <w:t>Private Placement</w:t>
      </w:r>
      <w:r>
        <w:rPr>
          <w:rFonts w:ascii="Times New Roman" w:hAnsi="Times New Roman"/>
          <w:sz w:val="20"/>
        </w:rPr>
        <w:t>”) pre-funded warrants (the “</w:t>
      </w:r>
      <w:r>
        <w:rPr>
          <w:rFonts w:ascii="Times New Roman" w:hAnsi="Times New Roman"/>
          <w:b/>
          <w:i/>
          <w:sz w:val="20"/>
        </w:rPr>
        <w:t>Pre-Funded Warrants</w:t>
      </w:r>
      <w:r>
        <w:rPr>
          <w:rFonts w:ascii="Times New Roman" w:hAnsi="Times New Roman"/>
          <w:sz w:val="20"/>
        </w:rPr>
        <w:t>”) to purchase up to 3,105,591 shares of the Company’s common stock, par value $0.001 per share (the “</w:t>
      </w:r>
      <w:r>
        <w:rPr>
          <w:rFonts w:ascii="Times New Roman" w:hAnsi="Times New Roman"/>
          <w:b/>
          <w:i/>
          <w:sz w:val="20"/>
        </w:rPr>
        <w:t>Common Stock</w:t>
      </w:r>
      <w:r>
        <w:rPr>
          <w:rFonts w:ascii="Times New Roman" w:hAnsi="Times New Roman"/>
          <w:sz w:val="20"/>
        </w:rPr>
        <w:t>”) accompanied by (i) Series C warrants to purchase up to 3,105,591 shares of Common Stock (the “</w:t>
      </w:r>
      <w:r>
        <w:rPr>
          <w:rFonts w:ascii="Times New Roman" w:hAnsi="Times New Roman"/>
          <w:b/>
          <w:i/>
          <w:sz w:val="20"/>
        </w:rPr>
        <w:t>Series C Warrants</w:t>
      </w:r>
      <w:r>
        <w:rPr>
          <w:rFonts w:ascii="Times New Roman" w:hAnsi="Times New Roman"/>
          <w:sz w:val="20"/>
        </w:rPr>
        <w:t>”) and (ii) Series D warrants to purchase up to 3,105,591 shares of Common Stock (the “</w:t>
      </w:r>
      <w:r>
        <w:rPr>
          <w:rFonts w:ascii="Times New Roman" w:hAnsi="Times New Roman"/>
          <w:b/>
          <w:i/>
          <w:sz w:val="20"/>
        </w:rPr>
        <w:t>Series D Warrants</w:t>
      </w:r>
      <w:r>
        <w:rPr>
          <w:rFonts w:ascii="Times New Roman" w:hAnsi="Times New Roman"/>
          <w:sz w:val="20"/>
        </w:rPr>
        <w:t>” and, together with the Series C Warrants, the “</w:t>
      </w:r>
      <w:r>
        <w:rPr>
          <w:rFonts w:ascii="Times New Roman" w:hAnsi="Times New Roman"/>
          <w:b/>
          <w:i/>
          <w:sz w:val="20"/>
        </w:rPr>
        <w:t>Common Warrants</w:t>
      </w:r>
      <w:r>
        <w:rPr>
          <w:rFonts w:ascii="Times New Roman" w:hAnsi="Times New Roman"/>
          <w:sz w:val="20"/>
        </w:rPr>
        <w:t xml:space="preserve">”). The combined purchase price per Pre-Funded Warrant and accompanying Common Warrants is $0.804. The gross proceeds to the Company from the Private Placement is approximately $2.5 million (excluding up to approximately $5 million of aggregate gross proceeds that may be received in the future upon the cash exercise of the Common Warrants), before deducting placement agent fees and other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closed on September 15, 2026. The Company currently plans to use the net proceeds from the Private Placement primarily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Pursuant to the Purchase Agreement, the Company agreed to seek, within 90 days following the date of the Purchase Agreement, approval from its stockholders for the issuance of the shares issuable upon exercise of the Common Warrants (the “</w:t>
      </w:r>
      <w:r>
        <w:rPr>
          <w:rFonts w:ascii="Times New Roman" w:hAnsi="Times New Roman"/>
          <w:b/>
          <w:i/>
          <w:sz w:val="20"/>
        </w:rPr>
        <w:t>Stockholder Approval</w:t>
      </w:r>
      <w:r>
        <w:rPr>
          <w:rFonts w:ascii="Times New Roman" w:hAnsi="Times New Roman"/>
          <w:sz w:val="20"/>
        </w:rPr>
        <w:t>”). The Series C Warrants will become exercisable on the effective date of the Stockholder Approval (the “</w:t>
      </w:r>
      <w:r>
        <w:rPr>
          <w:rFonts w:ascii="Times New Roman" w:hAnsi="Times New Roman"/>
          <w:b/>
          <w:i/>
          <w:sz w:val="20"/>
        </w:rPr>
        <w:t>Stockholder Approval Date</w:t>
      </w:r>
      <w:r>
        <w:rPr>
          <w:rFonts w:ascii="Times New Roman" w:hAnsi="Times New Roman"/>
          <w:sz w:val="20"/>
        </w:rPr>
        <w:t xml:space="preserve">”) and have a term of six years from the later of the Stockholder Approval Date and the Effectiveness Date (as defined below). The Series D Warrants will become exercisable on the Stockholder Approval Date and have a term three years from the later of the Stockholder Approval Date and the Effectiveness Date. The Common Warrants have an exercise price of $0.805 per share. The Pre-Funded Warrants are exercisable immediately following the closing date of the Private Placement, have an exercise price of $0.001 per share and may be exercised at any time until exercised in full. In addition, pursuant to the Purchase Agreement, the Company has agreed not to (i) enter into any agreement to issue or announce the issuance or proposed issuance of any shares of Common Stock or Common Stock equivalents, or (ii) file any registration statement or amendment or supplement thereto, for a period of 30 days following the Effective Date, subject to certain customary exceptions. In addition, the Purchase Agreement provides that for a period of 60 days following the Effective Date, the Company will not effect or enter into an agreement to effect a “variable rate transaction” as defined in the Purchase Agreement, subject to certain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and the number of shares of Common Stock issuable upon exercise of the Pre-Funded Warrants and the Common Warrants are subject to customary adjustments in the case of stock dividends, stock splits, pro rata distributions, and similar events in respect of the Common Stock. A holder (together with its affiliates) of the Pre-Funded Warrants or Common Warrants, will not be entitled to exercise any portion of any Pre-Funded Warrant or Common Warrant, which, upon giving effect to such exercise would cause the aggregate number of shares of Common Stock beneficially owned by the holder (together with its affiliates) to exceed 9.99% with respect to the Pre-Funded Warrants or 4.99% (or, upon election of the holder, 9.99%) with respect to the Common Warrants of the number of shares of the Common Stock outstanding immediately after giving effect to the exercise, subject to such holder’s rights under the Pre-Funded Warrants and the Common Warrants to increase or decrease such percentage to another percentage not in excess of 9.99% upon notice from such holder to the Company (at least 61 days’ prior notice in the case of an increase). </w:t>
      </w:r>
    </w:p>
    <w:p>
      <w:pPr>
        <w:pStyle w:val="TextBody"/>
        <w:bidi w:val="0"/>
        <w:spacing w:before="240" w:after="0"/>
        <w:jc w:val="left"/>
        <w:rPr>
          <w:rFonts w:ascii="Times New Roman" w:hAnsi="Times New Roman"/>
          <w:sz w:val="20"/>
        </w:rPr>
      </w:pPr>
      <w:r>
        <w:rPr>
          <w:rFonts w:ascii="Times New Roman" w:hAnsi="Times New Roman"/>
          <w:sz w:val="20"/>
        </w:rPr>
        <w:t>The Purchase Agreement contains customary representations, warranties and agreements by the Company, indemnification obligations of the Company, including for liabilities arising under the Securities Act of 1933, as amended (the “</w:t>
      </w:r>
      <w:r>
        <w:rPr>
          <w:rFonts w:ascii="Times New Roman" w:hAnsi="Times New Roman"/>
          <w:b/>
          <w:i/>
          <w:sz w:val="20"/>
        </w:rPr>
        <w:t>Securities Act</w:t>
      </w:r>
      <w:r>
        <w:rPr>
          <w:rFonts w:ascii="Times New Roman" w:hAnsi="Times New Roman"/>
          <w:sz w:val="20"/>
        </w:rPr>
        <w:t xml:space="preserve">”),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H.C. Wainwright &amp; Co., LLC (the “</w:t>
      </w:r>
      <w:r>
        <w:rPr>
          <w:rFonts w:ascii="Times New Roman" w:hAnsi="Times New Roman"/>
          <w:b/>
          <w:i/>
          <w:sz w:val="20"/>
        </w:rPr>
        <w:t>Placement Agent</w:t>
      </w:r>
      <w:r>
        <w:rPr>
          <w:rFonts w:ascii="Times New Roman" w:hAnsi="Times New Roman"/>
          <w:sz w:val="20"/>
        </w:rPr>
        <w:t>”) served as the exclusive placement agent for the Company in connection with the Private Placement pursuant to an engagement letter between the Company and the Placement Agent, pursuant to which the Placement Agent agreed to serve on a reasonable best efforts basis in connection with the Private Placement. The Company agreed to issue to the Placement Agent or its designees warrants to purchase up to 217,391 shares of Common Stock in substantially the same form as the Series C Warrants, except that the exercise price thereunder is $1.0063 per share (the “</w:t>
      </w:r>
      <w:r>
        <w:rPr>
          <w:rFonts w:ascii="Times New Roman" w:hAnsi="Times New Roman"/>
          <w:b/>
          <w:i/>
          <w:sz w:val="20"/>
        </w:rPr>
        <w:t>Placement Agent Warrants</w:t>
      </w:r>
      <w:r>
        <w:rPr>
          <w:rFonts w:ascii="Times New Roman" w:hAnsi="Times New Roman"/>
          <w:sz w:val="20"/>
        </w:rPr>
        <w:t xml:space="preserve">”). The Company paid the Placement Agent an aggregate cash fee equal to 7.0% of the gross proceeds received in the Private Placement and reimbursed certain expenses incurred by the Placement Agent in connection with the Private Placement.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On September 11, 2026, the Company also entered into a registration rights agreement with the Investor (the “</w:t>
      </w:r>
      <w:r>
        <w:rPr>
          <w:rFonts w:ascii="Times New Roman" w:hAnsi="Times New Roman"/>
          <w:b/>
          <w:i/>
          <w:sz w:val="20"/>
        </w:rPr>
        <w:t>Registration Rights Agreement</w:t>
      </w:r>
      <w:r>
        <w:rPr>
          <w:rFonts w:ascii="Times New Roman" w:hAnsi="Times New Roman"/>
          <w:sz w:val="20"/>
        </w:rPr>
        <w:t>”), pursuant to which the Company agreed to file a registration statement under the Securities Act with the Securities and Exchange Commission (the “</w:t>
      </w:r>
      <w:r>
        <w:rPr>
          <w:rFonts w:ascii="Times New Roman" w:hAnsi="Times New Roman"/>
          <w:b/>
          <w:i/>
          <w:sz w:val="20"/>
        </w:rPr>
        <w:t>SEC</w:t>
      </w:r>
      <w:r>
        <w:rPr>
          <w:rFonts w:ascii="Times New Roman" w:hAnsi="Times New Roman"/>
          <w:sz w:val="20"/>
        </w:rPr>
        <w:t>”), covering the resale of the shares of Common Stock underlying the Common Warrants and Pre-Funded Warrants no later than 15 calendar days following the date of the Registration Rights Agreement, and to use reasonable best efforts to have the registration statement declared effective by 45 calendar days following the date of the Registration Rights Agreement, and in any event no later than 75 calendar days following the date of the Registration Rights Agreement in the event of a “full review” by the SEC (the “</w:t>
      </w:r>
      <w:r>
        <w:rPr>
          <w:rFonts w:ascii="Times New Roman" w:hAnsi="Times New Roman"/>
          <w:b/>
          <w:i/>
          <w:sz w:val="20"/>
        </w:rPr>
        <w:t>Effectiveness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and conditions of the Purchase Agreement, Registration Rights Agreement, Pre-Funded Warrants and Common Warrants is only a summary and is qualified in its entirety by the full text of the form of Purchase Agreement, form of Registration Rights Agreement, form of Pre-Funded Warrants and form of Common Warrants, copies of which are attached hereto as Exhibits 10.1, 10.2, 4.1 and 4.2, respectively, and incorporated by reference herein.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965"/>
        <w:gridCol w:w="3350"/>
      </w:tblGrid>
      <w:tr>
        <w:trPr/>
        <w:tc>
          <w:tcPr>
            <w:tcW w:w="965"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relating to the Private Placement is hereby incorporated by reference into this Item 3.02. Based in part upon the representations of the Investor in the Purchase Agreement, the securities described above are being offered and sold in a private placement exempt from registration under the Securities Act pursuant to Section 4(a)(2) thereof and Regulation D promulgated thereunder. Accordingly, such securities may not be offered or sold in the United States except pursuant to an effective registration statement or an applicable exemption from the registration requirement of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exhibit attached hereto is an offer to sell or the solicitation of an offer to buy shares of Common Stock or other securities of the Company.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1205"/>
        <w:gridCol w:w="120"/>
        <w:gridCol w:w="762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8044dex41.htm">
              <w:r>
                <w:rPr>
                  <w:rStyle w:val="InternetLink"/>
                </w:rPr>
                <w:t xml:space="preserve">Form of Pre-Funded Warrant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8044dex42.htm">
              <w:r>
                <w:rPr>
                  <w:rStyle w:val="InternetLink"/>
                </w:rPr>
                <w:t xml:space="preserve">Form of Common Warrant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8044dex101.htm">
              <w:r>
                <w:rPr>
                  <w:rStyle w:val="InternetLink"/>
                </w:rPr>
                <w:t xml:space="preserve">Form of Securities Purchase Agreement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8044dex102.htm">
              <w:r>
                <w:rPr>
                  <w:rStyle w:val="InternetLink"/>
                </w:rPr>
                <w:t xml:space="preserve">Form of Registration Rights Agreement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53" w:type="dxa"/>
        <w:jc w:val="left"/>
        <w:tblInd w:w="0" w:type="dxa"/>
        <w:tblLayout w:type="fixed"/>
        <w:tblCellMar>
          <w:top w:w="0" w:type="dxa"/>
          <w:left w:w="0" w:type="dxa"/>
          <w:bottom w:w="0" w:type="dxa"/>
          <w:right w:w="0" w:type="dxa"/>
        </w:tblCellMar>
      </w:tblPr>
      <w:tblGrid>
        <w:gridCol w:w="2510"/>
        <w:gridCol w:w="60"/>
        <w:gridCol w:w="23"/>
        <w:gridCol w:w="60"/>
        <w:gridCol w:w="605"/>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00" w:type="dxa"/>
            <w:gridSpan w:val="3"/>
            <w:tcBorders/>
            <w:vAlign w:val="center"/>
          </w:tcPr>
          <w:p>
            <w:pPr>
              <w:pStyle w:val="TableContents"/>
              <w:bidi w:val="0"/>
              <w:spacing w:before="0" w:after="283"/>
              <w:jc w:val="left"/>
              <w:rPr/>
            </w:pPr>
            <w:r>
              <w:rPr/>
              <w:t>Tempest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By: 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Matthew Angel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08044dex41.htm"/>
      <w:bookmarkStart w:id="3" w:name="ksd108044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PRE-FUNDED COMMON STOCK PURCHASE WARRANT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6"/>
        <w:gridCol w:w="101"/>
        <w:gridCol w:w="2858"/>
      </w:tblGrid>
      <w:tr>
        <w:trPr/>
        <w:tc>
          <w:tcPr>
            <w:tcW w:w="72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283"/>
              <w:jc w:val="left"/>
              <w:rPr/>
            </w:pPr>
            <w:r>
              <w:rPr/>
              <w:t>Warrant Shares: _______</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pPr>
            <w:r>
              <w:rPr/>
              <w:t>Issue Date: September [15], 2026</w:t>
            </w:r>
          </w:p>
        </w:tc>
      </w:tr>
    </w:tbl>
    <w:p>
      <w:pPr>
        <w:pStyle w:val="TextBody"/>
        <w:bidi w:val="0"/>
        <w:spacing w:before="240" w:after="0"/>
        <w:jc w:val="left"/>
        <w:rPr>
          <w:rFonts w:ascii="Times New Roman" w:hAnsi="Times New Roman"/>
          <w:sz w:val="20"/>
        </w:rPr>
      </w:pPr>
      <w:r>
        <w:rPr>
          <w:rFonts w:ascii="Times New Roman" w:hAnsi="Times New Roman"/>
          <w:sz w:val="20"/>
        </w:rPr>
        <w:t>THIS PRE-FUNDED COMMON STOCK PURCHASE WARRANT (the “</w:t>
      </w:r>
      <w:r>
        <w:rPr>
          <w:rFonts w:ascii="Times New Roman" w:hAnsi="Times New Roman"/>
          <w:sz w:val="20"/>
          <w:u w:val="single"/>
        </w:rPr>
        <w:t>Warrant</w:t>
      </w:r>
      <w:r>
        <w:rPr>
          <w:rFonts w:ascii="Times New Roman" w:hAnsi="Times New Roman"/>
          <w:sz w:val="20"/>
        </w:rPr>
        <w:t>”) certifies that, for value received, _____________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date hereof (the “</w:t>
      </w:r>
      <w:r>
        <w:rPr>
          <w:rFonts w:ascii="Times New Roman" w:hAnsi="Times New Roman"/>
          <w:sz w:val="20"/>
          <w:u w:val="single"/>
        </w:rPr>
        <w:t>Original Issuance Date</w:t>
      </w:r>
      <w:r>
        <w:rPr>
          <w:rFonts w:ascii="Times New Roman" w:hAnsi="Times New Roman"/>
          <w:sz w:val="20"/>
        </w:rPr>
        <w:t>”) and until this Warrant is exercised in full (the “</w:t>
      </w:r>
      <w:r>
        <w:rPr>
          <w:rFonts w:ascii="Times New Roman" w:hAnsi="Times New Roman"/>
          <w:sz w:val="20"/>
          <w:u w:val="single"/>
        </w:rPr>
        <w:t>Termination Date</w:t>
      </w:r>
      <w:r>
        <w:rPr>
          <w:rFonts w:ascii="Times New Roman" w:hAnsi="Times New Roman"/>
          <w:sz w:val="20"/>
        </w:rPr>
        <w:t>”) but not thereafter, to subscribe for and purchase from Tempest Therapeutics, Inc., a Delaware corporation (the “</w:t>
      </w:r>
      <w:r>
        <w:rPr>
          <w:rFonts w:ascii="Times New Roman" w:hAnsi="Times New Roman"/>
          <w:sz w:val="20"/>
          <w:u w:val="single"/>
        </w:rPr>
        <w:t>Company</w:t>
      </w:r>
      <w:r>
        <w:rPr>
          <w:rFonts w:ascii="Times New Roman" w:hAnsi="Times New Roman"/>
          <w:sz w:val="20"/>
        </w:rPr>
        <w:t>”), up to ______ shares (as subject to adjustment hereunder, the “</w:t>
      </w:r>
      <w:r>
        <w:rPr>
          <w:rFonts w:ascii="Times New Roman" w:hAnsi="Times New Roman"/>
          <w:sz w:val="20"/>
          <w:u w:val="single"/>
        </w:rPr>
        <w:t>Warrant Shares</w:t>
      </w:r>
      <w:r>
        <w:rPr>
          <w:rFonts w:ascii="Times New Roman" w:hAnsi="Times New Roman"/>
          <w:sz w:val="20"/>
        </w:rPr>
        <w:t xml:space="preserve">”) of the Company’s Common Stock. The purchase price of one share of Common Stock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Capitalized terms used and not otherwise defined herein shall have the meanings set forth in that certain Securities Purchase Agreement (the “</w:t>
      </w:r>
      <w:r>
        <w:rPr>
          <w:rFonts w:ascii="Times New Roman" w:hAnsi="Times New Roman"/>
          <w:sz w:val="20"/>
          <w:u w:val="single"/>
        </w:rPr>
        <w:t>Purchase Agreement</w:t>
      </w:r>
      <w:r>
        <w:rPr>
          <w:rFonts w:ascii="Times New Roman" w:hAnsi="Times New Roman"/>
          <w:sz w:val="20"/>
        </w:rPr>
        <w:t xml:space="preserve">”), dated September [11], 2026, among the Company and the purchasers signatory thereto.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xml:space="preserve">. Exercise of the purchase rights represented by this Warrant may be made, in whole or in part, at any time or times on or after the </w:t>
      </w:r>
      <w:r>
        <w:rPr>
          <w:rFonts w:ascii="Times New Roman" w:hAnsi="Times New Roman"/>
          <w:sz w:val="20"/>
          <w:u w:val="single"/>
        </w:rPr>
        <w:t>Original Issuance</w:t>
      </w:r>
      <w:r>
        <w:rPr>
          <w:rFonts w:ascii="Times New Roman" w:hAnsi="Times New Roman"/>
          <w:sz w:val="20"/>
        </w:rPr>
        <w:t xml:space="preserve"> Date and on or before the Termination Date by delivery to the Company of a duly executed PDF copy submitted by e-mail (or e-mail attachment) of the Notice of Exercise in the form annexed hereto (the “</w:t>
      </w:r>
      <w:r>
        <w:rPr>
          <w:rFonts w:ascii="Times New Roman" w:hAnsi="Times New Roman"/>
          <w:sz w:val="20"/>
          <w:u w:val="single"/>
        </w:rPr>
        <w:t>Notice of Exercise</w:t>
      </w:r>
      <w:r>
        <w:rPr>
          <w:rFonts w:ascii="Times New Roman" w:hAnsi="Times New Roman"/>
          <w:sz w:val="20"/>
        </w:rPr>
        <w:t xml:space="preserve">”). Within the earlier of (i) one (1) Trading Day and (ii) the number of Trading Days comprising the Standard Settlement Period (as defined in Section 2(d)(i) herein) following the date of exercise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aggregate exercise price of this Warrant, except for a nominal exercise price of $0.001 per Warrant Share, was pre-funded to the Company on or prior to the </w:t>
      </w:r>
      <w:r>
        <w:rPr>
          <w:rFonts w:ascii="Times New Roman" w:hAnsi="Times New Roman"/>
          <w:sz w:val="20"/>
          <w:u w:val="single"/>
        </w:rPr>
        <w:t>Original Issuance</w:t>
      </w:r>
      <w:r>
        <w:rPr>
          <w:rFonts w:ascii="Times New Roman" w:hAnsi="Times New Roman"/>
          <w:sz w:val="20"/>
        </w:rPr>
        <w:t xml:space="preserv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387"/>
        <w:gridCol w:w="114"/>
        <w:gridCol w:w="160"/>
        <w:gridCol w:w="143"/>
        <w:gridCol w:w="8584"/>
      </w:tblGrid>
      <w:tr>
        <w:trPr/>
        <w:tc>
          <w:tcPr>
            <w:tcW w:w="387"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8584" w:type="dxa"/>
            <w:tcBorders/>
            <w:vAlign w:val="center"/>
          </w:tcPr>
          <w:p>
            <w:pPr>
              <w:pStyle w:val="TableContents"/>
              <w:bidi w:val="0"/>
              <w:spacing w:before="0" w:after="283"/>
              <w:jc w:val="left"/>
              <w:rPr>
                <w:sz w:val="4"/>
                <w:szCs w:val="4"/>
              </w:rPr>
            </w:pPr>
            <w:r>
              <w:rPr>
                <w:sz w:val="4"/>
                <w:szCs w:val="4"/>
              </w:rPr>
            </w:r>
          </w:p>
        </w:tc>
      </w:tr>
      <w:tr>
        <w:trPr/>
        <w:tc>
          <w:tcPr>
            <w:tcW w:w="387" w:type="dxa"/>
            <w:tcBorders/>
          </w:tcPr>
          <w:p>
            <w:pPr>
              <w:pStyle w:val="TableContents"/>
              <w:bidi w:val="0"/>
              <w:spacing w:before="0" w:after="283"/>
              <w:jc w:val="left"/>
              <w:rPr/>
            </w:pPr>
            <w:r>
              <w:rPr/>
              <w:t>(A)</w:t>
            </w:r>
          </w:p>
        </w:tc>
        <w:tc>
          <w:tcPr>
            <w:tcW w:w="114"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8584" w:type="dxa"/>
            <w:tcBorders/>
          </w:tcPr>
          <w:p>
            <w:pPr>
              <w:pStyle w:val="TableContents"/>
              <w:bidi w:val="0"/>
              <w:spacing w:before="0" w:after="283"/>
              <w:jc w:val="left"/>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4600" w:type="pct"/>
        <w:jc w:val="right"/>
        <w:tblInd w:w="0" w:type="dxa"/>
        <w:tblLayout w:type="fixed"/>
        <w:tblCellMar>
          <w:top w:w="0" w:type="dxa"/>
          <w:left w:w="0" w:type="dxa"/>
          <w:bottom w:w="0" w:type="dxa"/>
          <w:right w:w="0" w:type="dxa"/>
        </w:tblCellMar>
      </w:tblPr>
      <w:tblGrid>
        <w:gridCol w:w="386"/>
        <w:gridCol w:w="113"/>
        <w:gridCol w:w="160"/>
        <w:gridCol w:w="142"/>
        <w:gridCol w:w="8587"/>
      </w:tblGrid>
      <w:tr>
        <w:trPr/>
        <w:tc>
          <w:tcPr>
            <w:tcW w:w="38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587" w:type="dxa"/>
            <w:tcBorders/>
            <w:vAlign w:val="center"/>
          </w:tcPr>
          <w:p>
            <w:pPr>
              <w:pStyle w:val="TableContents"/>
              <w:bidi w:val="0"/>
              <w:spacing w:before="0" w:after="283"/>
              <w:jc w:val="left"/>
              <w:rPr>
                <w:sz w:val="4"/>
                <w:szCs w:val="4"/>
              </w:rPr>
            </w:pPr>
            <w:r>
              <w:rPr>
                <w:sz w:val="4"/>
                <w:szCs w:val="4"/>
              </w:rPr>
            </w:r>
          </w:p>
        </w:tc>
      </w:tr>
      <w:tr>
        <w:trPr/>
        <w:tc>
          <w:tcPr>
            <w:tcW w:w="386"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date of the applicable Notice of Exercise or (z) the Bid Price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rHeight w:val="120" w:hRule="atLeast"/>
        </w:trPr>
        <w:tc>
          <w:tcPr>
            <w:tcW w:w="386"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8729" w:type="dxa"/>
            <w:gridSpan w:val="2"/>
            <w:tcBorders/>
            <w:vAlign w:val="center"/>
          </w:tcPr>
          <w:p>
            <w:pPr>
              <w:pStyle w:val="TableContents"/>
              <w:bidi w:val="0"/>
              <w:spacing w:before="0" w:after="283"/>
              <w:jc w:val="left"/>
              <w:rPr>
                <w:sz w:val="4"/>
                <w:szCs w:val="4"/>
              </w:rPr>
            </w:pPr>
            <w:r>
              <w:rPr>
                <w:sz w:val="4"/>
                <w:szCs w:val="4"/>
              </w:rPr>
            </w:r>
          </w:p>
        </w:tc>
      </w:tr>
      <w:tr>
        <w:trPr/>
        <w:tc>
          <w:tcPr>
            <w:tcW w:w="386" w:type="dxa"/>
            <w:tcBorders/>
          </w:tcPr>
          <w:p>
            <w:pPr>
              <w:pStyle w:val="TableContents"/>
              <w:bidi w:val="0"/>
              <w:spacing w:before="0" w:after="283"/>
              <w:jc w:val="left"/>
              <w:rPr/>
            </w:pPr>
            <w:r>
              <w:rPr/>
              <w:t>(B)</w:t>
            </w:r>
          </w:p>
        </w:tc>
        <w:tc>
          <w:tcPr>
            <w:tcW w:w="113"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Exercise Price of this Warrant, as adjusted hereunder; and</w:t>
            </w:r>
          </w:p>
        </w:tc>
      </w:tr>
      <w:tr>
        <w:trPr>
          <w:trHeight w:val="120" w:hRule="atLeast"/>
        </w:trPr>
        <w:tc>
          <w:tcPr>
            <w:tcW w:w="386"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8729" w:type="dxa"/>
            <w:gridSpan w:val="2"/>
            <w:tcBorders/>
            <w:vAlign w:val="center"/>
          </w:tcPr>
          <w:p>
            <w:pPr>
              <w:pStyle w:val="TableContents"/>
              <w:bidi w:val="0"/>
              <w:spacing w:before="0" w:after="283"/>
              <w:jc w:val="left"/>
              <w:rPr>
                <w:sz w:val="4"/>
                <w:szCs w:val="4"/>
              </w:rPr>
            </w:pPr>
            <w:r>
              <w:rPr>
                <w:sz w:val="4"/>
                <w:szCs w:val="4"/>
              </w:rPr>
            </w:r>
          </w:p>
        </w:tc>
      </w:tr>
      <w:tr>
        <w:trPr/>
        <w:tc>
          <w:tcPr>
            <w:tcW w:w="386" w:type="dxa"/>
            <w:tcBorders/>
          </w:tcPr>
          <w:p>
            <w:pPr>
              <w:pStyle w:val="TableContents"/>
              <w:bidi w:val="0"/>
              <w:spacing w:before="0" w:after="283"/>
              <w:jc w:val="left"/>
              <w:rPr/>
            </w:pPr>
            <w:r>
              <w:rPr/>
              <w:t>(X)</w:t>
            </w:r>
          </w:p>
        </w:tc>
        <w:tc>
          <w:tcPr>
            <w:tcW w:w="113"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120" w:after="0"/>
        <w:jc w:val="left"/>
        <w:rPr/>
      </w:pPr>
      <w:r>
        <w:rPr/>
        <w:t>“</w:t>
      </w:r>
      <w:r>
        <w:rPr>
          <w:rFonts w:ascii="Times New Roman" w:hAnsi="Times New Roman"/>
          <w:sz w:val="20"/>
          <w:u w:val="single"/>
        </w:rPr>
        <w:t>Bid Price</w:t>
      </w:r>
      <w:r>
        <w:rPr>
          <w:rFonts w:ascii="Times New Roman" w:hAnsi="Times New Roman"/>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hAnsi="Times New Roman"/>
          <w:sz w:val="20"/>
          <w:u w:val="single"/>
        </w:rPr>
        <w:t>OTCQB</w:t>
      </w:r>
      <w:r>
        <w:rPr>
          <w:rFonts w:ascii="Times New Roman" w:hAnsi="Times New Roman"/>
          <w:sz w:val="20"/>
        </w:rPr>
        <w:t>”) or the OTCQX Best Market (“</w:t>
      </w:r>
      <w:r>
        <w:rPr>
          <w:rFonts w:ascii="Times New Roman" w:hAnsi="Times New Roman"/>
          <w:sz w:val="20"/>
          <w:u w:val="single"/>
        </w:rPr>
        <w:t>OTCQX</w:t>
      </w:r>
      <w:r>
        <w:rPr>
          <w:rFonts w:ascii="Times New Roman" w:hAnsi="Times New Roman"/>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hAnsi="Times New Roman"/>
          <w:sz w:val="20"/>
          <w:u w:val="single"/>
        </w:rPr>
        <w:t>Pink Market</w:t>
      </w:r>
      <w:r>
        <w:rPr>
          <w:rFonts w:ascii="Times New Roman" w:hAnsi="Times New Roman"/>
          <w:sz w:val="20"/>
        </w:rPr>
        <w:t xml:space="preserve">”)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 </w:t>
      </w:r>
    </w:p>
    <w:p>
      <w:pPr>
        <w:pStyle w:val="TextBody"/>
        <w:bidi w:val="0"/>
        <w:spacing w:before="12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delivered or Holder rescinds such exercise. The Company agrees to maintain a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the Notice of Exercise.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hAnsi="Times New Roman"/>
          <w:sz w:val="20"/>
          <w:u w:val="single"/>
        </w:rPr>
        <w:t xml:space="preserve">Attribution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Parties</w:t>
      </w:r>
      <w:r>
        <w:rPr>
          <w:rFonts w:ascii="Times New Roman" w:hAnsi="Times New Roman"/>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 </w:t>
      </w:r>
    </w:p>
    <w:p>
      <w:pPr>
        <w:pStyle w:val="TextBody"/>
        <w:bidi w:val="0"/>
        <w:spacing w:before="24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Distributions</w:t>
      </w:r>
      <w:r>
        <w:rPr>
          <w:rFonts w:ascii="Times New Roman" w:hAnsi="Times New Roman"/>
          <w:sz w:val="20"/>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sz w:val="20"/>
          <w:u w:val="single"/>
        </w:rPr>
        <w:t>Distribution</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other than as a result of a subdivision or combination of shares of Common Stock covered by </w:t>
      </w:r>
      <w:r>
        <w:rPr>
          <w:rFonts w:ascii="Times New Roman" w:hAnsi="Times New Roman"/>
          <w:sz w:val="20"/>
          <w:u w:val="single"/>
        </w:rPr>
        <w:t>Section 3(a)</w:t>
      </w:r>
      <w:r>
        <w:rPr>
          <w:rFonts w:ascii="Times New Roman" w:hAnsi="Times New Roman"/>
          <w:sz w:val="20"/>
        </w:rPr>
        <w:t xml:space="preserve"> above,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(except for any such transaction in which the stockholders of the Company immediately prior to such transaction maintain, in substantially the same proportions, the voting power of such Person immediately after the transaction),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sz w:val="20"/>
          <w:u w:val="single"/>
        </w:rPr>
        <w:t>Fundamental Transaction</w:t>
      </w:r>
      <w:r>
        <w:rPr>
          <w:rFonts w:ascii="Times New Roman" w:hAnsi="Times New Roman"/>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 w:hAnsi="Times New Roman"/>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w:t>
      </w:r>
      <w:r>
        <w:rPr>
          <w:rFonts w:ascii="Times New Roman" w:hAnsi="Times New Roman"/>
          <w:sz w:val="20"/>
          <w:u w:val="single"/>
        </w:rPr>
        <w:t>Original Issuance</w:t>
      </w:r>
      <w:r>
        <w:rPr>
          <w:rFonts w:ascii="Times New Roman" w:hAnsi="Times New Roman"/>
          <w:sz w:val="20"/>
        </w:rPr>
        <w:t xml:space="preserve">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24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Restrictions</w:t>
      </w:r>
      <w:r>
        <w:rPr>
          <w:rFonts w:ascii="Times New Roman" w:hAnsi="Times New Roman"/>
          <w:sz w:val="20"/>
        </w:rPr>
        <w:t xml:space="preserve">.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Representation by the Holder</w:t>
      </w:r>
      <w:r>
        <w:rPr>
          <w:rFonts w:ascii="Times New Roman" w:hAnsi="Times New Roman"/>
          <w:sz w:val="20"/>
        </w:rPr>
        <w:t xml:space="preserve">.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 No Settlement in Cash</w:t>
      </w:r>
      <w:r>
        <w:rPr>
          <w:rFonts w:ascii="Times New Roman" w:hAnsi="Times New Roman"/>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12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Warrant shall be determined in accordance with the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the Holder does not utilize cashless exercise, will have restrictions upon resale imposed by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Any notice, request or other document required or permitted to be given or delivered to the Holder by the Company shall be delivered in accordance with the notice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on the one hand, and the Holder of this Warrant,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b/>
          <w:sz w:val="20"/>
        </w:rPr>
      </w:pPr>
      <w:r>
        <w:rPr>
          <w:rFonts w:ascii="Times New Roman" w:hAnsi="Times New Roman"/>
          <w:b/>
          <w:sz w:val="20"/>
        </w:rPr>
        <w:t xml:space="preserve">TO: TEMPEST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Accredited Investor</w:t>
      </w:r>
      <w:r>
        <w:rPr>
          <w:rFonts w:ascii="Times New Roman" w:hAnsi="Times New Roman"/>
          <w:sz w:val="20"/>
        </w:rPr>
        <w:t xml:space="preserv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120" w:after="0"/>
        <w:jc w:val="left"/>
        <w:rPr>
          <w:rFonts w:ascii="Times New Roman" w:hAnsi="Times New Roman"/>
          <w:sz w:val="20"/>
        </w:rPr>
      </w:pPr>
      <w:r>
        <w:rPr>
          <w:rFonts w:ascii="Times New Roman" w:hAnsi="Times New Roman"/>
          <w:sz w:val="20"/>
        </w:rPr>
        <w:t xml:space="preserve">Name of Investing Entity: 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Date: ________________________________________________________________________________________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exercise the Warrant to purchase shares.) </w:t>
      </w:r>
    </w:p>
    <w:p>
      <w:pPr>
        <w:pStyle w:val="TextBody"/>
        <w:bidi w:val="0"/>
        <w:spacing w:before="12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5077"/>
        <w:gridCol w:w="120"/>
        <w:gridCol w:w="3987"/>
      </w:tblGrid>
      <w:tr>
        <w:trPr/>
        <w:tc>
          <w:tcPr>
            <w:tcW w:w="50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pBdr>
                <w:bottom w:val="single" w:sz="2" w:space="1" w:color="000000"/>
              </w:pBdr>
              <w:bidi w:val="0"/>
              <w:spacing w:before="0" w:after="20"/>
              <w:jc w:val="left"/>
              <w:rPr/>
            </w:pPr>
            <w:r>
              <w:rPr/>
              <w:t> </w:t>
            </w:r>
          </w:p>
        </w:tc>
      </w:tr>
      <w:tr>
        <w:trPr/>
        <w:tc>
          <w:tcPr>
            <w:tcW w:w="507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bidi w:val="0"/>
              <w:spacing w:before="0" w:after="283"/>
              <w:jc w:val="left"/>
              <w:rPr/>
            </w:pPr>
            <w:r>
              <w:rPr/>
              <w:t>(Please Print)</w:t>
            </w:r>
          </w:p>
        </w:tc>
      </w:tr>
      <w:tr>
        <w:trPr>
          <w:trHeight w:val="240" w:hRule="atLeast"/>
        </w:trPr>
        <w:tc>
          <w:tcPr>
            <w:tcW w:w="5077"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pBdr>
                <w:bottom w:val="single" w:sz="2" w:space="1" w:color="000000"/>
              </w:pBdr>
              <w:bidi w:val="0"/>
              <w:spacing w:before="0" w:after="20"/>
              <w:jc w:val="left"/>
              <w:rPr/>
            </w:pPr>
            <w:r>
              <w:rPr/>
              <w:t> </w:t>
            </w:r>
          </w:p>
        </w:tc>
      </w:tr>
      <w:tr>
        <w:trPr/>
        <w:tc>
          <w:tcPr>
            <w:tcW w:w="507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bidi w:val="0"/>
              <w:spacing w:before="0" w:after="283"/>
              <w:jc w:val="left"/>
              <w:rPr/>
            </w:pPr>
            <w:r>
              <w:rPr/>
              <w:t>(Please Print)</w:t>
            </w:r>
          </w:p>
        </w:tc>
      </w:tr>
      <w:tr>
        <w:trPr>
          <w:trHeight w:val="240" w:hRule="atLeast"/>
        </w:trPr>
        <w:tc>
          <w:tcPr>
            <w:tcW w:w="5077"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Phone Number:</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pBdr>
                <w:bottom w:val="single" w:sz="2" w:space="1" w:color="000000"/>
              </w:pBdr>
              <w:bidi w:val="0"/>
              <w:spacing w:before="0" w:after="20"/>
              <w:jc w:val="left"/>
              <w:rPr/>
            </w:pPr>
            <w:r>
              <w:rPr/>
              <w:t> </w:t>
            </w:r>
          </w:p>
        </w:tc>
      </w:tr>
      <w:tr>
        <w:trPr>
          <w:trHeight w:val="240" w:hRule="atLeast"/>
        </w:trPr>
        <w:tc>
          <w:tcPr>
            <w:tcW w:w="5077"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Email Address:</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pBdr>
                <w:bottom w:val="single" w:sz="2" w:space="1" w:color="000000"/>
              </w:pBdr>
              <w:bidi w:val="0"/>
              <w:spacing w:before="0" w:after="20"/>
              <w:jc w:val="left"/>
              <w:rPr/>
            </w:pPr>
            <w:r>
              <w:rPr/>
              <w:t> </w:t>
            </w:r>
          </w:p>
        </w:tc>
      </w:tr>
      <w:tr>
        <w:trPr>
          <w:trHeight w:val="240" w:hRule="atLeast"/>
        </w:trPr>
        <w:tc>
          <w:tcPr>
            <w:tcW w:w="5077"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Dated: _______________ __, ______</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bidi w:val="0"/>
              <w:spacing w:before="0" w:after="283"/>
              <w:jc w:val="left"/>
              <w:rPr>
                <w:sz w:val="4"/>
                <w:szCs w:val="4"/>
              </w:rPr>
            </w:pPr>
            <w:r>
              <w:rPr>
                <w:sz w:val="4"/>
                <w:szCs w:val="4"/>
              </w:rPr>
            </w:r>
          </w:p>
        </w:tc>
      </w:tr>
      <w:tr>
        <w:trPr>
          <w:trHeight w:val="240" w:hRule="atLeast"/>
        </w:trPr>
        <w:tc>
          <w:tcPr>
            <w:tcW w:w="5077"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Holder’s Signature:</w:t>
            </w:r>
            <w:r>
              <w:rPr>
                <w:u w:val="single"/>
              </w:rPr>
              <w:t>           </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bidi w:val="0"/>
              <w:spacing w:before="0" w:after="283"/>
              <w:jc w:val="left"/>
              <w:rPr>
                <w:sz w:val="4"/>
                <w:szCs w:val="4"/>
              </w:rPr>
            </w:pPr>
            <w:r>
              <w:rPr>
                <w:sz w:val="4"/>
                <w:szCs w:val="4"/>
              </w:rPr>
            </w:r>
          </w:p>
        </w:tc>
      </w:tr>
      <w:tr>
        <w:trPr>
          <w:trHeight w:val="240" w:hRule="atLeast"/>
        </w:trPr>
        <w:tc>
          <w:tcPr>
            <w:tcW w:w="5077" w:type="dxa"/>
            <w:tcBorders/>
            <w:vAlign w:val="center"/>
          </w:tcPr>
          <w:p>
            <w:pPr>
              <w:pStyle w:val="TableContents"/>
              <w:bidi w:val="0"/>
              <w:spacing w:before="0" w:after="283"/>
              <w:jc w:val="left"/>
              <w:rPr>
                <w:sz w:val="4"/>
                <w:szCs w:val="4"/>
              </w:rPr>
            </w:pPr>
            <w:r>
              <w:rPr>
                <w:sz w:val="4"/>
                <w:szCs w:val="4"/>
              </w:rPr>
            </w:r>
          </w:p>
        </w:tc>
        <w:tc>
          <w:tcPr>
            <w:tcW w:w="4107" w:type="dxa"/>
            <w:gridSpan w:val="2"/>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t>Holder’s Address:</w:t>
            </w:r>
            <w:r>
              <w:rPr>
                <w:u w:val="single"/>
              </w:rPr>
              <w:t>            </w:t>
            </w:r>
          </w:p>
        </w:tc>
        <w:tc>
          <w:tcPr>
            <w:tcW w:w="120" w:type="dxa"/>
            <w:tcBorders/>
            <w:vAlign w:val="bottom"/>
          </w:tcPr>
          <w:p>
            <w:pPr>
              <w:pStyle w:val="TableContents"/>
              <w:bidi w:val="0"/>
              <w:spacing w:before="0" w:after="283"/>
              <w:jc w:val="left"/>
              <w:rPr/>
            </w:pPr>
            <w:r>
              <w:rPr/>
              <w:t>  </w:t>
            </w:r>
          </w:p>
        </w:tc>
        <w:tc>
          <w:tcPr>
            <w:tcW w:w="39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4" w:name="d108044dex42.htm"/>
      <w:bookmarkStart w:id="5" w:name="ksd108044dex42"/>
      <w:bookmarkEnd w:id="4"/>
      <w:bookmarkEnd w:id="5"/>
      <w:r>
        <w:rPr>
          <w:rFonts w:ascii="Times New Roman" w:hAnsi="Times New Roman"/>
          <w:b/>
          <w:sz w:val="20"/>
        </w:rPr>
        <w:t xml:space="preserve">Exhibit 4.2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SERIES [C] [D] COMMON STOCK PURCHASE WARRANT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2"/>
        <w:gridCol w:w="121"/>
        <w:gridCol w:w="4922"/>
      </w:tblGrid>
      <w:tr>
        <w:trPr/>
        <w:tc>
          <w:tcPr>
            <w:tcW w:w="51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283"/>
              <w:jc w:val="left"/>
              <w:rPr/>
            </w:pPr>
            <w:r>
              <w:rPr/>
              <w:t>Warrant Shares: _______</w:t>
            </w:r>
          </w:p>
        </w:tc>
        <w:tc>
          <w:tcPr>
            <w:tcW w:w="121"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right"/>
              <w:rPr/>
            </w:pPr>
            <w:r>
              <w:rPr/>
              <w:t>Issue Date: September [15], 2026     </w:t>
            </w:r>
          </w:p>
        </w:tc>
      </w:tr>
    </w:tbl>
    <w:p>
      <w:pPr>
        <w:pStyle w:val="TextBody"/>
        <w:bidi w:val="0"/>
        <w:spacing w:before="240" w:after="0"/>
        <w:jc w:val="left"/>
        <w:rPr>
          <w:rFonts w:ascii="Times New Roman" w:hAnsi="Times New Roman"/>
          <w:sz w:val="20"/>
        </w:rPr>
      </w:pPr>
      <w:r>
        <w:rPr>
          <w:rFonts w:ascii="Times New Roman" w:hAnsi="Times New Roman"/>
          <w:sz w:val="20"/>
        </w:rPr>
        <w:t>THIS SERIES [C] [D] COMMON STOCK PURCHASE WARRANT (the “</w:t>
      </w:r>
      <w:r>
        <w:rPr>
          <w:rFonts w:ascii="Times New Roman" w:hAnsi="Times New Roman"/>
          <w:sz w:val="20"/>
          <w:u w:val="single"/>
        </w:rPr>
        <w:t>Warrant</w:t>
      </w:r>
      <w:r>
        <w:rPr>
          <w:rFonts w:ascii="Times New Roman" w:hAnsi="Times New Roman"/>
          <w:sz w:val="20"/>
        </w:rPr>
        <w:t>”) certifies that, for value received, _____________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Stockholder Approval Date (the “</w:t>
      </w:r>
      <w:r>
        <w:rPr>
          <w:rFonts w:ascii="Times New Roman" w:hAnsi="Times New Roman"/>
          <w:sz w:val="20"/>
          <w:u w:val="single"/>
        </w:rPr>
        <w:t>Initial Exercise Date</w:t>
      </w:r>
      <w:r>
        <w:rPr>
          <w:rFonts w:ascii="Times New Roman" w:hAnsi="Times New Roman"/>
          <w:sz w:val="20"/>
        </w:rPr>
        <w:t>”) and on or prior to 5:00 p.m. (New York City time) on the date that is the [six (6) year] / [three (3) year] anniversary of the date that is the later of the (i) Stockholder Approval Date and (ii) the Effectiveness Date (the “</w:t>
      </w:r>
      <w:r>
        <w:rPr>
          <w:rFonts w:ascii="Times New Roman" w:hAnsi="Times New Roman"/>
          <w:sz w:val="20"/>
          <w:u w:val="single"/>
        </w:rPr>
        <w:t>Termination Date</w:t>
      </w:r>
      <w:r>
        <w:rPr>
          <w:rFonts w:ascii="Times New Roman" w:hAnsi="Times New Roman"/>
          <w:sz w:val="20"/>
        </w:rPr>
        <w:t>”), but not thereafter, to subscribe for and purchase from Tempest Therapeutics, Inc., a Delaware corporation (the “</w:t>
      </w:r>
      <w:r>
        <w:rPr>
          <w:rFonts w:ascii="Times New Roman" w:hAnsi="Times New Roman"/>
          <w:sz w:val="20"/>
          <w:u w:val="single"/>
        </w:rPr>
        <w:t>Company</w:t>
      </w:r>
      <w:r>
        <w:rPr>
          <w:rFonts w:ascii="Times New Roman" w:hAnsi="Times New Roman"/>
          <w:sz w:val="20"/>
        </w:rPr>
        <w:t>”), up to ______ shares (as subject to adjustment hereunder, the “</w:t>
      </w:r>
      <w:r>
        <w:rPr>
          <w:rFonts w:ascii="Times New Roman" w:hAnsi="Times New Roman"/>
          <w:sz w:val="20"/>
          <w:u w:val="single"/>
        </w:rPr>
        <w:t>Warrant Shares</w:t>
      </w:r>
      <w:r>
        <w:rPr>
          <w:rFonts w:ascii="Times New Roman" w:hAnsi="Times New Roman"/>
          <w:sz w:val="20"/>
        </w:rPr>
        <w:t xml:space="preserve">”) of the Company’s Common Stock. The purchase price of one share of Common Stock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Capitalized terms used and not otherwise defined herein shall have the meanings set forth in that certain Securities Purchase Agreement (the “</w:t>
      </w:r>
      <w:r>
        <w:rPr>
          <w:rFonts w:ascii="Times New Roman" w:hAnsi="Times New Roman"/>
          <w:sz w:val="20"/>
          <w:u w:val="single"/>
        </w:rPr>
        <w:t>Purchase Agreement</w:t>
      </w:r>
      <w:r>
        <w:rPr>
          <w:rFonts w:ascii="Times New Roman" w:hAnsi="Times New Roman"/>
          <w:sz w:val="20"/>
        </w:rPr>
        <w:t xml:space="preserve">”), dated September [11], 2026, among the Company and the purchasers signatory thereto.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sz w:val="20"/>
          <w:u w:val="single"/>
        </w:rPr>
        <w:t>Notice of Exercise</w:t>
      </w:r>
      <w:r>
        <w:rPr>
          <w:rFonts w:ascii="Times New Roman" w:hAnsi="Times New Roman"/>
          <w:sz w:val="20"/>
        </w:rPr>
        <w:t xml:space="preserve">”). Within the earlier of (i) one (1) Trading Day and (ii) the number of Trading Days comprising the Standard Settlement Period (as defined in Section 2(d)(i) herein) following the date of exercise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exercise price per share of Common Stock under this Warrant shall be $0.805,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386"/>
        <w:gridCol w:w="113"/>
        <w:gridCol w:w="160"/>
        <w:gridCol w:w="142"/>
        <w:gridCol w:w="8587"/>
      </w:tblGrid>
      <w:tr>
        <w:trPr/>
        <w:tc>
          <w:tcPr>
            <w:tcW w:w="38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587" w:type="dxa"/>
            <w:tcBorders/>
            <w:vAlign w:val="center"/>
          </w:tcPr>
          <w:p>
            <w:pPr>
              <w:pStyle w:val="TableContents"/>
              <w:bidi w:val="0"/>
              <w:spacing w:before="0" w:after="283"/>
              <w:jc w:val="left"/>
              <w:rPr>
                <w:sz w:val="4"/>
                <w:szCs w:val="4"/>
              </w:rPr>
            </w:pPr>
            <w:r>
              <w:rPr>
                <w:sz w:val="4"/>
                <w:szCs w:val="4"/>
              </w:rPr>
            </w:r>
          </w:p>
        </w:tc>
      </w:tr>
      <w:tr>
        <w:trPr/>
        <w:tc>
          <w:tcPr>
            <w:tcW w:w="386" w:type="dxa"/>
            <w:tcBorders/>
          </w:tcPr>
          <w:p>
            <w:pPr>
              <w:pStyle w:val="TableContents"/>
              <w:bidi w:val="0"/>
              <w:spacing w:before="0" w:after="283"/>
              <w:jc w:val="left"/>
              <w:rPr/>
            </w:pPr>
            <w:r>
              <w:rPr/>
              <w:t>(A)</w:t>
            </w:r>
          </w:p>
        </w:tc>
        <w:tc>
          <w:tcPr>
            <w:tcW w:w="113"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4600" w:type="pct"/>
        <w:jc w:val="right"/>
        <w:tblInd w:w="0" w:type="dxa"/>
        <w:tblLayout w:type="fixed"/>
        <w:tblCellMar>
          <w:top w:w="0" w:type="dxa"/>
          <w:left w:w="0" w:type="dxa"/>
          <w:bottom w:w="0" w:type="dxa"/>
          <w:right w:w="0" w:type="dxa"/>
        </w:tblCellMar>
      </w:tblPr>
      <w:tblGrid>
        <w:gridCol w:w="391"/>
        <w:gridCol w:w="114"/>
        <w:gridCol w:w="162"/>
        <w:gridCol w:w="144"/>
        <w:gridCol w:w="8577"/>
      </w:tblGrid>
      <w:tr>
        <w:trPr/>
        <w:tc>
          <w:tcPr>
            <w:tcW w:w="391"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8577" w:type="dxa"/>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8577" w:type="dxa"/>
            <w:tcBorders/>
          </w:tcPr>
          <w:p>
            <w:pPr>
              <w:pStyle w:val="TableContents"/>
              <w:bidi w:val="0"/>
              <w:spacing w:before="0" w:after="283"/>
              <w:jc w:val="left"/>
              <w:rPr/>
            </w:pPr>
            <w:r>
              <w:rPr/>
              <w:t>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rHeight w:val="120" w:hRule="atLeast"/>
        </w:trPr>
        <w:tc>
          <w:tcPr>
            <w:tcW w:w="391"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72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pPr>
            <w:r>
              <w:rPr/>
              <w:t>(B)</w:t>
            </w:r>
          </w:p>
        </w:tc>
        <w:tc>
          <w:tcPr>
            <w:tcW w:w="114" w:type="dxa"/>
            <w:tcBorders/>
            <w:vAlign w:val="bottom"/>
          </w:tcPr>
          <w:p>
            <w:pPr>
              <w:pStyle w:val="TableContents"/>
              <w:bidi w:val="0"/>
              <w:spacing w:before="0" w:after="283"/>
              <w:jc w:val="left"/>
              <w:rPr/>
            </w:pPr>
            <w:r>
              <w:rPr/>
              <w:t> </w:t>
            </w:r>
          </w:p>
        </w:tc>
        <w:tc>
          <w:tcPr>
            <w:tcW w:w="162"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8577" w:type="dxa"/>
            <w:tcBorders/>
          </w:tcPr>
          <w:p>
            <w:pPr>
              <w:pStyle w:val="TableContents"/>
              <w:bidi w:val="0"/>
              <w:spacing w:before="0" w:after="283"/>
              <w:jc w:val="left"/>
              <w:rPr/>
            </w:pPr>
            <w:r>
              <w:rPr/>
              <w:t>the Exercise Price of this Warrant, as adjusted hereunder; and</w:t>
            </w:r>
          </w:p>
        </w:tc>
      </w:tr>
      <w:tr>
        <w:trPr>
          <w:trHeight w:val="120" w:hRule="atLeast"/>
        </w:trPr>
        <w:tc>
          <w:tcPr>
            <w:tcW w:w="391"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72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pPr>
            <w:r>
              <w:rPr/>
              <w:t>(X)</w:t>
            </w:r>
          </w:p>
        </w:tc>
        <w:tc>
          <w:tcPr>
            <w:tcW w:w="114" w:type="dxa"/>
            <w:tcBorders/>
            <w:vAlign w:val="bottom"/>
          </w:tcPr>
          <w:p>
            <w:pPr>
              <w:pStyle w:val="TableContents"/>
              <w:bidi w:val="0"/>
              <w:spacing w:before="0" w:after="283"/>
              <w:jc w:val="left"/>
              <w:rPr/>
            </w:pPr>
            <w:r>
              <w:rPr/>
              <w:t> </w:t>
            </w:r>
          </w:p>
        </w:tc>
        <w:tc>
          <w:tcPr>
            <w:tcW w:w="162"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8577" w:type="dxa"/>
            <w:tcBorders/>
          </w:tcPr>
          <w:p>
            <w:pPr>
              <w:pStyle w:val="TableContents"/>
              <w:bidi w:val="0"/>
              <w:spacing w:before="0" w:after="283"/>
              <w:jc w:val="left"/>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120" w:after="0"/>
        <w:jc w:val="left"/>
        <w:rPr/>
      </w:pPr>
      <w:r>
        <w:rPr/>
        <w:t>“</w:t>
      </w:r>
      <w:r>
        <w:rPr>
          <w:rFonts w:ascii="Times New Roman" w:hAnsi="Times New Roman"/>
          <w:sz w:val="20"/>
          <w:u w:val="single"/>
        </w:rPr>
        <w:t>Bid Price</w:t>
      </w:r>
      <w:r>
        <w:rPr>
          <w:rFonts w:ascii="Times New Roman" w:hAnsi="Times New Roman"/>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hAnsi="Times New Roman"/>
          <w:sz w:val="20"/>
          <w:u w:val="single"/>
        </w:rPr>
        <w:t>OTCQB</w:t>
      </w:r>
      <w:r>
        <w:rPr>
          <w:rFonts w:ascii="Times New Roman" w:hAnsi="Times New Roman"/>
          <w:sz w:val="20"/>
        </w:rPr>
        <w:t>”) or the OTCQX Best Market (“</w:t>
      </w:r>
      <w:r>
        <w:rPr>
          <w:rFonts w:ascii="Times New Roman" w:hAnsi="Times New Roman"/>
          <w:sz w:val="20"/>
          <w:u w:val="single"/>
        </w:rPr>
        <w:t>OTCQX</w:t>
      </w:r>
      <w:r>
        <w:rPr>
          <w:rFonts w:ascii="Times New Roman" w:hAnsi="Times New Roman"/>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hAnsi="Times New Roman"/>
          <w:sz w:val="20"/>
          <w:u w:val="single"/>
        </w:rPr>
        <w:t>Pink Market</w:t>
      </w:r>
      <w:r>
        <w:rPr>
          <w:rFonts w:ascii="Times New Roman" w:hAnsi="Times New Roman"/>
          <w:sz w:val="20"/>
        </w:rPr>
        <w:t xml:space="preserve">”)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 </w:t>
      </w:r>
    </w:p>
    <w:p>
      <w:pPr>
        <w:pStyle w:val="TextBody"/>
        <w:bidi w:val="0"/>
        <w:spacing w:before="12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the Notice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hAnsi="Times New Roman"/>
          <w:sz w:val="20"/>
          <w:u w:val="single"/>
        </w:rPr>
        <w:t>Attribution Parties</w:t>
      </w:r>
      <w:r>
        <w:rPr>
          <w:rFonts w:ascii="Times New Roman" w:hAnsi="Times New Roman"/>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 </w:t>
      </w:r>
    </w:p>
    <w:p>
      <w:pPr>
        <w:pStyle w:val="TextBody"/>
        <w:bidi w:val="0"/>
        <w:spacing w:before="24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other than as a result of a subdivision or combination of shares of Common Stock covered by </w:t>
      </w:r>
      <w:r>
        <w:rPr>
          <w:rFonts w:ascii="Times New Roman" w:hAnsi="Times New Roman"/>
          <w:sz w:val="20"/>
          <w:u w:val="single"/>
        </w:rPr>
        <w:t>Section 3(a)</w:t>
      </w:r>
      <w:r>
        <w:rPr>
          <w:rFonts w:ascii="Times New Roman" w:hAnsi="Times New Roman"/>
          <w:sz w:val="20"/>
        </w:rPr>
        <w:t xml:space="preserve"> above,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(except for any such transaction in which the stockholders of the Company immediately prior to such transaction maintain, in substantially the same proportions, the voting power of such Person immediately after the transaction),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sz w:val="20"/>
          <w:u w:val="single"/>
        </w:rPr>
        <w:t>Fundamental Transaction</w:t>
      </w:r>
      <w:r>
        <w:rPr>
          <w:rFonts w:ascii="Times New Roman" w:hAnsi="Times New Roman"/>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 w:hAnsi="Times New Roman"/>
          <w:sz w:val="20"/>
        </w:rPr>
        <w:t xml:space="preserve">”) receivable as a result of such Fundamental Transaction by a holder of the number of shares of Common Stock for which this Warrant is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(x) any stock split or reverse stock split, (y) any transaction effected solely for the purpose of changing the jurisdiction of incorporation of the 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hAnsi="Times New Roman"/>
          <w:sz w:val="20"/>
          <w:u w:val="single"/>
        </w:rPr>
        <w:t>Black Scholes Value</w:t>
      </w:r>
      <w:r>
        <w:rPr>
          <w:rFonts w:ascii="Times New Roman" w:hAnsi="Times New Roman"/>
          <w:sz w:val="20"/>
        </w:rPr>
        <w:t xml:space="preserv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volatility for the remaining exercised period as obtained from the HVT function on Bloomberg (determined utilizing a 252 day annualization factor) as of the Trading Day immediately following the consummation of the applicable contemplated Fundamental Transaction, (C) the underlying price per share used in such calculation shall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VWAP for the 30 days prior to the Trading Day immediately preceding the consummation of the applicable contemplated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Restrictions</w:t>
      </w:r>
      <w:r>
        <w:rPr>
          <w:rFonts w:ascii="Times New Roman" w:hAnsi="Times New Roman"/>
          <w:sz w:val="20"/>
        </w:rPr>
        <w:t xml:space="preserve">.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Representation by the Holder</w:t>
      </w:r>
      <w:r>
        <w:rPr>
          <w:rFonts w:ascii="Times New Roman" w:hAnsi="Times New Roman"/>
          <w:sz w:val="20"/>
        </w:rPr>
        <w:t xml:space="preserve">.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 No Settlement in Cash</w:t>
      </w:r>
      <w:r>
        <w:rPr>
          <w:rFonts w:ascii="Times New Roman" w:hAnsi="Times New Roman"/>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12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Warrant shall be determined in accordance with the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the Holder does not utilize cashless exercise, will have restrictions upon resale imposed by state and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Any notice, request or other document required or permitted to be given or delivered to the Holder by the Company shall be delivered in accordance with the notice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on the one hand, and the Holder of this Warrant,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360" w:after="0"/>
        <w:jc w:val="left"/>
        <w:rPr>
          <w:rFonts w:ascii="Times New Roman" w:hAnsi="Times New Roman"/>
          <w:b/>
          <w:sz w:val="20"/>
        </w:rPr>
      </w:pPr>
      <w:r>
        <w:rPr>
          <w:rFonts w:ascii="Times New Roman" w:hAnsi="Times New Roman"/>
          <w:b/>
          <w:sz w:val="20"/>
        </w:rPr>
        <w:t xml:space="preserve">TO: TEMPEST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6"/>
        <w:gridCol w:w="150"/>
        <w:gridCol w:w="3143"/>
        <w:gridCol w:w="150"/>
        <w:gridCol w:w="5446"/>
      </w:tblGrid>
      <w:tr>
        <w:trPr/>
        <w:tc>
          <w:tcPr>
            <w:tcW w:w="131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5446" w:type="dxa"/>
            <w:tcBorders/>
            <w:vAlign w:val="center"/>
          </w:tcPr>
          <w:p>
            <w:pPr>
              <w:pStyle w:val="TableContents"/>
              <w:bidi w:val="0"/>
              <w:spacing w:before="0" w:after="283"/>
              <w:jc w:val="left"/>
              <w:rPr>
                <w:sz w:val="4"/>
                <w:szCs w:val="4"/>
              </w:rPr>
            </w:pPr>
            <w:r>
              <w:rPr>
                <w:sz w:val="4"/>
                <w:szCs w:val="4"/>
              </w:rPr>
            </w:r>
          </w:p>
        </w:tc>
      </w:tr>
      <w:tr>
        <w:trPr/>
        <w:tc>
          <w:tcPr>
            <w:tcW w:w="131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143" w:type="dxa"/>
            <w:tcBorders/>
          </w:tcPr>
          <w:p>
            <w:pPr>
              <w:pStyle w:val="TableContents"/>
              <w:pBdr>
                <w:bottom w:val="single" w:sz="2" w:space="1" w:color="000000"/>
              </w:pBdr>
              <w:bidi w:val="0"/>
              <w:spacing w:before="0" w:after="20"/>
              <w:jc w:val="left"/>
              <w:rPr/>
            </w:pPr>
            <w:r>
              <w:rPr/>
              <w:t> </w:t>
            </w:r>
          </w:p>
        </w:tc>
        <w:tc>
          <w:tcPr>
            <w:tcW w:w="150" w:type="dxa"/>
            <w:tcBorders/>
            <w:vAlign w:val="bottom"/>
          </w:tcPr>
          <w:p>
            <w:pPr>
              <w:pStyle w:val="TableContents"/>
              <w:bidi w:val="0"/>
              <w:spacing w:before="0" w:after="283"/>
              <w:jc w:val="left"/>
              <w:rPr/>
            </w:pPr>
            <w:r>
              <w:rPr/>
              <w:t>  </w:t>
            </w:r>
          </w:p>
        </w:tc>
        <w:tc>
          <w:tcPr>
            <w:tcW w:w="544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6"/>
        <w:gridCol w:w="150"/>
        <w:gridCol w:w="3143"/>
        <w:gridCol w:w="150"/>
        <w:gridCol w:w="5446"/>
      </w:tblGrid>
      <w:tr>
        <w:trPr/>
        <w:tc>
          <w:tcPr>
            <w:tcW w:w="131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5446" w:type="dxa"/>
            <w:tcBorders/>
            <w:vAlign w:val="center"/>
          </w:tcPr>
          <w:p>
            <w:pPr>
              <w:pStyle w:val="TableContents"/>
              <w:bidi w:val="0"/>
              <w:spacing w:before="0" w:after="283"/>
              <w:jc w:val="left"/>
              <w:rPr>
                <w:sz w:val="4"/>
                <w:szCs w:val="4"/>
              </w:rPr>
            </w:pPr>
            <w:r>
              <w:rPr>
                <w:sz w:val="4"/>
                <w:szCs w:val="4"/>
              </w:rPr>
            </w:r>
          </w:p>
        </w:tc>
      </w:tr>
      <w:tr>
        <w:trPr/>
        <w:tc>
          <w:tcPr>
            <w:tcW w:w="131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143" w:type="dxa"/>
            <w:tcBorders/>
          </w:tcPr>
          <w:p>
            <w:pPr>
              <w:pStyle w:val="TableContents"/>
              <w:pBdr>
                <w:bottom w:val="single" w:sz="2" w:space="1" w:color="000000"/>
              </w:pBdr>
              <w:bidi w:val="0"/>
              <w:spacing w:before="0" w:after="20"/>
              <w:jc w:val="left"/>
              <w:rPr/>
            </w:pPr>
            <w:r>
              <w:rPr/>
              <w:t> </w:t>
            </w:r>
          </w:p>
        </w:tc>
        <w:tc>
          <w:tcPr>
            <w:tcW w:w="150" w:type="dxa"/>
            <w:tcBorders/>
            <w:vAlign w:val="bottom"/>
          </w:tcPr>
          <w:p>
            <w:pPr>
              <w:pStyle w:val="TableContents"/>
              <w:bidi w:val="0"/>
              <w:spacing w:before="0" w:after="283"/>
              <w:jc w:val="left"/>
              <w:rPr/>
            </w:pPr>
            <w:r>
              <w:rPr/>
              <w:t>  </w:t>
            </w:r>
          </w:p>
        </w:tc>
        <w:tc>
          <w:tcPr>
            <w:tcW w:w="5446" w:type="dxa"/>
            <w:tcBorders/>
          </w:tcPr>
          <w:p>
            <w:pPr>
              <w:pStyle w:val="TableContents"/>
              <w:bidi w:val="0"/>
              <w:spacing w:before="0" w:after="283"/>
              <w:jc w:val="left"/>
              <w:rPr>
                <w:sz w:val="4"/>
                <w:szCs w:val="4"/>
              </w:rPr>
            </w:pPr>
            <w:r>
              <w:rPr>
                <w:sz w:val="4"/>
                <w:szCs w:val="4"/>
              </w:rPr>
            </w:r>
          </w:p>
        </w:tc>
      </w:tr>
      <w:tr>
        <w:trPr/>
        <w:tc>
          <w:tcPr>
            <w:tcW w:w="131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143" w:type="dxa"/>
            <w:tcBorders/>
          </w:tcPr>
          <w:p>
            <w:pPr>
              <w:pStyle w:val="TableContents"/>
              <w:pBdr>
                <w:bottom w:val="single" w:sz="2" w:space="1" w:color="000000"/>
              </w:pBdr>
              <w:bidi w:val="0"/>
              <w:spacing w:before="0" w:after="20"/>
              <w:jc w:val="left"/>
              <w:rPr/>
            </w:pPr>
            <w:r>
              <w:rPr/>
              <w:t> </w:t>
            </w:r>
          </w:p>
        </w:tc>
        <w:tc>
          <w:tcPr>
            <w:tcW w:w="150" w:type="dxa"/>
            <w:tcBorders/>
            <w:vAlign w:val="bottom"/>
          </w:tcPr>
          <w:p>
            <w:pPr>
              <w:pStyle w:val="TableContents"/>
              <w:bidi w:val="0"/>
              <w:spacing w:before="0" w:after="283"/>
              <w:jc w:val="left"/>
              <w:rPr/>
            </w:pPr>
            <w:r>
              <w:rPr/>
              <w:t>  </w:t>
            </w:r>
          </w:p>
        </w:tc>
        <w:tc>
          <w:tcPr>
            <w:tcW w:w="5446" w:type="dxa"/>
            <w:tcBorders/>
          </w:tcPr>
          <w:p>
            <w:pPr>
              <w:pStyle w:val="TableContents"/>
              <w:bidi w:val="0"/>
              <w:spacing w:before="0" w:after="283"/>
              <w:jc w:val="left"/>
              <w:rPr>
                <w:sz w:val="4"/>
                <w:szCs w:val="4"/>
              </w:rPr>
            </w:pPr>
            <w:r>
              <w:rPr>
                <w:sz w:val="4"/>
                <w:szCs w:val="4"/>
              </w:rPr>
            </w:r>
          </w:p>
        </w:tc>
      </w:tr>
      <w:tr>
        <w:trPr/>
        <w:tc>
          <w:tcPr>
            <w:tcW w:w="131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143" w:type="dxa"/>
            <w:tcBorders/>
          </w:tcPr>
          <w:p>
            <w:pPr>
              <w:pStyle w:val="TableContents"/>
              <w:pBdr>
                <w:bottom w:val="single" w:sz="2" w:space="1" w:color="000000"/>
              </w:pBdr>
              <w:bidi w:val="0"/>
              <w:spacing w:before="0" w:after="20"/>
              <w:jc w:val="left"/>
              <w:rPr/>
            </w:pPr>
            <w:r>
              <w:rPr/>
              <w:t> </w:t>
            </w:r>
          </w:p>
        </w:tc>
        <w:tc>
          <w:tcPr>
            <w:tcW w:w="150" w:type="dxa"/>
            <w:tcBorders/>
            <w:vAlign w:val="bottom"/>
          </w:tcPr>
          <w:p>
            <w:pPr>
              <w:pStyle w:val="TableContents"/>
              <w:bidi w:val="0"/>
              <w:spacing w:before="0" w:after="283"/>
              <w:jc w:val="left"/>
              <w:rPr/>
            </w:pPr>
            <w:r>
              <w:rPr/>
              <w:t>  </w:t>
            </w:r>
          </w:p>
        </w:tc>
        <w:tc>
          <w:tcPr>
            <w:tcW w:w="544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(4) 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Accredited Investor</w:t>
      </w:r>
      <w:r>
        <w:rPr>
          <w:rFonts w:ascii="Times New Roman" w:hAnsi="Times New Roman"/>
          <w:sz w:val="20"/>
        </w:rPr>
        <w:t xml:space="preserv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____________________________________________________________________________________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Date: ____________________________________________________________________________________________________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exercise the Warrant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56"/>
        <w:gridCol w:w="121"/>
        <w:gridCol w:w="428"/>
        <w:gridCol w:w="121"/>
        <w:gridCol w:w="3858"/>
        <w:gridCol w:w="121"/>
        <w:gridCol w:w="700"/>
      </w:tblGrid>
      <w:tr>
        <w:trPr/>
        <w:tc>
          <w:tcPr>
            <w:tcW w:w="48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pPr>
            <w:r>
              <w:rPr/>
              <w:t>    </w:t>
            </w:r>
          </w:p>
        </w:tc>
      </w:tr>
      <w:tr>
        <w:trPr/>
        <w:tc>
          <w:tcPr>
            <w:tcW w:w="48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bidi w:val="0"/>
              <w:spacing w:before="0" w:after="283"/>
              <w:jc w:val="left"/>
              <w:rPr/>
            </w:pPr>
            <w:r>
              <w:rPr/>
              <w:t>(Please Print)</w:t>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rHeight w:val="240" w:hRule="atLeast"/>
        </w:trPr>
        <w:tc>
          <w:tcPr>
            <w:tcW w:w="4856" w:type="dxa"/>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Address:</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bidi w:val="0"/>
              <w:spacing w:before="0" w:after="283"/>
              <w:jc w:val="left"/>
              <w:rPr/>
            </w:pPr>
            <w:r>
              <w:rPr/>
              <w:t>(Please Print)</w:t>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rHeight w:val="240" w:hRule="atLeast"/>
        </w:trPr>
        <w:tc>
          <w:tcPr>
            <w:tcW w:w="4856" w:type="dxa"/>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Phone Number:</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rHeight w:val="240" w:hRule="atLeast"/>
        </w:trPr>
        <w:tc>
          <w:tcPr>
            <w:tcW w:w="4856" w:type="dxa"/>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Email Address:</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rHeight w:val="240" w:hRule="atLeast"/>
        </w:trPr>
        <w:tc>
          <w:tcPr>
            <w:tcW w:w="4856" w:type="dxa"/>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Dated: _______________ __, ______</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rHeight w:val="240" w:hRule="atLeast"/>
        </w:trPr>
        <w:tc>
          <w:tcPr>
            <w:tcW w:w="4856" w:type="dxa"/>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Holder’s Signature: ___________________</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r>
        <w:trPr>
          <w:trHeight w:val="240" w:hRule="atLeast"/>
        </w:trPr>
        <w:tc>
          <w:tcPr>
            <w:tcW w:w="4856" w:type="dxa"/>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283"/>
              <w:jc w:val="left"/>
              <w:rPr/>
            </w:pPr>
            <w:r>
              <w:rPr/>
              <w:t>Holder’s Address: ____________________</w:t>
            </w:r>
          </w:p>
        </w:tc>
        <w:tc>
          <w:tcPr>
            <w:tcW w:w="121"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6" w:name="d108044dex101.htm"/>
      <w:bookmarkStart w:id="7" w:name="ksd108044dex101"/>
      <w:bookmarkEnd w:id="6"/>
      <w:bookmarkEnd w:id="7"/>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This Securities Purchase Agreement (this “</w:t>
      </w:r>
      <w:r>
        <w:rPr>
          <w:rFonts w:ascii="Times New Roman" w:hAnsi="Times New Roman"/>
          <w:sz w:val="20"/>
          <w:u w:val="single"/>
        </w:rPr>
        <w:t>Agreement</w:t>
      </w:r>
      <w:r>
        <w:rPr>
          <w:rFonts w:ascii="Times New Roman" w:hAnsi="Times New Roman"/>
          <w:sz w:val="20"/>
        </w:rPr>
        <w:t>”) is dated as of September 11, 2026, between Tempest Therapeutics, Inc., a Delaware corporation (the “</w:t>
      </w:r>
      <w:r>
        <w:rPr>
          <w:rFonts w:ascii="Times New Roman" w:hAnsi="Times New Roman"/>
          <w:sz w:val="20"/>
          <w:u w:val="single"/>
        </w:rPr>
        <w:t>Company</w:t>
      </w:r>
      <w:r>
        <w:rPr>
          <w:rFonts w:ascii="Times New Roman" w:hAnsi="Times New Roman"/>
          <w:sz w:val="20"/>
        </w:rPr>
        <w:t>”), and each purchaser identified on the signature pages hereto (each, including its successors and assigns,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each Purchaser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In addition to the terms defined elsewhere in this Agreement, for all purposes of this Agreement, the following terms have the meanings set forth in this Section 1.1: </w:t>
      </w:r>
    </w:p>
    <w:p>
      <w:pPr>
        <w:pStyle w:val="TextBody"/>
        <w:bidi w:val="0"/>
        <w:spacing w:before="240" w:after="0"/>
        <w:jc w:val="left"/>
        <w:rPr/>
      </w:pPr>
      <w:r>
        <w:rPr/>
        <w:t>“</w:t>
      </w:r>
      <w:r>
        <w:rPr>
          <w:rFonts w:ascii="Times New Roman" w:hAnsi="Times New Roman"/>
          <w:sz w:val="20"/>
          <w:u w:val="single"/>
        </w:rPr>
        <w:t>Acquiring Person</w:t>
      </w:r>
      <w:r>
        <w:rPr>
          <w:rFonts w:ascii="Times New Roman" w:hAnsi="Times New Roman"/>
          <w:sz w:val="20"/>
        </w:rPr>
        <w:t xml:space="preserve">” shall have the meaning ascribed to such term in Section 4.5. </w:t>
      </w:r>
    </w:p>
    <w:p>
      <w:pPr>
        <w:pStyle w:val="TextBody"/>
        <w:bidi w:val="0"/>
        <w:spacing w:before="120" w:after="0"/>
        <w:jc w:val="left"/>
        <w:rPr/>
      </w:pPr>
      <w:r>
        <w:rPr/>
        <w:t>“</w:t>
      </w:r>
      <w:r>
        <w:rPr>
          <w:rFonts w:ascii="Times New Roman" w:hAnsi="Times New Roman"/>
          <w:sz w:val="20"/>
          <w:u w:val="single"/>
        </w:rPr>
        <w:t>Action</w:t>
      </w:r>
      <w:r>
        <w:rPr>
          <w:rFonts w:ascii="Times New Roman" w:hAnsi="Times New Roman"/>
          <w:sz w:val="20"/>
        </w:rPr>
        <w:t xml:space="preserve">” shall have the meaning ascribed to such term in Section 3.1(j).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120" w:after="0"/>
        <w:jc w:val="left"/>
        <w:rPr/>
      </w:pPr>
      <w:r>
        <w:rPr/>
        <w:t>“</w:t>
      </w:r>
      <w:r>
        <w:rPr>
          <w:rFonts w:ascii="Times New Roman" w:hAnsi="Times New Roman"/>
          <w:sz w:val="20"/>
          <w:u w:val="single"/>
        </w:rPr>
        <w:t>Board of Directors</w:t>
      </w:r>
      <w:r>
        <w:rPr>
          <w:rFonts w:ascii="Times New Roman" w:hAnsi="Times New Roman"/>
          <w:sz w:val="20"/>
        </w:rPr>
        <w:t xml:space="preserve">” means the board of directors of the Company. </w:t>
      </w:r>
    </w:p>
    <w:p>
      <w:pPr>
        <w:pStyle w:val="TextBody"/>
        <w:bidi w:val="0"/>
        <w:spacing w:before="12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 </w:t>
      </w:r>
    </w:p>
    <w:p>
      <w:pPr>
        <w:pStyle w:val="TextBody"/>
        <w:bidi w:val="0"/>
        <w:spacing w:before="120" w:after="0"/>
        <w:jc w:val="left"/>
        <w:rPr/>
      </w:pPr>
      <w:r>
        <w:rPr/>
        <w:t>“</w:t>
      </w:r>
      <w:r>
        <w:rPr>
          <w:rFonts w:ascii="Times New Roman" w:hAnsi="Times New Roman"/>
          <w:sz w:val="20"/>
          <w:u w:val="single"/>
        </w:rPr>
        <w:t>Closing</w:t>
      </w:r>
      <w:r>
        <w:rPr>
          <w:rFonts w:ascii="Times New Roman" w:hAnsi="Times New Roman"/>
          <w:sz w:val="20"/>
        </w:rPr>
        <w:t xml:space="preserve">” means the closing of the purchase and sale of the Shares, the Pre-Funded Warrants and the Common Warrants pursuant to Section 2.1. </w:t>
      </w:r>
    </w:p>
    <w:p>
      <w:pPr>
        <w:pStyle w:val="TextBody"/>
        <w:bidi w:val="0"/>
        <w:spacing w:before="120" w:after="0"/>
        <w:jc w:val="left"/>
        <w:rPr/>
      </w:pPr>
      <w:r>
        <w:rPr/>
        <w:t>“</w:t>
      </w:r>
      <w:r>
        <w:rPr>
          <w:rFonts w:ascii="Times New Roman" w:hAnsi="Times New Roman"/>
          <w:sz w:val="20"/>
          <w:u w:val="single"/>
        </w:rPr>
        <w:t>Closing Date</w:t>
      </w:r>
      <w:r>
        <w:rPr>
          <w:rFonts w:ascii="Times New Roman" w:hAnsi="Times New Roman"/>
          <w:sz w:val="20"/>
        </w:rPr>
        <w:t xml:space="preserve">” means the Trading Day on which all of the Transaction Documents have been executed and delivered by the applicable parties thereto, and all conditions precedent to (i) the Purchasers’ obligations to pay the Subscription Amount and (ii) the Company’s obligations to deliver the Shares and Warrants, in each case, have been satisfied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120" w:after="0"/>
        <w:jc w:val="left"/>
        <w:rPr/>
      </w:pPr>
      <w:r>
        <w:rPr/>
        <w:t>“</w:t>
      </w:r>
      <w:r>
        <w:rPr>
          <w:rFonts w:ascii="Times New Roman" w:hAnsi="Times New Roman"/>
          <w:sz w:val="20"/>
          <w:u w:val="single"/>
        </w:rPr>
        <w:t>Common Stock</w:t>
      </w:r>
      <w:r>
        <w:rPr>
          <w:rFonts w:ascii="Times New Roman" w:hAnsi="Times New Roman"/>
          <w:sz w:val="20"/>
        </w:rPr>
        <w:t xml:space="preserve">” means the common stock of the Company, par value $0.001 per share, and any other class of securities into which such securities may hereafter be reclassified or changed. </w:t>
      </w:r>
    </w:p>
    <w:p>
      <w:pPr>
        <w:pStyle w:val="TextBody"/>
        <w:bidi w:val="0"/>
        <w:spacing w:before="120" w:after="0"/>
        <w:jc w:val="left"/>
        <w:rPr/>
      </w:pPr>
      <w:r>
        <w:rPr/>
        <w:t>“</w:t>
      </w:r>
      <w:r>
        <w:rPr>
          <w:rFonts w:ascii="Times New Roman" w:hAnsi="Times New Roman"/>
          <w:sz w:val="20"/>
          <w:u w:val="single"/>
        </w:rPr>
        <w:t>Common Stock Equivalents</w:t>
      </w:r>
      <w:r>
        <w:rPr>
          <w:rFonts w:ascii="Times New Roman" w:hAnsi="Times New Roman"/>
          <w:sz w:val="20"/>
        </w:rPr>
        <w:t xml:space="preserve">”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120" w:after="0"/>
        <w:jc w:val="left"/>
        <w:rPr/>
      </w:pPr>
      <w:r>
        <w:rPr/>
        <w:t>“</w:t>
      </w:r>
      <w:r>
        <w:rPr>
          <w:rFonts w:ascii="Times New Roman" w:hAnsi="Times New Roman"/>
          <w:sz w:val="20"/>
          <w:u w:val="single"/>
        </w:rPr>
        <w:t>Common Warrants</w:t>
      </w:r>
      <w:r>
        <w:rPr>
          <w:rFonts w:ascii="Times New Roman" w:hAnsi="Times New Roman"/>
          <w:sz w:val="20"/>
        </w:rPr>
        <w:t xml:space="preserve">” means, collectively, the Series C Warrants and the Series D Warrants. </w:t>
      </w:r>
    </w:p>
    <w:p>
      <w:pPr>
        <w:pStyle w:val="TextBody"/>
        <w:bidi w:val="0"/>
        <w:spacing w:before="120" w:after="0"/>
        <w:jc w:val="left"/>
        <w:rPr/>
      </w:pPr>
      <w:r>
        <w:rPr/>
        <w:t>“</w:t>
      </w:r>
      <w:r>
        <w:rPr>
          <w:rFonts w:ascii="Times New Roman" w:hAnsi="Times New Roman"/>
          <w:sz w:val="20"/>
          <w:u w:val="single"/>
        </w:rPr>
        <w:t>Common Warrant Shares</w:t>
      </w:r>
      <w:r>
        <w:rPr>
          <w:rFonts w:ascii="Times New Roman" w:hAnsi="Times New Roman"/>
          <w:sz w:val="20"/>
        </w:rPr>
        <w:t xml:space="preserve">” means the shares of Common Stock issuable upon exercise of the Series C Warrants and the Series D Warrants. </w:t>
      </w:r>
    </w:p>
    <w:p>
      <w:pPr>
        <w:pStyle w:val="TextBody"/>
        <w:bidi w:val="0"/>
        <w:spacing w:before="120" w:after="0"/>
        <w:jc w:val="left"/>
        <w:rPr/>
      </w:pPr>
      <w:r>
        <w:rPr/>
        <w:t>“</w:t>
      </w:r>
      <w:r>
        <w:rPr>
          <w:rFonts w:ascii="Times New Roman" w:hAnsi="Times New Roman"/>
          <w:sz w:val="20"/>
          <w:u w:val="single"/>
        </w:rPr>
        <w:t>Company Counsel</w:t>
      </w:r>
      <w:r>
        <w:rPr>
          <w:rFonts w:ascii="Times New Roman" w:hAnsi="Times New Roman"/>
          <w:sz w:val="20"/>
        </w:rPr>
        <w:t xml:space="preserve">” means Greenberg Traurig, LLP, with offices located at One International Place, Suite 2000, Boston, Massachusetts 02110. </w:t>
      </w:r>
    </w:p>
    <w:p>
      <w:pPr>
        <w:pStyle w:val="TextBody"/>
        <w:bidi w:val="0"/>
        <w:spacing w:before="120" w:after="0"/>
        <w:jc w:val="left"/>
        <w:rPr/>
      </w:pPr>
      <w:r>
        <w:rPr/>
        <w:t>“</w:t>
      </w:r>
      <w:r>
        <w:rPr>
          <w:rFonts w:ascii="Times New Roman" w:hAnsi="Times New Roman"/>
          <w:sz w:val="20"/>
          <w:u w:val="single"/>
        </w:rPr>
        <w:t>Disclosure Time</w:t>
      </w:r>
      <w:r>
        <w:rPr>
          <w:rFonts w:ascii="Times New Roman" w:hAnsi="Times New Roman"/>
          <w:sz w:val="20"/>
        </w:rPr>
        <w:t xml:space="preserve">”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 </w:t>
      </w:r>
    </w:p>
    <w:p>
      <w:pPr>
        <w:pStyle w:val="TextBody"/>
        <w:bidi w:val="0"/>
        <w:spacing w:before="120" w:after="0"/>
        <w:jc w:val="left"/>
        <w:rPr/>
      </w:pPr>
      <w:r>
        <w:rPr/>
        <w:t>“</w:t>
      </w:r>
      <w:r>
        <w:rPr>
          <w:rFonts w:ascii="Times New Roman" w:hAnsi="Times New Roman"/>
          <w:sz w:val="20"/>
          <w:u w:val="single"/>
        </w:rPr>
        <w:t>Effective Date</w:t>
      </w:r>
      <w:r>
        <w:rPr>
          <w:rFonts w:ascii="Times New Roman" w:hAnsi="Times New Roman"/>
          <w:sz w:val="20"/>
        </w:rPr>
        <w:t xml:space="preserve">” means the earliest of the date that (a) the initial Registration Statement registering for resale all Shares and Warrant Shares has been declared effective by the Commission, (b) all of the Shares and Warrant Shares have been sold pursuant to such effective Registration Statement or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 </w:t>
      </w:r>
    </w:p>
    <w:p>
      <w:pPr>
        <w:pStyle w:val="TextBody"/>
        <w:bidi w:val="0"/>
        <w:spacing w:before="120" w:after="0"/>
        <w:jc w:val="left"/>
        <w:rPr/>
      </w:pPr>
      <w:r>
        <w:rPr/>
        <w:t>“</w:t>
      </w:r>
      <w:r>
        <w:rPr>
          <w:rFonts w:ascii="Times New Roman" w:hAnsi="Times New Roman"/>
          <w:sz w:val="20"/>
          <w:u w:val="single"/>
        </w:rPr>
        <w:t>Evaluation Date</w:t>
      </w:r>
      <w:r>
        <w:rPr>
          <w:rFonts w:ascii="Times New Roman" w:hAnsi="Times New Roman"/>
          <w:sz w:val="20"/>
        </w:rPr>
        <w:t xml:space="preserve">” shall have the meaning ascribed to such term in Section 3.1(s).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pPr>
      <w:r>
        <w:rPr/>
        <w:t>“</w:t>
      </w:r>
      <w:r>
        <w:rPr>
          <w:rFonts w:ascii="Times New Roman" w:hAnsi="Times New Roman"/>
          <w:sz w:val="20"/>
          <w:u w:val="single"/>
        </w:rPr>
        <w:t>Exempt Issuance</w:t>
      </w:r>
      <w:r>
        <w:rPr>
          <w:rFonts w:ascii="Times New Roman" w:hAnsi="Times New Roman"/>
          <w:sz w:val="20"/>
        </w:rPr>
        <w:t xml:space="preserve">” means the issuance of (a) shares of Common Stock or options to employees, officers or directors of the Company pursuant to any stock or option plan or employee stock purchase plan duly adopted for such purpose, by a majority of the non-employee members of the Board of Directors or a majority of the members of a committee of non-employee directors established for such purpose for services rendered to the Company, (b) warrants to the Placement Agent in connection with the transactions pursuant to this Agreement and any shares of Common Stock upon exercise of the warrants to the Placement Agent, if applicable, and/or shares of Common Stock upon the exercise or exchange of or conversion of any Securities issued hereunder and/or other securities exercisable or exchangeable for or convertible into shares of Common Stock issued and outstanding on the date of this Agreement (including, for the avoidance of doubt, those under clause (a) or any distribution under a rights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stock dividends or other similar transactions)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p>
    <w:p>
      <w:pPr>
        <w:pStyle w:val="TextBody"/>
        <w:bidi w:val="0"/>
        <w:spacing w:before="120" w:after="0"/>
        <w:jc w:val="left"/>
        <w:rPr/>
      </w:pPr>
      <w:r>
        <w:rPr/>
        <w:t>“</w:t>
      </w:r>
      <w:r>
        <w:rPr>
          <w:rFonts w:ascii="Times New Roman" w:hAnsi="Times New Roman"/>
          <w:sz w:val="20"/>
          <w:u w:val="single"/>
        </w:rPr>
        <w:t>FCPA</w:t>
      </w:r>
      <w:r>
        <w:rPr>
          <w:rFonts w:ascii="Times New Roman" w:hAnsi="Times New Roman"/>
          <w:sz w:val="20"/>
        </w:rPr>
        <w:t xml:space="preserve">” means the Foreign Corrupt Practices Act of 1977, as amended. </w:t>
      </w:r>
    </w:p>
    <w:p>
      <w:pPr>
        <w:pStyle w:val="TextBody"/>
        <w:bidi w:val="0"/>
        <w:spacing w:before="120" w:after="0"/>
        <w:jc w:val="left"/>
        <w:rPr/>
      </w:pPr>
      <w:r>
        <w:rPr/>
        <w:t>“</w:t>
      </w:r>
      <w:r>
        <w:rPr>
          <w:rFonts w:ascii="Times New Roman" w:hAnsi="Times New Roman"/>
          <w:sz w:val="20"/>
          <w:u w:val="single"/>
        </w:rPr>
        <w:t>FDA</w:t>
      </w:r>
      <w:r>
        <w:rPr>
          <w:rFonts w:ascii="Times New Roman" w:hAnsi="Times New Roman"/>
          <w:sz w:val="20"/>
        </w:rPr>
        <w:t xml:space="preserve">” shall have the meaning ascribed to such term in Section 3.1(kk). </w:t>
      </w:r>
    </w:p>
    <w:p>
      <w:pPr>
        <w:pStyle w:val="TextBody"/>
        <w:bidi w:val="0"/>
        <w:spacing w:before="120" w:after="0"/>
        <w:jc w:val="left"/>
        <w:rPr/>
      </w:pPr>
      <w:r>
        <w:rPr/>
        <w:t>“</w:t>
      </w:r>
      <w:r>
        <w:rPr>
          <w:rFonts w:ascii="Times New Roman" w:hAnsi="Times New Roman"/>
          <w:sz w:val="20"/>
          <w:u w:val="single"/>
        </w:rPr>
        <w:t>FDCA</w:t>
      </w:r>
      <w:r>
        <w:rPr>
          <w:rFonts w:ascii="Times New Roman" w:hAnsi="Times New Roman"/>
          <w:sz w:val="20"/>
        </w:rPr>
        <w:t xml:space="preserve">” shall have the meaning ascribed to such term in Section 3.1(kk). </w:t>
      </w:r>
    </w:p>
    <w:p>
      <w:pPr>
        <w:pStyle w:val="TextBody"/>
        <w:bidi w:val="0"/>
        <w:spacing w:before="120" w:after="0"/>
        <w:jc w:val="left"/>
        <w:rPr/>
      </w:pPr>
      <w:r>
        <w:rPr/>
        <w:t>“</w:t>
      </w:r>
      <w:r>
        <w:rPr>
          <w:rFonts w:ascii="Times New Roman" w:hAnsi="Times New Roman"/>
          <w:sz w:val="20"/>
          <w:u w:val="single"/>
        </w:rPr>
        <w:t>Federal Reserve</w:t>
      </w:r>
      <w:r>
        <w:rPr>
          <w:rFonts w:ascii="Times New Roman" w:hAnsi="Times New Roman"/>
          <w:sz w:val="20"/>
        </w:rPr>
        <w:t xml:space="preserve">” shall have the meaning ascribed to such term in Section 3.1(rr). </w:t>
      </w:r>
    </w:p>
    <w:p>
      <w:pPr>
        <w:pStyle w:val="TextBody"/>
        <w:bidi w:val="0"/>
        <w:spacing w:before="120" w:after="0"/>
        <w:jc w:val="left"/>
        <w:rPr/>
      </w:pPr>
      <w:r>
        <w:rPr/>
        <w:t>“</w:t>
      </w:r>
      <w:r>
        <w:rPr>
          <w:rFonts w:ascii="Times New Roman" w:hAnsi="Times New Roman"/>
          <w:sz w:val="20"/>
          <w:u w:val="single"/>
        </w:rPr>
        <w:t>GAAP</w:t>
      </w:r>
      <w:r>
        <w:rPr>
          <w:rFonts w:ascii="Times New Roman" w:hAnsi="Times New Roman"/>
          <w:sz w:val="20"/>
        </w:rPr>
        <w:t xml:space="preserve">” shall have the meaning ascribed to such term in Section 3.1(h). </w:t>
      </w:r>
    </w:p>
    <w:p>
      <w:pPr>
        <w:pStyle w:val="TextBody"/>
        <w:bidi w:val="0"/>
        <w:spacing w:before="120" w:after="0"/>
        <w:jc w:val="left"/>
        <w:rPr/>
      </w:pPr>
      <w:r>
        <w:rPr/>
        <w:t>“</w:t>
      </w:r>
      <w:r>
        <w:rPr>
          <w:rFonts w:ascii="Times New Roman" w:hAnsi="Times New Roman"/>
          <w:sz w:val="20"/>
          <w:u w:val="single"/>
        </w:rPr>
        <w:t>Indebtedness</w:t>
      </w:r>
      <w:r>
        <w:rPr>
          <w:rFonts w:ascii="Times New Roman" w:hAnsi="Times New Roman"/>
          <w:sz w:val="20"/>
        </w:rPr>
        <w:t xml:space="preserve">” shall have the meaning ascribed to such term in Section 3.1(bb). </w:t>
      </w:r>
    </w:p>
    <w:p>
      <w:pPr>
        <w:pStyle w:val="TextBody"/>
        <w:bidi w:val="0"/>
        <w:spacing w:before="120" w:after="0"/>
        <w:jc w:val="left"/>
        <w:rPr/>
      </w:pPr>
      <w:r>
        <w:rPr/>
        <w:t>“</w:t>
      </w:r>
      <w:r>
        <w:rPr>
          <w:rFonts w:ascii="Times New Roman" w:hAnsi="Times New Roman"/>
          <w:sz w:val="20"/>
          <w:u w:val="single"/>
        </w:rPr>
        <w:t>Intellectual Property Rights</w:t>
      </w:r>
      <w:r>
        <w:rPr>
          <w:rFonts w:ascii="Times New Roman" w:hAnsi="Times New Roman"/>
          <w:sz w:val="20"/>
        </w:rPr>
        <w:t xml:space="preserve">” shall have the meaning ascribed to such term in Section 3.1(p). </w:t>
      </w:r>
    </w:p>
    <w:p>
      <w:pPr>
        <w:pStyle w:val="TextBody"/>
        <w:bidi w:val="0"/>
        <w:spacing w:before="120" w:after="0"/>
        <w:jc w:val="left"/>
        <w:rPr/>
      </w:pPr>
      <w:r>
        <w:rPr/>
        <w:t>“</w:t>
      </w:r>
      <w:r>
        <w:rPr>
          <w:rFonts w:ascii="Times New Roman" w:hAnsi="Times New Roman"/>
          <w:sz w:val="20"/>
          <w:u w:val="single"/>
        </w:rPr>
        <w:t>Legend Removal Date</w:t>
      </w:r>
      <w:r>
        <w:rPr>
          <w:rFonts w:ascii="Times New Roman" w:hAnsi="Times New Roman"/>
          <w:sz w:val="20"/>
        </w:rPr>
        <w:t xml:space="preserve">” shall have the meaning ascribed to such term in Section 4.1(c).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Liens</w:t>
      </w:r>
      <w:r>
        <w:rPr>
          <w:rFonts w:ascii="Times New Roman" w:hAnsi="Times New Roman"/>
          <w:sz w:val="20"/>
        </w:rPr>
        <w:t xml:space="preserve">” means a lien, charge, pledge, security interest, encumbrance, right of first refusal, preemptive right or other restriction. </w:t>
      </w:r>
    </w:p>
    <w:p>
      <w:pPr>
        <w:pStyle w:val="TextBody"/>
        <w:bidi w:val="0"/>
        <w:spacing w:before="120" w:after="0"/>
        <w:jc w:val="left"/>
        <w:rPr/>
      </w:pPr>
      <w:r>
        <w:rPr/>
        <w:t>“</w:t>
      </w:r>
      <w:r>
        <w:rPr>
          <w:rFonts w:ascii="Times New Roman" w:hAnsi="Times New Roman"/>
          <w:sz w:val="20"/>
          <w:u w:val="single"/>
        </w:rPr>
        <w:t>Material Adverse Effect</w:t>
      </w:r>
      <w:r>
        <w:rPr>
          <w:rFonts w:ascii="Times New Roman" w:hAnsi="Times New Roman"/>
          <w:sz w:val="20"/>
        </w:rPr>
        <w:t xml:space="preserve">” shall have the meaning assigned to such term in Section 3.1(b). </w:t>
      </w:r>
    </w:p>
    <w:p>
      <w:pPr>
        <w:pStyle w:val="TextBody"/>
        <w:bidi w:val="0"/>
        <w:spacing w:before="120" w:after="0"/>
        <w:jc w:val="left"/>
        <w:rPr/>
      </w:pPr>
      <w:r>
        <w:rPr/>
        <w:t>“</w:t>
      </w:r>
      <w:r>
        <w:rPr>
          <w:rFonts w:ascii="Times New Roman" w:hAnsi="Times New Roman"/>
          <w:sz w:val="20"/>
          <w:u w:val="single"/>
        </w:rPr>
        <w:t>Material Permits</w:t>
      </w:r>
      <w:r>
        <w:rPr>
          <w:rFonts w:ascii="Times New Roman" w:hAnsi="Times New Roman"/>
          <w:sz w:val="20"/>
        </w:rPr>
        <w:t xml:space="preserve">” shall have the meaning ascribed to such term in Section 3.1(n). </w:t>
      </w:r>
    </w:p>
    <w:p>
      <w:pPr>
        <w:pStyle w:val="TextBody"/>
        <w:bidi w:val="0"/>
        <w:spacing w:before="120" w:after="0"/>
        <w:jc w:val="left"/>
        <w:rPr/>
      </w:pPr>
      <w:r>
        <w:rPr/>
        <w:t>“</w:t>
      </w:r>
      <w:r>
        <w:rPr>
          <w:rFonts w:ascii="Times New Roman" w:hAnsi="Times New Roman"/>
          <w:sz w:val="20"/>
          <w:u w:val="single"/>
        </w:rPr>
        <w:t>Per Share Purchase Price</w:t>
      </w:r>
      <w:r>
        <w:rPr>
          <w:rFonts w:ascii="Times New Roman" w:hAnsi="Times New Roman"/>
          <w:sz w:val="20"/>
        </w:rPr>
        <w:t xml:space="preserve">” equals $0.805,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120" w:after="0"/>
        <w:jc w:val="left"/>
        <w:rPr/>
      </w:pPr>
      <w:r>
        <w:rPr/>
        <w:t>“</w:t>
      </w:r>
      <w:r>
        <w:rPr>
          <w:rFonts w:ascii="Times New Roman" w:hAnsi="Times New Roman"/>
          <w:sz w:val="20"/>
          <w:u w:val="single"/>
        </w:rPr>
        <w:t>Placement Agent</w:t>
      </w:r>
      <w:r>
        <w:rPr>
          <w:rFonts w:ascii="Times New Roman" w:hAnsi="Times New Roman"/>
          <w:sz w:val="20"/>
        </w:rPr>
        <w:t xml:space="preserve">” means H.C. Wainwright &amp; Co., LLC. </w:t>
      </w:r>
    </w:p>
    <w:p>
      <w:pPr>
        <w:pStyle w:val="TextBody"/>
        <w:bidi w:val="0"/>
        <w:spacing w:before="120" w:after="0"/>
        <w:jc w:val="left"/>
        <w:rPr/>
      </w:pPr>
      <w:r>
        <w:rPr/>
        <w:t>“</w:t>
      </w:r>
      <w:r>
        <w:rPr>
          <w:rFonts w:ascii="Times New Roman" w:hAnsi="Times New Roman"/>
          <w:sz w:val="20"/>
          <w:u w:val="single"/>
        </w:rPr>
        <w:t>Pre-Funded Warrants</w:t>
      </w:r>
      <w:r>
        <w:rPr>
          <w:rFonts w:ascii="Times New Roman" w:hAnsi="Times New Roman"/>
          <w:sz w:val="20"/>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 w:hAnsi="Times New Roman"/>
          <w:sz w:val="20"/>
          <w:u w:val="single"/>
        </w:rPr>
        <w:t>Exhibit A-1</w:t>
      </w:r>
      <w:r>
        <w:rPr>
          <w:rFonts w:ascii="Times New Roman" w:hAnsi="Times New Roman"/>
          <w:sz w:val="20"/>
        </w:rPr>
        <w:t xml:space="preserve"> attached hereto. </w:t>
      </w:r>
    </w:p>
    <w:p>
      <w:pPr>
        <w:pStyle w:val="TextBody"/>
        <w:bidi w:val="0"/>
        <w:spacing w:before="120" w:after="0"/>
        <w:jc w:val="left"/>
        <w:rPr/>
      </w:pPr>
      <w:r>
        <w:rPr/>
        <w:t>“</w:t>
      </w:r>
      <w:r>
        <w:rPr>
          <w:rFonts w:ascii="Times New Roman" w:hAnsi="Times New Roman"/>
          <w:sz w:val="20"/>
          <w:u w:val="single"/>
        </w:rPr>
        <w:t>Pre-Funded Warrant Shares</w:t>
      </w:r>
      <w:r>
        <w:rPr>
          <w:rFonts w:ascii="Times New Roman" w:hAnsi="Times New Roman"/>
          <w:sz w:val="20"/>
        </w:rPr>
        <w:t xml:space="preserve">” means the shares of Common Stock issuable upon exercise of the Pre-Funded Warrants. </w:t>
      </w:r>
    </w:p>
    <w:p>
      <w:pPr>
        <w:pStyle w:val="TextBody"/>
        <w:bidi w:val="0"/>
        <w:spacing w:before="120" w:after="0"/>
        <w:jc w:val="left"/>
        <w:rPr/>
      </w:pPr>
      <w:r>
        <w:rPr/>
        <w:t>“</w:t>
      </w:r>
      <w:r>
        <w:rPr>
          <w:rFonts w:ascii="Times New Roman" w:hAnsi="Times New Roman"/>
          <w:sz w:val="20"/>
          <w:u w:val="single"/>
        </w:rPr>
        <w:t>Proceeding</w:t>
      </w:r>
      <w:r>
        <w:rPr>
          <w:rFonts w:ascii="Times New Roman" w:hAnsi="Times New Roman"/>
          <w:sz w:val="20"/>
        </w:rPr>
        <w:t xml:space="preserve">” 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 </w:t>
      </w:r>
    </w:p>
    <w:p>
      <w:pPr>
        <w:pStyle w:val="TextBody"/>
        <w:bidi w:val="0"/>
        <w:spacing w:before="120" w:after="0"/>
        <w:jc w:val="left"/>
        <w:rPr/>
      </w:pPr>
      <w:r>
        <w:rPr/>
        <w:t>“</w:t>
      </w:r>
      <w:r>
        <w:rPr>
          <w:rFonts w:ascii="Times New Roman" w:hAnsi="Times New Roman"/>
          <w:sz w:val="20"/>
          <w:u w:val="single"/>
        </w:rPr>
        <w:t>Public Information Failure</w:t>
      </w:r>
      <w:r>
        <w:rPr>
          <w:rFonts w:ascii="Times New Roman" w:hAnsi="Times New Roman"/>
          <w:sz w:val="20"/>
        </w:rPr>
        <w:t xml:space="preserve">” shall have the meaning ascribed to such term in Section 4.2(b). </w:t>
      </w:r>
    </w:p>
    <w:p>
      <w:pPr>
        <w:pStyle w:val="TextBody"/>
        <w:bidi w:val="0"/>
        <w:spacing w:before="120" w:after="0"/>
        <w:jc w:val="left"/>
        <w:rPr/>
      </w:pPr>
      <w:r>
        <w:rPr/>
        <w:t>“</w:t>
      </w:r>
      <w:r>
        <w:rPr>
          <w:rFonts w:ascii="Times New Roman" w:hAnsi="Times New Roman"/>
          <w:sz w:val="20"/>
          <w:u w:val="single"/>
        </w:rPr>
        <w:t>Public Information Failure Payments</w:t>
      </w:r>
      <w:r>
        <w:rPr>
          <w:rFonts w:ascii="Times New Roman" w:hAnsi="Times New Roman"/>
          <w:sz w:val="20"/>
        </w:rPr>
        <w:t xml:space="preserve">” shall have the meaning ascribed to such term in Section 4.2(b). </w:t>
      </w:r>
    </w:p>
    <w:p>
      <w:pPr>
        <w:pStyle w:val="TextBody"/>
        <w:bidi w:val="0"/>
        <w:spacing w:before="120" w:after="0"/>
        <w:jc w:val="left"/>
        <w:rPr/>
      </w:pPr>
      <w:r>
        <w:rPr/>
        <w:t>“</w:t>
      </w:r>
      <w:r>
        <w:rPr>
          <w:rFonts w:ascii="Times New Roman" w:hAnsi="Times New Roman"/>
          <w:sz w:val="20"/>
          <w:u w:val="single"/>
        </w:rPr>
        <w:t>Purchaser Party</w:t>
      </w:r>
      <w:r>
        <w:rPr>
          <w:rFonts w:ascii="Times New Roman" w:hAnsi="Times New Roman"/>
          <w:sz w:val="20"/>
        </w:rPr>
        <w:t xml:space="preserve">” shall have the meaning ascribed to such term in Section 4.8. </w:t>
      </w:r>
    </w:p>
    <w:p>
      <w:pPr>
        <w:pStyle w:val="TextBody"/>
        <w:bidi w:val="0"/>
        <w:spacing w:before="120" w:after="0"/>
        <w:jc w:val="left"/>
        <w:rPr/>
      </w:pPr>
      <w:r>
        <w:rPr/>
        <w:t>“</w:t>
      </w:r>
      <w:r>
        <w:rPr>
          <w:rFonts w:ascii="Times New Roman" w:hAnsi="Times New Roman"/>
          <w:sz w:val="20"/>
          <w:u w:val="single"/>
        </w:rPr>
        <w:t>Registration Rights Agreement</w:t>
      </w:r>
      <w:r>
        <w:rPr>
          <w:rFonts w:ascii="Times New Roman" w:hAnsi="Times New Roman"/>
          <w:sz w:val="20"/>
        </w:rPr>
        <w:t xml:space="preserve">” means the Registration Rights Agreement, dated on or about the date hereof, among the Company and the Purchasers, in the form of </w:t>
      </w:r>
      <w:r>
        <w:rPr>
          <w:rFonts w:ascii="Times New Roman" w:hAnsi="Times New Roman"/>
          <w:sz w:val="20"/>
          <w:u w:val="single"/>
        </w:rPr>
        <w:t>Exhibit B</w:t>
      </w:r>
      <w:r>
        <w:rPr>
          <w:rFonts w:ascii="Times New Roman" w:hAnsi="Times New Roman"/>
          <w:sz w:val="20"/>
        </w:rPr>
        <w:t xml:space="preserve">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Registration Statement</w:t>
      </w:r>
      <w:r>
        <w:rPr>
          <w:rFonts w:ascii="Times New Roman" w:hAnsi="Times New Roman"/>
          <w:sz w:val="20"/>
        </w:rPr>
        <w:t xml:space="preserve">” means a registration statement meeting the requirements set forth in the Registration Rights Agreement and covering the resale by the Purchasers of the Shares and the Warrant Shares. </w:t>
      </w:r>
    </w:p>
    <w:p>
      <w:pPr>
        <w:pStyle w:val="TextBody"/>
        <w:bidi w:val="0"/>
        <w:spacing w:before="120" w:after="0"/>
        <w:jc w:val="left"/>
        <w:rPr/>
      </w:pPr>
      <w:r>
        <w:rPr/>
        <w:t>“</w:t>
      </w:r>
      <w:r>
        <w:rPr>
          <w:rFonts w:ascii="Times New Roman" w:hAnsi="Times New Roman"/>
          <w:sz w:val="20"/>
          <w:u w:val="single"/>
        </w:rPr>
        <w:t>Required Approvals</w:t>
      </w:r>
      <w:r>
        <w:rPr>
          <w:rFonts w:ascii="Times New Roman" w:hAnsi="Times New Roman"/>
          <w:sz w:val="20"/>
        </w:rPr>
        <w:t xml:space="preserve">” shall have the meaning ascribed to such term in Section 3.1(e). </w:t>
      </w:r>
    </w:p>
    <w:p>
      <w:pPr>
        <w:pStyle w:val="TextBody"/>
        <w:bidi w:val="0"/>
        <w:spacing w:before="120" w:after="0"/>
        <w:jc w:val="left"/>
        <w:rPr/>
      </w:pPr>
      <w:r>
        <w:rPr/>
        <w:t>“</w:t>
      </w:r>
      <w:r>
        <w:rPr>
          <w:rFonts w:ascii="Times New Roman" w:hAnsi="Times New Roman"/>
          <w:sz w:val="20"/>
          <w:u w:val="single"/>
        </w:rPr>
        <w:t>Rule 144</w:t>
      </w:r>
      <w:r>
        <w:rPr>
          <w:rFonts w:ascii="Times New Roman" w:hAnsi="Times New Roman"/>
          <w:sz w:val="20"/>
        </w:rPr>
        <w:t xml:space="preserve">” 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pPr>
      <w:r>
        <w:rPr/>
        <w:t>“</w:t>
      </w:r>
      <w:r>
        <w:rPr>
          <w:rFonts w:ascii="Times New Roman" w:hAnsi="Times New Roman"/>
          <w:sz w:val="20"/>
          <w:u w:val="single"/>
        </w:rPr>
        <w:t>Rule 424</w:t>
      </w:r>
      <w:r>
        <w:rPr>
          <w:rFonts w:ascii="Times New Roman" w:hAnsi="Times New Roman"/>
          <w:sz w:val="20"/>
        </w:rPr>
        <w:t xml:space="preserve">” means Rule 424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pPr>
      <w:r>
        <w:rPr/>
        <w:t>“</w:t>
      </w:r>
      <w:r>
        <w:rPr>
          <w:rFonts w:ascii="Times New Roman" w:hAnsi="Times New Roman"/>
          <w:sz w:val="20"/>
          <w:u w:val="single"/>
        </w:rPr>
        <w:t>SEC Reports</w:t>
      </w:r>
      <w:r>
        <w:rPr>
          <w:rFonts w:ascii="Times New Roman" w:hAnsi="Times New Roman"/>
          <w:sz w:val="20"/>
        </w:rPr>
        <w:t xml:space="preserve">” shall have the meaning ascribed to such term in Section 3.1(h). </w:t>
      </w:r>
    </w:p>
    <w:p>
      <w:pPr>
        <w:pStyle w:val="TextBody"/>
        <w:bidi w:val="0"/>
        <w:spacing w:before="120" w:after="0"/>
        <w:jc w:val="left"/>
        <w:rPr/>
      </w:pPr>
      <w:r>
        <w:rPr/>
        <w:t>“</w:t>
      </w:r>
      <w:r>
        <w:rPr>
          <w:rFonts w:ascii="Times New Roman" w:hAnsi="Times New Roman"/>
          <w:sz w:val="20"/>
          <w:u w:val="single"/>
        </w:rPr>
        <w:t>Securities</w:t>
      </w:r>
      <w:r>
        <w:rPr>
          <w:rFonts w:ascii="Times New Roman" w:hAnsi="Times New Roman"/>
          <w:sz w:val="20"/>
        </w:rPr>
        <w:t xml:space="preserve">” means the Shares, the Warrants and the Warrant Shares. </w:t>
      </w:r>
    </w:p>
    <w:p>
      <w:pPr>
        <w:pStyle w:val="TextBody"/>
        <w:bidi w:val="0"/>
        <w:spacing w:before="12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pPr>
      <w:r>
        <w:rPr/>
        <w:t>“</w:t>
      </w:r>
      <w:r>
        <w:rPr>
          <w:rFonts w:ascii="Times New Roman" w:hAnsi="Times New Roman"/>
          <w:sz w:val="20"/>
          <w:u w:val="single"/>
        </w:rPr>
        <w:t>Series C Warrants</w:t>
      </w:r>
      <w:r>
        <w:rPr>
          <w:rFonts w:ascii="Times New Roman" w:hAnsi="Times New Roman"/>
          <w:sz w:val="20"/>
        </w:rPr>
        <w:t xml:space="preserve">” means the Series C Common Stock Purchase Warrants to purchase shares of Common Stock delivered to the Purchasers at the Closing in accordance with Section 2.2(a) hereof, which such Series C Warrants shall be exercisable on and after the Stockholder Approval Date and have a term of exercise equal to six (6) years following the date that is the later of the (i) Stockholder Approval Date and the (ii) Effectiveness Date, in the form of </w:t>
      </w:r>
      <w:r>
        <w:rPr>
          <w:rFonts w:ascii="Times New Roman" w:hAnsi="Times New Roman"/>
          <w:sz w:val="20"/>
          <w:u w:val="single"/>
        </w:rPr>
        <w:t>Exhibit A-1</w:t>
      </w:r>
      <w:r>
        <w:rPr>
          <w:rFonts w:ascii="Times New Roman" w:hAnsi="Times New Roman"/>
          <w:sz w:val="20"/>
        </w:rPr>
        <w:t xml:space="preserve"> attached hereto. </w:t>
      </w:r>
    </w:p>
    <w:p>
      <w:pPr>
        <w:pStyle w:val="TextBody"/>
        <w:bidi w:val="0"/>
        <w:spacing w:before="120" w:after="0"/>
        <w:jc w:val="left"/>
        <w:rPr/>
      </w:pPr>
      <w:r>
        <w:rPr/>
        <w:t>“</w:t>
      </w:r>
      <w:r>
        <w:rPr>
          <w:rFonts w:ascii="Times New Roman" w:hAnsi="Times New Roman"/>
          <w:sz w:val="20"/>
          <w:u w:val="single"/>
        </w:rPr>
        <w:t>Series C Warrant Shares</w:t>
      </w:r>
      <w:r>
        <w:rPr>
          <w:rFonts w:ascii="Times New Roman" w:hAnsi="Times New Roman"/>
          <w:sz w:val="20"/>
        </w:rPr>
        <w:t xml:space="preserve">” means the shares of Common Stock issuable upon exercise of the Series C Warrants. </w:t>
      </w:r>
    </w:p>
    <w:p>
      <w:pPr>
        <w:pStyle w:val="TextBody"/>
        <w:bidi w:val="0"/>
        <w:spacing w:before="120" w:after="0"/>
        <w:jc w:val="left"/>
        <w:rPr/>
      </w:pPr>
      <w:r>
        <w:rPr/>
        <w:t>“</w:t>
      </w:r>
      <w:r>
        <w:rPr>
          <w:rFonts w:ascii="Times New Roman" w:hAnsi="Times New Roman"/>
          <w:sz w:val="20"/>
          <w:u w:val="single"/>
        </w:rPr>
        <w:t>Series D Warrants</w:t>
      </w:r>
      <w:r>
        <w:rPr>
          <w:rFonts w:ascii="Times New Roman" w:hAnsi="Times New Roman"/>
          <w:sz w:val="20"/>
        </w:rPr>
        <w:t xml:space="preserve">” means the Series D Common Stock Purchase Warrants to purchase shares of Common Stock delivered to the Purchasers at the Closing in accordance with Section 2.2(a) hereof, which such Series D Warrants shall be exercisable on and after the Stockholder Approval Date and have a term of exercise equal to three (3) years following the date that is the later of the (i) Stockholder Approval Date and the (ii) Effectiveness Date, in the form of </w:t>
      </w:r>
      <w:r>
        <w:rPr>
          <w:rFonts w:ascii="Times New Roman" w:hAnsi="Times New Roman"/>
          <w:sz w:val="20"/>
          <w:u w:val="single"/>
        </w:rPr>
        <w:t>Exhibit A-2</w:t>
      </w:r>
      <w:r>
        <w:rPr>
          <w:rFonts w:ascii="Times New Roman" w:hAnsi="Times New Roman"/>
          <w:sz w:val="20"/>
        </w:rPr>
        <w:t xml:space="preserve"> attached hereto. </w:t>
      </w:r>
    </w:p>
    <w:p>
      <w:pPr>
        <w:pStyle w:val="TextBody"/>
        <w:bidi w:val="0"/>
        <w:spacing w:before="120" w:after="0"/>
        <w:jc w:val="left"/>
        <w:rPr/>
      </w:pPr>
      <w:r>
        <w:rPr/>
        <w:t>“</w:t>
      </w:r>
      <w:r>
        <w:rPr>
          <w:rFonts w:ascii="Times New Roman" w:hAnsi="Times New Roman"/>
          <w:sz w:val="20"/>
          <w:u w:val="single"/>
        </w:rPr>
        <w:t>Series D Warrant Shares</w:t>
      </w:r>
      <w:r>
        <w:rPr>
          <w:rFonts w:ascii="Times New Roman" w:hAnsi="Times New Roman"/>
          <w:sz w:val="20"/>
        </w:rPr>
        <w:t xml:space="preserve">” means the shares of Common Stock issuable upon exercise of the Series D Warrants. </w:t>
      </w:r>
    </w:p>
    <w:p>
      <w:pPr>
        <w:pStyle w:val="TextBody"/>
        <w:bidi w:val="0"/>
        <w:spacing w:before="120" w:after="0"/>
        <w:jc w:val="left"/>
        <w:rPr/>
      </w:pPr>
      <w:r>
        <w:rPr/>
        <w:t>“</w:t>
      </w:r>
      <w:r>
        <w:rPr>
          <w:rFonts w:ascii="Times New Roman" w:hAnsi="Times New Roman"/>
          <w:sz w:val="20"/>
          <w:u w:val="single"/>
        </w:rPr>
        <w:t>Shares</w:t>
      </w:r>
      <w:r>
        <w:rPr>
          <w:rFonts w:ascii="Times New Roman" w:hAnsi="Times New Roman"/>
          <w:sz w:val="20"/>
        </w:rPr>
        <w:t xml:space="preserve">” means the shares of Common Stock issued or issuable to each Purchaser pursuant to this Agreement, but excluding the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Short Sales</w:t>
      </w:r>
      <w:r>
        <w:rPr>
          <w:rFonts w:ascii="Times New Roman" w:hAnsi="Times New Roman"/>
          <w:sz w:val="20"/>
        </w:rPr>
        <w:t>” means all “short sales” as defined in Rule 200 of Regulation SHO under the Exchange Act (but shall not be deemed to include locating and/or borrowing shares of Common Stock).</w:t>
      </w:r>
    </w:p>
    <w:p>
      <w:pPr>
        <w:pStyle w:val="TextBody"/>
        <w:bidi w:val="0"/>
        <w:spacing w:before="120" w:after="0"/>
        <w:jc w:val="left"/>
        <w:rPr/>
      </w:pPr>
      <w:r>
        <w:rPr/>
        <w:t>“</w:t>
      </w:r>
      <w:r>
        <w:rPr>
          <w:rFonts w:ascii="Times New Roman" w:hAnsi="Times New Roman"/>
          <w:sz w:val="20"/>
        </w:rPr>
        <w:t xml:space="preserve">Stockholder Approval” means such approval as may be required by the applicable rules and regulations of the Nasdaq Capital Market (or any successor entity) from the stockholders of the Company with respect to the issuance of all of the Common Warrants and the Common Warrant Shares upon the exercise thereof. </w:t>
      </w:r>
    </w:p>
    <w:p>
      <w:pPr>
        <w:pStyle w:val="TextBody"/>
        <w:bidi w:val="0"/>
        <w:spacing w:before="120" w:after="0"/>
        <w:jc w:val="left"/>
        <w:rPr/>
      </w:pPr>
      <w:r>
        <w:rPr/>
        <w:t>“</w:t>
      </w:r>
      <w:r>
        <w:rPr>
          <w:rFonts w:ascii="Times New Roman" w:hAnsi="Times New Roman"/>
          <w:sz w:val="20"/>
        </w:rPr>
        <w:t xml:space="preserve">Stockholder Approval Date” means the date on which Stockholder Approval is received and deemed effective under Delaware law. </w:t>
      </w:r>
    </w:p>
    <w:p>
      <w:pPr>
        <w:pStyle w:val="TextBody"/>
        <w:bidi w:val="0"/>
        <w:spacing w:before="120" w:after="0"/>
        <w:jc w:val="left"/>
        <w:rPr/>
      </w:pPr>
      <w:r>
        <w:rPr/>
        <w:t>“</w:t>
      </w:r>
      <w:r>
        <w:rPr>
          <w:rFonts w:ascii="Times New Roman" w:hAnsi="Times New Roman"/>
          <w:sz w:val="20"/>
          <w:u w:val="single"/>
        </w:rPr>
        <w:t>Subscription Amount</w:t>
      </w:r>
      <w:r>
        <w:rPr>
          <w:rFonts w:ascii="Times New Roman" w:hAnsi="Times New Roman"/>
          <w:sz w:val="20"/>
        </w:rPr>
        <w:t xml:space="preserve">” means, as to each Purchaser, the aggregate amount to be paid for Shares, Pre-Funded Warrants (if applicable) and Common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 </w:t>
      </w:r>
    </w:p>
    <w:p>
      <w:pPr>
        <w:pStyle w:val="TextBody"/>
        <w:bidi w:val="0"/>
        <w:spacing w:before="120" w:after="0"/>
        <w:jc w:val="left"/>
        <w:rPr/>
      </w:pPr>
      <w:r>
        <w:rPr/>
        <w:t>“</w:t>
      </w:r>
      <w:r>
        <w:rPr>
          <w:rFonts w:ascii="Times New Roman" w:hAnsi="Times New Roman"/>
          <w:sz w:val="20"/>
          <w:u w:val="single"/>
        </w:rPr>
        <w:t>Subsidiary</w:t>
      </w:r>
      <w:r>
        <w:rPr>
          <w:rFonts w:ascii="Times New Roman" w:hAnsi="Times New Roman"/>
          <w:sz w:val="20"/>
        </w:rPr>
        <w:t xml:space="preserve">” means any subsidiary of the Company as set forth in the SEC Reports, and shall, where applicable, also include any direct or indirect subsidiary of the Company formed or acquired after the date hereof. </w:t>
      </w:r>
    </w:p>
    <w:p>
      <w:pPr>
        <w:pStyle w:val="TextBody"/>
        <w:bidi w:val="0"/>
        <w:spacing w:before="120" w:after="0"/>
        <w:jc w:val="left"/>
        <w:rPr/>
      </w:pPr>
      <w:r>
        <w:rPr/>
        <w:t>“</w:t>
      </w:r>
      <w:r>
        <w:rPr>
          <w:rFonts w:ascii="Times New Roman" w:hAnsi="Times New Roman"/>
          <w:sz w:val="20"/>
          <w:u w:val="single"/>
        </w:rPr>
        <w:t>Trading Day</w:t>
      </w:r>
      <w:r>
        <w:rPr>
          <w:rFonts w:ascii="Times New Roman" w:hAnsi="Times New Roman"/>
          <w:sz w:val="20"/>
        </w:rPr>
        <w:t xml:space="preserve">” means a day on which the principal Trading Market is open for trading. </w:t>
      </w:r>
    </w:p>
    <w:p>
      <w:pPr>
        <w:pStyle w:val="TextBody"/>
        <w:bidi w:val="0"/>
        <w:spacing w:before="120" w:after="0"/>
        <w:jc w:val="left"/>
        <w:rPr/>
      </w:pPr>
      <w:r>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Warrants, the Registration Rights Agreement, all exhibits and schedules thereto and hereto and any other documents or agreements executed in connection with the transactions contemplated hereunder. </w:t>
      </w:r>
    </w:p>
    <w:p>
      <w:pPr>
        <w:pStyle w:val="TextBody"/>
        <w:bidi w:val="0"/>
        <w:spacing w:before="120" w:after="0"/>
        <w:jc w:val="left"/>
        <w:rPr/>
      </w:pPr>
      <w:r>
        <w:rPr/>
        <w:t>“</w:t>
      </w:r>
      <w:r>
        <w:rPr>
          <w:rFonts w:ascii="Times New Roman" w:hAnsi="Times New Roman"/>
          <w:sz w:val="20"/>
          <w:u w:val="single"/>
        </w:rPr>
        <w:t>Transfer Agent</w:t>
      </w:r>
      <w:r>
        <w:rPr>
          <w:rFonts w:ascii="Times New Roman" w:hAnsi="Times New Roman"/>
          <w:sz w:val="20"/>
        </w:rPr>
        <w:t xml:space="preserve">” means Computershare Trust Company, N.A., the current transfer agent of the Company, with a mailing address of 150 Royall Street, Canton, Massachusetts 02021, and any successor transfer agent of the Company. </w:t>
      </w:r>
    </w:p>
    <w:p>
      <w:pPr>
        <w:pStyle w:val="TextBody"/>
        <w:bidi w:val="0"/>
        <w:spacing w:before="120" w:after="0"/>
        <w:jc w:val="left"/>
        <w:rPr/>
      </w:pPr>
      <w:r>
        <w:rPr/>
        <w:t>“</w:t>
      </w:r>
      <w:r>
        <w:rPr>
          <w:rFonts w:ascii="Times New Roman" w:hAnsi="Times New Roman"/>
          <w:sz w:val="20"/>
          <w:u w:val="single"/>
        </w:rPr>
        <w:t>Variable Rate Transaction</w:t>
      </w:r>
      <w:r>
        <w:rPr>
          <w:rFonts w:ascii="Times New Roman" w:hAnsi="Times New Roman"/>
          <w:sz w:val="20"/>
        </w:rPr>
        <w:t xml:space="preserve">” shall have the meaning ascribed to such term in Section 4.11(b). </w:t>
      </w:r>
    </w:p>
    <w:p>
      <w:pPr>
        <w:pStyle w:val="TextBody"/>
        <w:bidi w:val="0"/>
        <w:spacing w:before="12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time) to 4:02 p.m. (New York City time)), (b) if the OTCQB Venture Market (“</w:t>
      </w:r>
      <w:r>
        <w:rPr>
          <w:rFonts w:ascii="Times New Roman" w:hAnsi="Times New Roman"/>
          <w:sz w:val="20"/>
          <w:u w:val="single"/>
        </w:rPr>
        <w:t>OTCQB</w:t>
      </w:r>
      <w:r>
        <w:rPr>
          <w:rFonts w:ascii="Times New Roman" w:hAnsi="Times New Roman"/>
          <w:sz w:val="20"/>
        </w:rPr>
        <w:t>”) or the OTCQX Best Market (“</w:t>
      </w:r>
      <w:r>
        <w:rPr>
          <w:rFonts w:ascii="Times New Roman" w:hAnsi="Times New Roman"/>
          <w:sz w:val="20"/>
          <w:u w:val="single"/>
        </w:rPr>
        <w:t>OTCQX</w:t>
      </w:r>
      <w:r>
        <w:rPr>
          <w:rFonts w:ascii="Times New Roman" w:hAnsi="Times New Roman"/>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hAnsi="Times New Roman"/>
          <w:sz w:val="20"/>
          <w:u w:val="single"/>
        </w:rPr>
        <w:t>Pink Market</w:t>
      </w:r>
      <w:r>
        <w:rPr>
          <w:rFonts w:ascii="Times New Roman" w:hAnsi="Times New Roman"/>
          <w:sz w:val="20"/>
        </w:rPr>
        <w:t xml:space="preserve">”)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bidi w:val="0"/>
        <w:spacing w:before="120" w:after="0"/>
        <w:jc w:val="left"/>
        <w:rPr/>
      </w:pPr>
      <w:r>
        <w:rPr/>
        <w:t>“</w:t>
      </w:r>
      <w:r>
        <w:rPr>
          <w:rFonts w:ascii="Times New Roman" w:hAnsi="Times New Roman"/>
          <w:sz w:val="20"/>
          <w:u w:val="single"/>
        </w:rPr>
        <w:t>Warrants</w:t>
      </w:r>
      <w:r>
        <w:rPr>
          <w:rFonts w:ascii="Times New Roman" w:hAnsi="Times New Roman"/>
          <w:sz w:val="20"/>
        </w:rPr>
        <w:t xml:space="preserve">” means, collectively, the Common Warrants and the Pre-Funded Warrants. </w:t>
      </w:r>
    </w:p>
    <w:p>
      <w:pPr>
        <w:pStyle w:val="TextBody"/>
        <w:bidi w:val="0"/>
        <w:spacing w:before="120" w:after="0"/>
        <w:jc w:val="left"/>
        <w:rPr/>
      </w:pPr>
      <w:r>
        <w:rPr/>
        <w:t>“</w:t>
      </w:r>
      <w:r>
        <w:rPr>
          <w:rFonts w:ascii="Times New Roman" w:hAnsi="Times New Roman"/>
          <w:sz w:val="20"/>
          <w:u w:val="single"/>
        </w:rPr>
        <w:t>Warrant Shares</w:t>
      </w:r>
      <w:r>
        <w:rPr>
          <w:rFonts w:ascii="Times New Roman" w:hAnsi="Times New Roman"/>
          <w:sz w:val="20"/>
        </w:rPr>
        <w:t xml:space="preserve">” means, collectively, the Common Warrant Shares and the Pre-Funded Warrant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Closing</w:t>
      </w:r>
      <w:r>
        <w:rPr>
          <w:rFonts w:ascii="Times New Roman" w:hAnsi="Times New Roman"/>
          <w:sz w:val="20"/>
        </w:rPr>
        <w:t>. On the Closing Date, upon the terms and subject to the conditions set forth herein, the Company agrees to sell, and the Purchasers, severally and not jointly, agree to purchase, an aggregate of approximately $2,500,000 of Shares and Warrants at a price per Share and accompanying Warrants equal to the Per Share Purchase Price;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hAnsi="Times New Roman"/>
          <w:sz w:val="20"/>
          <w:u w:val="single"/>
        </w:rPr>
        <w:t>Beneficial Ownership Limitation</w:t>
      </w:r>
      <w:r>
        <w:rPr>
          <w:rFonts w:ascii="Times New Roman" w:hAnsi="Times New Roman"/>
          <w:sz w:val="20"/>
        </w:rPr>
        <w:t xml:space="preserve">”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 shall deliver to the Company, via wire transfer, immediately available funds equal to such Purchaser’s Subscription Amount as set forth on the signature page hereto executed by such Purchaser. The Company shall deliver to each Purchaser its respective Shares, Pre-Funded Warrants (if any) and Common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(including remotely by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Deliveries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 or prior to the Closing Date, the Company shall deliver or cause to be delivered to each Purchaser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duly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legal opinions of Company Counsel, directed to the Placement Agent and the Purchasers, in form and substance reasonably acceptable to the Placement Agent and the Purchasers,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have provided each Purchaser with its wire instructions; </w:t>
      </w:r>
    </w:p>
    <w:p>
      <w:pPr>
        <w:pStyle w:val="TextBody"/>
        <w:bidi w:val="0"/>
        <w:spacing w:before="120" w:after="0"/>
        <w:jc w:val="left"/>
        <w:rPr>
          <w:rFonts w:ascii="Times New Roman" w:hAnsi="Times New Roman"/>
          <w:sz w:val="20"/>
        </w:rPr>
      </w:pPr>
      <w:r>
        <w:rPr>
          <w:rFonts w:ascii="Times New Roman" w:hAnsi="Times New Roman"/>
          <w:sz w:val="20"/>
        </w:rPr>
        <w:t xml:space="preserve">(iv) a copy of the irrevocable instructions to the Transfer Agent instructing the Transfer Agent to deliver on an expedited basis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(v) 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$0.001, with an exercise price equal to $0.001 per share of Common Stock, subject to adjustment therein; </w:t>
      </w:r>
    </w:p>
    <w:p>
      <w:pPr>
        <w:pStyle w:val="TextBody"/>
        <w:bidi w:val="0"/>
        <w:spacing w:before="120" w:after="0"/>
        <w:jc w:val="left"/>
        <w:rPr>
          <w:rFonts w:ascii="Times New Roman" w:hAnsi="Times New Roman"/>
          <w:sz w:val="20"/>
        </w:rPr>
      </w:pPr>
      <w:r>
        <w:rPr>
          <w:rFonts w:ascii="Times New Roman" w:hAnsi="Times New Roman"/>
          <w:sz w:val="20"/>
        </w:rPr>
        <w:t xml:space="preserve">(vi) a Series C Warrant registered in the name of such Purchaser to purchase up to a number of shares of Common Stock equal to 100% of the sum of such Purchaser’s Shares and Pre-Funded Warrant Shares, with an exercise price equal to $0.805 per share of Common Stock, subject to adjustment therein; </w:t>
      </w:r>
    </w:p>
    <w:p>
      <w:pPr>
        <w:pStyle w:val="TextBody"/>
        <w:bidi w:val="0"/>
        <w:spacing w:before="120" w:after="0"/>
        <w:jc w:val="left"/>
        <w:rPr>
          <w:rFonts w:ascii="Times New Roman" w:hAnsi="Times New Roman"/>
          <w:sz w:val="20"/>
        </w:rPr>
      </w:pPr>
      <w:r>
        <w:rPr>
          <w:rFonts w:ascii="Times New Roman" w:hAnsi="Times New Roman"/>
          <w:sz w:val="20"/>
        </w:rPr>
        <w:t xml:space="preserve">(vii) a Series D Warrant registered in the name of such Purchaser to purchase up to a number of shares of Common Stock equal to 100% of the sum of such Purchaser’s Shares and Pre-Funded Warrant Shares, with an exercise price equal to $0.805 per share of Common Stock, subject to adjustment therein; and </w:t>
      </w:r>
    </w:p>
    <w:p>
      <w:pPr>
        <w:pStyle w:val="TextBody"/>
        <w:bidi w:val="0"/>
        <w:spacing w:before="120" w:after="0"/>
        <w:jc w:val="left"/>
        <w:rPr>
          <w:rFonts w:ascii="Times New Roman" w:hAnsi="Times New Roman"/>
          <w:sz w:val="20"/>
        </w:rPr>
      </w:pPr>
      <w:r>
        <w:rPr>
          <w:rFonts w:ascii="Times New Roman" w:hAnsi="Times New Roman"/>
          <w:sz w:val="20"/>
        </w:rPr>
        <w:t xml:space="preserve">(viii) the Registration Rights Agreement duly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On or prior to the Closing Date, each Purchaser shall deliver or cause to be delivered to the Company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duly executed by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(ii) such Purchaser’s Subscription Amount by wire transfer to the account specified in writing by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Registration Rights Agreement duly executed by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 Conditions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obligations of the Company hereunder in connection with the Closing are subject to the following conditions being met: </w:t>
      </w:r>
    </w:p>
    <w:p>
      <w:pPr>
        <w:pStyle w:val="TextBody"/>
        <w:bidi w:val="0"/>
        <w:spacing w:before="120" w:after="0"/>
        <w:jc w:val="left"/>
        <w:rPr>
          <w:rFonts w:ascii="Times New Roman" w:hAnsi="Times New Roman"/>
          <w:sz w:val="20"/>
        </w:rPr>
      </w:pPr>
      <w:r>
        <w:rPr>
          <w:rFonts w:ascii="Times New Roman" w:hAnsi="Times New Roman"/>
          <w:sz w:val="20"/>
        </w:rPr>
        <w:t xml:space="preserve">(i)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 all obligations, covenants and agreements of each Purchaser required to be performed at or prior to the Closing Date shall have been performed in all material respects; and </w:t>
      </w:r>
    </w:p>
    <w:p>
      <w:pPr>
        <w:pStyle w:val="TextBody"/>
        <w:bidi w:val="0"/>
        <w:spacing w:before="120" w:after="0"/>
        <w:jc w:val="left"/>
        <w:rPr>
          <w:rFonts w:ascii="Times New Roman" w:hAnsi="Times New Roman"/>
          <w:sz w:val="20"/>
        </w:rPr>
      </w:pPr>
      <w:r>
        <w:rPr>
          <w:rFonts w:ascii="Times New Roman" w:hAnsi="Times New Roman"/>
          <w:sz w:val="20"/>
        </w:rPr>
        <w:t xml:space="preserve">(iii) the delivery by each Purchaser of the items set forth in Section 2.2(b)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respective obligations of the Purchasers hereunder in connection with the Closing are subject to the following conditions being met: </w:t>
      </w:r>
    </w:p>
    <w:p>
      <w:pPr>
        <w:pStyle w:val="TextBody"/>
        <w:bidi w:val="0"/>
        <w:spacing w:before="120" w:after="0"/>
        <w:jc w:val="left"/>
        <w:rPr>
          <w:rFonts w:ascii="Times New Roman" w:hAnsi="Times New Roman"/>
          <w:sz w:val="20"/>
        </w:rPr>
      </w:pPr>
      <w:r>
        <w:rPr>
          <w:rFonts w:ascii="Times New Roman" w:hAnsi="Times New Roman"/>
          <w:sz w:val="20"/>
        </w:rPr>
        <w:t xml:space="preserve">(i)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 all obligations, covenants and agreements of the Company required to be performed at or prior to the Closing Date shall have been performed; </w:t>
      </w:r>
    </w:p>
    <w:p>
      <w:pPr>
        <w:pStyle w:val="TextBody"/>
        <w:bidi w:val="0"/>
        <w:spacing w:before="120" w:after="0"/>
        <w:jc w:val="left"/>
        <w:rPr>
          <w:rFonts w:ascii="Times New Roman" w:hAnsi="Times New Roman"/>
          <w:sz w:val="20"/>
        </w:rPr>
      </w:pPr>
      <w:r>
        <w:rPr>
          <w:rFonts w:ascii="Times New Roman" w:hAnsi="Times New Roman"/>
          <w:sz w:val="20"/>
        </w:rPr>
        <w:t xml:space="preserve">(iii) the delivery by the Company of the items set forth in Section 2.2(a)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there shall have been no Material Adverse Effect with respect to the Company since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Representations and Warranties of the Company</w:t>
      </w:r>
      <w:r>
        <w:rPr>
          <w:rFonts w:ascii="Times New Roman" w:hAnsi="Times New Roman"/>
          <w:sz w:val="20"/>
        </w:rPr>
        <w:t xml:space="preserve">. Except as set forth in the SEC Reports, the Company hereby makes the following representations and warranties to each Purchaser: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w:t>
      </w:r>
      <w:r>
        <w:rPr>
          <w:rFonts w:ascii="Times New Roman" w:hAnsi="Times New Roman"/>
          <w:sz w:val="20"/>
        </w:rPr>
        <w:t xml:space="preserve">.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and Qualification</w:t>
      </w:r>
      <w:r>
        <w:rPr>
          <w:rFonts w:ascii="Times New Roman" w:hAnsi="Times New Roman"/>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sz w:val="20"/>
          <w:u w:val="single"/>
        </w:rPr>
        <w:t>Material Adverse Effect</w:t>
      </w:r>
      <w:r>
        <w:rPr>
          <w:rFonts w:ascii="Times New Roman" w:hAnsi="Times New Roman"/>
          <w:sz w:val="20"/>
        </w:rPr>
        <w:t xml:space="preserve">”); provided that a change in the market price or trading volume in the Common Stock alone shall not be deemed, in and of itself, to constitute a Material Adverse Effect. No Proceeding has been instituted in any such jurisdiction revoking, limiting or curtailing or seeking to revoke, limit or curtail such power and authority or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Enforcement</w:t>
      </w:r>
      <w:r>
        <w:rPr>
          <w:rFonts w:ascii="Times New Roman" w:hAnsi="Times New Roman"/>
          <w:sz w:val="20"/>
        </w:rPr>
        <w:t xml:space="preserve">. The Company has the requisite corporate power and authority to enter into and to consummate the transactions contemplated by this Agreement and each of the other Transaction Documents and otherwise to carry out its obligations hereunder and thereunder, including, without limitation, the approval of the Board of Directors (or a committee thereof) in accordance with Section 144(a)(1) of the DGCL.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Conflicts</w:t>
      </w:r>
      <w:r>
        <w:rPr>
          <w:rFonts w:ascii="Times New Roman" w:hAnsi="Times New Roman"/>
          <w:sz w:val="20"/>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Filings, Consents and Approvals</w:t>
      </w:r>
      <w:r>
        <w:rPr>
          <w:rFonts w:ascii="Times New Roman" w:hAnsi="Times New Roman"/>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(iv) the filing of Form D with the Commission, (v) the Stockholder Approval, and (vi) such filings as are required to be made under applicable state securities laws (collectively, the “</w:t>
      </w:r>
      <w:r>
        <w:rPr>
          <w:rFonts w:ascii="Times New Roman" w:hAnsi="Times New Roman"/>
          <w:sz w:val="20"/>
          <w:u w:val="single"/>
        </w:rPr>
        <w:t>Required Approvals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Issuance of the Securities</w:t>
      </w:r>
      <w:r>
        <w:rPr>
          <w:rFonts w:ascii="Times New Roman" w:hAnsi="Times New Roman"/>
          <w:sz w:val="20"/>
        </w:rPr>
        <w:t xml:space="preserve">.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Capitalization</w:t>
      </w:r>
      <w:r>
        <w:rPr>
          <w:rFonts w:ascii="Times New Roman" w:hAnsi="Times New Roman"/>
          <w:sz w:val="20"/>
        </w:rPr>
        <w:t xml:space="preserve">. The capitalization of the Company as of the date hereof is as set forth in the SEC Reports. Except as set forth in the SEC Reports, the Company has not issued any capital stock since its most recently filed periodic or current report under the Exchange Act, other than pursuant to the exercise of employee stock options under the Company’s equity incentive plans, the issuance of shares of Common Stock to employees pursuant to the Company’s employee stock purchase plans and pursuant to the conversion and/or exercise of Common Stock Equivalents (i) outstanding as of the date of the most recently filed periodic report under the Exchange Act or (ii) that were issued following the most recently filed periodic report under the Exchange Act and disclosed in a current report under the Exchange Act, except for capital stock issued pursuant to the common stock purchase agreement entered into between the Company and Lincoln Park on August 13, 2026 (the “ELOC”). No Person has any right of first refusal, preemptive right, right of participation, or any similar right to participate in the transactions contemplated by the Transaction Documents.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other than the Stockholder Approval. There are no stockholders agreements, voting agreements or other similar agreements with respect to the Company’s capital stock to which the Company is a party or, to the knowledge of the Company, between or among any of the Company’s stockholders.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 Reports; Financial Statements</w:t>
      </w:r>
      <w:r>
        <w:rPr>
          <w:rFonts w:ascii="Times New Roman" w:hAnsi="Times New Roman"/>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hAnsi="Times New Roman"/>
          <w:sz w:val="20"/>
          <w:u w:val="single"/>
        </w:rPr>
        <w:t>SEC Reports</w:t>
      </w:r>
      <w:r>
        <w:rPr>
          <w:rFonts w:ascii="Times New Roman" w:hAnsi="Times New Roman"/>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As of their respective dates,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sz w:val="20"/>
          <w:u w:val="single"/>
        </w:rPr>
        <w:t>GAAP</w:t>
      </w:r>
      <w:r>
        <w:rPr>
          <w:rFonts w:ascii="Times New Roman" w:hAnsi="Times New Roman"/>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Material Changes; Undisclosed Events, Liabilities or Developments</w:t>
      </w:r>
      <w:r>
        <w:rPr>
          <w:rFonts w:ascii="Times New Roman" w:hAnsi="Times New Roman"/>
          <w:sz w:val="20"/>
        </w:rPr>
        <w:t xml:space="preserve">.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 except pursuant to existing Company equity incentive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Litigation</w:t>
      </w:r>
      <w:r>
        <w:rPr>
          <w:rFonts w:ascii="Times New Roman" w:hAnsi="Times New Roman"/>
          <w:sz w:val="20"/>
        </w:rPr>
        <w:t xml:space="preserve">.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“Action”).No Action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Labor Relations</w:t>
      </w:r>
      <w:r>
        <w:rPr>
          <w:rFonts w:ascii="Times New Roman" w:hAnsi="Times New Roman"/>
          <w:sz w:val="20"/>
        </w:rPr>
        <w:t xml:space="preserve">.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Compliance</w:t>
      </w:r>
      <w:r>
        <w:rPr>
          <w:rFonts w:ascii="Times New Roman" w:hAnsi="Times New Roman"/>
          <w:sz w:val="20"/>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Environmental Laws</w:t>
      </w:r>
      <w:r>
        <w:rPr>
          <w:rFonts w:ascii="Times New Roman" w:hAnsi="Times New Roman"/>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sz w:val="20"/>
          <w:u w:val="single"/>
        </w:rPr>
        <w:t>Hazardous Materials</w:t>
      </w:r>
      <w:r>
        <w:rPr>
          <w:rFonts w:ascii="Times New Roman" w:hAnsi="Times New Roman"/>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sz w:val="20"/>
          <w:u w:val="single"/>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Regulatory Permits</w:t>
      </w:r>
      <w:r>
        <w:rPr>
          <w:rFonts w:ascii="Times New Roman" w:hAnsi="Times New Roman"/>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sz w:val="20"/>
          <w:u w:val="single"/>
        </w:rPr>
        <w:t>Material Permits</w:t>
      </w:r>
      <w:r>
        <w:rPr>
          <w:rFonts w:ascii="Times New Roman" w:hAnsi="Times New Roman"/>
          <w:sz w:val="20"/>
        </w:rPr>
        <w:t xml:space="preserve">”), and neither the Company nor any Subsidiary has received any notice of proceedings relating to the revocation or modification of any Material Permit.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Title to Assets</w:t>
      </w:r>
      <w:r>
        <w:rPr>
          <w:rFonts w:ascii="Times New Roman" w:hAnsi="Times New Roman"/>
          <w:sz w:val="20"/>
        </w:rPr>
        <w:t xml:space="preserve">.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Intellectual Property</w:t>
      </w:r>
      <w:r>
        <w:rPr>
          <w:rFonts w:ascii="Times New Roman" w:hAnsi="Times New Roman"/>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sz w:val="20"/>
          <w:u w:val="single"/>
        </w:rPr>
        <w:t>Intellectual Property Rights</w:t>
      </w:r>
      <w:r>
        <w:rPr>
          <w:rFonts w:ascii="Times New Roman" w:hAnsi="Times New Roman"/>
          <w:sz w:val="20"/>
        </w:rPr>
        <w:t xml:space="preserve">”).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Insurance</w:t>
      </w:r>
      <w:r>
        <w:rPr>
          <w:rFonts w:ascii="Times New Roman" w:hAnsi="Times New Roman"/>
          <w:sz w:val="20"/>
        </w:rPr>
        <w:t xml:space="preserve">.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Transactions With Affiliates and Employees</w:t>
      </w:r>
      <w:r>
        <w:rPr>
          <w:rFonts w:ascii="Times New Roman" w:hAnsi="Times New Roman"/>
          <w:sz w:val="20"/>
        </w:rPr>
        <w:t xml:space="preserve">.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Sarbanes-Oxley; Internal Accounting Controls</w:t>
      </w:r>
      <w:r>
        <w:rPr>
          <w:rFonts w:ascii="Times New Roman" w:hAnsi="Times New Roman"/>
          <w:sz w:val="20"/>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sz w:val="20"/>
          <w:u w:val="single"/>
        </w:rPr>
        <w:t>Evaluation Date</w:t>
      </w:r>
      <w:r>
        <w:rPr>
          <w:rFonts w:ascii="Times New Roman" w:hAnsi="Times New Roman"/>
          <w:sz w:val="20"/>
        </w:rPr>
        <w:t xml:space="preserv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Certain Fees</w:t>
      </w:r>
      <w:r>
        <w:rPr>
          <w:rFonts w:ascii="Times New Roman" w:hAnsi="Times New Roman"/>
          <w:sz w:val="20"/>
        </w:rPr>
        <w:t xml:space="preserve">.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Private Placement</w:t>
      </w:r>
      <w:r>
        <w:rPr>
          <w:rFonts w:ascii="Times New Roman" w:hAnsi="Times New Roman"/>
          <w:sz w:val="20"/>
        </w:rPr>
        <w:t xml:space="preserve">.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Investment Company</w:t>
      </w:r>
      <w:r>
        <w:rPr>
          <w:rFonts w:ascii="Times New Roman" w:hAnsi="Times New Roman"/>
          <w:sz w:val="20"/>
        </w:rPr>
        <w:t xml:space="preserve">. The Company is not and, immediately after receipt of payment for the Securities,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Listing and Maintenance Requirements</w:t>
      </w:r>
      <w:r>
        <w:rPr>
          <w:rFonts w:ascii="Times New Roman" w:hAnsi="Times New Roman"/>
          <w:sz w:val="20"/>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Application of Takeover Protections</w:t>
      </w:r>
      <w:r>
        <w:rPr>
          <w:rFonts w:ascii="Times New Roman" w:hAnsi="Times New Roman"/>
          <w:sz w:val="20"/>
        </w:rPr>
        <w:t xml:space="preserve">.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Disclosure</w:t>
      </w:r>
      <w:r>
        <w:rPr>
          <w:rFonts w:ascii="Times New Roman" w:hAnsi="Times New Roman"/>
          <w:sz w:val="20"/>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No Integrated Offering</w:t>
      </w:r>
      <w:r>
        <w:rPr>
          <w:rFonts w:ascii="Times New Roman" w:hAnsi="Times New Roman"/>
          <w:sz w:val="20"/>
        </w:rPr>
        <w:t xml:space="preserve">.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Solvency</w:t>
      </w:r>
      <w:r>
        <w:rPr>
          <w:rFonts w:ascii="Times New Roman" w:hAnsi="Times New Roman"/>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hAnsi="Times New Roman"/>
          <w:sz w:val="20"/>
          <w:u w:val="single"/>
        </w:rPr>
        <w:t>The SEC Reports</w:t>
      </w:r>
      <w:r>
        <w:rPr>
          <w:rFonts w:ascii="Times New Roman" w:hAnsi="Times New Roman"/>
          <w:sz w:val="20"/>
        </w:rPr>
        <w:t xml:space="preserve"> set forth as of the date hereof all outstanding secured and unsecured Indebtedness of the Company or any Subsidiary, or for which the Company or any Subsidiary has commitments. For the purposes of this Agreement, “</w:t>
      </w:r>
      <w:r>
        <w:rPr>
          <w:rFonts w:ascii="Times New Roman" w:hAnsi="Times New Roman"/>
          <w:sz w:val="20"/>
          <w:u w:val="single"/>
        </w:rPr>
        <w:t>Indebtedness</w:t>
      </w:r>
      <w:r>
        <w:rPr>
          <w:rFonts w:ascii="Times New Roman" w:hAnsi="Times New Roman"/>
          <w:sz w:val="20"/>
        </w:rPr>
        <w:t xml:space="preserve">”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Tax Status</w:t>
      </w:r>
      <w:r>
        <w:rPr>
          <w:rFonts w:ascii="Times New Roman" w:hAnsi="Times New Roman"/>
          <w:sz w:val="20"/>
        </w:rPr>
        <w:t xml:space="preserve">.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No General Solicitation</w:t>
      </w:r>
      <w:r>
        <w:rPr>
          <w:rFonts w:ascii="Times New Roman" w:hAnsi="Times New Roman"/>
          <w:sz w:val="20"/>
        </w:rPr>
        <w:t xml:space="preserve">.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Foreign Corrupt Practices</w:t>
      </w:r>
      <w:r>
        <w:rPr>
          <w:rFonts w:ascii="Times New Roman" w:hAnsi="Times New Roman"/>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Accountants</w:t>
      </w:r>
      <w:r>
        <w:rPr>
          <w:rFonts w:ascii="Times New Roman" w:hAnsi="Times New Roman"/>
          <w:sz w:val="20"/>
        </w:rPr>
        <w:t xml:space="preserve">.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Acknowledgment Regarding Purchasers’ Purchase of Securities</w:t>
      </w:r>
      <w:r>
        <w:rPr>
          <w:rFonts w:ascii="Times New Roman" w:hAnsi="Times New Roman"/>
          <w:sz w:val="20"/>
        </w:rPr>
        <w:t xml:space="preserve">.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Acknowledgment Regarding Purchaser’s Trading Activity</w:t>
      </w:r>
      <w:r>
        <w:rPr>
          <w:rFonts w:ascii="Times New Roman" w:hAnsi="Times New Roman"/>
          <w:sz w:val="20"/>
        </w:rPr>
        <w:t xml:space="preserve">.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Regulation M Compliance</w:t>
      </w:r>
      <w:r>
        <w:rPr>
          <w:rFonts w:ascii="Times New Roman" w:hAnsi="Times New Roman"/>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FDA</w:t>
      </w:r>
      <w:r>
        <w:rPr>
          <w:rFonts w:ascii="Times New Roman" w:hAnsi="Times New Roman"/>
          <w:sz w:val="20"/>
        </w:rPr>
        <w:t>. As to each product subject to the jurisdiction of the U.S. Food and Drug Administration (“</w:t>
      </w:r>
      <w:r>
        <w:rPr>
          <w:rFonts w:ascii="Times New Roman" w:hAnsi="Times New Roman"/>
          <w:sz w:val="20"/>
          <w:u w:val="single"/>
        </w:rPr>
        <w:t>FDA</w:t>
      </w:r>
      <w:r>
        <w:rPr>
          <w:rFonts w:ascii="Times New Roman" w:hAnsi="Times New Roman"/>
          <w:sz w:val="20"/>
        </w:rPr>
        <w:t>”) under the Federal Food, Drug and Cosmetic Act, as amended, and the regulations thereunder (“</w:t>
      </w:r>
      <w:r>
        <w:rPr>
          <w:rFonts w:ascii="Times New Roman" w:hAnsi="Times New Roman"/>
          <w:sz w:val="20"/>
          <w:u w:val="single"/>
        </w:rPr>
        <w:t>FDCA</w:t>
      </w:r>
      <w:r>
        <w:rPr>
          <w:rFonts w:ascii="Times New Roman" w:hAnsi="Times New Roman"/>
          <w:sz w:val="20"/>
        </w:rPr>
        <w:t>”) that is manufactured, packaged, labeled, tested, distributed, sold, and/or marketed by the Company or any of its Subsidiaries (each such product, a “</w:t>
      </w:r>
      <w:r>
        <w:rPr>
          <w:rFonts w:ascii="Times New Roman" w:hAnsi="Times New Roman"/>
          <w:sz w:val="20"/>
          <w:u w:val="single"/>
        </w:rPr>
        <w:t>Pharmaceutical Product</w:t>
      </w:r>
      <w:r>
        <w:rPr>
          <w:rFonts w:ascii="Times New Roman" w:hAnsi="Times New Roman"/>
          <w:sz w:val="20"/>
        </w:rPr>
        <w:t xml:space="preserve">”),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Stock Option Plans</w:t>
      </w:r>
      <w:r>
        <w:rPr>
          <w:rFonts w:ascii="Times New Roman" w:hAnsi="Times New Roman"/>
          <w:sz w:val="20"/>
        </w:rPr>
        <w:t xml:space="preserve">.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Cybersecurity</w:t>
      </w:r>
      <w:r>
        <w:rPr>
          <w:rFonts w:ascii="Times New Roman" w:hAnsi="Times New Roman"/>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sz w:val="20"/>
          <w:u w:val="single"/>
        </w:rPr>
        <w:t>IT Systems and Data</w:t>
      </w:r>
      <w:r>
        <w:rPr>
          <w:rFonts w:ascii="Times New Roman" w:hAnsi="Times New Roman"/>
          <w:sz w:val="20"/>
        </w:rPr>
        <w:t xml:space="preserve">”)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Compliance with Data Privacy Laws</w:t>
      </w:r>
      <w:r>
        <w:rPr>
          <w:rFonts w:ascii="Times New Roman" w:hAnsi="Times New Roman"/>
          <w:sz w:val="20"/>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hAnsi="Times New Roman"/>
          <w:sz w:val="20"/>
          <w:u w:val="single"/>
        </w:rPr>
        <w:t>GDPR</w:t>
      </w:r>
      <w:r>
        <w:rPr>
          <w:rFonts w:ascii="Times New Roman" w:hAnsi="Times New Roman"/>
          <w:sz w:val="20"/>
        </w:rPr>
        <w:t>”) (EU 2016/679) (collectively, “</w:t>
      </w:r>
      <w:r>
        <w:rPr>
          <w:rFonts w:ascii="Times New Roman" w:hAnsi="Times New Roman"/>
          <w:sz w:val="20"/>
          <w:u w:val="single"/>
        </w:rPr>
        <w:t>Privacy Laws</w:t>
      </w:r>
      <w:r>
        <w:rPr>
          <w:rFonts w:ascii="Times New Roman" w:hAnsi="Times New Roman"/>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hAnsi="Times New Roman"/>
          <w:sz w:val="20"/>
          <w:u w:val="single"/>
        </w:rPr>
        <w:t>Policies</w:t>
      </w:r>
      <w:r>
        <w:rPr>
          <w:rFonts w:ascii="Times New Roman" w:hAnsi="Times New Roman"/>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hAnsi="Times New Roman"/>
          <w:sz w:val="20"/>
          <w:u w:val="single"/>
        </w:rPr>
        <w:t>Personal Data</w:t>
      </w:r>
      <w:r>
        <w:rPr>
          <w:rFonts w:ascii="Times New Roman" w:hAnsi="Times New Roman"/>
          <w:sz w:val="20"/>
        </w:rPr>
        <w:t xml:space="preserve">”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Office of Foreign Assets Control</w:t>
      </w:r>
      <w:r>
        <w:rPr>
          <w:rFonts w:ascii="Times New Roman" w:hAnsi="Times New Roman"/>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U.S. Real Property Holding Corporation</w:t>
      </w:r>
      <w:r>
        <w:rPr>
          <w:rFonts w:ascii="Times New Roman" w:hAnsi="Times New Roman"/>
          <w:sz w:val="20"/>
        </w:rPr>
        <w:t xml:space="preserve">. The Company is not and has never been a U.S. real property holding corporation within the meaning of Section 897 of the Internal Revenue Code of 1986, as amended, and the Company shall so certify upon Purchaser’s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Bank Holding Company Act</w:t>
      </w:r>
      <w:r>
        <w:rPr>
          <w:rFonts w:ascii="Times New Roman" w:hAnsi="Times New Roman"/>
          <w:sz w:val="20"/>
        </w:rPr>
        <w:t>. Neither the Company nor any of its Subsidiaries or Affiliates is subject to the Bank Holding Company Act of 1956, as amended (the “</w:t>
      </w:r>
      <w:r>
        <w:rPr>
          <w:rFonts w:ascii="Times New Roman" w:hAnsi="Times New Roman"/>
          <w:sz w:val="20"/>
          <w:u w:val="single"/>
        </w:rPr>
        <w:t>BHCA</w:t>
      </w:r>
      <w:r>
        <w:rPr>
          <w:rFonts w:ascii="Times New Roman" w:hAnsi="Times New Roman"/>
          <w:sz w:val="20"/>
        </w:rPr>
        <w:t>”) and to regulation by the Board of Governors of the Federal Reserve System (the “</w:t>
      </w:r>
      <w:r>
        <w:rPr>
          <w:rFonts w:ascii="Times New Roman" w:hAnsi="Times New Roman"/>
          <w:sz w:val="20"/>
          <w:u w:val="single"/>
        </w:rPr>
        <w:t>Federal Reserve</w:t>
      </w:r>
      <w:r>
        <w:rPr>
          <w:rFonts w:ascii="Times New Roman" w:hAnsi="Times New Roman"/>
          <w:sz w:val="20"/>
        </w:rPr>
        <w:t xml:space="p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Money Laundering</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sz w:val="20"/>
          <w:u w:val="single"/>
        </w:rPr>
        <w:t>Money Laundering Laws</w:t>
      </w:r>
      <w:r>
        <w:rPr>
          <w:rFonts w:ascii="Times New Roman" w:hAnsi="Times New Roman"/>
          <w:sz w:val="20"/>
        </w:rPr>
        <w:t xml:space="preserve">”), and no Action or Proceeding by or before any court or governmental agency, authority or body or any arbitrator involving the Company or any Subsidiary with respect to the Money Laundering Laws is pending or, to the knowledge of the Company or any Subsidiary, threatened.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No Disqualification Events</w:t>
      </w:r>
      <w:r>
        <w:rPr>
          <w:rFonts w:ascii="Times New Roman" w:hAnsi="Times New Roman"/>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sz w:val="20"/>
          <w:u w:val="single"/>
        </w:rPr>
        <w:t>Issuer Covered Person</w:t>
      </w:r>
      <w:r>
        <w:rPr>
          <w:rFonts w:ascii="Times New Roman" w:hAnsi="Times New Roman"/>
          <w:sz w:val="20"/>
        </w:rPr>
        <w:t>”) is subject to any of the “Bad Actor” disqualifications described in Rule 506(d)(1)(i) to (viii) under the Securities Act (a “</w:t>
      </w:r>
      <w:r>
        <w:rPr>
          <w:rFonts w:ascii="Times New Roman" w:hAnsi="Times New Roman"/>
          <w:sz w:val="20"/>
          <w:u w:val="single"/>
        </w:rPr>
        <w:t>Disqualification Event</w:t>
      </w:r>
      <w:r>
        <w:rPr>
          <w:rFonts w:ascii="Times New Roman" w:hAnsi="Times New Roman"/>
          <w:sz w:val="20"/>
        </w:rPr>
        <w:t xml:space="preserve">”),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Other Covered Persons</w:t>
      </w:r>
      <w:r>
        <w:rPr>
          <w:rFonts w:ascii="Times New Roman" w:hAnsi="Times New Roman"/>
          <w:sz w:val="20"/>
        </w:rPr>
        <w:t xml:space="preserve">. Other than the Placement Agent, the Company is not aware of any person (other than any Issuer Covered Person) that has been or will be paid (directly or indirectly) remuneration for solicitation of purchasers in connection with the sale of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Notice of Disqualification Events</w:t>
      </w:r>
      <w:r>
        <w:rPr>
          <w:rFonts w:ascii="Times New Roman" w:hAnsi="Times New Roman"/>
          <w:sz w:val="20"/>
        </w:rPr>
        <w:t xml:space="preserve">.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Representations and Warranties of the Purchasers</w:t>
      </w:r>
      <w:r>
        <w:rPr>
          <w:rFonts w:ascii="Times New Roman" w:hAnsi="Times New Roman"/>
          <w:sz w:val="20"/>
        </w:rPr>
        <w:t xml:space="preserve">. Each Purchaser, for itself and for no other Purchaser, hereby represents and warrants as of the date hereof and as of the Closing Date to the Company as follows (unless as of a specific date therein, in which case they shall be accurate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w:t>
      </w:r>
      <w:r>
        <w:rPr>
          <w:rFonts w:ascii="Times New Roman" w:hAnsi="Times New Roman"/>
          <w:sz w:val="20"/>
        </w:rPr>
        <w:t xml:space="preserve">.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Understandings or Arrangements</w:t>
      </w:r>
      <w:r>
        <w:rPr>
          <w:rFonts w:ascii="Times New Roman" w:hAnsi="Times New Roman"/>
          <w:sz w:val="20"/>
        </w:rPr>
        <w:t xml:space="preserve">.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the Registration Statement or otherwise in compliance with applicable federal and state securities laws). Such Purchaser is acquiring the Securities hereunder in the ordinary course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Purchaser Status</w:t>
      </w:r>
      <w:r>
        <w:rPr>
          <w:rFonts w:ascii="Times New Roman" w:hAnsi="Times New Roman"/>
          <w:sz w:val="20"/>
        </w:rPr>
        <w:t xml:space="preserve">.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Experience of Such Purchaser</w:t>
      </w:r>
      <w:r>
        <w:rPr>
          <w:rFonts w:ascii="Times New Roman" w:hAnsi="Times New Roman"/>
          <w:sz w:val="20"/>
        </w:rPr>
        <w:t xml:space="preserve">.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Access to Information</w:t>
      </w:r>
      <w:r>
        <w:rPr>
          <w:rFonts w:ascii="Times New Roman" w:hAnsi="Times New Roman"/>
          <w:sz w:val="20"/>
        </w:rPr>
        <w:t xml:space="preserve">.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Transactions and Confidentiality</w:t>
      </w:r>
      <w:r>
        <w:rPr>
          <w:rFonts w:ascii="Times New Roman" w:hAnsi="Times New Roman"/>
          <w:sz w:val="20"/>
        </w:rPr>
        <w:t xml:space="preserve">.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General Solicitation</w:t>
      </w:r>
      <w:r>
        <w:rPr>
          <w:rFonts w:ascii="Times New Roman" w:hAnsi="Times New Roman"/>
          <w:sz w:val="20"/>
        </w:rPr>
        <w:t xml:space="preserve">.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OTHER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Securities may only be disposed of in compliance with state and federal securities laws. In connection with any transfer of the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Purchasers agree to the imprinting, so long as is required by this Section 4.1, of a legend on any of the Securities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 </w:t>
      </w:r>
    </w:p>
    <w:p>
      <w:pPr>
        <w:pStyle w:val="TextBody"/>
        <w:bidi w:val="0"/>
        <w:spacing w:before="120" w:after="0"/>
        <w:jc w:val="left"/>
        <w:rPr>
          <w:rFonts w:ascii="Times New Roman" w:hAnsi="Times New Roman"/>
          <w:sz w:val="20"/>
        </w:rPr>
      </w:pPr>
      <w:r>
        <w:rPr>
          <w:rFonts w:ascii="Times New Roman" w:hAnsi="Times New Roman"/>
          <w:sz w:val="20"/>
        </w:rPr>
        <w:t xml:space="preserve">(c) 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hAnsi="Times New Roman"/>
          <w:sz w:val="20"/>
          <w:u w:val="single"/>
        </w:rPr>
        <w:t>Legend Removal Date</w:t>
      </w:r>
      <w:r>
        <w:rPr>
          <w:rFonts w:ascii="Times New Roman" w:hAnsi="Times New Roman"/>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 </w:t>
      </w:r>
    </w:p>
    <w:p>
      <w:pPr>
        <w:pStyle w:val="TextBody"/>
        <w:bidi w:val="0"/>
        <w:spacing w:before="120" w:after="0"/>
        <w:jc w:val="left"/>
        <w:rPr>
          <w:rFonts w:ascii="Times New Roman" w:hAnsi="Times New Roman"/>
          <w:sz w:val="20"/>
        </w:rPr>
      </w:pPr>
      <w:r>
        <w:rPr>
          <w:rFonts w:ascii="Times New Roman" w:hAnsi="Times New Roman"/>
          <w:sz w:val="20"/>
        </w:rPr>
        <w:t>(d) 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hAnsi="Times New Roman"/>
          <w:sz w:val="20"/>
          <w:u w:val="single"/>
        </w:rPr>
        <w:t>Buy-In Price</w:t>
      </w:r>
      <w:r>
        <w:rPr>
          <w:rFonts w:ascii="Times New Roman" w:hAnsi="Times New Roman"/>
          <w:sz w:val="20"/>
        </w:rPr>
        <w:t xml:space="preserve">”)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Section 4(d). </w:t>
      </w:r>
    </w:p>
    <w:p>
      <w:pPr>
        <w:pStyle w:val="TextBody"/>
        <w:bidi w:val="0"/>
        <w:spacing w:before="120" w:after="0"/>
        <w:jc w:val="left"/>
        <w:rPr>
          <w:rFonts w:ascii="Times New Roman" w:hAnsi="Times New Roman"/>
          <w:sz w:val="20"/>
        </w:rPr>
      </w:pPr>
      <w:r>
        <w:rPr>
          <w:rFonts w:ascii="Times New Roman" w:hAnsi="Times New Roman"/>
          <w:sz w:val="20"/>
        </w:rPr>
        <w:t xml:space="preserve">(e)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Furnishing of Information; Public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Until the earlier of the time that (i) no Purchaser owns Securities or (ii) the Warrants have expired, the Company covenants to take reasonable steps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w:t>
      </w:r>
    </w:p>
    <w:p>
      <w:pPr>
        <w:pStyle w:val="TextBody"/>
        <w:bidi w:val="0"/>
        <w:spacing w:before="120" w:after="0"/>
        <w:jc w:val="left"/>
        <w:rPr>
          <w:rFonts w:ascii="Times New Roman" w:hAnsi="Times New Roman"/>
          <w:sz w:val="20"/>
        </w:rPr>
      </w:pPr>
      <w:r>
        <w:rPr>
          <w:rFonts w:ascii="Times New Roman" w:hAnsi="Times New Roman"/>
          <w:sz w:val="20"/>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hAnsi="Times New Roman"/>
          <w:sz w:val="20"/>
          <w:u w:val="single"/>
        </w:rPr>
        <w:t>Public Information Failure</w:t>
      </w:r>
      <w:r>
        <w:rPr>
          <w:rFonts w:ascii="Times New Roman" w:hAnsi="Times New Roman"/>
          <w:sz w:val="20"/>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Subscription Amount of such Purchaser’s Securities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Times New Roman" w:hAnsi="Times New Roman"/>
          <w:sz w:val="20"/>
          <w:u w:val="single"/>
        </w:rPr>
        <w:t>Public Information Failure Payments</w:t>
      </w:r>
      <w:r>
        <w:rPr>
          <w:rFonts w:ascii="Times New Roman" w:hAnsi="Times New Roman"/>
          <w:sz w:val="20"/>
        </w:rPr>
        <w:t xml:space="preserve">.”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Integration</w:t>
      </w:r>
      <w:r>
        <w:rPr>
          <w:rFonts w:ascii="Times New Roman" w:hAnsi="Times New Roman"/>
          <w:sz w:val="20"/>
        </w:rPr>
        <w:t xml:space="preserve">.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Securities Laws Disclosure; Publicity</w:t>
      </w:r>
      <w:r>
        <w:rPr>
          <w:rFonts w:ascii="Times New Roman" w:hAnsi="Times New Roman"/>
          <w:sz w:val="20"/>
        </w:rPr>
        <w:t xml:space="preserve">. The Company shall (a) by the Disclosure Time, issue a press release disclosing the material terms of the transactions contemplated hereby, and (b) file a Current Report on Form 8-K, including copies of the Transaction Documents (or forms thereto)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Shareholder Rights Plan</w:t>
      </w:r>
      <w:r>
        <w:rPr>
          <w:rFonts w:ascii="Times New Roman" w:hAnsi="Times New Roman"/>
          <w:sz w:val="20"/>
        </w:rPr>
        <w:t>. No claim will be made or enforced by the Company or, with the consent of the Company, any other Person, that any Purchaser is an “</w:t>
      </w:r>
      <w:r>
        <w:rPr>
          <w:rFonts w:ascii="Times New Roman" w:hAnsi="Times New Roman"/>
          <w:sz w:val="20"/>
          <w:u w:val="single"/>
        </w:rPr>
        <w:t>Acquiring Person</w:t>
      </w:r>
      <w:r>
        <w:rPr>
          <w:rFonts w:ascii="Times New Roman" w:hAnsi="Times New Roman"/>
          <w:sz w:val="20"/>
        </w:rPr>
        <w:t xml:space="preserve">”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Non-Public Information</w:t>
      </w:r>
      <w:r>
        <w:rPr>
          <w:rFonts w:ascii="Times New Roman" w:hAnsi="Times New Roman"/>
          <w:sz w:val="20"/>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Use of Proceeds</w:t>
      </w:r>
      <w:r>
        <w:rPr>
          <w:rFonts w:ascii="Times New Roman" w:hAnsi="Times New Roman"/>
          <w:sz w:val="20"/>
        </w:rPr>
        <w:t xml:space="preserve">.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Indemnification of Purchasers.</w:t>
      </w:r>
      <w:r>
        <w:rPr>
          <w:rFonts w:ascii="Times New Roman" w:hAnsi="Times New Roman"/>
          <w:sz w:val="20"/>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Reservation of Common Stock</w:t>
      </w:r>
      <w:r>
        <w:rPr>
          <w:rFonts w:ascii="Times New Roman" w:hAnsi="Times New Roman"/>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Listing of Common Stock</w:t>
      </w:r>
      <w:r>
        <w:rPr>
          <w:rFonts w:ascii="Times New Roman" w:hAnsi="Times New Roman"/>
          <w:sz w:val="20"/>
        </w:rPr>
        <w:t xml:space="preserve">.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seek Stockholder Approval no later than ninety (90) days following the date of this Agreement at its next annual or special meeting of stockholders, with the recommendation of the Company’s Board of Directors that such proposal is approved, and the Company shall either (i) obtain a written consent in lieu of a meeting from its stockholders or (ii) solicit proxies from its stockholders in connection therewith in the same manner as all other management proposals in such proxy statement and all management appointed proxyholders shall vote their proxies in favor of such proposals. In the case of an annual or special meeting of stockholders, if the Company does not obtain Stockholder Approval at the first annual or special meeting, the Company shall call a meeting every ninety (90) days thereafter to seek Stockholder Approval until the earlier of the date on which Stockholder Approval is obtained or the Common Warrants are no longer outstanding. Each Purchaser covenants that if such Purchaser holds any Shares or Pre-Funded Warrant Shares as of the record date of such meeting, such Purchaser shall not vote such Shares or Pre-Funded Warrant Shares on the proposal for Stockholder Approval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Subsequent Equity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thirty (30) days following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 or filing a registration statement on Form S-8 in connection with any employee compensation plan; provided, however, that this Section 4.11(a) shall not apply to (i) any issuance or sale of equity securities pursuant to that certain funding commitment letter, dated November 19, 2025, by and between the Company and Factor Bioscience Inc. and (ii) the registration of warrants described in the Company’s Current Report on Form 8-K filed with the Commission on February 6, 2026.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sixty (60) days following the Effective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indirectly related to the business of the Company or the market for the Common Stock or (ii) enters into, or effects a transaction under, any agreement, including, but not limited to, an equity line of credit or an “at-the-market” facility, whereby the Company may issue securities at a future determined price, regardless of whether shares pursuant to such agreement have actually been issued and regardless of whether such agreement is subsequently canceled; provided, however, that, following the expiration of the restrictive period set forth in Section 4.11(a) above, (i) any sale of shares of Common Stock pursuant to the ELOC at a price per share above $0.85, or (ii) the entry into and/or issuance of shares of Common Stock in an “at-the-market” facility with the Placement Agent as sales agent, shall not be deemed a Variable Rate Transaction. Any Purchaser shall be entitled to obtain injunctive relief against the Company to preclude any such issuance, which remedy shall be in addition to any right to collect damages.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this Section 4.11 shall not apply in respect of an Exempt Issuance, except that no Variable Rate Transaction shall be an Exempt Issuance.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Equal Treatment of Purchasers</w:t>
      </w:r>
      <w:r>
        <w:rPr>
          <w:rFonts w:ascii="Times New Roman" w:hAnsi="Times New Roman"/>
          <w:sz w:val="20"/>
        </w:rPr>
        <w:t xml:space="preserve">.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Transactions and Confidentiality</w:t>
      </w:r>
      <w:r>
        <w:rPr>
          <w:rFonts w:ascii="Times New Roman" w:hAnsi="Times New Roman"/>
          <w:sz w:val="20"/>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Acknowledgment of Dilution</w:t>
      </w:r>
      <w:r>
        <w:rPr>
          <w:rFonts w:ascii="Times New Roman" w:hAnsi="Times New Roman"/>
          <w:sz w:val="20"/>
        </w:rPr>
        <w:t xml:space="preserve">.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Exercise Procedures</w:t>
      </w:r>
      <w:r>
        <w:rPr>
          <w:rFonts w:ascii="Times New Roman" w:hAnsi="Times New Roman"/>
          <w:sz w:val="20"/>
        </w:rPr>
        <w:t xml:space="preserve">.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Form D; Blue Sky Filings</w:t>
      </w:r>
      <w:r>
        <w:rPr>
          <w:rFonts w:ascii="Times New Roman" w:hAnsi="Times New Roman"/>
          <w:sz w:val="20"/>
        </w:rPr>
        <w:t xml:space="preserve">. If required,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Termination</w:t>
      </w:r>
      <w:r>
        <w:rPr>
          <w:rFonts w:ascii="Times New Roman" w:hAnsi="Times New Roman"/>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termination will affect the right of any party to sue for any breach by any other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Fees and Expenses</w:t>
      </w:r>
      <w:r>
        <w:rPr>
          <w:rFonts w:ascii="Times New Roman" w:hAnsi="Times New Roman"/>
          <w:sz w:val="20"/>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Entire Agreement</w:t>
      </w:r>
      <w:r>
        <w:rPr>
          <w:rFonts w:ascii="Times New Roman" w:hAnsi="Times New Roman"/>
          <w:sz w:val="20"/>
        </w:rPr>
        <w:t xml:space="preserve">.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Amendments; Waivers</w:t>
      </w:r>
      <w:r>
        <w:rPr>
          <w:rFonts w:ascii="Times New Roman" w:hAnsi="Times New Roman"/>
          <w:sz w:val="20"/>
        </w:rPr>
        <w:t xml:space="preserve">.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Agreement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Third-Party Beneficiaries</w:t>
      </w:r>
      <w:r>
        <w:rPr>
          <w:rFonts w:ascii="Times New Roman" w:hAnsi="Times New Roman"/>
          <w:sz w:val="20"/>
        </w:rPr>
        <w:t xml:space="preserve">.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Survival</w:t>
      </w:r>
      <w:r>
        <w:rPr>
          <w:rFonts w:ascii="Times New Roman" w:hAnsi="Times New Roman"/>
          <w:sz w:val="20"/>
        </w:rPr>
        <w:t xml:space="preserve">. The representations and warranties contained herein shall survive the Closing and the delivery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Execution</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Rescission and Withdrawal Right</w:t>
      </w:r>
      <w:r>
        <w:rPr>
          <w:rFonts w:ascii="Times New Roman" w:hAnsi="Times New Roman"/>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Replacement of Securities</w:t>
      </w:r>
      <w:r>
        <w:rPr>
          <w:rFonts w:ascii="Times New Roman" w:hAnsi="Times New Roman"/>
          <w:sz w:val="20"/>
        </w:rPr>
        <w:t xml:space="preserve">.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Remedies</w:t>
      </w:r>
      <w:r>
        <w:rPr>
          <w:rFonts w:ascii="Times New Roman" w:hAnsi="Times New Roman"/>
          <w:sz w:val="20"/>
        </w:rPr>
        <w:t xml:space="preserve">.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Payment Set Aside</w:t>
      </w:r>
      <w:r>
        <w:rPr>
          <w:rFonts w:ascii="Times New Roman" w:hAnsi="Times New Roman"/>
          <w:sz w:val="20"/>
        </w:rPr>
        <w:t xml:space="preserve">.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Independent Nature of Purchasers’ Obligations and Rights</w:t>
      </w:r>
      <w:r>
        <w:rPr>
          <w:rFonts w:ascii="Times New Roman" w:hAnsi="Times New Roman"/>
          <w:sz w:val="20"/>
        </w:rPr>
        <w:t xml:space="preserve">.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Liquidated Damages</w:t>
      </w:r>
      <w:r>
        <w:rPr>
          <w:rFonts w:ascii="Times New Roman" w:hAnsi="Times New Roman"/>
          <w:sz w:val="20"/>
        </w:rPr>
        <w:t xml:space="preserve">.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5.20 </w:t>
      </w:r>
      <w:r>
        <w:rPr>
          <w:rFonts w:ascii="Times New Roman" w:hAnsi="Times New Roman"/>
          <w:sz w:val="20"/>
          <w:u w:val="single"/>
        </w:rPr>
        <w:t>Construction</w:t>
      </w:r>
      <w:r>
        <w:rPr>
          <w:rFonts w:ascii="Times New Roman" w:hAnsi="Times New Roman"/>
          <w:sz w:val="20"/>
        </w:rPr>
        <w:t xml:space="preserve">.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b/>
          <w:sz w:val="20"/>
          <w:u w:val="single"/>
        </w:rPr>
        <w:t>WAIVER OF JURY TRIAL</w:t>
      </w:r>
      <w:r>
        <w:rPr>
          <w:rFonts w:ascii="Times New Roman" w:hAnsi="Times New Roman"/>
          <w:b/>
          <w:sz w:val="20"/>
        </w:rPr>
        <w:t xml:space="preserve">. </w:t>
      </w:r>
      <w:r>
        <w:rPr>
          <w:rFonts w:ascii="Times New Roman" w:hAnsi="Times New Roman"/>
          <w:b/>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3"/>
        <w:gridCol w:w="243"/>
        <w:gridCol w:w="4451"/>
        <w:gridCol w:w="161"/>
        <w:gridCol w:w="496"/>
        <w:gridCol w:w="161"/>
        <w:gridCol w:w="4040"/>
      </w:tblGrid>
      <w:tr>
        <w:trPr/>
        <w:tc>
          <w:tcPr>
            <w:tcW w:w="653"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5347" w:type="dxa"/>
            <w:gridSpan w:val="3"/>
            <w:tcBorders/>
          </w:tcPr>
          <w:p>
            <w:pPr>
              <w:pStyle w:val="TableContents"/>
              <w:bidi w:val="0"/>
              <w:spacing w:before="0" w:after="283"/>
              <w:jc w:val="left"/>
              <w:rPr>
                <w:b/>
              </w:rPr>
            </w:pPr>
            <w:r>
              <w:rPr>
                <w:b/>
              </w:rPr>
              <w:t>TEMPEST THERAPEUTICS, INC.</w:t>
            </w:r>
          </w:p>
        </w:tc>
        <w:tc>
          <w:tcPr>
            <w:tcW w:w="161"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4040" w:type="dxa"/>
            <w:tcBorders/>
          </w:tcPr>
          <w:p>
            <w:pPr>
              <w:pStyle w:val="TableContents"/>
              <w:bidi w:val="0"/>
              <w:spacing w:before="0" w:after="283"/>
              <w:jc w:val="left"/>
              <w:rPr>
                <w:u w:val="single"/>
              </w:rPr>
            </w:pPr>
            <w:r>
              <w:rPr>
                <w:u w:val="single"/>
              </w:rPr>
              <w:t>Address for Notice:</w:t>
            </w:r>
          </w:p>
        </w:tc>
      </w:tr>
      <w:tr>
        <w:trPr>
          <w:trHeight w:val="240" w:hRule="atLeast"/>
        </w:trPr>
        <w:tc>
          <w:tcPr>
            <w:tcW w:w="653" w:type="dxa"/>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c>
          <w:tcPr>
            <w:tcW w:w="657" w:type="dxa"/>
            <w:gridSpan w:val="2"/>
            <w:tcBorders/>
            <w:vAlign w:val="center"/>
          </w:tcPr>
          <w:p>
            <w:pPr>
              <w:pStyle w:val="TableContents"/>
              <w:bidi w:val="0"/>
              <w:spacing w:before="0" w:after="283"/>
              <w:jc w:val="left"/>
              <w:rPr>
                <w:sz w:val="4"/>
                <w:szCs w:val="4"/>
              </w:rPr>
            </w:pPr>
            <w:r>
              <w:rPr>
                <w:sz w:val="4"/>
                <w:szCs w:val="4"/>
              </w:rPr>
            </w:r>
          </w:p>
        </w:tc>
        <w:tc>
          <w:tcPr>
            <w:tcW w:w="4201" w:type="dxa"/>
            <w:gridSpan w:val="2"/>
            <w:tcBorders/>
            <w:vAlign w:val="center"/>
          </w:tcPr>
          <w:p>
            <w:pPr>
              <w:pStyle w:val="TableContents"/>
              <w:bidi w:val="0"/>
              <w:spacing w:before="0" w:after="283"/>
              <w:jc w:val="left"/>
              <w:rPr>
                <w:sz w:val="4"/>
                <w:szCs w:val="4"/>
              </w:rPr>
            </w:pPr>
            <w:r>
              <w:rPr>
                <w:sz w:val="4"/>
                <w:szCs w:val="4"/>
              </w:rPr>
            </w:r>
          </w:p>
        </w:tc>
      </w:tr>
      <w:tr>
        <w:trPr/>
        <w:tc>
          <w:tcPr>
            <w:tcW w:w="653" w:type="dxa"/>
            <w:tcBorders/>
          </w:tcPr>
          <w:p>
            <w:pPr>
              <w:pStyle w:val="TableContents"/>
              <w:bidi w:val="0"/>
              <w:spacing w:before="0" w:after="283"/>
              <w:jc w:val="left"/>
              <w:rPr/>
            </w:pPr>
            <w:r>
              <w:rPr/>
              <w:t>By:</w:t>
            </w:r>
          </w:p>
        </w:tc>
        <w:tc>
          <w:tcPr>
            <w:tcW w:w="243" w:type="dxa"/>
            <w:tcBorders/>
            <w:vAlign w:val="bottom"/>
          </w:tcPr>
          <w:p>
            <w:pPr>
              <w:pStyle w:val="TableContents"/>
              <w:bidi w:val="0"/>
              <w:spacing w:before="0" w:after="283"/>
              <w:jc w:val="left"/>
              <w:rPr/>
            </w:pPr>
            <w:r>
              <w:rPr/>
              <w:t>  </w:t>
            </w:r>
          </w:p>
        </w:tc>
        <w:tc>
          <w:tcPr>
            <w:tcW w:w="4451" w:type="dxa"/>
            <w:tcBorders/>
          </w:tcPr>
          <w:p>
            <w:pPr>
              <w:pStyle w:val="TableContents"/>
              <w:pBdr>
                <w:bottom w:val="single" w:sz="2" w:space="1" w:color="000000"/>
              </w:pBdr>
              <w:bidi w:val="0"/>
              <w:spacing w:before="0" w:after="20"/>
              <w:jc w:val="left"/>
              <w:rPr/>
            </w:pPr>
            <w:r>
              <w:rPr/>
              <w:t> </w:t>
            </w:r>
          </w:p>
        </w:tc>
        <w:tc>
          <w:tcPr>
            <w:tcW w:w="161"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040" w:type="dxa"/>
            <w:tcBorders/>
          </w:tcPr>
          <w:p>
            <w:pPr>
              <w:pStyle w:val="TableContents"/>
              <w:bidi w:val="0"/>
              <w:spacing w:before="0" w:after="283"/>
              <w:jc w:val="left"/>
              <w:rPr/>
            </w:pPr>
            <w:r>
              <w:rPr/>
              <w:t>E-Mail:</w:t>
            </w:r>
          </w:p>
        </w:tc>
      </w:tr>
      <w:tr>
        <w:trPr/>
        <w:tc>
          <w:tcPr>
            <w:tcW w:w="653"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4451" w:type="dxa"/>
            <w:tcBorders/>
          </w:tcPr>
          <w:p>
            <w:pPr>
              <w:pStyle w:val="TableContents"/>
              <w:bidi w:val="0"/>
              <w:spacing w:before="0" w:after="283"/>
              <w:jc w:val="left"/>
              <w:rPr/>
            </w:pPr>
            <w:r>
              <w:rPr/>
              <w:t>Name:</w:t>
            </w:r>
          </w:p>
        </w:tc>
        <w:tc>
          <w:tcPr>
            <w:tcW w:w="161"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040" w:type="dxa"/>
            <w:tcBorders/>
          </w:tcPr>
          <w:p>
            <w:pPr>
              <w:pStyle w:val="TableContents"/>
              <w:bidi w:val="0"/>
              <w:spacing w:before="0" w:after="283"/>
              <w:jc w:val="left"/>
              <w:rPr>
                <w:sz w:val="4"/>
                <w:szCs w:val="4"/>
              </w:rPr>
            </w:pPr>
            <w:r>
              <w:rPr>
                <w:sz w:val="4"/>
                <w:szCs w:val="4"/>
              </w:rPr>
            </w:r>
          </w:p>
        </w:tc>
      </w:tr>
      <w:tr>
        <w:trPr/>
        <w:tc>
          <w:tcPr>
            <w:tcW w:w="653"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4451" w:type="dxa"/>
            <w:tcBorders/>
          </w:tcPr>
          <w:p>
            <w:pPr>
              <w:pStyle w:val="TableContents"/>
              <w:bidi w:val="0"/>
              <w:spacing w:before="0" w:after="283"/>
              <w:jc w:val="left"/>
              <w:rPr/>
            </w:pPr>
            <w:r>
              <w:rPr/>
              <w:t>Title:</w:t>
            </w:r>
          </w:p>
        </w:tc>
        <w:tc>
          <w:tcPr>
            <w:tcW w:w="161"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04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PURCHASER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[PURCHASER SIGNATURE PAGES TO TPST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Securities Purchase Agreement to be duly executed by their respective authorized signatories as of the date first indicated above. </w:t>
      </w:r>
    </w:p>
    <w:p>
      <w:pPr>
        <w:pStyle w:val="TextBody"/>
        <w:bidi w:val="0"/>
        <w:spacing w:before="240" w:after="0"/>
        <w:jc w:val="left"/>
        <w:rPr>
          <w:rFonts w:ascii="Times New Roman" w:hAnsi="Times New Roman"/>
          <w:sz w:val="20"/>
        </w:rPr>
      </w:pPr>
      <w:r>
        <w:rPr>
          <w:rFonts w:ascii="Times New Roman" w:hAnsi="Times New Roman"/>
          <w:sz w:val="20"/>
        </w:rPr>
        <w:t xml:space="preserve">Name of Purchaser: ________________________________________________________________________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i/>
          <w:sz w:val="20"/>
        </w:rPr>
        <w:t>Signature of Authorized Signatory of Purchaser</w:t>
      </w:r>
      <w:r>
        <w:rPr>
          <w:rFonts w:ascii="Times New Roman" w:hAnsi="Times New Roman"/>
          <w:sz w:val="20"/>
        </w:rPr>
        <w:t xml:space="preserve">: 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Name of Authorized Signatory: _______________________________________________________________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Title of Authorized Signatory: ________________________________________________________________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Email Address of Authorized Signatory: _________________________________________________________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Address for Notice to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for Delivery of Securities to Purchaser (if not same as address for notice): </w:t>
      </w:r>
    </w:p>
    <w:p>
      <w:pPr>
        <w:pStyle w:val="TextBody"/>
        <w:bidi w:val="0"/>
        <w:spacing w:before="240" w:after="0"/>
        <w:jc w:val="left"/>
        <w:rPr>
          <w:rFonts w:ascii="Times New Roman" w:hAnsi="Times New Roman"/>
          <w:sz w:val="20"/>
        </w:rPr>
      </w:pPr>
      <w:r>
        <w:rPr>
          <w:rFonts w:ascii="Times New Roman" w:hAnsi="Times New Roman"/>
          <w:sz w:val="20"/>
        </w:rPr>
        <w:t xml:space="preserve">Subscription Amount: $_________________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Shares: 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Pre-Funded Warrants: _______________ Beneficial Ownership Blocker ☐ 4.99% or ☐ 9.99% </w:t>
      </w:r>
    </w:p>
    <w:p>
      <w:pPr>
        <w:pStyle w:val="TextBody"/>
        <w:bidi w:val="0"/>
        <w:spacing w:before="240" w:after="0"/>
        <w:jc w:val="left"/>
        <w:rPr>
          <w:rFonts w:ascii="Times New Roman" w:hAnsi="Times New Roman"/>
          <w:sz w:val="20"/>
        </w:rPr>
      </w:pPr>
      <w:r>
        <w:rPr>
          <w:rFonts w:ascii="Times New Roman" w:hAnsi="Times New Roman"/>
          <w:sz w:val="20"/>
        </w:rPr>
        <w:t xml:space="preserve">Series C Warrants: _____________ Beneficial Ownership Blocker ☐ 4.99% or ☐ 9.99% </w:t>
      </w:r>
    </w:p>
    <w:p>
      <w:pPr>
        <w:pStyle w:val="TextBody"/>
        <w:bidi w:val="0"/>
        <w:spacing w:before="240" w:after="0"/>
        <w:jc w:val="left"/>
        <w:rPr>
          <w:rFonts w:ascii="Times New Roman" w:hAnsi="Times New Roman"/>
          <w:sz w:val="20"/>
        </w:rPr>
      </w:pPr>
      <w:r>
        <w:rPr>
          <w:rFonts w:ascii="Times New Roman" w:hAnsi="Times New Roman"/>
          <w:sz w:val="20"/>
        </w:rPr>
        <w:t xml:space="preserve">Series D Warrants: _____________ Beneficial Ownership Blocker ☐ 4.99% or ☐ 9.99% </w:t>
      </w:r>
    </w:p>
    <w:p>
      <w:pPr>
        <w:pStyle w:val="TextBody"/>
        <w:bidi w:val="0"/>
        <w:spacing w:before="240" w:after="0"/>
        <w:jc w:val="left"/>
        <w:rPr>
          <w:rFonts w:ascii="Times New Roman" w:hAnsi="Times New Roman"/>
          <w:sz w:val="20"/>
        </w:rPr>
      </w:pPr>
      <w:r>
        <w:rPr>
          <w:rFonts w:ascii="Times New Roman" w:hAnsi="Times New Roman"/>
          <w:sz w:val="20"/>
        </w:rPr>
        <w:t xml:space="preserve">EIN Number: _______________________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TextBody"/>
        <w:bidi w:val="0"/>
        <w:spacing w:before="0" w:after="0"/>
        <w:jc w:val="right"/>
        <w:rPr>
          <w:rFonts w:ascii="Times New Roman" w:hAnsi="Times New Roman"/>
          <w:b/>
          <w:sz w:val="20"/>
        </w:rPr>
      </w:pPr>
      <w:bookmarkStart w:id="8" w:name="d108044dex102.htm"/>
      <w:bookmarkStart w:id="9" w:name="ksd108044dex102"/>
      <w:bookmarkEnd w:id="8"/>
      <w:bookmarkEnd w:id="9"/>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and entered into as of September 11, 2026, by and between Tempest Therapeutics, Inc., a Delaware corporation (the “</w:t>
      </w:r>
      <w:r>
        <w:rPr>
          <w:rFonts w:ascii="Times New Roman" w:hAnsi="Times New Roman"/>
          <w:sz w:val="20"/>
          <w:u w:val="single"/>
        </w:rPr>
        <w:t>Company</w:t>
      </w:r>
      <w:r>
        <w:rPr>
          <w:rFonts w:ascii="Times New Roman" w:hAnsi="Times New Roman"/>
          <w:sz w:val="20"/>
        </w:rPr>
        <w:t>”), and each of the several purchasers signatory hereto (each such purchaser,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Securities Purchase Agreement, dated as of the date hereof, between the Company and each Purchaser (the “</w:t>
      </w:r>
      <w:r>
        <w:rPr>
          <w:rFonts w:ascii="Times New Roman" w:hAnsi="Times New Roman"/>
          <w:sz w:val="20"/>
          <w:u w:val="single"/>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Purchaser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Capitalized terms used and not otherwise defined herein that are defined in the Purchase Agreement shall have the meanings given such terms in the Purchase Agreement. As used in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Advice</w:t>
      </w:r>
      <w:r>
        <w:rPr>
          <w:rFonts w:ascii="Times New Roman" w:hAnsi="Times New Roman"/>
          <w:sz w:val="20"/>
        </w:rPr>
        <w:t xml:space="preserve">” shall have the meaning set forth in Section 6(d). </w:t>
      </w:r>
    </w:p>
    <w:p>
      <w:pPr>
        <w:pStyle w:val="TextBody"/>
        <w:bidi w:val="0"/>
        <w:spacing w:before="120" w:after="0"/>
        <w:jc w:val="left"/>
        <w:rPr/>
      </w:pPr>
      <w:r>
        <w:rPr/>
        <w:t>“</w:t>
      </w:r>
      <w:r>
        <w:rPr>
          <w:rFonts w:ascii="Times New Roman" w:hAnsi="Times New Roman"/>
          <w:sz w:val="20"/>
          <w:u w:val="single"/>
        </w:rPr>
        <w:t>Effectiveness Date</w:t>
      </w:r>
      <w:r>
        <w:rPr>
          <w:rFonts w:ascii="Times New Roman" w:hAnsi="Times New Roman"/>
          <w:sz w:val="20"/>
        </w:rPr>
        <w:t xml:space="preserve">” means, with respect to the Initial Registration Statement required to be filed hereunder, the 45th calendar day following the date hereof (or, in the event of a “full review” by the Commission, the 75th calendar day following the date hereof) and with respect to any additional Registration Statements which may be required pursuant to Section 2(c) or Section 3(c), the 45th calendar day following the date on which an additional Registration Statement is required to be filed hereunder (or, in the event of a “full review” by the Commission, the 75th calendar day following the date such additional Registration Statement is required to be filed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in writing if such date precedes the dates otherwise required above, provided, further, if such Effectiveness Date falls on a day that is not a Trading Day, then the Effectiveness Date shall be the next succeeding Trading Day. Notwithstanding anything to the contrary set forth herein, if the U.S. federal government is “shutdown” due to a budget impasse on any day following the filing of the Initial Registration Statement or any additional Registration Statement, the “Effectiveness Date” deadlines set forth herein shall be automatically extended for each day of such “shutdown” after such filing. </w:t>
      </w:r>
    </w:p>
    <w:p>
      <w:pPr>
        <w:pStyle w:val="TextBody"/>
        <w:bidi w:val="0"/>
        <w:spacing w:before="120" w:after="0"/>
        <w:jc w:val="left"/>
        <w:rPr/>
      </w:pPr>
      <w:r>
        <w:rPr/>
        <w:t>“</w:t>
      </w:r>
      <w:r>
        <w:rPr>
          <w:rFonts w:ascii="Times New Roman" w:hAnsi="Times New Roman"/>
          <w:sz w:val="20"/>
          <w:u w:val="single"/>
        </w:rPr>
        <w:t>Effectiveness Period</w:t>
      </w:r>
      <w:r>
        <w:rPr>
          <w:rFonts w:ascii="Times New Roman" w:hAnsi="Times New Roman"/>
          <w:sz w:val="20"/>
        </w:rPr>
        <w:t xml:space="preserve">” shall have the meaning set forth in Section 2(a).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Event</w:t>
      </w:r>
      <w:r>
        <w:rPr>
          <w:rFonts w:ascii="Times New Roman" w:hAnsi="Times New Roman"/>
          <w:sz w:val="20"/>
        </w:rPr>
        <w:t xml:space="preserve">” shall have the meaning set forth in Section 2(d). </w:t>
      </w:r>
    </w:p>
    <w:p>
      <w:pPr>
        <w:pStyle w:val="TextBody"/>
        <w:bidi w:val="0"/>
        <w:spacing w:before="120" w:after="0"/>
        <w:jc w:val="left"/>
        <w:rPr/>
      </w:pPr>
      <w:r>
        <w:rPr/>
        <w:t>“</w:t>
      </w:r>
      <w:r>
        <w:rPr>
          <w:rFonts w:ascii="Times New Roman" w:hAnsi="Times New Roman"/>
          <w:sz w:val="20"/>
          <w:u w:val="single"/>
        </w:rPr>
        <w:t>Event Date</w:t>
      </w:r>
      <w:r>
        <w:rPr>
          <w:rFonts w:ascii="Times New Roman" w:hAnsi="Times New Roman"/>
          <w:sz w:val="20"/>
        </w:rPr>
        <w:t xml:space="preserve">” shall have the meaning set forth in Section 2(d). </w:t>
      </w:r>
    </w:p>
    <w:p>
      <w:pPr>
        <w:pStyle w:val="TextBody"/>
        <w:bidi w:val="0"/>
        <w:spacing w:before="120" w:after="0"/>
        <w:jc w:val="left"/>
        <w:rPr/>
      </w:pPr>
      <w:r>
        <w:rPr/>
        <w:t>“</w:t>
      </w:r>
      <w:r>
        <w:rPr>
          <w:rFonts w:ascii="Times New Roman" w:hAnsi="Times New Roman"/>
          <w:sz w:val="20"/>
          <w:u w:val="single"/>
        </w:rPr>
        <w:t>Filing Date</w:t>
      </w:r>
      <w:r>
        <w:rPr>
          <w:rFonts w:ascii="Times New Roman" w:hAnsi="Times New Roman"/>
          <w:sz w:val="20"/>
        </w:rPr>
        <w:t xml:space="preserve">” means, with respect to the Initial Registration Statement required hereunder, the 15th calendar day following the date hereof and, with respect to any additional Registration Statements which may be required pursuant to Section 2(c) or Section 3(c), the earliest practicable date on which the Company is permitted by SEC Guidance to file such additional Registration Statement related to the Registrable Securities. </w:t>
      </w:r>
    </w:p>
    <w:p>
      <w:pPr>
        <w:pStyle w:val="TextBody"/>
        <w:bidi w:val="0"/>
        <w:spacing w:before="120" w:after="0"/>
        <w:jc w:val="left"/>
        <w:rPr/>
      </w:pPr>
      <w:r>
        <w:rPr/>
        <w:t>“</w:t>
      </w:r>
      <w:r>
        <w:rPr>
          <w:rFonts w:ascii="Times New Roman" w:hAnsi="Times New Roman"/>
          <w:sz w:val="20"/>
          <w:u w:val="single"/>
        </w:rPr>
        <w:t>Holder</w:t>
      </w:r>
      <w:r>
        <w:rPr>
          <w:rFonts w:ascii="Times New Roman" w:hAnsi="Times New Roman"/>
          <w:sz w:val="20"/>
        </w:rPr>
        <w:t>” or “</w:t>
      </w:r>
      <w:r>
        <w:rPr>
          <w:rFonts w:ascii="Times New Roman" w:hAnsi="Times New Roman"/>
          <w:sz w:val="20"/>
          <w:u w:val="single"/>
        </w:rPr>
        <w:t>Holders</w:t>
      </w:r>
      <w:r>
        <w:rPr>
          <w:rFonts w:ascii="Times New Roman" w:hAnsi="Times New Roman"/>
          <w:sz w:val="20"/>
        </w:rPr>
        <w:t xml:space="preserve">” means the holder or holders, as the case may be, from time to time of Registrable Securities. </w:t>
      </w:r>
    </w:p>
    <w:p>
      <w:pPr>
        <w:pStyle w:val="TextBody"/>
        <w:bidi w:val="0"/>
        <w:spacing w:before="120" w:after="0"/>
        <w:jc w:val="left"/>
        <w:rPr/>
      </w:pPr>
      <w:r>
        <w:rPr/>
        <w:t>“</w:t>
      </w:r>
      <w:r>
        <w:rPr>
          <w:rFonts w:ascii="Times New Roman" w:hAnsi="Times New Roman"/>
          <w:sz w:val="20"/>
          <w:u w:val="single"/>
        </w:rPr>
        <w:t>Indemnified Party</w:t>
      </w:r>
      <w:r>
        <w:rPr>
          <w:rFonts w:ascii="Times New Roman" w:hAnsi="Times New Roman"/>
          <w:sz w:val="20"/>
        </w:rPr>
        <w:t xml:space="preserve">” shall have the meaning set forth in Section 5(c). </w:t>
      </w:r>
    </w:p>
    <w:p>
      <w:pPr>
        <w:pStyle w:val="TextBody"/>
        <w:bidi w:val="0"/>
        <w:spacing w:before="120" w:after="0"/>
        <w:jc w:val="left"/>
        <w:rPr/>
      </w:pPr>
      <w:r>
        <w:rPr/>
        <w:t>“</w:t>
      </w:r>
      <w:r>
        <w:rPr>
          <w:rFonts w:ascii="Times New Roman" w:hAnsi="Times New Roman"/>
          <w:sz w:val="20"/>
          <w:u w:val="single"/>
        </w:rPr>
        <w:t>Indemnifying Party</w:t>
      </w:r>
      <w:r>
        <w:rPr>
          <w:rFonts w:ascii="Times New Roman" w:hAnsi="Times New Roman"/>
          <w:sz w:val="20"/>
        </w:rPr>
        <w:t xml:space="preserve">” shall have the meaning set forth in Section 5(c). </w:t>
      </w:r>
    </w:p>
    <w:p>
      <w:pPr>
        <w:pStyle w:val="TextBody"/>
        <w:bidi w:val="0"/>
        <w:spacing w:before="120" w:after="0"/>
        <w:jc w:val="left"/>
        <w:rPr/>
      </w:pPr>
      <w:r>
        <w:rPr/>
        <w:t>“</w:t>
      </w:r>
      <w:r>
        <w:rPr>
          <w:rFonts w:ascii="Times New Roman" w:hAnsi="Times New Roman"/>
          <w:sz w:val="20"/>
          <w:u w:val="single"/>
        </w:rPr>
        <w:t>Initial Registration Statement</w:t>
      </w:r>
      <w:r>
        <w:rPr>
          <w:rFonts w:ascii="Times New Roman" w:hAnsi="Times New Roman"/>
          <w:sz w:val="20"/>
        </w:rPr>
        <w:t xml:space="preserve">” means the initial Registration Statement filed pursuant to this Agreement. </w:t>
      </w:r>
    </w:p>
    <w:p>
      <w:pPr>
        <w:pStyle w:val="TextBody"/>
        <w:bidi w:val="0"/>
        <w:spacing w:before="120" w:after="0"/>
        <w:jc w:val="left"/>
        <w:rPr/>
      </w:pPr>
      <w:r>
        <w:rPr/>
        <w:t>“</w:t>
      </w:r>
      <w:r>
        <w:rPr>
          <w:rFonts w:ascii="Times New Roman" w:hAnsi="Times New Roman"/>
          <w:sz w:val="20"/>
          <w:u w:val="single"/>
        </w:rPr>
        <w:t>Losses</w:t>
      </w:r>
      <w:r>
        <w:rPr>
          <w:rFonts w:ascii="Times New Roman" w:hAnsi="Times New Roman"/>
          <w:sz w:val="20"/>
        </w:rPr>
        <w:t xml:space="preserve">” shall have the meaning set forth in Section 5(a). </w:t>
      </w:r>
    </w:p>
    <w:p>
      <w:pPr>
        <w:pStyle w:val="TextBody"/>
        <w:bidi w:val="0"/>
        <w:spacing w:before="120" w:after="0"/>
        <w:jc w:val="left"/>
        <w:rPr/>
      </w:pPr>
      <w:r>
        <w:rPr/>
        <w:t>“</w:t>
      </w:r>
      <w:r>
        <w:rPr>
          <w:rFonts w:ascii="Times New Roman" w:hAnsi="Times New Roman"/>
          <w:sz w:val="20"/>
          <w:u w:val="single"/>
        </w:rPr>
        <w:t>Plan of Distribution</w:t>
      </w:r>
      <w:r>
        <w:rPr>
          <w:rFonts w:ascii="Times New Roman" w:hAnsi="Times New Roman"/>
          <w:sz w:val="20"/>
        </w:rPr>
        <w:t xml:space="preserve">” shall have the meaning set forth in Section 2(a). </w:t>
      </w:r>
    </w:p>
    <w:p>
      <w:pPr>
        <w:pStyle w:val="TextBody"/>
        <w:bidi w:val="0"/>
        <w:spacing w:before="120" w:after="0"/>
        <w:jc w:val="left"/>
        <w:rPr/>
      </w:pPr>
      <w:r>
        <w:rPr/>
        <w:t>“</w:t>
      </w:r>
      <w:r>
        <w:rPr>
          <w:rFonts w:ascii="Times New Roman" w:hAnsi="Times New Roman"/>
          <w:sz w:val="20"/>
          <w:u w:val="single"/>
        </w:rPr>
        <w:t>Prospectus</w:t>
      </w:r>
      <w:r>
        <w:rPr>
          <w:rFonts w:ascii="Times New Roman" w:hAnsi="Times New Roman"/>
          <w:sz w:val="20"/>
        </w:rPr>
        <w:t xml:space="preserve">”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p>
    <w:p>
      <w:pPr>
        <w:pStyle w:val="TextBody"/>
        <w:bidi w:val="0"/>
        <w:spacing w:before="120" w:after="0"/>
        <w:jc w:val="left"/>
        <w:rPr/>
      </w:pPr>
      <w:r>
        <w:rPr/>
        <w:t>“</w:t>
      </w:r>
      <w:r>
        <w:rPr>
          <w:rFonts w:ascii="Times New Roman" w:hAnsi="Times New Roman"/>
          <w:sz w:val="20"/>
          <w:u w:val="single"/>
        </w:rPr>
        <w:t>Registrable Securities</w:t>
      </w:r>
      <w:r>
        <w:rPr>
          <w:rFonts w:ascii="Times New Roman" w:hAnsi="Times New Roman"/>
          <w:sz w:val="20"/>
        </w:rPr>
        <w:t xml:space="preserve">” means, as of any date of determination, (a) all Shares, (b) all Warrant Shares then issued and issuable upon exercise of the Warrants (assuming on such date the Warrants are exercised in full without regard to any exercise limitations therein), (c) any additional shares of Common Stock issued and issuable in connection with any anti-dilution provisions in the Warrants (without giving effect to any limitations on exercise set forth in the Warrants) and (d) any securities issued or then issuable upon any stock split, dividend or other distribution, recapitalization or similar event with respect to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Registrable Securities shall cease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pursuant to such effective Registration Statement in accordance with Rule 144, or (iii)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 </w:t>
      </w:r>
    </w:p>
    <w:p>
      <w:pPr>
        <w:pStyle w:val="TextBody"/>
        <w:bidi w:val="0"/>
        <w:spacing w:before="120" w:after="0"/>
        <w:jc w:val="left"/>
        <w:rPr/>
      </w:pPr>
      <w:r>
        <w:rPr/>
        <w:t>“</w:t>
      </w:r>
      <w:r>
        <w:rPr>
          <w:rFonts w:ascii="Times New Roman" w:hAnsi="Times New Roman"/>
          <w:sz w:val="20"/>
          <w:u w:val="single"/>
        </w:rPr>
        <w:t>Registration Statement</w:t>
      </w:r>
      <w:r>
        <w:rPr>
          <w:rFonts w:ascii="Times New Roman" w:hAnsi="Times New Roman"/>
          <w:sz w:val="20"/>
        </w:rPr>
        <w:t xml:space="preserve">”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 </w:t>
      </w:r>
    </w:p>
    <w:p>
      <w:pPr>
        <w:pStyle w:val="TextBody"/>
        <w:bidi w:val="0"/>
        <w:spacing w:before="120" w:after="0"/>
        <w:jc w:val="left"/>
        <w:rPr/>
      </w:pPr>
      <w:r>
        <w:rPr/>
        <w:t>“</w:t>
      </w:r>
      <w:r>
        <w:rPr>
          <w:rFonts w:ascii="Times New Roman" w:hAnsi="Times New Roman"/>
          <w:sz w:val="20"/>
          <w:u w:val="single"/>
        </w:rPr>
        <w:t>Rule 144</w:t>
      </w:r>
      <w:r>
        <w:rPr>
          <w:rFonts w:ascii="Times New Roman" w:hAnsi="Times New Roman"/>
          <w:sz w:val="20"/>
        </w:rPr>
        <w:t xml:space="preserve">” means Rule 144 promulgated by the Commission pursuant to the 1933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pPr>
      <w:r>
        <w:rPr/>
        <w:t>“</w:t>
      </w:r>
      <w:r>
        <w:rPr>
          <w:rFonts w:ascii="Times New Roman" w:hAnsi="Times New Roman"/>
          <w:sz w:val="20"/>
          <w:u w:val="single"/>
        </w:rPr>
        <w:t>Rule 415</w:t>
      </w:r>
      <w:r>
        <w:rPr>
          <w:rFonts w:ascii="Times New Roman" w:hAnsi="Times New Roman"/>
          <w:sz w:val="20"/>
        </w:rPr>
        <w:t xml:space="preserve">” means Rule 415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pPr>
      <w:r>
        <w:rPr/>
        <w:t>“</w:t>
      </w:r>
      <w:r>
        <w:rPr>
          <w:rFonts w:ascii="Times New Roman" w:hAnsi="Times New Roman"/>
          <w:sz w:val="20"/>
          <w:u w:val="single"/>
        </w:rPr>
        <w:t>Rule 424</w:t>
      </w:r>
      <w:r>
        <w:rPr>
          <w:rFonts w:ascii="Times New Roman" w:hAnsi="Times New Roman"/>
          <w:sz w:val="20"/>
        </w:rPr>
        <w:t xml:space="preserve">” means Rule 424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pPr>
      <w:r>
        <w:rPr/>
        <w:t>“</w:t>
      </w:r>
      <w:r>
        <w:rPr>
          <w:rFonts w:ascii="Times New Roman" w:hAnsi="Times New Roman"/>
          <w:sz w:val="20"/>
          <w:u w:val="single"/>
        </w:rPr>
        <w:t>Rule 461</w:t>
      </w:r>
      <w:r>
        <w:rPr>
          <w:rFonts w:ascii="Times New Roman" w:hAnsi="Times New Roman"/>
          <w:sz w:val="20"/>
        </w:rPr>
        <w:t xml:space="preserve">” means Rule 461 promulgated by the Commission pursuant to the 1933 Act, as such Rule may be amended or interpreted from time to time, or any similar rule or regulation hereafter adopted by the Commission having substantially the same purpose and effect as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Selling Stockholder Questionnaire</w:t>
      </w:r>
      <w:r>
        <w:rPr>
          <w:rFonts w:ascii="Times New Roman" w:hAnsi="Times New Roman"/>
          <w:sz w:val="20"/>
        </w:rPr>
        <w:t xml:space="preserve">” shall have the meaning set forth in Section 3(a). </w:t>
      </w:r>
    </w:p>
    <w:p>
      <w:pPr>
        <w:pStyle w:val="TextBody"/>
        <w:bidi w:val="0"/>
        <w:spacing w:before="120" w:after="0"/>
        <w:jc w:val="left"/>
        <w:rPr/>
      </w:pPr>
      <w:r>
        <w:rPr/>
        <w:t>“</w:t>
      </w:r>
      <w:r>
        <w:rPr>
          <w:rFonts w:ascii="Times New Roman" w:hAnsi="Times New Roman"/>
          <w:sz w:val="20"/>
          <w:u w:val="single"/>
        </w:rPr>
        <w:t>SEC Guidance</w:t>
      </w:r>
      <w:r>
        <w:rPr>
          <w:rFonts w:ascii="Times New Roman" w:hAnsi="Times New Roman"/>
          <w:sz w:val="20"/>
        </w:rPr>
        <w:t xml:space="preserve">” means (i) any publicly available written or oral guidance of the Commission staff, or any comments, requirements or requests of the Commission staff and (ii)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hAnsi="Times New Roman"/>
          <w:sz w:val="20"/>
          <w:u w:val="single"/>
        </w:rPr>
        <w:t>Plan of Distribution</w:t>
      </w:r>
      <w:r>
        <w:rPr>
          <w:rFonts w:ascii="Times New Roman" w:hAnsi="Times New Roman"/>
          <w:sz w:val="20"/>
        </w:rPr>
        <w:t xml:space="preserve">” attached hereto as </w:t>
      </w:r>
      <w:r>
        <w:rPr>
          <w:rFonts w:ascii="Times New Roman" w:hAnsi="Times New Roman"/>
          <w:sz w:val="20"/>
          <w:u w:val="single"/>
        </w:rPr>
        <w:t>Annex 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earlier of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in each case, including pursuant to a cashless exercise of the Pre-Funded Warrants (the “</w:t>
      </w:r>
      <w:r>
        <w:rPr>
          <w:rFonts w:ascii="Times New Roman" w:hAnsi="Times New Roman"/>
          <w:sz w:val="20"/>
          <w:u w:val="single"/>
        </w:rPr>
        <w:t>Effectiveness Period</w:t>
      </w:r>
      <w:r>
        <w:rPr>
          <w:rFonts w:ascii="Times New Roman" w:hAnsi="Times New Roman"/>
          <w:sz w:val="20"/>
        </w:rPr>
        <w:t xml:space="preserve">”). The Company shall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the Company shall reduce or eliminate any securities to be included other than Registrable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the Company shall reduce Registrable Securities represented by Shares and Pre-Funded Warrants (applied, in the case that some Shares and Pre-Funded Warrants may be registered, to the Holders on a pro rata basis based on the total number of unregistered Shares and Pre-Funded Warrant Shares held by such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(i) the Initial Registration Statement is not filed on or prior to its Filing Date, or (ii) the Company fails to file with the Commission a request for acceleration of a Registration Statement in accordance with Rule 461 promulgated by the Commission pursuant to the Securities Act, within five (5) Trading Days of the date that the Company is notified (in writing)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hAnsi="Times New Roman"/>
                <w:sz w:val="20"/>
                <w:u w:val="single"/>
              </w:rPr>
              <w:t>Event</w:t>
            </w:r>
            <w:r>
              <w:rPr>
                <w:rFonts w:ascii="Times New Roman" w:hAnsi="Times New Roman"/>
                <w:sz w:val="20"/>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hAnsi="Times New Roman"/>
                <w:sz w:val="20"/>
                <w:u w:val="single"/>
              </w:rPr>
              <w:t>Event Date</w:t>
            </w:r>
            <w:r>
              <w:rPr>
                <w:rFonts w:ascii="Times New Roman" w:hAnsi="Times New Roman"/>
                <w:sz w:val="20"/>
              </w:rPr>
              <w:t xml:space="preserv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(A) 1.0% multiplied by (B) the quotient of (I) the number and type of each Holders’ Registrable Securities that are not then covered by a Registration Statement that is then effective and available for use by the Holders divided by (II) the total number and type of the Holders’ Registrable Securities initially purchased multiplied by (2) the aggregate allocated Subscription Amount paid by such Holder pursuant to the Purchase Agreement for such Registrable Securities that are not so covered by a Registration Statement. The parties agree that the maximum aggregate liquidated damages payable to a Holder under this Agreement shall be 6.0% of the aggregate Subscription Amount paid by such Holder pursuant to the Purchase Agreement. If the Company fails to pay any partial liquidated damages pursuant to this Section in full within seven days after the date payable, the Company will pay interest thereon at a rate of 10% per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w:t>
      </w:r>
    </w:p>
    <w:p>
      <w:pPr>
        <w:pStyle w:val="TextBody"/>
        <w:bidi w:val="0"/>
        <w:spacing w:before="120" w:after="0"/>
        <w:jc w:val="left"/>
        <w:rPr>
          <w:rFonts w:ascii="Times New Roman" w:hAnsi="Times New Roman"/>
          <w:sz w:val="20"/>
        </w:rPr>
      </w:pPr>
      <w:r>
        <w:rPr>
          <w:rFonts w:ascii="Times New Roman" w:hAnsi="Times New Roman"/>
          <w:sz w:val="20"/>
        </w:rPr>
        <w:t xml:space="preserve">(e)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contained herein, in no event shall the Company be permitted to name any Holder or affiliate of a Holder as any underwriter without the prior written consent of such Holder.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registration obligations hereunder,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On or prior to the Closing Date, each Holder agrees to furnish to the Company a completed questionnaire in the form attached to this Agreement as </w:t>
      </w:r>
      <w:r>
        <w:rPr>
          <w:rFonts w:ascii="Times New Roman" w:hAnsi="Times New Roman"/>
          <w:sz w:val="20"/>
          <w:u w:val="single"/>
        </w:rPr>
        <w:t>Annex B</w:t>
      </w:r>
      <w:r>
        <w:rPr>
          <w:rFonts w:ascii="Times New Roman" w:hAnsi="Times New Roman"/>
          <w:sz w:val="20"/>
        </w:rPr>
        <w:t xml:space="preserve"> (a “</w:t>
      </w:r>
      <w:r>
        <w:rPr>
          <w:rFonts w:ascii="Times New Roman" w:hAnsi="Times New Roman"/>
          <w:sz w:val="20"/>
          <w:u w:val="single"/>
        </w:rPr>
        <w:t>Selling Stockholder Questionnaire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upon request of the Holders,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 </w:t>
      </w:r>
    </w:p>
    <w:p>
      <w:pPr>
        <w:pStyle w:val="TextBody"/>
        <w:bidi w:val="0"/>
        <w:spacing w:before="120" w:after="0"/>
        <w:jc w:val="left"/>
        <w:rPr>
          <w:rFonts w:ascii="Times New Roman" w:hAnsi="Times New Roman"/>
          <w:sz w:val="20"/>
        </w:rPr>
      </w:pPr>
      <w:r>
        <w:rPr>
          <w:rFonts w:ascii="Times New Roman" w:hAnsi="Times New Roman"/>
          <w:sz w:val="20"/>
        </w:rPr>
        <w:t xml:space="preserve">(c)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 </w:t>
      </w:r>
    </w:p>
    <w:p>
      <w:pPr>
        <w:pStyle w:val="TextBody"/>
        <w:bidi w:val="0"/>
        <w:spacing w:before="120" w:after="0"/>
        <w:jc w:val="left"/>
        <w:rPr>
          <w:rFonts w:ascii="Times New Roman" w:hAnsi="Times New Roman"/>
          <w:sz w:val="20"/>
        </w:rPr>
      </w:pPr>
      <w:r>
        <w:rPr>
          <w:rFonts w:ascii="Times New Roman" w:hAnsi="Times New Roman"/>
          <w:sz w:val="20"/>
        </w:rPr>
        <w:t xml:space="preserve">(f) If requested by a Holder, furnish to each Holder, without charge, an electronic copy of the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w:t>
      </w:r>
    </w:p>
    <w:p>
      <w:pPr>
        <w:pStyle w:val="TextBody"/>
        <w:bidi w:val="0"/>
        <w:spacing w:before="120" w:after="0"/>
        <w:jc w:val="left"/>
        <w:rPr>
          <w:rFonts w:ascii="Times New Roman" w:hAnsi="Times New Roman"/>
          <w:sz w:val="20"/>
        </w:rPr>
      </w:pPr>
      <w:r>
        <w:rPr>
          <w:rFonts w:ascii="Times New Roman" w:hAnsi="Times New Roman"/>
          <w:sz w:val="20"/>
        </w:rPr>
        <w:t xml:space="preserve">(g)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(i) 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 </w:t>
      </w:r>
    </w:p>
    <w:p>
      <w:pPr>
        <w:pStyle w:val="TextBody"/>
        <w:bidi w:val="0"/>
        <w:spacing w:before="120" w:after="0"/>
        <w:jc w:val="left"/>
        <w:rPr>
          <w:rFonts w:ascii="Times New Roman" w:hAnsi="Times New Roman"/>
          <w:sz w:val="20"/>
        </w:rPr>
      </w:pPr>
      <w:r>
        <w:rPr>
          <w:rFonts w:ascii="Times New Roman" w:hAnsi="Times New Roman"/>
          <w:sz w:val="20"/>
        </w:rPr>
        <w:t xml:space="preserve">(j)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Company shall use its reasonable best efforts to maintain eligibility for use of Form S-3 (or any successor form thereto) for the registration of the resale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Expenses</w:t>
      </w:r>
      <w:r>
        <w:rPr>
          <w:rFonts w:ascii="Times New Roman" w:hAnsi="Times New Roman"/>
          <w:sz w:val="20"/>
        </w:rPr>
        <w:t xml:space="preserve">.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by the Company</w:t>
      </w:r>
      <w:r>
        <w:rPr>
          <w:rFonts w:ascii="Times New Roman" w:hAnsi="Times New Roman"/>
          <w:sz w:val="20"/>
        </w:rPr>
        <w:t>. The Company shall, notwithstanding any termination of this Agreement, indemnify and hold harmless each Holder, the officers, directors, members, partners, agents, of each of them, each Person who controls any such Holder (within the meaning of Section 15 of the Securities Act or Section 20 of the Exchange Act) and the officers, directors, members, stockholders, partners, agents and employees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hAnsi="Times New Roman"/>
          <w:sz w:val="20"/>
          <w:u w:val="single"/>
        </w:rPr>
        <w:t>Losses</w:t>
      </w:r>
      <w:r>
        <w:rPr>
          <w:rFonts w:ascii="Times New Roman" w:hAnsi="Times New Roman"/>
          <w:sz w:val="20"/>
        </w:rPr>
        <w:t xml:space="preserve">”), as incurred, arising out of or based solely upon (1) any untrue or alleged untrue statement of a material fact contained in a Registration Statement, any Prospectus or any form of prospectus or in any amendment or supplement thereto,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 w:hAnsi="Times New Roman"/>
          <w:sz w:val="20"/>
          <w:u w:val="single"/>
        </w:rPr>
        <w:t>Annex A</w:t>
      </w:r>
      <w:r>
        <w:rPr>
          <w:rFonts w:ascii="Times New Roman" w:hAnsi="Times New Roman"/>
          <w:sz w:val="20"/>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Holders</w:t>
      </w:r>
      <w:r>
        <w:rPr>
          <w:rFonts w:ascii="Times New Roman" w:hAnsi="Times New Roman"/>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hAnsi="Times New Roman"/>
          <w:sz w:val="20"/>
          <w:u w:val="single"/>
        </w:rPr>
        <w:t>Annex A</w:t>
      </w:r>
      <w:r>
        <w:rPr>
          <w:rFonts w:ascii="Times New Roman" w:hAnsi="Times New Roman"/>
          <w:sz w:val="20"/>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Indemnification Proceedings</w:t>
      </w:r>
      <w:r>
        <w:rPr>
          <w:rFonts w:ascii="Times New Roman" w:hAnsi="Times New Roman"/>
          <w:sz w:val="20"/>
        </w:rPr>
        <w:t>. If any Proceeding shall be brought or asserted against any Person entitled to indemnity hereunder (an “</w:t>
      </w:r>
      <w:r>
        <w:rPr>
          <w:rFonts w:ascii="Times New Roman" w:hAnsi="Times New Roman"/>
          <w:sz w:val="20"/>
          <w:u w:val="single"/>
        </w:rPr>
        <w:t>Indemnified Party</w:t>
      </w:r>
      <w:r>
        <w:rPr>
          <w:rFonts w:ascii="Times New Roman" w:hAnsi="Times New Roman"/>
          <w:sz w:val="20"/>
        </w:rPr>
        <w:t>”), such Indemnified Party shall promptly notify the Person from whom indemnity is sought (the “</w:t>
      </w:r>
      <w:r>
        <w:rPr>
          <w:rFonts w:ascii="Times New Roman" w:hAnsi="Times New Roman"/>
          <w:sz w:val="20"/>
          <w:u w:val="single"/>
        </w:rPr>
        <w:t>Indemnifying Party</w:t>
      </w:r>
      <w:r>
        <w:rPr>
          <w:rFonts w:ascii="Times New Roman" w:hAnsi="Times New Roman"/>
          <w:sz w:val="20"/>
        </w:rPr>
        <w:t xml:space="preserve">”)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Notwithstanding anything in this Section 5,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or consent to the entry of any judgment with respect to of any pending Proceeding in respect of which any Indemnified Party is or could have been a party or could have been a party and indemnity could have been sought hereunder by such Indemnified Party, unless such settlement or judgment (i) imposes no liability or obligation on the Indemnified Party, (ii) includes an unconditional release from the party bringing such indemnified claims of such Indemnified Party from all liability in respect of or arising out of on such claims or Proceedings or claims or Proceedings that are the subject matter of such Proceeding and (iii) does not include any admission of fault, culpability, wrongdoing or malfeasance by or on behalf of the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Contribution</w:t>
            </w:r>
            <w:r>
              <w:rPr>
                <w:rFonts w:ascii="Times New Roman" w:hAnsi="Times New Roman"/>
                <w:sz w:val="20"/>
              </w:rPr>
              <w:t xml:space="preserve">.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Person guilty of fraudulent misrepresentation (within the meaning of Section 11(f) of the 1933 Act) will be entitled to contribution from any Person who was not guilty of such fraudulent misrepresentation.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indemnity and contribution agreements contained in this Section are in addition to any liability that the Indemnifying Parties may have to the Indemnified Parties.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Remedies</w:t>
      </w:r>
      <w:r>
        <w:rPr>
          <w:rFonts w:ascii="Times New Roman" w:hAnsi="Times New Roman"/>
          <w:sz w:val="20"/>
        </w:rPr>
        <w:t xml:space="preserve">.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Piggyback on Registrations; Prohibition on Filing Other Registration Statements</w:t>
      </w:r>
      <w:r>
        <w:rPr>
          <w:rFonts w:ascii="Times New Roman" w:hAnsi="Times New Roman"/>
          <w:sz w:val="20"/>
        </w:rPr>
        <w:t xml:space="preserve">. Except for the shares of Common Stock issuable upon exercise of the warrants issued to the Placement Agent in the transactions contemplated by the Purchase Agreement (if any), neither the Company nor any of its security holders (other than the Holders in such capacity pursuant hereto) may include securities of the Company in any Registration Statements other than the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Discontinued Disposition</w:t>
      </w:r>
      <w:r>
        <w:rPr>
          <w:rFonts w:ascii="Times New Roman" w:hAnsi="Times New Roman"/>
          <w:sz w:val="20"/>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hAnsi="Times New Roman"/>
          <w:sz w:val="20"/>
          <w:u w:val="single"/>
        </w:rPr>
        <w:t>Advice</w:t>
      </w:r>
      <w:r>
        <w:rPr>
          <w:rFonts w:ascii="Times New Roman" w:hAnsi="Times New Roman"/>
          <w:sz w:val="20"/>
        </w:rPr>
        <w:t xml:space="preserv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Amendments and Waivers</w:t>
      </w:r>
      <w:r>
        <w:rPr>
          <w:rFonts w:ascii="Times New Roman" w:hAnsi="Times New Roman"/>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this sentence may not be amended, modified, or supplemented except in accordance with the provisions of the first sentence of this Section 6(e). No consideration shall be offered or paid to any Person to amend or consent to a waiver or modification of any provision of this Agreement unless the same consideration also is offered to all of the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delivered as set forth in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Inconsistent Agreements</w:t>
      </w:r>
      <w:r>
        <w:rPr>
          <w:rFonts w:ascii="Times New Roman" w:hAnsi="Times New Roman"/>
          <w:sz w:val="20"/>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for the registration of warrants described in the Company’s Current Report on Form 8-K filed with the Commission on February 6, 2026 and the registration rights in connection with the common stock purchase agreement entered into between the Company and Lincoln Park on August 13, 2026, neither the Company nor any of its Subsidiaries has previously entered into any agreement granting any registration rights with respect to any of its securities to any Person that have not been satisfied in full.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Execution and Counterparts</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this Agreement shall be determined in accordance with the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other remedies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headings in this Agreement are for convenience only, do not constitute a part of the Agreement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Independent Nature of Holders’ Obligations and Rights</w:t>
      </w:r>
      <w:r>
        <w:rPr>
          <w:rFonts w:ascii="Times New Roman" w:hAnsi="Times New Roman"/>
          <w:sz w:val="20"/>
        </w:rPr>
        <w:t xml:space="preserve">.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OF HOLDERS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PAGE OF HOLDERS TO TPST RRA] </w:t>
      </w:r>
    </w:p>
    <w:p>
      <w:pPr>
        <w:pStyle w:val="TextBody"/>
        <w:bidi w:val="0"/>
        <w:spacing w:before="240" w:after="0"/>
        <w:jc w:val="left"/>
        <w:rPr>
          <w:rFonts w:ascii="Times New Roman" w:hAnsi="Times New Roman"/>
          <w:sz w:val="20"/>
        </w:rPr>
      </w:pPr>
      <w:r>
        <w:rPr>
          <w:rFonts w:ascii="Times New Roman" w:hAnsi="Times New Roman"/>
          <w:sz w:val="20"/>
        </w:rPr>
        <w:t xml:space="preserve">Name of Holder: __________________________ </w:t>
      </w:r>
    </w:p>
    <w:p>
      <w:pPr>
        <w:pStyle w:val="TextBody"/>
        <w:bidi w:val="0"/>
        <w:spacing w:before="240" w:after="0"/>
        <w:jc w:val="left"/>
        <w:rPr>
          <w:rFonts w:ascii="Times New Roman" w:hAnsi="Times New Roman"/>
          <w:sz w:val="20"/>
        </w:rPr>
      </w:pPr>
      <w:r>
        <w:rPr>
          <w:rFonts w:ascii="Times New Roman" w:hAnsi="Times New Roman"/>
          <w:i/>
          <w:sz w:val="20"/>
        </w:rPr>
        <w:t>Signature of Authorized Signatory of Holder</w:t>
      </w:r>
      <w:r>
        <w:rPr>
          <w:rFonts w:ascii="Times New Roman" w:hAnsi="Times New Roman"/>
          <w:sz w:val="20"/>
        </w:rPr>
        <w:t xml:space="preserve">: 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Name of Authorized Signatory: 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Title of Authorized Signatory: __________________________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CONTINUE]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may become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nominal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such time as the selling stockholder no longer owns any Warrants or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u w:val="single"/>
        </w:rPr>
        <w:t>Annex B</w:t>
      </w:r>
      <w:r>
        <w:rPr>
          <w:rFonts w:ascii="Times New Roman" w:hAnsi="Times New Roman"/>
          <w:b/>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Stockholder Notice and Questionnaire </w:t>
      </w:r>
    </w:p>
    <w:p>
      <w:pPr>
        <w:pStyle w:val="TextBody"/>
        <w:bidi w:val="0"/>
        <w:spacing w:before="240" w:after="0"/>
        <w:jc w:val="left"/>
        <w:rPr>
          <w:rFonts w:ascii="Times New Roman" w:hAnsi="Times New Roman"/>
          <w:sz w:val="20"/>
        </w:rPr>
      </w:pPr>
      <w:r>
        <w:rPr>
          <w:rFonts w:ascii="Times New Roman" w:hAnsi="Times New Roman"/>
          <w:sz w:val="20"/>
        </w:rPr>
        <w:t>The undersigned beneficial owner of common stock (the “</w:t>
      </w:r>
      <w:r>
        <w:rPr>
          <w:rFonts w:ascii="Times New Roman" w:hAnsi="Times New Roman"/>
          <w:sz w:val="20"/>
          <w:u w:val="single"/>
        </w:rPr>
        <w:t>Registrable Securities</w:t>
      </w:r>
      <w:r>
        <w:rPr>
          <w:rFonts w:ascii="Times New Roman" w:hAnsi="Times New Roman"/>
          <w:sz w:val="20"/>
        </w:rPr>
        <w:t>”) of Tempest Therapeutics, Inc., a Delaware corporation (the “</w:t>
      </w:r>
      <w:r>
        <w:rPr>
          <w:rFonts w:ascii="Times New Roman" w:hAnsi="Times New Roman"/>
          <w:sz w:val="20"/>
          <w:u w:val="single"/>
        </w:rPr>
        <w:t>Company</w:t>
      </w:r>
      <w:r>
        <w:rPr>
          <w:rFonts w:ascii="Times New Roman" w:hAnsi="Times New Roman"/>
          <w:sz w:val="20"/>
        </w:rPr>
        <w:t>”), understands that the Company has filed or intends to file with the Securities and Exchange Commission (the “</w:t>
      </w:r>
      <w:r>
        <w:rPr>
          <w:rFonts w:ascii="Times New Roman" w:hAnsi="Times New Roman"/>
          <w:sz w:val="20"/>
          <w:u w:val="single"/>
        </w:rPr>
        <w:t>Commission</w:t>
      </w:r>
      <w:r>
        <w:rPr>
          <w:rFonts w:ascii="Times New Roman" w:hAnsi="Times New Roman"/>
          <w:sz w:val="20"/>
        </w:rPr>
        <w:t>”) a registration statement (the “</w:t>
      </w:r>
      <w:r>
        <w:rPr>
          <w:rFonts w:ascii="Times New Roman" w:hAnsi="Times New Roman"/>
          <w:sz w:val="20"/>
          <w:u w:val="single"/>
        </w:rPr>
        <w:t>Registration Statement</w:t>
      </w:r>
      <w:r>
        <w:rPr>
          <w:rFonts w:ascii="Times New Roman" w:hAnsi="Times New Roman"/>
          <w:sz w:val="20"/>
        </w:rPr>
        <w:t>”) for the registration and resale under Rule 415 of the Securities Act of 1933, as amended (the “</w:t>
      </w:r>
      <w:r>
        <w:rPr>
          <w:rFonts w:ascii="Times New Roman" w:hAnsi="Times New Roman"/>
          <w:sz w:val="20"/>
          <w:u w:val="single"/>
        </w:rPr>
        <w:t>Securities Act</w:t>
      </w:r>
      <w:r>
        <w:rPr>
          <w:rFonts w:ascii="Times New Roman" w:hAnsi="Times New Roman"/>
          <w:sz w:val="20"/>
        </w:rPr>
        <w:t>”), of the Registrable Securities, in accordance with the terms of the Registration Rights Agreement (the “</w:t>
      </w:r>
      <w:r>
        <w:rPr>
          <w:rFonts w:ascii="Times New Roman" w:hAnsi="Times New Roman"/>
          <w:sz w:val="20"/>
          <w:u w:val="single"/>
        </w:rPr>
        <w:t>Registration Rights Agreement</w:t>
      </w:r>
      <w:r>
        <w:rPr>
          <w:rFonts w:ascii="Times New Roman" w:hAnsi="Times New Roman"/>
          <w:sz w:val="20"/>
        </w:rPr>
        <w:t xml:space="preserve">”)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The undersigned beneficial owner (the “</w:t>
      </w:r>
      <w:r>
        <w:rPr>
          <w:rFonts w:ascii="Times New Roman" w:hAnsi="Times New Roman"/>
          <w:sz w:val="20"/>
          <w:u w:val="single"/>
        </w:rPr>
        <w:t>Selling Stockholder</w:t>
      </w:r>
      <w:r>
        <w:rPr>
          <w:rFonts w:ascii="Times New Roman" w:hAnsi="Times New Roman"/>
          <w:sz w:val="20"/>
        </w:rPr>
        <w:t xml:space="preserve">”) of Registrable Securities hereby elects to include the Registrable Securities owned by it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48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
        <w:gridCol w:w="110"/>
        <w:gridCol w:w="536"/>
        <w:gridCol w:w="123"/>
        <w:gridCol w:w="8917"/>
      </w:tblGrid>
      <w:tr>
        <w:trPr/>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917" w:type="dxa"/>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b/>
              </w:rPr>
            </w:pPr>
            <w:r>
              <w:rPr>
                <w:b/>
              </w:rPr>
              <w:t>1.</w:t>
            </w:r>
          </w:p>
        </w:tc>
        <w:tc>
          <w:tcPr>
            <w:tcW w:w="110" w:type="dxa"/>
            <w:tcBorders/>
            <w:vAlign w:val="bottom"/>
          </w:tcPr>
          <w:p>
            <w:pPr>
              <w:pStyle w:val="TableContents"/>
              <w:bidi w:val="0"/>
              <w:spacing w:before="0" w:after="283"/>
              <w:jc w:val="left"/>
              <w:rPr/>
            </w:pPr>
            <w:r>
              <w:rPr/>
              <w:t> </w:t>
            </w:r>
          </w:p>
        </w:tc>
        <w:tc>
          <w:tcPr>
            <w:tcW w:w="9576" w:type="dxa"/>
            <w:gridSpan w:val="3"/>
            <w:tcBorders/>
          </w:tcPr>
          <w:p>
            <w:pPr>
              <w:pStyle w:val="TableContents"/>
              <w:bidi w:val="0"/>
              <w:spacing w:before="0" w:after="283"/>
              <w:jc w:val="left"/>
              <w:rPr>
                <w:b/>
              </w:rPr>
            </w:pPr>
            <w:r>
              <w:rPr>
                <w:b/>
              </w:rPr>
              <w:t>Name.</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(a)</w:t>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bidi w:val="0"/>
              <w:spacing w:before="0" w:after="283"/>
              <w:jc w:val="left"/>
              <w:rPr/>
            </w:pPr>
            <w:r>
              <w:rPr/>
              <w:t>Full Legal Name of Selling Stockholder</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pBdr>
                <w:bottom w:val="single" w:sz="2" w:space="1" w:color="000000"/>
              </w:pBdr>
              <w:bidi w:val="0"/>
              <w:spacing w:before="0" w:after="20"/>
              <w:jc w:val="left"/>
              <w:rPr/>
            </w:pPr>
            <w:r>
              <w:rPr/>
              <w:t> </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(b)</w:t>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bidi w:val="0"/>
              <w:spacing w:before="0" w:after="283"/>
              <w:jc w:val="left"/>
              <w:rPr/>
            </w:pPr>
            <w:r>
              <w:rPr/>
              <w:t>Full Legal Name of Registered Holder (if not the same as (a) above) through which Registrable Securities are held:</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pBdr>
                <w:bottom w:val="single" w:sz="2" w:space="1" w:color="000000"/>
              </w:pBdr>
              <w:bidi w:val="0"/>
              <w:spacing w:before="0" w:after="20"/>
              <w:jc w:val="left"/>
              <w:rPr/>
            </w:pPr>
            <w:r>
              <w:rPr/>
              <w:t> </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(c)</w:t>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bidi w:val="0"/>
              <w:spacing w:before="0" w:after="283"/>
              <w:jc w:val="left"/>
              <w:rPr/>
            </w:pPr>
            <w:r>
              <w:rPr/>
              <w:t>Full Legal Name of Natural Control Person (which means a natural person who directly or indirectly alone or with others has power to vote or dispose of the securities covered by this Questionnaire):</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pBdr>
                <w:bottom w:val="single" w:sz="2" w:space="1" w:color="000000"/>
              </w:pBdr>
              <w:bidi w:val="0"/>
              <w:spacing w:before="0" w:after="20"/>
              <w:jc w:val="left"/>
              <w:rPr/>
            </w:pPr>
            <w:r>
              <w:rPr/>
              <w:t> </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(d)</w:t>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bidi w:val="0"/>
              <w:spacing w:before="0" w:after="283"/>
              <w:jc w:val="left"/>
              <w:rPr/>
            </w:pPr>
            <w:r>
              <w:rPr/>
              <w:t>Footnote for Selling Stockholders table in Registration Statement (leave blank if you would like counsel to draft based on the above information):</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17" w:type="dxa"/>
            <w:tcBorders/>
          </w:tcPr>
          <w:p>
            <w:pPr>
              <w:pStyle w:val="TableContents"/>
              <w:pBdr>
                <w:bottom w:val="single" w:sz="2" w:space="1" w:color="000000"/>
              </w:pBdr>
              <w:bidi w:val="0"/>
              <w:spacing w:before="0" w:after="20"/>
              <w:jc w:val="left"/>
              <w:rPr/>
            </w:pPr>
            <w:r>
              <w:rPr/>
              <w:t> </w:t>
            </w:r>
          </w:p>
        </w:tc>
      </w:tr>
    </w:tbl>
    <w:tbl>
      <w:tblPr>
        <w:tblW w:w="5000" w:type="pct"/>
        <w:jc w:val="center"/>
        <w:tblInd w:w="0" w:type="dxa"/>
        <w:tblLayout w:type="fixed"/>
        <w:tblCellMar>
          <w:top w:w="0" w:type="dxa"/>
          <w:left w:w="0" w:type="dxa"/>
          <w:bottom w:w="0" w:type="dxa"/>
          <w:right w:w="0" w:type="dxa"/>
        </w:tblCellMar>
      </w:tblPr>
      <w:tblGrid>
        <w:gridCol w:w="626"/>
        <w:gridCol w:w="250"/>
        <w:gridCol w:w="627"/>
        <w:gridCol w:w="250"/>
        <w:gridCol w:w="8452"/>
      </w:tblGrid>
      <w:tr>
        <w:trPr/>
        <w:tc>
          <w:tcPr>
            <w:tcW w:w="626"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845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rPr>
            </w:pPr>
            <w:r>
              <w:rPr>
                <w:b/>
              </w:rPr>
              <w:t>2. Address for Notices to Selling Stockholder:</w:t>
            </w:r>
          </w:p>
        </w:tc>
      </w:tr>
    </w:tbl>
    <w:p>
      <w:pPr>
        <w:pStyle w:val="TextBody"/>
        <w:bidi w:val="0"/>
        <w:spacing w:before="0" w:after="0"/>
        <w:jc w:val="left"/>
        <w:rPr/>
      </w:pPr>
      <w:r>
        <w:rPr/>
        <w:t> </w:t>
      </w:r>
    </w:p>
    <w:tbl>
      <w:tblPr>
        <w:tblW w:w="10205" w:type="dxa"/>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r>
              <w:rPr>
                <w:rFonts w:ascii="Times New Roman" w:hAnsi="Times New Roman"/>
                <w:sz w:val="20"/>
                <w:u w:val="single"/>
              </w:rPr>
              <w:t xml:space="preserve">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 xml:space="preserve">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Contact Person:</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3"/>
        <w:gridCol w:w="301"/>
        <w:gridCol w:w="3139"/>
        <w:gridCol w:w="301"/>
        <w:gridCol w:w="3051"/>
      </w:tblGrid>
      <w:tr>
        <w:trPr/>
        <w:tc>
          <w:tcPr>
            <w:tcW w:w="3413"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rPr>
            </w:pPr>
            <w:r>
              <w:rPr>
                <w:b/>
              </w:rPr>
              <w:t>3. Broker-Dealer Status: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5"/>
        <w:gridCol w:w="110"/>
        <w:gridCol w:w="536"/>
        <w:gridCol w:w="123"/>
        <w:gridCol w:w="8941"/>
      </w:tblGrid>
      <w:tr>
        <w:trPr/>
        <w:tc>
          <w:tcPr>
            <w:tcW w:w="49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4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(a)</w:t>
            </w:r>
          </w:p>
        </w:tc>
        <w:tc>
          <w:tcPr>
            <w:tcW w:w="123" w:type="dxa"/>
            <w:tcBorders/>
            <w:vAlign w:val="bottom"/>
          </w:tcPr>
          <w:p>
            <w:pPr>
              <w:pStyle w:val="TableContents"/>
              <w:bidi w:val="0"/>
              <w:spacing w:before="0" w:after="283"/>
              <w:jc w:val="left"/>
              <w:rPr/>
            </w:pPr>
            <w:r>
              <w:rPr/>
              <w:t>  </w:t>
            </w:r>
          </w:p>
        </w:tc>
        <w:tc>
          <w:tcPr>
            <w:tcW w:w="8941" w:type="dxa"/>
            <w:tcBorders/>
          </w:tcPr>
          <w:p>
            <w:pPr>
              <w:pStyle w:val="TableContents"/>
              <w:bidi w:val="0"/>
              <w:spacing w:before="0" w:after="283"/>
              <w:jc w:val="left"/>
              <w:rPr/>
            </w:pPr>
            <w:r>
              <w:rPr/>
              <w:t>Are you a broker-dealer?</w:t>
            </w:r>
          </w:p>
        </w:tc>
      </w:tr>
      <w:tr>
        <w:trPr>
          <w:trHeight w:val="120" w:hRule="atLeast"/>
        </w:trPr>
        <w:tc>
          <w:tcPr>
            <w:tcW w:w="495"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4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41" w:type="dxa"/>
            <w:tcBorders/>
          </w:tcPr>
          <w:p>
            <w:pPr>
              <w:pStyle w:val="TableContents"/>
              <w:bidi w:val="0"/>
              <w:spacing w:before="0" w:after="283"/>
              <w:jc w:val="center"/>
              <w:rPr/>
            </w:pPr>
            <w:r>
              <w:rPr/>
              <w:t>Yes ☐   No ☐</w:t>
            </w:r>
          </w:p>
        </w:tc>
      </w:tr>
      <w:tr>
        <w:trPr>
          <w:trHeight w:val="120" w:hRule="atLeast"/>
        </w:trPr>
        <w:tc>
          <w:tcPr>
            <w:tcW w:w="495"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49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(b)</w:t>
            </w:r>
          </w:p>
        </w:tc>
        <w:tc>
          <w:tcPr>
            <w:tcW w:w="123" w:type="dxa"/>
            <w:tcBorders/>
            <w:vAlign w:val="bottom"/>
          </w:tcPr>
          <w:p>
            <w:pPr>
              <w:pStyle w:val="TableContents"/>
              <w:bidi w:val="0"/>
              <w:spacing w:before="0" w:after="283"/>
              <w:jc w:val="left"/>
              <w:rPr/>
            </w:pPr>
            <w:r>
              <w:rPr/>
              <w:t>  </w:t>
            </w:r>
          </w:p>
        </w:tc>
        <w:tc>
          <w:tcPr>
            <w:tcW w:w="8941" w:type="dxa"/>
            <w:tcBorders/>
          </w:tcPr>
          <w:p>
            <w:pPr>
              <w:pStyle w:val="TableContents"/>
              <w:bidi w:val="0"/>
              <w:spacing w:before="0" w:after="283"/>
              <w:jc w:val="left"/>
              <w:rPr/>
            </w:pPr>
            <w:r>
              <w:rPr/>
              <w:t>If “yes” to Section 3(a), did you receive your Registrable Securities as compensation for investment banking services to the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92"/>
        <w:gridCol w:w="108"/>
        <w:gridCol w:w="584"/>
        <w:gridCol w:w="120"/>
        <w:gridCol w:w="8901"/>
      </w:tblGrid>
      <w:tr>
        <w:trPr/>
        <w:tc>
          <w:tcPr>
            <w:tcW w:w="49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center"/>
              <w:rPr/>
            </w:pPr>
            <w:r>
              <w:rPr/>
              <w:t>Yes ☐   No ☐</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If “yes” to Section 3(b), the Commission’s staff has indicated that you should be identified as an underwriter in the Registration Statement.</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Are you an affiliate of a broker-dealer?</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center"/>
              <w:rPr/>
            </w:pPr>
            <w:r>
              <w:rPr/>
              <w:t>Yes ☐   No ☐</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center"/>
              <w:rPr/>
            </w:pPr>
            <w:r>
              <w:rPr/>
              <w:t>Yes ☐   No ☐</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If “no” to Section 3(d), the Commission’s staff has indicated that you should be identified as an underwriter in the Registration Statement.</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rPr>
            </w:pPr>
            <w:r>
              <w:rPr>
                <w:b/>
              </w:rPr>
              <w:t>4. Beneficial Ownership of Securities of the Company Owned by the Selling Stockholder.</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9713" w:type="dxa"/>
            <w:gridSpan w:val="4"/>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9605" w:type="dxa"/>
            <w:gridSpan w:val="3"/>
            <w:tcBorders/>
          </w:tcPr>
          <w:p>
            <w:pPr>
              <w:pStyle w:val="TableContents"/>
              <w:bidi w:val="0"/>
              <w:spacing w:before="0" w:after="283"/>
              <w:jc w:val="left"/>
              <w:rPr>
                <w:i/>
              </w:rPr>
            </w:pPr>
            <w:r>
              <w:rPr>
                <w:i/>
              </w:rPr>
              <w:t>Except as set forth below in this Item 4, the undersigned is not the beneficial or registered owner of any securities of the Company other than the securities issuable pursuant to the Purchase Agreement.</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Type and Amount of other securities beneficially owned by the Selling Stockholder:</w:t>
            </w:r>
          </w:p>
        </w:tc>
      </w:tr>
      <w:tr>
        <w:trPr>
          <w:trHeight w:val="120" w:hRule="atLeast"/>
        </w:trPr>
        <w:tc>
          <w:tcPr>
            <w:tcW w:w="492"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left"/>
              <w:rPr>
                <w:sz w:val="4"/>
                <w:szCs w:val="4"/>
              </w:rPr>
            </w:pPr>
            <w:r>
              <w:rPr>
                <w:sz w:val="4"/>
                <w:szCs w:val="4"/>
              </w:rPr>
            </w:r>
          </w:p>
        </w:tc>
        <w:tc>
          <w:tcPr>
            <w:tcW w:w="9021"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pBdr>
                <w:bottom w:val="single" w:sz="2" w:space="1" w:color="000000"/>
              </w:pBdr>
              <w:bidi w:val="0"/>
              <w:spacing w:before="0" w:after="20"/>
              <w:jc w:val="left"/>
              <w:rPr/>
            </w:pPr>
            <w:r>
              <w:rPr/>
              <w:t> </w:t>
            </w:r>
          </w:p>
        </w:tc>
      </w:tr>
      <w:tr>
        <w:trPr/>
        <w:tc>
          <w:tcPr>
            <w:tcW w:w="49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Relationships with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
        <w:gridCol w:w="126"/>
        <w:gridCol w:w="9581"/>
      </w:tblGrid>
      <w:tr>
        <w:trPr/>
        <w:tc>
          <w:tcPr>
            <w:tcW w:w="49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9581" w:type="dxa"/>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9581" w:type="dxa"/>
            <w:tcBorders/>
          </w:tcPr>
          <w:p>
            <w:pPr>
              <w:pStyle w:val="TableContents"/>
              <w:bidi w:val="0"/>
              <w:spacing w:before="0" w:after="283"/>
              <w:jc w:val="left"/>
              <w:rPr>
                <w:i/>
              </w:rPr>
            </w:pPr>
            <w:r>
              <w:rPr>
                <w:i/>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9707"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9581" w:type="dxa"/>
            <w:tcBorders/>
          </w:tcPr>
          <w:p>
            <w:pPr>
              <w:pStyle w:val="TableContents"/>
              <w:bidi w:val="0"/>
              <w:spacing w:before="0" w:after="283"/>
              <w:jc w:val="left"/>
              <w:rPr/>
            </w:pPr>
            <w:r>
              <w:rPr/>
              <w:t>State any exceptions here:</w:t>
            </w:r>
          </w:p>
        </w:tc>
      </w:tr>
      <w:tr>
        <w:trPr/>
        <w:tc>
          <w:tcPr>
            <w:tcW w:w="49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9581" w:type="dxa"/>
            <w:tcBorders/>
          </w:tcPr>
          <w:p>
            <w:pPr>
              <w:pStyle w:val="TableContents"/>
              <w:pBdr>
                <w:bottom w:val="single" w:sz="2" w:space="1" w:color="000000"/>
              </w:pBdr>
              <w:bidi w:val="0"/>
              <w:spacing w:before="0" w:after="20"/>
              <w:jc w:val="left"/>
              <w:rPr/>
            </w:pPr>
            <w:r>
              <w:rPr/>
              <w:t> </w:t>
            </w:r>
          </w:p>
        </w:tc>
      </w:tr>
      <w:tr>
        <w:trPr/>
        <w:tc>
          <w:tcPr>
            <w:tcW w:w="49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9581" w:type="dxa"/>
            <w:tcBorders/>
          </w:tcPr>
          <w:p>
            <w:pPr>
              <w:pStyle w:val="TableContents"/>
              <w:pBdr>
                <w:bottom w:val="single" w:sz="2" w:space="1" w:color="000000"/>
              </w:pBdr>
              <w:bidi w:val="0"/>
              <w:spacing w:before="0" w:after="2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Plan of Distribution: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
        <w:gridCol w:w="120"/>
        <w:gridCol w:w="9585"/>
      </w:tblGrid>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585" w:type="dxa"/>
            <w:tcBorders/>
            <w:vAlign w:val="center"/>
          </w:tcPr>
          <w:p>
            <w:pPr>
              <w:pStyle w:val="TableContents"/>
              <w:bidi w:val="0"/>
              <w:spacing w:before="0" w:after="283"/>
              <w:jc w:val="left"/>
              <w:rPr>
                <w:sz w:val="4"/>
                <w:szCs w:val="4"/>
              </w:rPr>
            </w:pPr>
            <w:r>
              <w:rPr>
                <w:sz w:val="4"/>
                <w:szCs w:val="4"/>
              </w:rPr>
            </w:r>
          </w:p>
        </w:tc>
      </w:tr>
      <w:tr>
        <w:trPr/>
        <w:tc>
          <w:tcPr>
            <w:tcW w:w="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585" w:type="dxa"/>
            <w:tcBorders/>
          </w:tcPr>
          <w:p>
            <w:pPr>
              <w:pStyle w:val="TableContents"/>
              <w:bidi w:val="0"/>
              <w:spacing w:before="0" w:after="283"/>
              <w:jc w:val="left"/>
              <w:rPr>
                <w:i/>
              </w:rPr>
            </w:pPr>
            <w:r>
              <w:rPr>
                <w:i/>
              </w:rPr>
              <w:t>The undersigned has reviewed the form of Plan of Distribution to be included in the Prospectus, a copy of which is attached as Annex A to the Registration Rights Agreement, and hereby confirms that, except as set forth below, the information contained therein regarding the undersigned and its plan of distribution is correct and complete.</w:t>
            </w:r>
          </w:p>
        </w:tc>
      </w:tr>
      <w:tr>
        <w:trPr>
          <w:trHeight w:val="120" w:hRule="atLeast"/>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585" w:type="dxa"/>
            <w:tcBorders/>
          </w:tcPr>
          <w:p>
            <w:pPr>
              <w:pStyle w:val="TableContents"/>
              <w:bidi w:val="0"/>
              <w:spacing w:before="0" w:after="283"/>
              <w:jc w:val="left"/>
              <w:rPr/>
            </w:pPr>
            <w:r>
              <w:rPr/>
              <w:t>State any exceptions here:</w:t>
            </w:r>
          </w:p>
        </w:tc>
      </w:tr>
      <w:tr>
        <w:trPr>
          <w:trHeight w:val="120" w:hRule="atLeast"/>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585" w:type="dxa"/>
            <w:tcBorders/>
          </w:tcPr>
          <w:p>
            <w:pPr>
              <w:pStyle w:val="TableContents"/>
              <w:pBdr>
                <w:bottom w:val="single" w:sz="2" w:space="1" w:color="000000"/>
              </w:pBdr>
              <w:bidi w:val="0"/>
              <w:spacing w:before="0" w:after="20"/>
              <w:jc w:val="left"/>
              <w:rPr/>
            </w:pPr>
            <w:r>
              <w:rPr/>
              <w:t> </w:t>
            </w:r>
          </w:p>
        </w:tc>
      </w:tr>
      <w:tr>
        <w:trPr/>
        <w:tc>
          <w:tcPr>
            <w:tcW w:w="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58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3"/>
        <w:gridCol w:w="113"/>
        <w:gridCol w:w="2643"/>
        <w:gridCol w:w="113"/>
        <w:gridCol w:w="390"/>
        <w:gridCol w:w="165"/>
        <w:gridCol w:w="1190"/>
        <w:gridCol w:w="457"/>
        <w:gridCol w:w="4481"/>
      </w:tblGrid>
      <w:tr>
        <w:trPr/>
        <w:tc>
          <w:tcPr>
            <w:tcW w:w="65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r>
      <w:tr>
        <w:trPr/>
        <w:tc>
          <w:tcPr>
            <w:tcW w:w="653" w:type="dxa"/>
            <w:tcBorders/>
          </w:tcPr>
          <w:p>
            <w:pPr>
              <w:pStyle w:val="TableContents"/>
              <w:bidi w:val="0"/>
              <w:spacing w:before="0" w:after="283"/>
              <w:jc w:val="left"/>
              <w:rPr/>
            </w:pPr>
            <w:r>
              <w:rPr/>
              <w:t>Date:</w:t>
            </w:r>
          </w:p>
        </w:tc>
        <w:tc>
          <w:tcPr>
            <w:tcW w:w="113" w:type="dxa"/>
            <w:tcBorders/>
            <w:vAlign w:val="bottom"/>
          </w:tcPr>
          <w:p>
            <w:pPr>
              <w:pStyle w:val="TableContents"/>
              <w:bidi w:val="0"/>
              <w:spacing w:before="0" w:after="283"/>
              <w:jc w:val="left"/>
              <w:rPr/>
            </w:pPr>
            <w:r>
              <w:rPr/>
              <w:t> </w:t>
            </w:r>
          </w:p>
        </w:tc>
        <w:tc>
          <w:tcPr>
            <w:tcW w:w="2643" w:type="dxa"/>
            <w:tcBorders/>
          </w:tcPr>
          <w:p>
            <w:pPr>
              <w:pStyle w:val="TableContents"/>
              <w:pBdr>
                <w:bottom w:val="single" w:sz="2" w:space="1" w:color="000000"/>
              </w:pBdr>
              <w:bidi w:val="0"/>
              <w:spacing w:before="0" w:after="20"/>
              <w:jc w:val="left"/>
              <w:rPr/>
            </w:pPr>
            <w:r>
              <w:rPr/>
              <w:t> </w:t>
            </w:r>
          </w:p>
        </w:tc>
        <w:tc>
          <w:tcPr>
            <w:tcW w:w="113"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6128" w:type="dxa"/>
            <w:gridSpan w:val="3"/>
            <w:tcBorders/>
          </w:tcPr>
          <w:p>
            <w:pPr>
              <w:pStyle w:val="TableContents"/>
              <w:bidi w:val="0"/>
              <w:spacing w:before="0" w:after="283"/>
              <w:jc w:val="left"/>
              <w:rPr/>
            </w:pPr>
            <w:r>
              <w:rPr/>
              <w:t xml:space="preserve">Beneficial Owner: </w:t>
            </w:r>
            <w:r>
              <w:rPr>
                <w:u w:val="single"/>
              </w:rPr>
              <w:t>                </w:t>
            </w:r>
          </w:p>
        </w:tc>
      </w:tr>
      <w:tr>
        <w:trPr/>
        <w:tc>
          <w:tcPr>
            <w:tcW w:w="65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190" w:type="dxa"/>
            <w:tcBorders/>
          </w:tcPr>
          <w:p>
            <w:pPr>
              <w:pStyle w:val="TableContents"/>
              <w:bidi w:val="0"/>
              <w:spacing w:before="0" w:after="283"/>
              <w:jc w:val="left"/>
              <w:rPr/>
            </w:pPr>
            <w:r>
              <w:rPr/>
              <w:t>By:</w:t>
            </w:r>
          </w:p>
        </w:tc>
        <w:tc>
          <w:tcPr>
            <w:tcW w:w="457" w:type="dxa"/>
            <w:tcBorders/>
            <w:vAlign w:val="bottom"/>
          </w:tcPr>
          <w:p>
            <w:pPr>
              <w:pStyle w:val="TableContents"/>
              <w:bidi w:val="0"/>
              <w:spacing w:before="0" w:after="283"/>
              <w:jc w:val="left"/>
              <w:rPr/>
            </w:pPr>
            <w:r>
              <w:rPr/>
              <w:t>  </w:t>
            </w:r>
          </w:p>
        </w:tc>
        <w:tc>
          <w:tcPr>
            <w:tcW w:w="4481" w:type="dxa"/>
            <w:tcBorders/>
          </w:tcPr>
          <w:p>
            <w:pPr>
              <w:pStyle w:val="TableContents"/>
              <w:pBdr>
                <w:bottom w:val="single" w:sz="2" w:space="1" w:color="000000"/>
              </w:pBdr>
              <w:bidi w:val="0"/>
              <w:spacing w:before="0" w:after="20"/>
              <w:jc w:val="left"/>
              <w:rPr/>
            </w:pPr>
            <w:r>
              <w:rPr/>
              <w:t> </w:t>
            </w:r>
          </w:p>
        </w:tc>
      </w:tr>
      <w:tr>
        <w:trPr/>
        <w:tc>
          <w:tcPr>
            <w:tcW w:w="65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190" w:type="dxa"/>
            <w:tcBorders/>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pPr>
            <w:r>
              <w:rPr/>
              <w:t>Name:</w:t>
            </w:r>
          </w:p>
        </w:tc>
      </w:tr>
      <w:tr>
        <w:trPr/>
        <w:tc>
          <w:tcPr>
            <w:tcW w:w="65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190" w:type="dxa"/>
            <w:tcBorders/>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pPr>
            <w:r>
              <w:rPr/>
              <w:t>Title: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PLEASE EMAIL A .PDF COPY OF THE COMPLETED AND EXECUTED NOTICE AND QUESTIONNAIRE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113</Pages>
  <Words>53487</Words>
  <Characters>281637</Characters>
  <CharactersWithSpaces>335719</CharactersWithSpaces>
  <Paragraphs>1275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