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U.S. Securities and Exchange Commission on June 21, 2022</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S-8</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REGISTRATION STATEMENT</w:t>
      </w:r>
    </w:p>
    <w:p>
      <w:pPr>
        <w:jc w:val="center"/>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Tempest Therapeutics,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225"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45-1472564</w:t>
      </w:r>
    </w:p>
    <w:p>
      <w:pPr>
        <w:spacing w:after="0" w:line="12" w:lineRule="exact"/>
        <w:rPr>
          <w:sz w:val="24"/>
          <w:szCs w:val="24"/>
          <w:color w:val="auto"/>
        </w:rPr>
      </w:pPr>
    </w:p>
    <w:p>
      <w:pPr>
        <w:sectPr>
          <w:pgSz w:w="11900" w:h="16838" w:orient="portrait"/>
          <w:cols w:equalWidth="0" w:num="2">
            <w:col w:w="7180" w:space="720"/>
            <w:col w:w="3120"/>
          </w:cols>
          <w:pgMar w:left="440" w:top="225" w:right="439" w:bottom="1440" w:gutter="0" w:footer="0" w:header="0"/>
          <w:type w:val="continuous"/>
        </w:sectPr>
      </w:pPr>
    </w:p>
    <w:p>
      <w:pPr>
        <w:ind w:left="18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2">
            <w:col w:w="7060" w:space="720"/>
            <w:col w:w="3240"/>
          </w:cols>
          <w:pgMar w:left="440" w:top="225" w:right="439" w:bottom="1440" w:gutter="0" w:footer="0" w:header="0"/>
          <w:type w:val="continuous"/>
        </w:sectPr>
      </w:pP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7000 Shoreline Court, Suite 275,</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(415) 798-8589</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ectPr>
          <w:pgSz w:w="11900" w:h="16838" w:orient="portrait"/>
          <w:cols w:equalWidth="0" w:num="1">
            <w:col w:w="11020"/>
          </w:cols>
          <w:pgMar w:left="440" w:top="225" w:right="439" w:bottom="1440" w:gutter="0" w:footer="0" w:header="0"/>
          <w:type w:val="continuous"/>
        </w:sectPr>
      </w:pP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Tempest Therapeutics, Inc. Amended and Restated 2019 Equity Incentive Plan</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Tempest Therapeutics, Inc. Amended and Restated 2019 Employee Stock Purchase Plan</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(Full titles of the plans)</w:t>
      </w: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Stephen Brady</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Tempest Therapeutics, Inc.</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7000 Shoreline Court, Suite 275,</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(415) 798-8589</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(Name, address and telephone number, including area code, of agent for service)</w:t>
      </w: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Laura Berezin</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Jaime Chase</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Cooley LLP</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3175 Hanover Street</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Palo Alto, California 94304</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(650) 843-5000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237490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225" w:right="4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Tempest Therapeutics, Inc. (the “Registrant”) is filing this Registration Statement on Form S-8 for the purpose of registering an additional (a) 1,132,252 shares of its common stock, par value $0.001 per share (the “Common Stock”), issuable to eligible persons under the Registrant’s Amended and Restated 2019 Equity Incentive Plan, and (b) 107,596 shares of Common Stock issuable to eligible persons under the Registrant’s Amended and Restated 2019 Employee Stock Purchase Plan.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Certain Documents By Reference</w:t>
      </w:r>
    </w:p>
    <w:p>
      <w:pPr>
        <w:spacing w:after="0" w:line="121"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The following documents filed by the Registrant with the Securities and Exchange Commission (the “SEC”) are incorporated by reference into this Registration Statement:</w:t>
      </w:r>
    </w:p>
    <w:p>
      <w:pPr>
        <w:spacing w:after="0" w:line="54" w:lineRule="exact"/>
        <w:rPr>
          <w:sz w:val="20"/>
          <w:szCs w:val="20"/>
          <w:color w:val="auto"/>
        </w:rPr>
      </w:pPr>
    </w:p>
    <w:p>
      <w:pPr>
        <w:ind w:right="500" w:firstLine="436"/>
        <w:spacing w:after="0" w:line="312" w:lineRule="auto"/>
        <w:tabs>
          <w:tab w:leader="none" w:pos="685"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contents of the Registrant’s Registration Statements on Form S-8, previously filed with the Commission on </w:t>
      </w:r>
      <w:hyperlink r:id="rId17">
        <w:r>
          <w:rPr>
            <w:rFonts w:ascii="Times New Roman" w:cs="Times New Roman" w:eastAsia="Times New Roman" w:hAnsi="Times New Roman"/>
            <w:sz w:val="17"/>
            <w:szCs w:val="17"/>
            <w:u w:val="single" w:color="auto"/>
            <w:color w:val="0000EE"/>
          </w:rPr>
          <w:t>December 16, 2019</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(File No. 333-235515), </w:t>
      </w:r>
      <w:hyperlink r:id="rId18">
        <w:r>
          <w:rPr>
            <w:rFonts w:ascii="Times New Roman" w:cs="Times New Roman" w:eastAsia="Times New Roman" w:hAnsi="Times New Roman"/>
            <w:sz w:val="17"/>
            <w:szCs w:val="17"/>
            <w:u w:val="single" w:color="auto"/>
            <w:color w:val="0000EE"/>
          </w:rPr>
          <w:t>November 10, 2020</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(File No. 333-249993), </w:t>
      </w:r>
      <w:hyperlink r:id="rId19">
        <w:r>
          <w:rPr>
            <w:rFonts w:ascii="Times New Roman" w:cs="Times New Roman" w:eastAsia="Times New Roman" w:hAnsi="Times New Roman"/>
            <w:sz w:val="17"/>
            <w:szCs w:val="17"/>
            <w:u w:val="single" w:color="auto"/>
            <w:color w:val="0000EE"/>
          </w:rPr>
          <w:t>April 15, 2021</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(File No. 333-255261) and </w:t>
      </w:r>
      <w:hyperlink r:id="rId20">
        <w:r>
          <w:rPr>
            <w:rFonts w:ascii="Times New Roman" w:cs="Times New Roman" w:eastAsia="Times New Roman" w:hAnsi="Times New Roman"/>
            <w:sz w:val="17"/>
            <w:szCs w:val="17"/>
            <w:u w:val="single" w:color="auto"/>
            <w:color w:val="0000EE"/>
          </w:rPr>
          <w:t>May 13, 2022</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(File No. 333-264943);</w:t>
      </w:r>
    </w:p>
    <w:p>
      <w:pPr>
        <w:spacing w:after="0" w:line="31" w:lineRule="exact"/>
        <w:rPr>
          <w:rFonts w:ascii="Times New Roman" w:cs="Times New Roman" w:eastAsia="Times New Roman" w:hAnsi="Times New Roman"/>
          <w:sz w:val="17"/>
          <w:szCs w:val="17"/>
          <w:color w:val="auto"/>
        </w:rPr>
      </w:pPr>
    </w:p>
    <w:p>
      <w:pPr>
        <w:ind w:right="540" w:firstLine="436"/>
        <w:spacing w:after="0" w:line="282" w:lineRule="auto"/>
        <w:tabs>
          <w:tab w:leader="none" w:pos="69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Form 10-K for the fiscal year ended December 31, 2021, filed with the SEC on </w:t>
      </w:r>
      <w:hyperlink r:id="rId21">
        <w:r>
          <w:rPr>
            <w:rFonts w:ascii="Times New Roman" w:cs="Times New Roman" w:eastAsia="Times New Roman" w:hAnsi="Times New Roman"/>
            <w:sz w:val="18"/>
            <w:szCs w:val="18"/>
            <w:u w:val="single" w:color="auto"/>
            <w:color w:val="0000EE"/>
          </w:rPr>
          <w:t>March 29,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001-35890) as amended on Form 10-K/A filed on </w:t>
      </w:r>
      <w:hyperlink r:id="rId22">
        <w:r>
          <w:rPr>
            <w:rFonts w:ascii="Times New Roman" w:cs="Times New Roman" w:eastAsia="Times New Roman" w:hAnsi="Times New Roman"/>
            <w:sz w:val="18"/>
            <w:szCs w:val="18"/>
            <w:u w:val="single" w:color="auto"/>
            <w:color w:val="0000EE"/>
          </w:rPr>
          <w:t>April 1, 2022;</w:t>
        </w:r>
      </w:hyperlink>
    </w:p>
    <w:p>
      <w:pPr>
        <w:spacing w:after="0" w:line="53" w:lineRule="exact"/>
        <w:rPr>
          <w:rFonts w:ascii="Times New Roman" w:cs="Times New Roman" w:eastAsia="Times New Roman" w:hAnsi="Times New Roman"/>
          <w:sz w:val="18"/>
          <w:szCs w:val="18"/>
          <w:color w:val="auto"/>
        </w:rPr>
      </w:pPr>
    </w:p>
    <w:p>
      <w:pPr>
        <w:jc w:val="both"/>
        <w:ind w:right="360" w:firstLine="436"/>
        <w:spacing w:after="0" w:line="266" w:lineRule="auto"/>
        <w:tabs>
          <w:tab w:leader="none" w:pos="685" w:val="left"/>
        </w:tabs>
        <w:numPr>
          <w:ilvl w:val="0"/>
          <w:numId w:val="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information specifically incorporated by reference into our Annual Report on </w:t>
      </w:r>
      <w:hyperlink r:id="rId23">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year ended December 31, 2021 </w:t>
      </w:r>
      <w:hyperlink r:id="rId24">
        <w:r>
          <w:rPr>
            <w:rFonts w:ascii="Times New Roman" w:cs="Times New Roman" w:eastAsia="Times New Roman" w:hAnsi="Times New Roman"/>
            <w:sz w:val="18"/>
            <w:szCs w:val="18"/>
            <w:color w:val="auto"/>
          </w:rPr>
          <w:t xml:space="preserve">from our definitive proxy statement on Schedule 14A (other than information furnished rather than filed), which was filed with the SEC on </w:t>
        </w:r>
        <w:r>
          <w:rPr>
            <w:rFonts w:ascii="Times New Roman" w:cs="Times New Roman" w:eastAsia="Times New Roman" w:hAnsi="Times New Roman"/>
            <w:sz w:val="18"/>
            <w:szCs w:val="18"/>
            <w:u w:val="single" w:color="auto"/>
            <w:color w:val="0000EE"/>
          </w:rPr>
          <w:t>May 2,</w:t>
        </w:r>
      </w:hyperlink>
      <w:r>
        <w:rPr>
          <w:rFonts w:ascii="Times New Roman" w:cs="Times New Roman" w:eastAsia="Times New Roman" w:hAnsi="Times New Roman"/>
          <w:sz w:val="18"/>
          <w:szCs w:val="18"/>
          <w:color w:val="auto"/>
        </w:rPr>
        <w:t xml:space="preserve"> </w:t>
      </w:r>
      <w:hyperlink r:id="rId24">
        <w:r>
          <w:rPr>
            <w:rFonts w:ascii="Times New Roman" w:cs="Times New Roman" w:eastAsia="Times New Roman" w:hAnsi="Times New Roman"/>
            <w:sz w:val="18"/>
            <w:szCs w:val="18"/>
            <w:u w:val="single" w:color="auto"/>
            <w:color w:val="0000EE"/>
          </w:rPr>
          <w:t>2022</w:t>
        </w:r>
        <w:r>
          <w:rPr>
            <w:rFonts w:ascii="Times New Roman" w:cs="Times New Roman" w:eastAsia="Times New Roman" w:hAnsi="Times New Roman"/>
            <w:sz w:val="18"/>
            <w:szCs w:val="18"/>
            <w:color w:val="000000"/>
          </w:rPr>
          <w:t>, as supplemented on</w:t>
        </w:r>
        <w:r>
          <w:rPr>
            <w:rFonts w:ascii="Times New Roman" w:cs="Times New Roman" w:eastAsia="Times New Roman" w:hAnsi="Times New Roman"/>
            <w:sz w:val="18"/>
            <w:szCs w:val="18"/>
            <w:color w:val="0000EE"/>
          </w:rPr>
          <w:t xml:space="preserve"> </w:t>
        </w:r>
      </w:hyperlink>
      <w:hyperlink r:id="rId25">
        <w:r>
          <w:rPr>
            <w:rFonts w:ascii="Times New Roman" w:cs="Times New Roman" w:eastAsia="Times New Roman" w:hAnsi="Times New Roman"/>
            <w:sz w:val="18"/>
            <w:szCs w:val="18"/>
            <w:u w:val="single" w:color="auto"/>
            <w:color w:val="0000EE"/>
          </w:rPr>
          <w:t>May 26, 2022.</w:t>
        </w:r>
      </w:hyperlink>
    </w:p>
    <w:p>
      <w:pPr>
        <w:spacing w:after="0" w:line="67" w:lineRule="exact"/>
        <w:rPr>
          <w:rFonts w:ascii="Times New Roman" w:cs="Times New Roman" w:eastAsia="Times New Roman" w:hAnsi="Times New Roman"/>
          <w:sz w:val="18"/>
          <w:szCs w:val="18"/>
          <w:color w:val="0000EE"/>
        </w:rPr>
      </w:pPr>
    </w:p>
    <w:p>
      <w:pPr>
        <w:ind w:left="700" w:hanging="264"/>
        <w:spacing w:after="0"/>
        <w:tabs>
          <w:tab w:leader="none" w:pos="7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Quarterly Report on Form 10-Q for the quarter ended March 31, 2022, filed with the SEC on </w:t>
      </w:r>
      <w:hyperlink r:id="rId26">
        <w:r>
          <w:rPr>
            <w:rFonts w:ascii="Times New Roman" w:cs="Times New Roman" w:eastAsia="Times New Roman" w:hAnsi="Times New Roman"/>
            <w:sz w:val="18"/>
            <w:szCs w:val="18"/>
            <w:u w:val="single" w:color="auto"/>
            <w:color w:val="0000EE"/>
          </w:rPr>
          <w:t>May 13,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w:t>
      </w:r>
    </w:p>
    <w:p>
      <w:pPr>
        <w:spacing w:after="0" w:line="27"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color w:val="auto"/>
        </w:rPr>
        <w:t>No. 001-35890);</w:t>
      </w:r>
    </w:p>
    <w:p>
      <w:pPr>
        <w:spacing w:after="0" w:line="99" w:lineRule="exact"/>
        <w:rPr>
          <w:rFonts w:ascii="Times New Roman" w:cs="Times New Roman" w:eastAsia="Times New Roman" w:hAnsi="Times New Roman"/>
          <w:sz w:val="18"/>
          <w:szCs w:val="18"/>
          <w:color w:val="0000EE"/>
        </w:rPr>
      </w:pPr>
    </w:p>
    <w:p>
      <w:pPr>
        <w:ind w:right="300" w:firstLine="436"/>
        <w:spacing w:after="0" w:line="282" w:lineRule="auto"/>
        <w:tabs>
          <w:tab w:leader="none" w:pos="685" w:val="left"/>
        </w:tabs>
        <w:numPr>
          <w:ilvl w:val="0"/>
          <w:numId w:val="2"/>
        </w:numPr>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auto"/>
          </w:rPr>
          <w:t xml:space="preserve">the Registrant’s Current Reports on Form 8-K filed with the SEC on </w:t>
        </w:r>
        <w:r>
          <w:rPr>
            <w:rFonts w:ascii="Times New Roman" w:cs="Times New Roman" w:eastAsia="Times New Roman" w:hAnsi="Times New Roman"/>
            <w:sz w:val="18"/>
            <w:szCs w:val="18"/>
            <w:u w:val="single" w:color="auto"/>
            <w:color w:val="0000EE"/>
          </w:rPr>
          <w:t>May 2, 2022</w:t>
        </w:r>
        <w:r>
          <w:rPr>
            <w:rFonts w:ascii="Times New Roman" w:cs="Times New Roman" w:eastAsia="Times New Roman" w:hAnsi="Times New Roman"/>
            <w:sz w:val="18"/>
            <w:szCs w:val="18"/>
            <w:color w:val="auto"/>
          </w:rPr>
          <w:t xml:space="preserve"> (excluding Exhibit 99.1 thereto), </w:t>
        </w:r>
        <w:r>
          <w:rPr>
            <w:rFonts w:ascii="Times New Roman" w:cs="Times New Roman" w:eastAsia="Times New Roman" w:hAnsi="Times New Roman"/>
            <w:sz w:val="18"/>
            <w:szCs w:val="18"/>
            <w:u w:val="single" w:color="auto"/>
            <w:color w:val="0000EE"/>
          </w:rPr>
          <w:t>May 26, 2022, June 9,</w:t>
        </w:r>
      </w:hyperlink>
      <w:r>
        <w:rPr>
          <w:rFonts w:ascii="Times New Roman" w:cs="Times New Roman" w:eastAsia="Times New Roman" w:hAnsi="Times New Roman"/>
          <w:sz w:val="18"/>
          <w:szCs w:val="18"/>
          <w:color w:val="auto"/>
        </w:rPr>
        <w:t xml:space="preserve"> </w:t>
      </w:r>
      <w:hyperlink r:id="rId27">
        <w:r>
          <w:rPr>
            <w:rFonts w:ascii="Times New Roman" w:cs="Times New Roman" w:eastAsia="Times New Roman" w:hAnsi="Times New Roman"/>
            <w:sz w:val="18"/>
            <w:szCs w:val="18"/>
            <w:u w:val="single" w:color="auto"/>
            <w:color w:val="0000EE"/>
          </w:rPr>
          <w:t>2022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28">
        <w:r>
          <w:rPr>
            <w:rFonts w:ascii="Times New Roman" w:cs="Times New Roman" w:eastAsia="Times New Roman" w:hAnsi="Times New Roman"/>
            <w:sz w:val="18"/>
            <w:szCs w:val="18"/>
            <w:u w:val="single" w:color="auto"/>
            <w:color w:val="0000EE"/>
          </w:rPr>
          <w:t xml:space="preserve">June 21, 2022 </w:t>
        </w:r>
      </w:hyperlink>
      <w:hyperlink r:id="rId27">
        <w:r>
          <w:rPr>
            <w:rFonts w:ascii="Times New Roman" w:cs="Times New Roman" w:eastAsia="Times New Roman" w:hAnsi="Times New Roman"/>
            <w:sz w:val="18"/>
            <w:szCs w:val="18"/>
            <w:color w:val="000000"/>
          </w:rPr>
          <w:t>(File No. 001-35890); and</w:t>
        </w:r>
      </w:hyperlink>
    </w:p>
    <w:p>
      <w:pPr>
        <w:spacing w:after="0" w:line="53" w:lineRule="exact"/>
        <w:rPr>
          <w:rFonts w:ascii="Times New Roman" w:cs="Times New Roman" w:eastAsia="Times New Roman" w:hAnsi="Times New Roman"/>
          <w:sz w:val="18"/>
          <w:szCs w:val="18"/>
          <w:color w:val="0000EE"/>
        </w:rPr>
      </w:pPr>
    </w:p>
    <w:p>
      <w:pPr>
        <w:ind w:right="60" w:firstLine="436"/>
        <w:spacing w:after="0" w:line="266" w:lineRule="auto"/>
        <w:tabs>
          <w:tab w:leader="none" w:pos="66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Common Stock set forth in the Registrant’s registration statement on </w:t>
      </w:r>
      <w:hyperlink r:id="rId29">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001-35890), filed with the Commission on April 25, 2013, including any amendments thereto or reports filed for the purposes of updating this description, including </w:t>
      </w:r>
      <w:hyperlink r:id="rId30">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the Registrant’s Annual Report on </w:t>
      </w:r>
      <w:hyperlink r:id="rId31">
        <w:r>
          <w:rPr>
            <w:rFonts w:ascii="Times New Roman" w:cs="Times New Roman" w:eastAsia="Times New Roman" w:hAnsi="Times New Roman"/>
            <w:sz w:val="18"/>
            <w:szCs w:val="18"/>
            <w:u w:val="single" w:color="auto"/>
            <w:color w:val="0000EE"/>
          </w:rPr>
          <w:t>Form 10-K/A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2021 filed with the SEC on April 1, 2022.</w:t>
      </w:r>
    </w:p>
    <w:p>
      <w:pPr>
        <w:spacing w:after="0" w:line="176" w:lineRule="exact"/>
        <w:rPr>
          <w:rFonts w:ascii="Times New Roman" w:cs="Times New Roman" w:eastAsia="Times New Roman" w:hAnsi="Times New Roman"/>
          <w:sz w:val="18"/>
          <w:szCs w:val="18"/>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All reports and documents subsequently filed by the Registrant pursuant to Sections 13(a), 13(c), 1f4 and 15(d) of the Exchange Act (other than Current Reports furnished under Item 2.02 or Item 7.01 of Form 8-K and exhibits furnished on such form that relate to such items)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w:t>
      </w:r>
    </w:p>
    <w:p>
      <w:pPr>
        <w:sectPr>
          <w:pgSz w:w="11900" w:h="16838" w:orient="portrait"/>
          <w:cols w:equalWidth="0" w:num="1">
            <w:col w:w="11000"/>
          </w:cols>
          <w:pgMar w:left="440" w:top="266" w:right="45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8. Exhibits</w:t>
      </w:r>
    </w:p>
    <w:p>
      <w:pPr>
        <w:spacing w:after="0" w:line="250" w:lineRule="exact"/>
        <w:rPr>
          <w:sz w:val="20"/>
          <w:szCs w:val="20"/>
          <w:color w:val="auto"/>
        </w:rPr>
      </w:pPr>
    </w:p>
    <w:tbl>
      <w:tblPr>
        <w:tblLayout w:type="fixed"/>
        <w:tblInd w:w="4" w:type="dxa"/>
        <w:tblCellMar>
          <w:top w:w="0" w:type="dxa"/>
          <w:left w:w="0" w:type="dxa"/>
          <w:bottom w:w="0" w:type="dxa"/>
          <w:right w:w="0" w:type="dxa"/>
        </w:tblCellMar>
      </w:tblPr>
      <w:tr>
        <w:trPr>
          <w:trHeight w:val="187"/>
        </w:trPr>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tcBorders>
              <w:bottom w:val="single" w:sz="8" w:color="auto"/>
            </w:tcBorders>
            <w:gridSpan w:val="5"/>
          </w:tcPr>
          <w:p>
            <w:pPr>
              <w:jc w:val="center"/>
              <w:ind w:left="654"/>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5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500" w:type="dxa"/>
            <w:vAlign w:val="bottom"/>
            <w:gridSpan w:val="1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 w:type="dxa"/>
            <w:vAlign w:val="bottom"/>
            <w:vMerge w:val="restart"/>
          </w:tcPr>
          <w:p>
            <w:pPr>
              <w:spacing w:after="0"/>
              <w:rPr>
                <w:sz w:val="11"/>
                <w:szCs w:val="11"/>
                <w:color w:val="auto"/>
              </w:rPr>
            </w:pPr>
          </w:p>
        </w:tc>
        <w:tc>
          <w:tcPr>
            <w:tcW w:w="110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Schedule</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20" w:type="dxa"/>
            <w:vAlign w:val="bottom"/>
            <w:vMerge w:val="restart"/>
          </w:tcPr>
          <w:p>
            <w:pPr>
              <w:spacing w:after="0"/>
              <w:rPr>
                <w:sz w:val="11"/>
                <w:szCs w:val="11"/>
                <w:color w:val="auto"/>
              </w:rPr>
            </w:pPr>
          </w:p>
        </w:tc>
        <w:tc>
          <w:tcPr>
            <w:tcW w:w="240" w:type="dxa"/>
            <w:vAlign w:val="bottom"/>
            <w:vMerge w:val="restart"/>
          </w:tcPr>
          <w:p>
            <w:pPr>
              <w:spacing w:after="0"/>
              <w:rPr>
                <w:sz w:val="11"/>
                <w:szCs w:val="11"/>
                <w:color w:val="auto"/>
              </w:rPr>
            </w:pP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vMerge w:val="restart"/>
          </w:tcPr>
          <w:p>
            <w:pPr>
              <w:spacing w:after="0"/>
              <w:rPr>
                <w:sz w:val="11"/>
                <w:szCs w:val="11"/>
                <w:color w:val="auto"/>
              </w:rPr>
            </w:pPr>
          </w:p>
        </w:tc>
        <w:tc>
          <w:tcPr>
            <w:tcW w:w="10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76"/>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2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500" w:type="dxa"/>
            <w:vAlign w:val="bottom"/>
            <w:tcBorders>
              <w:bottom w:val="single" w:sz="8" w:color="auto"/>
            </w:tcBorders>
            <w:gridSpan w:val="13"/>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22"/>
                <w:szCs w:val="22"/>
                <w:color w:val="auto"/>
              </w:rPr>
            </w:pPr>
          </w:p>
        </w:tc>
        <w:tc>
          <w:tcPr>
            <w:tcW w:w="48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33">
              <w:r>
                <w:rPr>
                  <w:rFonts w:ascii="Times New Roman" w:cs="Times New Roman" w:eastAsia="Times New Roman" w:hAnsi="Times New Roman"/>
                  <w:sz w:val="18"/>
                  <w:szCs w:val="18"/>
                  <w:color w:val="0000EE"/>
                  <w:w w:val="99"/>
                </w:rPr>
                <w:t>Restated Certificate of Incorporation of the Registrant, as amended</w:t>
              </w:r>
            </w:hyperlink>
          </w:p>
        </w:tc>
        <w:tc>
          <w:tcPr>
            <w:tcW w:w="1200" w:type="dxa"/>
            <w:vAlign w:val="bottom"/>
            <w:gridSpan w:val="9"/>
          </w:tcPr>
          <w:p>
            <w:pPr>
              <w:spacing w:after="0"/>
              <w:rPr>
                <w:sz w:val="22"/>
                <w:szCs w:val="22"/>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001-35890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5/15/2019</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24"/>
                <w:szCs w:val="24"/>
                <w:color w:val="auto"/>
              </w:rPr>
            </w:pPr>
          </w:p>
        </w:tc>
        <w:tc>
          <w:tcPr>
            <w:tcW w:w="54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34">
              <w:r>
                <w:rPr>
                  <w:rFonts w:ascii="Times New Roman" w:cs="Times New Roman" w:eastAsia="Times New Roman" w:hAnsi="Times New Roman"/>
                  <w:sz w:val="18"/>
                  <w:szCs w:val="18"/>
                  <w:color w:val="0000EE"/>
                  <w:w w:val="99"/>
                </w:rPr>
                <w:t>Certificate of Amendment to the Restated Certificate of Incorporation of the</w:t>
              </w:r>
            </w:hyperlink>
          </w:p>
        </w:tc>
        <w:tc>
          <w:tcPr>
            <w:tcW w:w="540" w:type="dxa"/>
            <w:vAlign w:val="bottom"/>
            <w:gridSpan w:val="6"/>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9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34">
              <w:r>
                <w:rPr>
                  <w:rFonts w:ascii="Times New Roman" w:cs="Times New Roman" w:eastAsia="Times New Roman" w:hAnsi="Times New Roman"/>
                  <w:sz w:val="18"/>
                  <w:szCs w:val="18"/>
                  <w:color w:val="0000EE"/>
                  <w:w w:val="99"/>
                </w:rPr>
                <w:t>Company, as filed with the Secretary of State of the State of Delaware on June 24,</w:t>
              </w:r>
            </w:hyperlink>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80" w:type="dxa"/>
            <w:vAlign w:val="bottom"/>
            <w:gridSpan w:val="2"/>
          </w:tcPr>
          <w:p>
            <w:pPr>
              <w:ind w:left="220"/>
              <w:spacing w:after="0" w:line="196" w:lineRule="exact"/>
              <w:rPr>
                <w:rFonts w:ascii="Times New Roman" w:cs="Times New Roman" w:eastAsia="Times New Roman" w:hAnsi="Times New Roman"/>
                <w:sz w:val="18"/>
                <w:szCs w:val="18"/>
                <w:color w:val="0000EE"/>
                <w:w w:val="94"/>
              </w:rPr>
            </w:pPr>
            <w:hyperlink r:id="rId34">
              <w:r>
                <w:rPr>
                  <w:rFonts w:ascii="Times New Roman" w:cs="Times New Roman" w:eastAsia="Times New Roman" w:hAnsi="Times New Roman"/>
                  <w:sz w:val="18"/>
                  <w:szCs w:val="18"/>
                  <w:color w:val="0000EE"/>
                  <w:w w:val="94"/>
                </w:rPr>
                <w:t>2021</w:t>
              </w:r>
            </w:hyperlink>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001-35890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center"/>
              <w:ind w:right="152"/>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6/28/2021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24"/>
                <w:szCs w:val="24"/>
                <w:color w:val="auto"/>
              </w:rPr>
            </w:pPr>
          </w:p>
        </w:tc>
        <w:tc>
          <w:tcPr>
            <w:tcW w:w="54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35">
              <w:r>
                <w:rPr>
                  <w:rFonts w:ascii="Times New Roman" w:cs="Times New Roman" w:eastAsia="Times New Roman" w:hAnsi="Times New Roman"/>
                  <w:sz w:val="18"/>
                  <w:szCs w:val="18"/>
                  <w:color w:val="0000EE"/>
                  <w:w w:val="99"/>
                </w:rPr>
                <w:t>Certificate of Amendment to the Restated Certificate of Incorporation of the</w:t>
              </w:r>
            </w:hyperlink>
          </w:p>
        </w:tc>
        <w:tc>
          <w:tcPr>
            <w:tcW w:w="540" w:type="dxa"/>
            <w:vAlign w:val="bottom"/>
            <w:gridSpan w:val="6"/>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9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35">
              <w:r>
                <w:rPr>
                  <w:rFonts w:ascii="Times New Roman" w:cs="Times New Roman" w:eastAsia="Times New Roman" w:hAnsi="Times New Roman"/>
                  <w:sz w:val="18"/>
                  <w:szCs w:val="18"/>
                  <w:color w:val="0000EE"/>
                  <w:w w:val="99"/>
                </w:rPr>
                <w:t>Company, as filed with the Secretary of State of the State of Delaware on June 25,</w:t>
              </w:r>
            </w:hyperlink>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80" w:type="dxa"/>
            <w:vAlign w:val="bottom"/>
            <w:gridSpan w:val="2"/>
          </w:tcPr>
          <w:p>
            <w:pPr>
              <w:ind w:left="220"/>
              <w:spacing w:after="0" w:line="196" w:lineRule="exact"/>
              <w:rPr>
                <w:rFonts w:ascii="Times New Roman" w:cs="Times New Roman" w:eastAsia="Times New Roman" w:hAnsi="Times New Roman"/>
                <w:sz w:val="18"/>
                <w:szCs w:val="18"/>
                <w:color w:val="0000EE"/>
                <w:w w:val="94"/>
              </w:rPr>
            </w:pPr>
            <w:hyperlink r:id="rId35">
              <w:r>
                <w:rPr>
                  <w:rFonts w:ascii="Times New Roman" w:cs="Times New Roman" w:eastAsia="Times New Roman" w:hAnsi="Times New Roman"/>
                  <w:sz w:val="18"/>
                  <w:szCs w:val="18"/>
                  <w:color w:val="0000EE"/>
                  <w:w w:val="94"/>
                </w:rPr>
                <w:t>2021</w:t>
              </w:r>
            </w:hyperlink>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001-35890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center"/>
              <w:ind w:right="152"/>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6/28/2021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24"/>
                <w:szCs w:val="24"/>
                <w:color w:val="auto"/>
              </w:rPr>
            </w:pPr>
          </w:p>
        </w:tc>
        <w:tc>
          <w:tcPr>
            <w:tcW w:w="6020" w:type="dxa"/>
            <w:vAlign w:val="bottom"/>
            <w:gridSpan w:val="20"/>
          </w:tcPr>
          <w:p>
            <w:pPr>
              <w:spacing w:after="0"/>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Amended and Restated Bylaws of the Registrant</w:t>
              </w:r>
            </w:hyperlink>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001-35890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9/4/2021</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Pr>
          <w:p>
            <w:pPr>
              <w:spacing w:after="0"/>
              <w:rPr>
                <w:sz w:val="24"/>
                <w:szCs w:val="24"/>
                <w:color w:val="auto"/>
              </w:rPr>
            </w:pPr>
          </w:p>
        </w:tc>
        <w:tc>
          <w:tcPr>
            <w:tcW w:w="348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Opinion of Cooley LLP</w:t>
            </w:r>
          </w:p>
        </w:tc>
        <w:tc>
          <w:tcPr>
            <w:tcW w:w="2540" w:type="dxa"/>
            <w:vAlign w:val="bottom"/>
            <w:gridSpan w:val="13"/>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220" w:type="dxa"/>
            <w:vAlign w:val="bottom"/>
          </w:tcPr>
          <w:p>
            <w:pPr>
              <w:spacing w:after="0"/>
              <w:rPr>
                <w:sz w:val="24"/>
                <w:szCs w:val="24"/>
                <w:color w:val="auto"/>
              </w:rPr>
            </w:pPr>
          </w:p>
        </w:tc>
        <w:tc>
          <w:tcPr>
            <w:tcW w:w="35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Consent of Cooley LLP (included in Exhibit 5.1)</w:t>
            </w:r>
          </w:p>
        </w:tc>
        <w:tc>
          <w:tcPr>
            <w:tcW w:w="2500" w:type="dxa"/>
            <w:vAlign w:val="bottom"/>
            <w:gridSpan w:val="12"/>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220" w:type="dxa"/>
            <w:vAlign w:val="bottom"/>
          </w:tcPr>
          <w:p>
            <w:pPr>
              <w:spacing w:after="0"/>
              <w:rPr>
                <w:sz w:val="24"/>
                <w:szCs w:val="24"/>
                <w:color w:val="auto"/>
              </w:rPr>
            </w:pPr>
          </w:p>
        </w:tc>
        <w:tc>
          <w:tcPr>
            <w:tcW w:w="56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8"/>
              </w:rPr>
              <w:t>Consent of Ernst &amp; Young LLP, independent registered public accounting firm</w:t>
            </w:r>
          </w:p>
        </w:tc>
        <w:tc>
          <w:tcPr>
            <w:tcW w:w="360" w:type="dxa"/>
            <w:vAlign w:val="bottom"/>
            <w:gridSpan w:val="5"/>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23.3*</w:t>
            </w:r>
          </w:p>
        </w:tc>
        <w:tc>
          <w:tcPr>
            <w:tcW w:w="220" w:type="dxa"/>
            <w:vAlign w:val="bottom"/>
          </w:tcPr>
          <w:p>
            <w:pPr>
              <w:spacing w:after="0"/>
              <w:rPr>
                <w:sz w:val="24"/>
                <w:szCs w:val="24"/>
                <w:color w:val="auto"/>
              </w:rPr>
            </w:pPr>
          </w:p>
        </w:tc>
        <w:tc>
          <w:tcPr>
            <w:tcW w:w="60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Consent of Deloitte &amp; Touche LLP, independent registered public accounting firm</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220" w:type="dxa"/>
            <w:vAlign w:val="bottom"/>
          </w:tcPr>
          <w:p>
            <w:pPr>
              <w:spacing w:after="0"/>
              <w:rPr>
                <w:sz w:val="24"/>
                <w:szCs w:val="24"/>
                <w:color w:val="auto"/>
              </w:rPr>
            </w:pPr>
          </w:p>
        </w:tc>
        <w:tc>
          <w:tcPr>
            <w:tcW w:w="5900" w:type="dxa"/>
            <w:vAlign w:val="bottom"/>
            <w:tcBorders>
              <w:top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rPr>
              <w:t>Power of Attorney (included on the signature page of this Form S-8)</w:t>
            </w:r>
          </w:p>
        </w:tc>
        <w:tc>
          <w:tcPr>
            <w:tcW w:w="120" w:type="dxa"/>
            <w:vAlign w:val="bottom"/>
            <w:gridSpan w:val="2"/>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220" w:type="dxa"/>
            <w:vAlign w:val="bottom"/>
          </w:tcPr>
          <w:p>
            <w:pPr>
              <w:spacing w:after="0"/>
              <w:rPr>
                <w:sz w:val="24"/>
                <w:szCs w:val="24"/>
                <w:color w:val="auto"/>
              </w:rPr>
            </w:pPr>
          </w:p>
        </w:tc>
        <w:tc>
          <w:tcPr>
            <w:tcW w:w="56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37">
              <w:r>
                <w:rPr>
                  <w:rFonts w:ascii="Times New Roman" w:cs="Times New Roman" w:eastAsia="Times New Roman" w:hAnsi="Times New Roman"/>
                  <w:sz w:val="18"/>
                  <w:szCs w:val="18"/>
                  <w:color w:val="0000EE"/>
                  <w:w w:val="99"/>
                </w:rPr>
                <w:t>Tempest Therapeutics, Inc. Amended and Restated 2019 Equity Incentive Plan</w:t>
              </w:r>
            </w:hyperlink>
          </w:p>
        </w:tc>
        <w:tc>
          <w:tcPr>
            <w:tcW w:w="360" w:type="dxa"/>
            <w:vAlign w:val="bottom"/>
            <w:gridSpan w:val="5"/>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001-35890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6/21/22</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220" w:type="dxa"/>
            <w:vAlign w:val="bottom"/>
          </w:tcPr>
          <w:p>
            <w:pPr>
              <w:spacing w:after="0"/>
              <w:rPr>
                <w:sz w:val="24"/>
                <w:szCs w:val="24"/>
                <w:color w:val="auto"/>
              </w:rPr>
            </w:pPr>
          </w:p>
        </w:tc>
        <w:tc>
          <w:tcPr>
            <w:tcW w:w="6020" w:type="dxa"/>
            <w:vAlign w:val="bottom"/>
            <w:gridSpan w:val="20"/>
          </w:tcPr>
          <w:p>
            <w:pPr>
              <w:spacing w:after="0"/>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Form of Option Grant Package under 2019 Equity Incentive Plan</w:t>
              </w:r>
            </w:hyperlink>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001-35890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8/12/2019</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99.3</w:t>
            </w:r>
          </w:p>
        </w:tc>
        <w:tc>
          <w:tcPr>
            <w:tcW w:w="220" w:type="dxa"/>
            <w:vAlign w:val="bottom"/>
          </w:tcPr>
          <w:p>
            <w:pPr>
              <w:spacing w:after="0"/>
              <w:rPr>
                <w:sz w:val="24"/>
                <w:szCs w:val="24"/>
                <w:color w:val="auto"/>
              </w:rPr>
            </w:pPr>
          </w:p>
        </w:tc>
        <w:tc>
          <w:tcPr>
            <w:tcW w:w="4540" w:type="dxa"/>
            <w:vAlign w:val="bottom"/>
            <w:tcBorders>
              <w:top w:val="single" w:sz="8" w:color="0000EE"/>
              <w:bottom w:val="single" w:sz="8" w:color="0000EE"/>
            </w:tcBorders>
            <w:gridSpan w:val="9"/>
          </w:tcPr>
          <w:p>
            <w:pPr>
              <w:spacing w:after="0"/>
              <w:rPr>
                <w:rFonts w:ascii="Times New Roman" w:cs="Times New Roman" w:eastAsia="Times New Roman" w:hAnsi="Times New Roman"/>
                <w:sz w:val="18"/>
                <w:szCs w:val="18"/>
                <w:color w:val="0000EE"/>
                <w:w w:val="99"/>
              </w:rPr>
            </w:pPr>
            <w:hyperlink r:id="rId39">
              <w:r>
                <w:rPr>
                  <w:rFonts w:ascii="Times New Roman" w:cs="Times New Roman" w:eastAsia="Times New Roman" w:hAnsi="Times New Roman"/>
                  <w:sz w:val="18"/>
                  <w:szCs w:val="18"/>
                  <w:color w:val="0000EE"/>
                  <w:w w:val="99"/>
                </w:rPr>
                <w:t>Form of RSU Grant Package under 2019 Equity Incentive Plan</w:t>
              </w:r>
            </w:hyperlink>
          </w:p>
        </w:tc>
        <w:tc>
          <w:tcPr>
            <w:tcW w:w="140" w:type="dxa"/>
            <w:vAlign w:val="bottom"/>
            <w:tcBorders>
              <w:top w:val="single" w:sz="8" w:color="0000EE"/>
            </w:tcBorders>
          </w:tcPr>
          <w:p>
            <w:pPr>
              <w:spacing w:after="0"/>
              <w:rPr>
                <w:sz w:val="24"/>
                <w:szCs w:val="24"/>
                <w:color w:val="auto"/>
              </w:rPr>
            </w:pPr>
          </w:p>
        </w:tc>
        <w:tc>
          <w:tcPr>
            <w:tcW w:w="1340" w:type="dxa"/>
            <w:vAlign w:val="bottom"/>
            <w:gridSpan w:val="10"/>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001-35890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8/12/2019</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99.4</w:t>
            </w:r>
          </w:p>
        </w:tc>
        <w:tc>
          <w:tcPr>
            <w:tcW w:w="220" w:type="dxa"/>
            <w:vAlign w:val="bottom"/>
          </w:tcPr>
          <w:p>
            <w:pPr>
              <w:spacing w:after="0"/>
              <w:rPr>
                <w:sz w:val="24"/>
                <w:szCs w:val="24"/>
                <w:color w:val="auto"/>
              </w:rPr>
            </w:pPr>
          </w:p>
        </w:tc>
        <w:tc>
          <w:tcPr>
            <w:tcW w:w="6020" w:type="dxa"/>
            <w:vAlign w:val="bottom"/>
            <w:gridSpan w:val="20"/>
          </w:tcPr>
          <w:p>
            <w:pPr>
              <w:spacing w:after="0"/>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Form of Stock Option Agreement under the Sub Plan for French Residents under</w:t>
              </w:r>
            </w:hyperlink>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40">
              <w:r>
                <w:rPr>
                  <w:rFonts w:ascii="Times New Roman" w:cs="Times New Roman" w:eastAsia="Times New Roman" w:hAnsi="Times New Roman"/>
                  <w:sz w:val="18"/>
                  <w:szCs w:val="18"/>
                  <w:color w:val="0000EE"/>
                  <w:w w:val="98"/>
                </w:rPr>
                <w:t>2019 Equity Incentive Plan</w:t>
              </w:r>
            </w:hyperlink>
          </w:p>
        </w:tc>
        <w:tc>
          <w:tcPr>
            <w:tcW w:w="3860" w:type="dxa"/>
            <w:vAlign w:val="bottom"/>
            <w:tcBorders>
              <w:top w:val="single" w:sz="8" w:color="0000EE"/>
            </w:tcBorders>
            <w:gridSpan w:val="12"/>
          </w:tcPr>
          <w:p>
            <w:pPr>
              <w:spacing w:after="0"/>
              <w:rPr>
                <w:sz w:val="17"/>
                <w:szCs w:val="17"/>
                <w:color w:val="auto"/>
              </w:rPr>
            </w:pPr>
          </w:p>
        </w:tc>
        <w:tc>
          <w:tcPr>
            <w:tcW w:w="200" w:type="dxa"/>
            <w:vAlign w:val="bottom"/>
            <w:gridSpan w:val="3"/>
          </w:tcPr>
          <w:p>
            <w:pPr>
              <w:spacing w:after="0"/>
              <w:rPr>
                <w:sz w:val="17"/>
                <w:szCs w:val="17"/>
                <w:color w:val="auto"/>
              </w:rPr>
            </w:pPr>
          </w:p>
        </w:tc>
        <w:tc>
          <w:tcPr>
            <w:tcW w:w="110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7"/>
              </w:rPr>
              <w:t>10-K</w:t>
            </w:r>
          </w:p>
        </w:tc>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001-35890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center"/>
              <w:ind w:right="172"/>
              <w:spacing w:after="0" w:line="196" w:lineRule="exact"/>
              <w:rPr>
                <w:sz w:val="20"/>
                <w:szCs w:val="20"/>
                <w:color w:val="auto"/>
              </w:rPr>
            </w:pPr>
            <w:r>
              <w:rPr>
                <w:rFonts w:ascii="Times New Roman" w:cs="Times New Roman" w:eastAsia="Times New Roman" w:hAnsi="Times New Roman"/>
                <w:sz w:val="18"/>
                <w:szCs w:val="18"/>
                <w:color w:val="auto"/>
                <w:w w:val="98"/>
              </w:rPr>
              <w:t>10.16</w:t>
            </w:r>
          </w:p>
        </w:tc>
        <w:tc>
          <w:tcPr>
            <w:tcW w:w="100" w:type="dxa"/>
            <w:vAlign w:val="bottom"/>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3/11/2020</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99.5</w:t>
            </w:r>
          </w:p>
        </w:tc>
        <w:tc>
          <w:tcPr>
            <w:tcW w:w="220" w:type="dxa"/>
            <w:vAlign w:val="bottom"/>
          </w:tcPr>
          <w:p>
            <w:pPr>
              <w:spacing w:after="0"/>
              <w:rPr>
                <w:sz w:val="24"/>
                <w:szCs w:val="24"/>
                <w:color w:val="auto"/>
              </w:rPr>
            </w:pPr>
          </w:p>
        </w:tc>
        <w:tc>
          <w:tcPr>
            <w:tcW w:w="57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41">
              <w:r>
                <w:rPr>
                  <w:rFonts w:ascii="Times New Roman" w:cs="Times New Roman" w:eastAsia="Times New Roman" w:hAnsi="Times New Roman"/>
                  <w:sz w:val="18"/>
                  <w:szCs w:val="18"/>
                  <w:color w:val="0000EE"/>
                  <w:w w:val="99"/>
                </w:rPr>
                <w:t>Form of Inducement Nonqualified Stock Option Agreement subject to the terms</w:t>
              </w:r>
            </w:hyperlink>
          </w:p>
        </w:tc>
        <w:tc>
          <w:tcPr>
            <w:tcW w:w="260" w:type="dxa"/>
            <w:vAlign w:val="bottom"/>
            <w:gridSpan w:val="4"/>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41">
              <w:r>
                <w:rPr>
                  <w:rFonts w:ascii="Times New Roman" w:cs="Times New Roman" w:eastAsia="Times New Roman" w:hAnsi="Times New Roman"/>
                  <w:sz w:val="18"/>
                  <w:szCs w:val="18"/>
                  <w:color w:val="0000EE"/>
                  <w:w w:val="98"/>
                </w:rPr>
                <w:t>of the 2019 Equity Incentive Plan</w:t>
              </w:r>
            </w:hyperlink>
          </w:p>
        </w:tc>
        <w:tc>
          <w:tcPr>
            <w:tcW w:w="3600" w:type="dxa"/>
            <w:vAlign w:val="bottom"/>
            <w:gridSpan w:val="14"/>
          </w:tcPr>
          <w:p>
            <w:pPr>
              <w:spacing w:after="0"/>
              <w:rPr>
                <w:sz w:val="17"/>
                <w:szCs w:val="17"/>
                <w:color w:val="auto"/>
              </w:rPr>
            </w:pPr>
          </w:p>
        </w:tc>
        <w:tc>
          <w:tcPr>
            <w:tcW w:w="110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7"/>
              </w:rPr>
              <w:t>10-K</w:t>
            </w:r>
          </w:p>
        </w:tc>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001-35890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center"/>
              <w:ind w:right="172"/>
              <w:spacing w:after="0" w:line="196" w:lineRule="exact"/>
              <w:rPr>
                <w:sz w:val="20"/>
                <w:szCs w:val="20"/>
                <w:color w:val="auto"/>
              </w:rPr>
            </w:pPr>
            <w:r>
              <w:rPr>
                <w:rFonts w:ascii="Times New Roman" w:cs="Times New Roman" w:eastAsia="Times New Roman" w:hAnsi="Times New Roman"/>
                <w:sz w:val="18"/>
                <w:szCs w:val="18"/>
                <w:color w:val="auto"/>
                <w:w w:val="98"/>
              </w:rPr>
              <w:t>10.17</w:t>
            </w:r>
          </w:p>
        </w:tc>
        <w:tc>
          <w:tcPr>
            <w:tcW w:w="100" w:type="dxa"/>
            <w:vAlign w:val="bottom"/>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3/11/2020</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99.6</w:t>
            </w:r>
          </w:p>
        </w:tc>
        <w:tc>
          <w:tcPr>
            <w:tcW w:w="220" w:type="dxa"/>
            <w:vAlign w:val="bottom"/>
          </w:tcPr>
          <w:p>
            <w:pPr>
              <w:spacing w:after="0"/>
              <w:rPr>
                <w:sz w:val="24"/>
                <w:szCs w:val="24"/>
                <w:color w:val="auto"/>
              </w:rPr>
            </w:pPr>
          </w:p>
        </w:tc>
        <w:tc>
          <w:tcPr>
            <w:tcW w:w="6020" w:type="dxa"/>
            <w:vAlign w:val="bottom"/>
            <w:gridSpan w:val="20"/>
          </w:tcPr>
          <w:p>
            <w:pPr>
              <w:spacing w:after="0"/>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Tempest Therapeutics, Inc. Amended and Restated 2019 Employee Stock</w:t>
              </w:r>
            </w:hyperlink>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8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Purchase Plan</w:t>
              </w:r>
            </w:hyperlink>
          </w:p>
        </w:tc>
        <w:tc>
          <w:tcPr>
            <w:tcW w:w="740" w:type="dxa"/>
            <w:vAlign w:val="bottom"/>
            <w:gridSpan w:val="7"/>
          </w:tcPr>
          <w:p>
            <w:pPr>
              <w:spacing w:after="0"/>
              <w:rPr>
                <w:sz w:val="17"/>
                <w:szCs w:val="17"/>
                <w:color w:val="auto"/>
              </w:rPr>
            </w:pPr>
          </w:p>
        </w:tc>
        <w:tc>
          <w:tcPr>
            <w:tcW w:w="110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001-35890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center"/>
              <w:ind w:right="172"/>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6/21/22</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60" w:type="dxa"/>
            <w:vAlign w:val="bottom"/>
            <w:gridSpan w:val="17"/>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220" w:type="dxa"/>
            <w:vAlign w:val="bottom"/>
          </w:tcPr>
          <w:p>
            <w:pPr>
              <w:spacing w:after="0"/>
              <w:rPr>
                <w:sz w:val="24"/>
                <w:szCs w:val="24"/>
                <w:color w:val="auto"/>
              </w:rPr>
            </w:pPr>
          </w:p>
        </w:tc>
        <w:tc>
          <w:tcPr>
            <w:tcW w:w="60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Filing Fee Table</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266065</wp:posOffset>
            </wp:positionV>
            <wp:extent cx="7715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ectPr>
          <w:pgSz w:w="11900" w:h="16838" w:orient="portrait"/>
          <w:cols w:equalWidth="0" w:num="1">
            <w:col w:w="11024"/>
          </w:cols>
          <w:pgMar w:left="436" w:top="266" w:right="4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South San Francisco, State of California, on June 21, 2022.</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Tempest Therapeutics,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Stephen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Stephen Brady</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Stephen Brady and Nicholas Maestas, and each one of them, as his or her true and lawful attorneys-in-fact and agents, with full power of substitution and resubstitution, for him or her and in their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92"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5380" w:type="dxa"/>
            <w:vAlign w:val="bottom"/>
            <w:tcBorders>
              <w:bottom w:val="single" w:sz="8" w:color="auto"/>
            </w:tcBorders>
          </w:tcPr>
          <w:p>
            <w:pPr>
              <w:ind w:left="25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12"/>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Stephen Brady</w:t>
            </w:r>
          </w:p>
        </w:tc>
        <w:tc>
          <w:tcPr>
            <w:tcW w:w="5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21, 2022</w:t>
            </w:r>
          </w:p>
        </w:tc>
      </w:tr>
      <w:tr>
        <w:trPr>
          <w:trHeight w:val="22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Stephen Brady</w:t>
            </w:r>
          </w:p>
        </w:tc>
        <w:tc>
          <w:tcPr>
            <w:tcW w:w="562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760" w:type="dxa"/>
            <w:vAlign w:val="bottom"/>
          </w:tcPr>
          <w:p>
            <w:pPr>
              <w:spacing w:after="0"/>
              <w:rPr>
                <w:sz w:val="19"/>
                <w:szCs w:val="19"/>
                <w:color w:val="auto"/>
              </w:rPr>
            </w:pPr>
          </w:p>
        </w:tc>
      </w:tr>
      <w:tr>
        <w:trPr>
          <w:trHeight w:val="427"/>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Nicholas Maestas</w:t>
            </w:r>
          </w:p>
        </w:tc>
        <w:tc>
          <w:tcPr>
            <w:tcW w:w="5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Vice President, Strategy and Finance</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21, 2022</w:t>
            </w:r>
          </w:p>
        </w:tc>
      </w:tr>
      <w:tr>
        <w:trPr>
          <w:trHeight w:val="22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Nicholas Maestas</w:t>
            </w:r>
          </w:p>
        </w:tc>
        <w:tc>
          <w:tcPr>
            <w:tcW w:w="562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c>
          <w:tcPr>
            <w:tcW w:w="1760" w:type="dxa"/>
            <w:vAlign w:val="bottom"/>
          </w:tcPr>
          <w:p>
            <w:pPr>
              <w:spacing w:after="0"/>
              <w:rPr>
                <w:sz w:val="19"/>
                <w:szCs w:val="19"/>
                <w:color w:val="auto"/>
              </w:rPr>
            </w:pPr>
          </w:p>
        </w:tc>
      </w:tr>
      <w:tr>
        <w:trPr>
          <w:trHeight w:val="427"/>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Michael Rabb</w:t>
            </w:r>
          </w:p>
        </w:tc>
        <w:tc>
          <w:tcPr>
            <w:tcW w:w="5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21, 2022</w:t>
            </w:r>
          </w:p>
        </w:tc>
      </w:tr>
      <w:tr>
        <w:trPr>
          <w:trHeight w:val="22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Michael Rabb</w:t>
            </w:r>
          </w:p>
        </w:tc>
        <w:tc>
          <w:tcPr>
            <w:tcW w:w="1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Thomas Dubensky</w:t>
            </w:r>
          </w:p>
        </w:tc>
        <w:tc>
          <w:tcPr>
            <w:tcW w:w="5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President and 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21, 2022</w:t>
            </w:r>
          </w:p>
        </w:tc>
      </w:tr>
      <w:tr>
        <w:trPr>
          <w:trHeight w:val="22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Thomas Dubensky, Ph.D.</w:t>
            </w:r>
          </w:p>
        </w:tc>
        <w:tc>
          <w:tcPr>
            <w:tcW w:w="1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Geoff Nichol</w:t>
            </w:r>
          </w:p>
        </w:tc>
        <w:tc>
          <w:tcPr>
            <w:tcW w:w="5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21, 2022</w:t>
            </w:r>
          </w:p>
        </w:tc>
      </w:tr>
      <w:tr>
        <w:trPr>
          <w:trHeight w:val="22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Geoff Nichol, M.B., Ch.B., M.B.A.</w:t>
            </w:r>
          </w:p>
        </w:tc>
        <w:tc>
          <w:tcPr>
            <w:tcW w:w="1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Christine Pellizzari</w:t>
            </w:r>
          </w:p>
        </w:tc>
        <w:tc>
          <w:tcPr>
            <w:tcW w:w="5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21, 2022</w:t>
            </w:r>
          </w:p>
        </w:tc>
      </w:tr>
      <w:tr>
        <w:trPr>
          <w:trHeight w:val="22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Christine Pellizzari</w:t>
            </w:r>
          </w:p>
        </w:tc>
        <w:tc>
          <w:tcPr>
            <w:tcW w:w="1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Ronit Simantov</w:t>
            </w:r>
          </w:p>
        </w:tc>
        <w:tc>
          <w:tcPr>
            <w:tcW w:w="5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21, 2022</w:t>
            </w:r>
          </w:p>
        </w:tc>
      </w:tr>
      <w:tr>
        <w:trPr>
          <w:trHeight w:val="22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Ronit Simantov</w:t>
            </w:r>
          </w:p>
        </w:tc>
        <w:tc>
          <w:tcPr>
            <w:tcW w:w="1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Thomas Woiwode</w:t>
            </w:r>
          </w:p>
        </w:tc>
        <w:tc>
          <w:tcPr>
            <w:tcW w:w="5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21, 2022</w:t>
            </w:r>
          </w:p>
        </w:tc>
      </w:tr>
      <w:tr>
        <w:trPr>
          <w:trHeight w:val="22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Thomas Woiwode, Ph.D.</w:t>
            </w:r>
          </w:p>
        </w:tc>
        <w:tc>
          <w:tcPr>
            <w:tcW w:w="1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bl>
    <w:p>
      <w:pPr>
        <w:sectPr>
          <w:pgSz w:w="11900" w:h="16838" w:orient="portrait"/>
          <w:cols w:equalWidth="0" w:num="1">
            <w:col w:w="11020"/>
          </w:cols>
          <w:pgMar w:left="440" w:top="266"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173990</wp:posOffset>
            </wp:positionV>
            <wp:extent cx="1337310" cy="4546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6">
                      <a:extLst>
                        <a:ext uri="{28A0092B-C50C-407E-A947-70E740481C1C}"/>
                      </a:extLst>
                    </a:blip>
                    <a:srcRect/>
                    <a:stretch>
                      <a:fillRect/>
                    </a:stretch>
                  </pic:blipFill>
                  <pic:spPr bwMode="auto">
                    <a:xfrm>
                      <a:off x="0" y="0"/>
                      <a:ext cx="133731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June 21, 2022</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Laura Berezin</w:t>
      </w:r>
    </w:p>
    <w:p>
      <w:pPr>
        <w:spacing w:after="0" w:line="27" w:lineRule="exact"/>
        <w:rPr>
          <w:sz w:val="20"/>
          <w:szCs w:val="20"/>
          <w:color w:val="auto"/>
        </w:rPr>
      </w:pPr>
    </w:p>
    <w:p>
      <w:pPr>
        <w:ind w:left="4" w:right="9460" w:hanging="4"/>
        <w:spacing w:after="0" w:line="290" w:lineRule="auto"/>
        <w:tabs>
          <w:tab w:leader="none" w:pos="2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+1 650 843 5128 lberezin@cooley.com</w:t>
      </w:r>
    </w:p>
    <w:p>
      <w:pPr>
        <w:spacing w:after="0" w:line="15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Tempest Therapeutics, Inc.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7000 Shoreline Court, Suite 275</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South San Francisco, CA 94080</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left="4" w:right="120"/>
        <w:spacing w:after="0" w:line="258" w:lineRule="auto"/>
        <w:rPr>
          <w:sz w:val="20"/>
          <w:szCs w:val="20"/>
          <w:color w:val="auto"/>
        </w:rPr>
      </w:pPr>
      <w:r>
        <w:rPr>
          <w:rFonts w:ascii="Times New Roman" w:cs="Times New Roman" w:eastAsia="Times New Roman" w:hAnsi="Times New Roman"/>
          <w:sz w:val="18"/>
          <w:szCs w:val="18"/>
          <w:color w:val="auto"/>
        </w:rPr>
        <w:t>You have requested our opinion with respect to certain matters in connection with the filing by Tempest Therapeutics,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of a Registration Statement on Form S-8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with the Securities and Exchange Commission covering the offering of up to 1,239,848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the Company’s Common Stock, $0.001 par value,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consisting of (a) 1,132,252 shares of Common Stock issuable pursuant to the Company’s 2019 Equity Incentive Plan (the “</w:t>
      </w:r>
      <w:r>
        <w:rPr>
          <w:rFonts w:ascii="Times New Roman" w:cs="Times New Roman" w:eastAsia="Times New Roman" w:hAnsi="Times New Roman"/>
          <w:sz w:val="18"/>
          <w:szCs w:val="18"/>
          <w:b w:val="1"/>
          <w:bCs w:val="1"/>
          <w:i w:val="1"/>
          <w:iCs w:val="1"/>
          <w:color w:val="auto"/>
        </w:rPr>
        <w:t>2019 EIP</w:t>
      </w:r>
      <w:r>
        <w:rPr>
          <w:rFonts w:ascii="Times New Roman" w:cs="Times New Roman" w:eastAsia="Times New Roman" w:hAnsi="Times New Roman"/>
          <w:sz w:val="18"/>
          <w:szCs w:val="18"/>
          <w:color w:val="auto"/>
        </w:rPr>
        <w:t>”) and (b) 107,596 shares of Common Stock issuable pursuant to the Company’s 2019 Employee Stock Purchase Plan (together with the 2019 EIP, the “</w:t>
      </w:r>
      <w:r>
        <w:rPr>
          <w:rFonts w:ascii="Times New Roman" w:cs="Times New Roman" w:eastAsia="Times New Roman" w:hAnsi="Times New Roman"/>
          <w:sz w:val="18"/>
          <w:szCs w:val="18"/>
          <w:b w:val="1"/>
          <w:bCs w:val="1"/>
          <w:i w:val="1"/>
          <w:iCs w:val="1"/>
          <w:color w:val="auto"/>
        </w:rPr>
        <w:t>Plans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 w:right="20"/>
        <w:spacing w:after="0" w:line="255" w:lineRule="auto"/>
        <w:rPr>
          <w:sz w:val="20"/>
          <w:szCs w:val="20"/>
          <w:color w:val="auto"/>
        </w:rPr>
      </w:pPr>
      <w:r>
        <w:rPr>
          <w:rFonts w:ascii="Times New Roman" w:cs="Times New Roman" w:eastAsia="Times New Roman" w:hAnsi="Times New Roman"/>
          <w:sz w:val="18"/>
          <w:szCs w:val="18"/>
          <w:color w:val="auto"/>
        </w:rPr>
        <w:t>In connection with this opinion, we have examined the Registration Statement and related prospectuses, the Plans, the Company’s certificate of incorporation and bylaws, each as currently in effect, and such other documents, records, certificates, memoranda and other instruments as we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where authorization, execution and delivery are prerequisites to the effectiveness thereof. As to certain factual matters, we have relied upon a certificate of an officer of the Company and have not independently verified such matters.</w:t>
      </w:r>
    </w:p>
    <w:p>
      <w:pPr>
        <w:spacing w:after="0" w:line="189" w:lineRule="exact"/>
        <w:rPr>
          <w:sz w:val="20"/>
          <w:szCs w:val="20"/>
          <w:color w:val="auto"/>
        </w:rPr>
      </w:pPr>
    </w:p>
    <w:p>
      <w:pPr>
        <w:ind w:left="4" w:right="420"/>
        <w:spacing w:after="0" w:line="266" w:lineRule="auto"/>
        <w:rPr>
          <w:sz w:val="20"/>
          <w:szCs w:val="20"/>
          <w:color w:val="auto"/>
        </w:rPr>
      </w:pPr>
      <w:r>
        <w:rPr>
          <w:rFonts w:ascii="Times New Roman" w:cs="Times New Roman" w:eastAsia="Times New Roman" w:hAnsi="Times New Roman"/>
          <w:sz w:val="18"/>
          <w:szCs w:val="18"/>
          <w:color w:val="auto"/>
        </w:rPr>
        <w:t>Our opinion is expressed solely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76" w:lineRule="exact"/>
        <w:rPr>
          <w:sz w:val="20"/>
          <w:szCs w:val="20"/>
          <w:color w:val="auto"/>
        </w:rPr>
      </w:pPr>
    </w:p>
    <w:p>
      <w:pPr>
        <w:ind w:left="4" w:right="320"/>
        <w:spacing w:after="0" w:line="266" w:lineRule="auto"/>
        <w:rPr>
          <w:sz w:val="20"/>
          <w:szCs w:val="20"/>
          <w:color w:val="auto"/>
        </w:rPr>
      </w:pPr>
      <w:r>
        <w:rPr>
          <w:rFonts w:ascii="Times New Roman" w:cs="Times New Roman" w:eastAsia="Times New Roman" w:hAnsi="Times New Roman"/>
          <w:sz w:val="18"/>
          <w:szCs w:val="18"/>
          <w:color w:val="auto"/>
        </w:rPr>
        <w:t>On the basis of the foregoing, and in reliance thereon, we are of the opinion that the Shares, when sold and issued in accordance with the Plans, the Registration Statement and related prospectuses, will be validly issued, fully paid, and nonassessable (except as to shares issued pursuant to deferred payment arrangements, which will be fully paid and nonassessable when such deferred payments are made in full).</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We consent to the filing of this opinion as an exhibit to the Registration Statement.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OOLEY</w:t>
      </w:r>
      <w:r>
        <w:rPr>
          <w:rFonts w:ascii="Times New Roman" w:cs="Times New Roman" w:eastAsia="Times New Roman" w:hAnsi="Times New Roman"/>
          <w:sz w:val="18"/>
          <w:szCs w:val="18"/>
          <w:color w:val="auto"/>
        </w:rPr>
        <w:t xml:space="preserve"> LLP</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 /s/ Laura Berezin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17145</wp:posOffset>
            </wp:positionV>
            <wp:extent cx="25628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Laura Berezin</w:t>
      </w:r>
    </w:p>
    <w:p>
      <w:pPr>
        <w:spacing w:after="0" w:line="221" w:lineRule="exact"/>
        <w:rPr>
          <w:sz w:val="20"/>
          <w:szCs w:val="20"/>
          <w:color w:val="auto"/>
        </w:rPr>
      </w:pPr>
    </w:p>
    <w:p>
      <w:pPr>
        <w:jc w:val="center"/>
        <w:ind w:right="-3"/>
        <w:spacing w:after="0"/>
        <w:tabs>
          <w:tab w:leader="none" w:pos="120" w:val="left"/>
          <w:tab w:leader="none" w:pos="140" w:val="left"/>
          <w:tab w:leader="none" w:pos="100" w:val="left"/>
        </w:tabs>
        <w:rPr>
          <w:sz w:val="20"/>
          <w:szCs w:val="20"/>
          <w:color w:val="auto"/>
        </w:rPr>
      </w:pPr>
      <w:r>
        <w:rPr>
          <w:rFonts w:ascii="Times New Roman" w:cs="Times New Roman" w:eastAsia="Times New Roman" w:hAnsi="Times New Roman"/>
          <w:sz w:val="14"/>
          <w:szCs w:val="14"/>
          <w:color w:val="auto"/>
        </w:rPr>
        <w:t>Cooley LLP</w:t>
        <w:tab/>
        <w:t>3175 Hanover Street</w:t>
        <w:tab/>
        <w:t>Palo Alto, CA</w:t>
        <w:tab/>
        <w:t>94304-1130</w:t>
      </w:r>
    </w:p>
    <w:p>
      <w:pPr>
        <w:spacing w:after="0" w:line="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color w:val="auto"/>
        </w:rPr>
        <w:t>t: (650) 843-5000 f: (650) 849-7400 cooley.com</w:t>
      </w:r>
    </w:p>
    <w:p>
      <w:pPr>
        <w:sectPr>
          <w:pgSz w:w="11900" w:h="16838" w:orient="portrait"/>
          <w:cols w:equalWidth="0" w:num="1">
            <w:col w:w="11024"/>
          </w:cols>
          <w:pgMar w:left="436" w:top="117"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We consent to incorporation by reference in this Registration Statement (Form S-8) pertaining to the Tempest Therapeutics, Inc. Amended and Restated 2019 Equity Incentive Plan and Tempest Therapeutics, Inc. Amended and Restated 2019 Employee Stock Purchase Plan of our report dated March 29, 2022, with respect to the consolidated financial statements of Tempest Therapeutics, Inc. included in its Annual Report (Form 10-K) for the year ended December 31, 2021, filed with the Securities and Exchange Commission.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 Rapids, Michigan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21, 2022</w:t>
      </w:r>
    </w:p>
    <w:p>
      <w:pPr>
        <w:sectPr>
          <w:pgSz w:w="11900" w:h="16838" w:orient="portrait"/>
          <w:cols w:equalWidth="0" w:num="1">
            <w:col w:w="11020"/>
          </w:cols>
          <w:pgMar w:left="440" w:top="117" w:right="4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23.3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our report dated May, 10, 2021 (March 29, 2022, as to the effects of the stock exchange as described in Note 1), relating to the consolidated financial statements of Tempest Therapeutics, Inc. and subsidiaries (the “Company”), appearing in the Annual Report on Form 10-K of Tempest Therapeutics, Inc. for the year ended December 31, 2020.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21, 2022</w:t>
      </w:r>
    </w:p>
    <w:p>
      <w:pPr>
        <w:sectPr>
          <w:pgSz w:w="11900" w:h="16838" w:orient="portrait"/>
          <w:cols w:equalWidth="0" w:num="1">
            <w:col w:w="11020"/>
          </w:cols>
          <w:pgMar w:left="440" w:top="117" w:right="4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Tempest Therapeutics, Inc.</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Table 1 — Newly Registered Securities</w:t>
      </w:r>
    </w:p>
    <w:p>
      <w:pPr>
        <w:spacing w:after="0" w:line="250" w:lineRule="exact"/>
        <w:rPr>
          <w:sz w:val="20"/>
          <w:szCs w:val="20"/>
          <w:color w:val="auto"/>
        </w:rPr>
      </w:pPr>
    </w:p>
    <w:tbl>
      <w:tblPr>
        <w:tblLayout w:type="fixed"/>
        <w:tblInd w:w="14" w:type="dxa"/>
        <w:tblCellMar>
          <w:top w:w="0" w:type="dxa"/>
          <w:left w:w="0" w:type="dxa"/>
          <w:bottom w:w="0" w:type="dxa"/>
          <w:right w:w="0" w:type="dxa"/>
        </w:tblCellMar>
      </w:tblPr>
      <w:tr>
        <w:trPr>
          <w:trHeight w:val="130"/>
        </w:trPr>
        <w:tc>
          <w:tcPr>
            <w:tcW w:w="2480" w:type="dxa"/>
            <w:vAlign w:val="bottom"/>
            <w:tcBorders>
              <w:top w:val="single" w:sz="8" w:color="auto"/>
              <w:left w:val="single" w:sz="8" w:color="auto"/>
              <w:right w:val="single" w:sz="8" w:color="auto"/>
            </w:tcBorders>
          </w:tcPr>
          <w:p>
            <w:pPr>
              <w:spacing w:after="0"/>
              <w:rPr>
                <w:sz w:val="11"/>
                <w:szCs w:val="11"/>
                <w:color w:val="auto"/>
              </w:rPr>
            </w:pPr>
          </w:p>
        </w:tc>
        <w:tc>
          <w:tcPr>
            <w:tcW w:w="600" w:type="dxa"/>
            <w:vAlign w:val="bottom"/>
            <w:tcBorders>
              <w:top w:val="single" w:sz="8" w:color="auto"/>
              <w:right w:val="single" w:sz="8" w:color="auto"/>
            </w:tcBorders>
          </w:tcPr>
          <w:p>
            <w:pPr>
              <w:spacing w:after="0"/>
              <w:rPr>
                <w:sz w:val="11"/>
                <w:szCs w:val="11"/>
                <w:color w:val="auto"/>
              </w:rPr>
            </w:pPr>
          </w:p>
        </w:tc>
        <w:tc>
          <w:tcPr>
            <w:tcW w:w="2780" w:type="dxa"/>
            <w:vAlign w:val="bottom"/>
            <w:tcBorders>
              <w:top w:val="single" w:sz="8" w:color="auto"/>
              <w:right w:val="single" w:sz="8" w:color="auto"/>
            </w:tcBorders>
          </w:tcPr>
          <w:p>
            <w:pPr>
              <w:spacing w:after="0"/>
              <w:rPr>
                <w:sz w:val="11"/>
                <w:szCs w:val="11"/>
                <w:color w:val="auto"/>
              </w:rPr>
            </w:pPr>
          </w:p>
        </w:tc>
        <w:tc>
          <w:tcPr>
            <w:tcW w:w="700" w:type="dxa"/>
            <w:vAlign w:val="bottom"/>
            <w:tcBorders>
              <w:top w:val="single" w:sz="8" w:color="auto"/>
              <w:right w:val="single" w:sz="8" w:color="auto"/>
            </w:tcBorders>
          </w:tcPr>
          <w:p>
            <w:pPr>
              <w:spacing w:after="0"/>
              <w:rPr>
                <w:sz w:val="11"/>
                <w:szCs w:val="11"/>
                <w:color w:val="auto"/>
              </w:rPr>
            </w:pPr>
          </w:p>
        </w:tc>
        <w:tc>
          <w:tcPr>
            <w:tcW w:w="1020" w:type="dxa"/>
            <w:vAlign w:val="bottom"/>
            <w:tcBorders>
              <w:top w:val="single" w:sz="8" w:color="auto"/>
              <w:right w:val="single" w:sz="8" w:color="auto"/>
            </w:tcBorders>
          </w:tcPr>
          <w:p>
            <w:pPr>
              <w:spacing w:after="0"/>
              <w:rPr>
                <w:sz w:val="11"/>
                <w:szCs w:val="11"/>
                <w:color w:val="auto"/>
              </w:rPr>
            </w:pPr>
          </w:p>
        </w:tc>
        <w:tc>
          <w:tcPr>
            <w:tcW w:w="640" w:type="dxa"/>
            <w:vAlign w:val="bottom"/>
            <w:tcBorders>
              <w:top w:val="single" w:sz="8" w:color="auto"/>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color w:val="auto"/>
                <w:w w:val="94"/>
              </w:rPr>
              <w:t>Proposed</w:t>
            </w:r>
          </w:p>
        </w:tc>
        <w:tc>
          <w:tcPr>
            <w:tcW w:w="1140" w:type="dxa"/>
            <w:vAlign w:val="bottom"/>
            <w:tcBorders>
              <w:top w:val="single" w:sz="8" w:color="auto"/>
              <w:right w:val="single" w:sz="8" w:color="auto"/>
            </w:tcBorders>
          </w:tcPr>
          <w:p>
            <w:pPr>
              <w:spacing w:after="0"/>
              <w:rPr>
                <w:sz w:val="11"/>
                <w:szCs w:val="11"/>
                <w:color w:val="auto"/>
              </w:rPr>
            </w:pPr>
          </w:p>
        </w:tc>
        <w:tc>
          <w:tcPr>
            <w:tcW w:w="780" w:type="dxa"/>
            <w:vAlign w:val="bottom"/>
            <w:tcBorders>
              <w:top w:val="single" w:sz="8" w:color="auto"/>
              <w:right w:val="single" w:sz="8" w:color="auto"/>
            </w:tcBorders>
          </w:tcPr>
          <w:p>
            <w:pPr>
              <w:spacing w:after="0"/>
              <w:rPr>
                <w:sz w:val="11"/>
                <w:szCs w:val="11"/>
                <w:color w:val="auto"/>
              </w:rPr>
            </w:pPr>
          </w:p>
        </w:tc>
        <w:tc>
          <w:tcPr>
            <w:tcW w:w="780" w:type="dxa"/>
            <w:vAlign w:val="bottom"/>
            <w:tcBorders>
              <w:top w:val="single" w:sz="8" w:color="auto"/>
              <w:right w:val="single" w:sz="8" w:color="auto"/>
            </w:tcBorders>
          </w:tcPr>
          <w:p>
            <w:pPr>
              <w:spacing w:after="0"/>
              <w:rPr>
                <w:sz w:val="11"/>
                <w:szCs w:val="11"/>
                <w:color w:val="auto"/>
              </w:rPr>
            </w:pPr>
          </w:p>
        </w:tc>
      </w:tr>
      <w:tr>
        <w:trPr>
          <w:trHeight w:val="135"/>
        </w:trPr>
        <w:tc>
          <w:tcPr>
            <w:tcW w:w="2480" w:type="dxa"/>
            <w:vAlign w:val="bottom"/>
            <w:tcBorders>
              <w:left w:val="single" w:sz="8" w:color="auto"/>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278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11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7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r>
      <w:tr>
        <w:trPr>
          <w:trHeight w:val="135"/>
        </w:trPr>
        <w:tc>
          <w:tcPr>
            <w:tcW w:w="2480" w:type="dxa"/>
            <w:vAlign w:val="bottom"/>
            <w:tcBorders>
              <w:left w:val="single" w:sz="8" w:color="auto"/>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2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700" w:type="dxa"/>
            <w:vAlign w:val="bottom"/>
            <w:tcBorders>
              <w:right w:val="single" w:sz="8" w:color="auto"/>
            </w:tcBorders>
          </w:tcPr>
          <w:p>
            <w:pPr>
              <w:jc w:val="center"/>
              <w:ind w:left="4"/>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102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Offering</w:t>
            </w:r>
          </w:p>
        </w:tc>
        <w:tc>
          <w:tcPr>
            <w:tcW w:w="11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Aggregate</w:t>
            </w:r>
          </w:p>
        </w:tc>
        <w:tc>
          <w:tcPr>
            <w:tcW w:w="7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 of</w:t>
            </w:r>
          </w:p>
        </w:tc>
      </w:tr>
      <w:tr>
        <w:trPr>
          <w:trHeight w:val="135"/>
        </w:trPr>
        <w:tc>
          <w:tcPr>
            <w:tcW w:w="2480" w:type="dxa"/>
            <w:vAlign w:val="bottom"/>
            <w:tcBorders>
              <w:left w:val="single" w:sz="8" w:color="auto"/>
              <w:right w:val="single" w:sz="8" w:color="auto"/>
            </w:tcBorders>
          </w:tcPr>
          <w:p>
            <w:pPr>
              <w:spacing w:after="0"/>
              <w:rPr>
                <w:sz w:val="11"/>
                <w:szCs w:val="11"/>
                <w:color w:val="auto"/>
              </w:rPr>
            </w:pPr>
          </w:p>
        </w:tc>
        <w:tc>
          <w:tcPr>
            <w:tcW w:w="6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2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Class</w:t>
            </w:r>
          </w:p>
        </w:tc>
        <w:tc>
          <w:tcPr>
            <w:tcW w:w="700" w:type="dxa"/>
            <w:vAlign w:val="bottom"/>
            <w:tcBorders>
              <w:right w:val="single" w:sz="8" w:color="auto"/>
            </w:tcBorders>
          </w:tcPr>
          <w:p>
            <w:pPr>
              <w:jc w:val="center"/>
              <w:ind w:left="4"/>
              <w:spacing w:after="0" w:line="135" w:lineRule="exact"/>
              <w:rPr>
                <w:sz w:val="20"/>
                <w:szCs w:val="20"/>
                <w:color w:val="auto"/>
              </w:rPr>
            </w:pPr>
            <w:r>
              <w:rPr>
                <w:rFonts w:ascii="Times New Roman" w:cs="Times New Roman" w:eastAsia="Times New Roman" w:hAnsi="Times New Roman"/>
                <w:sz w:val="13"/>
                <w:szCs w:val="13"/>
                <w:color w:val="auto"/>
                <w:w w:val="96"/>
              </w:rPr>
              <w:t>Calculation</w:t>
            </w:r>
          </w:p>
        </w:tc>
        <w:tc>
          <w:tcPr>
            <w:tcW w:w="1020" w:type="dxa"/>
            <w:vAlign w:val="bottom"/>
            <w:tcBorders>
              <w:right w:val="single" w:sz="8" w:color="auto"/>
            </w:tcBorders>
          </w:tcPr>
          <w:p>
            <w:pPr>
              <w:jc w:val="right"/>
              <w:ind w:right="181"/>
              <w:spacing w:after="0" w:line="135" w:lineRule="exact"/>
              <w:rPr>
                <w:sz w:val="20"/>
                <w:szCs w:val="20"/>
                <w:color w:val="auto"/>
              </w:rPr>
            </w:pPr>
            <w:r>
              <w:rPr>
                <w:rFonts w:ascii="Times New Roman" w:cs="Times New Roman" w:eastAsia="Times New Roman" w:hAnsi="Times New Roman"/>
                <w:sz w:val="13"/>
                <w:szCs w:val="13"/>
                <w:color w:val="auto"/>
              </w:rPr>
              <w:t>Amount</w:t>
            </w: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Price Per</w:t>
            </w:r>
          </w:p>
        </w:tc>
        <w:tc>
          <w:tcPr>
            <w:tcW w:w="11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780" w:type="dxa"/>
            <w:vAlign w:val="bottom"/>
            <w:tcBorders>
              <w:right w:val="single" w:sz="8" w:color="auto"/>
            </w:tcBorders>
          </w:tcPr>
          <w:p>
            <w:pPr>
              <w:ind w:left="340"/>
              <w:spacing w:after="0" w:line="135" w:lineRule="exact"/>
              <w:rPr>
                <w:sz w:val="20"/>
                <w:szCs w:val="20"/>
                <w:color w:val="auto"/>
              </w:rPr>
            </w:pPr>
            <w:r>
              <w:rPr>
                <w:rFonts w:ascii="Times New Roman" w:cs="Times New Roman" w:eastAsia="Times New Roman" w:hAnsi="Times New Roman"/>
                <w:sz w:val="13"/>
                <w:szCs w:val="13"/>
                <w:color w:val="auto"/>
              </w:rPr>
              <w:t>Fee</w:t>
            </w: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Registration</w:t>
            </w:r>
          </w:p>
        </w:tc>
      </w:tr>
      <w:tr>
        <w:trPr>
          <w:trHeight w:val="165"/>
        </w:trPr>
        <w:tc>
          <w:tcPr>
            <w:tcW w:w="2480" w:type="dxa"/>
            <w:vAlign w:val="bottom"/>
            <w:tcBorders>
              <w:left w:val="single" w:sz="8" w:color="auto"/>
              <w:bottom w:val="single" w:sz="8" w:color="auto"/>
              <w:right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jc w:val="center"/>
              <w:ind w:left="4"/>
              <w:spacing w:after="0"/>
              <w:rPr>
                <w:sz w:val="20"/>
                <w:szCs w:val="20"/>
                <w:color w:val="auto"/>
              </w:rPr>
            </w:pPr>
            <w:r>
              <w:rPr>
                <w:rFonts w:ascii="Times New Roman" w:cs="Times New Roman" w:eastAsia="Times New Roman" w:hAnsi="Times New Roman"/>
                <w:sz w:val="13"/>
                <w:szCs w:val="13"/>
                <w:color w:val="auto"/>
                <w:w w:val="89"/>
              </w:rPr>
              <w:t>Type</w:t>
            </w:r>
          </w:p>
        </w:tc>
        <w:tc>
          <w:tcPr>
            <w:tcW w:w="2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Title</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1020" w:type="dxa"/>
            <w:vAlign w:val="bottom"/>
            <w:tcBorders>
              <w:bottom w:val="single" w:sz="8" w:color="auto"/>
              <w:right w:val="single" w:sz="8" w:color="auto"/>
            </w:tcBorders>
          </w:tcPr>
          <w:p>
            <w:pPr>
              <w:jc w:val="right"/>
              <w:ind w:right="61"/>
              <w:spacing w:after="0"/>
              <w:rPr>
                <w:sz w:val="20"/>
                <w:szCs w:val="20"/>
                <w:color w:val="auto"/>
              </w:rPr>
            </w:pPr>
            <w:r>
              <w:rPr>
                <w:rFonts w:ascii="Times New Roman" w:cs="Times New Roman" w:eastAsia="Times New Roman" w:hAnsi="Times New Roman"/>
                <w:sz w:val="13"/>
                <w:szCs w:val="13"/>
                <w:color w:val="auto"/>
              </w:rPr>
              <w:t>Registered</w:t>
            </w:r>
            <w:r>
              <w:rPr>
                <w:rFonts w:ascii="Times New Roman" w:cs="Times New Roman" w:eastAsia="Times New Roman" w:hAnsi="Times New Roman"/>
                <w:sz w:val="10"/>
                <w:szCs w:val="10"/>
                <w:color w:val="auto"/>
              </w:rPr>
              <w:t>(1)</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Unit</w:t>
            </w:r>
          </w:p>
        </w:tc>
        <w:tc>
          <w:tcPr>
            <w:tcW w:w="114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3"/>
                <w:szCs w:val="13"/>
                <w:color w:val="auto"/>
              </w:rPr>
              <w:t>Price</w:t>
            </w:r>
          </w:p>
        </w:tc>
        <w:tc>
          <w:tcPr>
            <w:tcW w:w="78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3"/>
                <w:szCs w:val="13"/>
                <w:color w:val="auto"/>
              </w:rPr>
              <w:t>Rate</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w:t>
            </w:r>
          </w:p>
        </w:tc>
      </w:tr>
      <w:tr>
        <w:trPr>
          <w:trHeight w:val="192"/>
        </w:trPr>
        <w:tc>
          <w:tcPr>
            <w:tcW w:w="2480" w:type="dxa"/>
            <w:vAlign w:val="bottom"/>
            <w:tcBorders>
              <w:left w:val="single" w:sz="8" w:color="auto"/>
              <w:right w:val="single" w:sz="8" w:color="auto"/>
            </w:tcBorders>
          </w:tcPr>
          <w:p>
            <w:pPr>
              <w:jc w:val="center"/>
              <w:ind w:left="50"/>
              <w:spacing w:after="0" w:line="193" w:lineRule="exact"/>
              <w:rPr>
                <w:sz w:val="20"/>
                <w:szCs w:val="20"/>
                <w:color w:val="auto"/>
              </w:rPr>
            </w:pPr>
            <w:r>
              <w:rPr>
                <w:rFonts w:ascii="Times New Roman" w:cs="Times New Roman" w:eastAsia="Times New Roman" w:hAnsi="Times New Roman"/>
                <w:sz w:val="18"/>
                <w:szCs w:val="18"/>
                <w:color w:val="auto"/>
              </w:rPr>
              <w:t>Fees to be</w:t>
            </w:r>
          </w:p>
        </w:tc>
        <w:tc>
          <w:tcPr>
            <w:tcW w:w="600" w:type="dxa"/>
            <w:vAlign w:val="bottom"/>
            <w:tcBorders>
              <w:right w:val="single" w:sz="8" w:color="auto"/>
            </w:tcBorders>
          </w:tcPr>
          <w:p>
            <w:pPr>
              <w:spacing w:after="0"/>
              <w:rPr>
                <w:sz w:val="16"/>
                <w:szCs w:val="16"/>
                <w:color w:val="auto"/>
              </w:rPr>
            </w:pPr>
          </w:p>
        </w:tc>
        <w:tc>
          <w:tcPr>
            <w:tcW w:w="2780" w:type="dxa"/>
            <w:vAlign w:val="bottom"/>
            <w:tcBorders>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 $0.001 par value per</w:t>
            </w:r>
          </w:p>
        </w:tc>
        <w:tc>
          <w:tcPr>
            <w:tcW w:w="70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r>
      <w:tr>
        <w:trPr>
          <w:trHeight w:val="216"/>
        </w:trPr>
        <w:tc>
          <w:tcPr>
            <w:tcW w:w="2480" w:type="dxa"/>
            <w:vAlign w:val="bottom"/>
            <w:tcBorders>
              <w:left w:val="single" w:sz="8" w:color="auto"/>
              <w:righ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Paid</w:t>
            </w:r>
          </w:p>
        </w:tc>
        <w:tc>
          <w:tcPr>
            <w:tcW w:w="600" w:type="dxa"/>
            <w:vAlign w:val="bottom"/>
            <w:tcBorders>
              <w:right w:val="single" w:sz="8" w:color="auto"/>
            </w:tcBorders>
          </w:tcPr>
          <w:p>
            <w:pPr>
              <w:spacing w:after="0"/>
              <w:rPr>
                <w:sz w:val="18"/>
                <w:szCs w:val="18"/>
                <w:color w:val="auto"/>
              </w:rPr>
            </w:pPr>
          </w:p>
        </w:tc>
        <w:tc>
          <w:tcPr>
            <w:tcW w:w="2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 Amended and Restated 2019</w:t>
            </w:r>
          </w:p>
        </w:tc>
        <w:tc>
          <w:tcPr>
            <w:tcW w:w="7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r>
      <w:tr>
        <w:trPr>
          <w:trHeight w:val="234"/>
        </w:trPr>
        <w:tc>
          <w:tcPr>
            <w:tcW w:w="2480" w:type="dxa"/>
            <w:vAlign w:val="bottom"/>
            <w:tcBorders>
              <w:left w:val="single" w:sz="8" w:color="auto"/>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jc w:val="center"/>
              <w:ind w:left="4"/>
              <w:spacing w:after="0"/>
              <w:rPr>
                <w:sz w:val="20"/>
                <w:szCs w:val="20"/>
                <w:color w:val="auto"/>
              </w:rPr>
            </w:pPr>
            <w:r>
              <w:rPr>
                <w:rFonts w:ascii="Times New Roman" w:cs="Times New Roman" w:eastAsia="Times New Roman" w:hAnsi="Times New Roman"/>
                <w:sz w:val="18"/>
                <w:szCs w:val="18"/>
                <w:color w:val="auto"/>
                <w:w w:val="99"/>
              </w:rPr>
              <w:t>Equity</w:t>
            </w:r>
          </w:p>
        </w:tc>
        <w:tc>
          <w:tcPr>
            <w:tcW w:w="2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 Incentive Plan</w:t>
            </w:r>
          </w:p>
        </w:tc>
        <w:tc>
          <w:tcPr>
            <w:tcW w:w="700" w:type="dxa"/>
            <w:vAlign w:val="bottom"/>
            <w:tcBorders>
              <w:bottom w:val="single" w:sz="8" w:color="auto"/>
              <w:right w:val="single" w:sz="8" w:color="auto"/>
            </w:tcBorders>
          </w:tcPr>
          <w:p>
            <w:pPr>
              <w:jc w:val="center"/>
              <w:ind w:left="4"/>
              <w:spacing w:after="0"/>
              <w:rPr>
                <w:sz w:val="20"/>
                <w:szCs w:val="20"/>
                <w:color w:val="auto"/>
              </w:rPr>
            </w:pPr>
            <w:r>
              <w:rPr>
                <w:rFonts w:ascii="Times New Roman" w:cs="Times New Roman" w:eastAsia="Times New Roman" w:hAnsi="Times New Roman"/>
                <w:sz w:val="18"/>
                <w:szCs w:val="18"/>
                <w:color w:val="auto"/>
                <w:w w:val="99"/>
              </w:rPr>
              <w:t>Other</w:t>
            </w:r>
            <w:r>
              <w:rPr>
                <w:rFonts w:ascii="Times New Roman" w:cs="Times New Roman" w:eastAsia="Times New Roman" w:hAnsi="Times New Roman"/>
                <w:sz w:val="15"/>
                <w:szCs w:val="15"/>
                <w:color w:val="auto"/>
                <w:w w:val="99"/>
              </w:rPr>
              <w:t>(2)</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1,132,252</w:t>
            </w:r>
            <w:r>
              <w:rPr>
                <w:rFonts w:ascii="Times New Roman" w:cs="Times New Roman" w:eastAsia="Times New Roman" w:hAnsi="Times New Roman"/>
                <w:sz w:val="15"/>
                <w:szCs w:val="15"/>
                <w:color w:val="auto"/>
              </w:rPr>
              <w:t>(3)</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2.05</w:t>
            </w:r>
            <w:r>
              <w:rPr>
                <w:rFonts w:ascii="Times New Roman" w:cs="Times New Roman" w:eastAsia="Times New Roman" w:hAnsi="Times New Roman"/>
                <w:sz w:val="15"/>
                <w:szCs w:val="15"/>
                <w:color w:val="auto"/>
              </w:rPr>
              <w:t>(2)</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$2,321,116.60</w:t>
            </w:r>
          </w:p>
        </w:tc>
        <w:tc>
          <w:tcPr>
            <w:tcW w:w="7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7"/>
              </w:rPr>
              <w:t>.0000927</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$215.17</w:t>
            </w:r>
          </w:p>
        </w:tc>
      </w:tr>
      <w:tr>
        <w:trPr>
          <w:trHeight w:val="191"/>
        </w:trPr>
        <w:tc>
          <w:tcPr>
            <w:tcW w:w="2480" w:type="dxa"/>
            <w:vAlign w:val="bottom"/>
            <w:tcBorders>
              <w:left w:val="single" w:sz="8" w:color="auto"/>
              <w:right w:val="single" w:sz="8" w:color="auto"/>
            </w:tcBorders>
          </w:tcPr>
          <w:p>
            <w:pPr>
              <w:jc w:val="center"/>
              <w:ind w:left="50"/>
              <w:spacing w:after="0" w:line="191" w:lineRule="exact"/>
              <w:rPr>
                <w:sz w:val="20"/>
                <w:szCs w:val="20"/>
                <w:color w:val="auto"/>
              </w:rPr>
            </w:pPr>
            <w:r>
              <w:rPr>
                <w:rFonts w:ascii="Times New Roman" w:cs="Times New Roman" w:eastAsia="Times New Roman" w:hAnsi="Times New Roman"/>
                <w:sz w:val="18"/>
                <w:szCs w:val="18"/>
                <w:color w:val="auto"/>
              </w:rPr>
              <w:t>Fees to be</w:t>
            </w:r>
          </w:p>
        </w:tc>
        <w:tc>
          <w:tcPr>
            <w:tcW w:w="600" w:type="dxa"/>
            <w:vAlign w:val="bottom"/>
            <w:tcBorders>
              <w:right w:val="single" w:sz="8" w:color="auto"/>
            </w:tcBorders>
          </w:tcPr>
          <w:p>
            <w:pPr>
              <w:spacing w:after="0"/>
              <w:rPr>
                <w:sz w:val="16"/>
                <w:szCs w:val="16"/>
                <w:color w:val="auto"/>
              </w:rPr>
            </w:pPr>
          </w:p>
        </w:tc>
        <w:tc>
          <w:tcPr>
            <w:tcW w:w="27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$0.001 par value per</w:t>
            </w:r>
          </w:p>
        </w:tc>
        <w:tc>
          <w:tcPr>
            <w:tcW w:w="70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r>
      <w:tr>
        <w:trPr>
          <w:trHeight w:val="216"/>
        </w:trPr>
        <w:tc>
          <w:tcPr>
            <w:tcW w:w="2480" w:type="dxa"/>
            <w:vAlign w:val="bottom"/>
            <w:tcBorders>
              <w:left w:val="single" w:sz="8" w:color="auto"/>
              <w:righ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Paid</w:t>
            </w:r>
          </w:p>
        </w:tc>
        <w:tc>
          <w:tcPr>
            <w:tcW w:w="600" w:type="dxa"/>
            <w:vAlign w:val="bottom"/>
            <w:tcBorders>
              <w:right w:val="single" w:sz="8" w:color="auto"/>
            </w:tcBorders>
          </w:tcPr>
          <w:p>
            <w:pPr>
              <w:spacing w:after="0"/>
              <w:rPr>
                <w:sz w:val="18"/>
                <w:szCs w:val="18"/>
                <w:color w:val="auto"/>
              </w:rPr>
            </w:pPr>
          </w:p>
        </w:tc>
        <w:tc>
          <w:tcPr>
            <w:tcW w:w="2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 Amended and Restated 2019</w:t>
            </w:r>
          </w:p>
        </w:tc>
        <w:tc>
          <w:tcPr>
            <w:tcW w:w="7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r>
      <w:tr>
        <w:trPr>
          <w:trHeight w:val="234"/>
        </w:trPr>
        <w:tc>
          <w:tcPr>
            <w:tcW w:w="2480" w:type="dxa"/>
            <w:vAlign w:val="bottom"/>
            <w:tcBorders>
              <w:left w:val="single" w:sz="8" w:color="auto"/>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jc w:val="center"/>
              <w:ind w:left="4"/>
              <w:spacing w:after="0"/>
              <w:rPr>
                <w:sz w:val="20"/>
                <w:szCs w:val="20"/>
                <w:color w:val="auto"/>
              </w:rPr>
            </w:pPr>
            <w:r>
              <w:rPr>
                <w:rFonts w:ascii="Times New Roman" w:cs="Times New Roman" w:eastAsia="Times New Roman" w:hAnsi="Times New Roman"/>
                <w:sz w:val="18"/>
                <w:szCs w:val="18"/>
                <w:color w:val="auto"/>
                <w:w w:val="99"/>
              </w:rPr>
              <w:t>Equity</w:t>
            </w:r>
          </w:p>
        </w:tc>
        <w:tc>
          <w:tcPr>
            <w:tcW w:w="2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Employee Stock Purchase Plan</w:t>
            </w:r>
          </w:p>
        </w:tc>
        <w:tc>
          <w:tcPr>
            <w:tcW w:w="700" w:type="dxa"/>
            <w:vAlign w:val="bottom"/>
            <w:tcBorders>
              <w:bottom w:val="single" w:sz="8" w:color="auto"/>
              <w:right w:val="single" w:sz="8" w:color="auto"/>
            </w:tcBorders>
          </w:tcPr>
          <w:p>
            <w:pPr>
              <w:jc w:val="center"/>
              <w:ind w:left="4"/>
              <w:spacing w:after="0"/>
              <w:rPr>
                <w:sz w:val="20"/>
                <w:szCs w:val="20"/>
                <w:color w:val="auto"/>
              </w:rPr>
            </w:pPr>
            <w:r>
              <w:rPr>
                <w:rFonts w:ascii="Times New Roman" w:cs="Times New Roman" w:eastAsia="Times New Roman" w:hAnsi="Times New Roman"/>
                <w:sz w:val="18"/>
                <w:szCs w:val="18"/>
                <w:color w:val="auto"/>
                <w:w w:val="99"/>
              </w:rPr>
              <w:t>Other</w:t>
            </w:r>
            <w:r>
              <w:rPr>
                <w:rFonts w:ascii="Times New Roman" w:cs="Times New Roman" w:eastAsia="Times New Roman" w:hAnsi="Times New Roman"/>
                <w:sz w:val="15"/>
                <w:szCs w:val="15"/>
                <w:color w:val="auto"/>
                <w:w w:val="99"/>
              </w:rPr>
              <w:t>(4)</w:t>
            </w:r>
          </w:p>
        </w:tc>
        <w:tc>
          <w:tcPr>
            <w:tcW w:w="1020" w:type="dxa"/>
            <w:vAlign w:val="bottom"/>
            <w:tcBorders>
              <w:bottom w:val="single" w:sz="8" w:color="auto"/>
              <w:right w:val="single" w:sz="8" w:color="auto"/>
            </w:tcBorders>
          </w:tcPr>
          <w:p>
            <w:pPr>
              <w:jc w:val="center"/>
              <w:ind w:right="1"/>
              <w:spacing w:after="0"/>
              <w:rPr>
                <w:sz w:val="20"/>
                <w:szCs w:val="20"/>
                <w:color w:val="auto"/>
              </w:rPr>
            </w:pPr>
            <w:r>
              <w:rPr>
                <w:rFonts w:ascii="Times New Roman" w:cs="Times New Roman" w:eastAsia="Times New Roman" w:hAnsi="Times New Roman"/>
                <w:sz w:val="18"/>
                <w:szCs w:val="18"/>
                <w:color w:val="auto"/>
              </w:rPr>
              <w:t>107,596</w:t>
            </w:r>
            <w:r>
              <w:rPr>
                <w:rFonts w:ascii="Times New Roman" w:cs="Times New Roman" w:eastAsia="Times New Roman" w:hAnsi="Times New Roman"/>
                <w:sz w:val="15"/>
                <w:szCs w:val="15"/>
                <w:color w:val="auto"/>
              </w:rPr>
              <w:t>(5)</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1.75</w:t>
            </w:r>
            <w:r>
              <w:rPr>
                <w:rFonts w:ascii="Times New Roman" w:cs="Times New Roman" w:eastAsia="Times New Roman" w:hAnsi="Times New Roman"/>
                <w:sz w:val="15"/>
                <w:szCs w:val="15"/>
                <w:color w:val="auto"/>
              </w:rPr>
              <w:t>(4)</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$107,596</w:t>
            </w:r>
          </w:p>
        </w:tc>
        <w:tc>
          <w:tcPr>
            <w:tcW w:w="7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7"/>
              </w:rPr>
              <w:t>.0000927</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$17.46</w:t>
            </w:r>
          </w:p>
        </w:tc>
      </w:tr>
      <w:tr>
        <w:trPr>
          <w:trHeight w:val="209"/>
        </w:trPr>
        <w:tc>
          <w:tcPr>
            <w:tcW w:w="2480" w:type="dxa"/>
            <w:vAlign w:val="bottom"/>
            <w:tcBorders>
              <w:left w:val="single" w:sz="8" w:color="auto"/>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50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Total Offering Amounts</w:t>
            </w:r>
          </w:p>
        </w:tc>
        <w:tc>
          <w:tcPr>
            <w:tcW w:w="64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$2,509,409.60</w:t>
            </w:r>
          </w:p>
        </w:tc>
        <w:tc>
          <w:tcPr>
            <w:tcW w:w="78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$232.63</w:t>
            </w:r>
          </w:p>
        </w:tc>
      </w:tr>
      <w:tr>
        <w:trPr>
          <w:trHeight w:val="209"/>
        </w:trPr>
        <w:tc>
          <w:tcPr>
            <w:tcW w:w="2480" w:type="dxa"/>
            <w:vAlign w:val="bottom"/>
            <w:tcBorders>
              <w:left w:val="single" w:sz="8" w:color="auto"/>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50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Total Fees Previously Paid</w:t>
            </w:r>
          </w:p>
        </w:tc>
        <w:tc>
          <w:tcPr>
            <w:tcW w:w="64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480" w:type="dxa"/>
            <w:vAlign w:val="bottom"/>
            <w:tcBorders>
              <w:left w:val="single" w:sz="8" w:color="auto"/>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Total Fee Offsets</w:t>
            </w:r>
          </w:p>
        </w:tc>
        <w:tc>
          <w:tcPr>
            <w:tcW w:w="64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2480" w:type="dxa"/>
            <w:vAlign w:val="bottom"/>
            <w:tcBorders>
              <w:left w:val="single" w:sz="8" w:color="auto"/>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Net Fee Due</w:t>
            </w:r>
          </w:p>
        </w:tc>
        <w:tc>
          <w:tcPr>
            <w:tcW w:w="64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$232.63</w:t>
            </w:r>
          </w:p>
        </w:tc>
      </w:tr>
    </w:tbl>
    <w:p>
      <w:pPr>
        <w:spacing w:after="0" w:line="126" w:lineRule="exact"/>
        <w:rPr>
          <w:sz w:val="20"/>
          <w:szCs w:val="20"/>
          <w:color w:val="auto"/>
        </w:rPr>
      </w:pPr>
    </w:p>
    <w:p>
      <w:pPr>
        <w:ind w:left="544" w:right="40" w:hanging="544"/>
        <w:spacing w:after="0" w:line="236" w:lineRule="auto"/>
        <w:tabs>
          <w:tab w:leader="none" w:pos="544"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Rule 416(a) promulgated under the Securities Act of 1933, as amended, this Registration Statement shall also cover any additional shares of common stock of Tempest Therapeutics, Inc. (the “Registrant”) that become issuable under the Registrant’s Amended and Restated 2019 Equity Incentive Plan (the “2019 Plan”) and the Registrant’s Amended and Restated 2019 Employee Stock Purchase Plan (the “2019 ESPP”) by reason of any stock dividend, stock split, recapitalization, or other similar transaction effected that results in an increase to the number of outstanding shares of Registrant’s common stock, as applicable.</w:t>
      </w:r>
    </w:p>
    <w:p>
      <w:pPr>
        <w:spacing w:after="0" w:line="109" w:lineRule="exact"/>
        <w:rPr>
          <w:rFonts w:ascii="Times New Roman" w:cs="Times New Roman" w:eastAsia="Times New Roman" w:hAnsi="Times New Roman"/>
          <w:sz w:val="14"/>
          <w:szCs w:val="14"/>
          <w:color w:val="auto"/>
        </w:rPr>
      </w:pPr>
    </w:p>
    <w:p>
      <w:pPr>
        <w:ind w:left="544" w:right="320" w:hanging="544"/>
        <w:spacing w:after="0" w:line="261" w:lineRule="auto"/>
        <w:tabs>
          <w:tab w:leader="none" w:pos="544"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in accordance with Rule 457(c) and (h) solely for the purpose of calculating the registration fee on the basis of $2.05 per share of common stock, which represents the average of the high and low prices of the Registrant’s common stock as reported on The Nasdaq Capital Market on June 16, 2022.</w:t>
      </w:r>
    </w:p>
    <w:p>
      <w:pPr>
        <w:spacing w:after="0" w:line="95" w:lineRule="exact"/>
        <w:rPr>
          <w:rFonts w:ascii="Times New Roman" w:cs="Times New Roman" w:eastAsia="Times New Roman" w:hAnsi="Times New Roman"/>
          <w:sz w:val="14"/>
          <w:szCs w:val="14"/>
          <w:color w:val="auto"/>
        </w:rPr>
      </w:pPr>
    </w:p>
    <w:p>
      <w:pPr>
        <w:ind w:left="544" w:right="520" w:hanging="544"/>
        <w:spacing w:after="0" w:line="261" w:lineRule="auto"/>
        <w:tabs>
          <w:tab w:leader="none" w:pos="544"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1,132,252 additional shares of Registrant’s common stock that were added to the shares authorized for issuance under the 2019 Plan on June 17, 2022 pursuant to approval of the stockholders at the 2022 Annual Meeting of Stockholders.</w:t>
      </w:r>
    </w:p>
    <w:p>
      <w:pPr>
        <w:spacing w:after="0" w:line="95" w:lineRule="exact"/>
        <w:rPr>
          <w:rFonts w:ascii="Times New Roman" w:cs="Times New Roman" w:eastAsia="Times New Roman" w:hAnsi="Times New Roman"/>
          <w:sz w:val="14"/>
          <w:szCs w:val="14"/>
          <w:color w:val="auto"/>
        </w:rPr>
      </w:pPr>
    </w:p>
    <w:p>
      <w:pPr>
        <w:ind w:left="544" w:right="100" w:hanging="544"/>
        <w:spacing w:after="0" w:line="241" w:lineRule="auto"/>
        <w:tabs>
          <w:tab w:leader="none" w:pos="544"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in accordance with Rule 457(c) and (h) solely for the purpose of calculating the registration fee on the basis of $2.05 per share of common stock, which represents the average of the high and low prices of the Registrant’s common stock as reported on The Nasdaq Capital Market on June 16, 2022, multiplied by 85%, which is the percentage of the price per share applicable to shares issued under the 2019 ESPP.</w:t>
      </w:r>
    </w:p>
    <w:p>
      <w:pPr>
        <w:spacing w:after="0" w:line="109" w:lineRule="exact"/>
        <w:rPr>
          <w:rFonts w:ascii="Times New Roman" w:cs="Times New Roman" w:eastAsia="Times New Roman" w:hAnsi="Times New Roman"/>
          <w:sz w:val="14"/>
          <w:szCs w:val="14"/>
          <w:color w:val="auto"/>
        </w:rPr>
      </w:pPr>
    </w:p>
    <w:p>
      <w:pPr>
        <w:ind w:left="544" w:right="20" w:hanging="544"/>
        <w:spacing w:after="0" w:line="261" w:lineRule="auto"/>
        <w:tabs>
          <w:tab w:leader="none" w:pos="544"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107,596 additional shares of Registrant’s common stock that were added to the shares authorized for issuance under the 2019 ESPP on June 17, 2022 pursuant to approval of the stockholders at the 2022 Annual Meeting of Stockholders.</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Letter"/>
      <w:start w:val="1"/>
    </w:lvl>
  </w:abstractNum>
  <w:abstractNum w:abstractNumId="1">
    <w:nsid w:val="2AE8944A"/>
    <w:multiLevelType w:val="hybridMultilevel"/>
    <w:lvl w:ilvl="0">
      <w:lvlJc w:val="left"/>
      <w:lvlText w:val="(%1)"/>
      <w:numFmt w:val="lowerLetter"/>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upperLetter"/>
      <w:start w:val="20"/>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32" Type="http://schemas.openxmlformats.org/officeDocument/2006/relationships/image" Target="media/image10.png"/><Relationship Id="rId43" Type="http://schemas.openxmlformats.org/officeDocument/2006/relationships/image" Target="media/image11.png"/><Relationship Id="rId44" Type="http://schemas.openxmlformats.org/officeDocument/2006/relationships/image" Target="media/image12.png"/><Relationship Id="rId45" Type="http://schemas.openxmlformats.org/officeDocument/2006/relationships/image" Target="media/image13.png"/><Relationship Id="rId46" Type="http://schemas.openxmlformats.org/officeDocument/2006/relationships/image" Target="media/image14.jpeg"/><Relationship Id="rId47" Type="http://schemas.openxmlformats.org/officeDocument/2006/relationships/image" Target="media/image15.png"/><Relationship Id="rId17" Type="http://schemas.openxmlformats.org/officeDocument/2006/relationships/hyperlink" Target="http://www.sec.gov/Archives/edgar/data/1544227/000110465919072796/a19-25226_1s8.htm" TargetMode="External"/><Relationship Id="rId18" Type="http://schemas.openxmlformats.org/officeDocument/2006/relationships/hyperlink" Target="http://www.sec.gov/Archives/edgar/data/1544227/000154422720000048/mlnd-202011xsx8.htm" TargetMode="External"/><Relationship Id="rId19" Type="http://schemas.openxmlformats.org/officeDocument/2006/relationships/hyperlink" Target="http://www.sec.gov/Archives/edgar/data/1544227/000154422721000021/mlnd-202104xsx8.htm" TargetMode="External"/><Relationship Id="rId20" Type="http://schemas.openxmlformats.org/officeDocument/2006/relationships/hyperlink" Target="http://www.sec.gov/Archives/edgar/data/1544227/000119312522150094/d312473ds8.htm" TargetMode="External"/><Relationship Id="rId21" Type="http://schemas.openxmlformats.org/officeDocument/2006/relationships/hyperlink" Target="http://www.sec.gov/Archives/edgar/data/1544227/000162828022007717/tpst-20211231.htm" TargetMode="External"/><Relationship Id="rId22" Type="http://schemas.openxmlformats.org/officeDocument/2006/relationships/hyperlink" Target="http://www.sec.gov/Archives/edgar/data/1544227/000119312522092417/d328059d10ka.htm" TargetMode="External"/><Relationship Id="rId23" Type="http://schemas.openxmlformats.org/officeDocument/2006/relationships/hyperlink" Target="http://www.sec.gov/ix?doc=/Archives/edgar/data/1544227/000162828022007717/tpst-20211231.htm" TargetMode="External"/><Relationship Id="rId24" Type="http://schemas.openxmlformats.org/officeDocument/2006/relationships/hyperlink" Target="http://www.sec.gov/Archives/edgar/data/1544227/000119312522136738/d342375ddef14a.htm" TargetMode="External"/><Relationship Id="rId25" Type="http://schemas.openxmlformats.org/officeDocument/2006/relationships/hyperlink" Target="http://www.sec.gov/Archives/edgar/data/1544227/000119312522160984/d342375ddefa14a.htm" TargetMode="External"/><Relationship Id="rId26" Type="http://schemas.openxmlformats.org/officeDocument/2006/relationships/hyperlink" Target="http://www.sec.gov/Archives/edgar/data/1544227/000162828022014231/tpst-20220331.htm" TargetMode="External"/><Relationship Id="rId27" Type="http://schemas.openxmlformats.org/officeDocument/2006/relationships/hyperlink" Target="http://www.sec.gov/Archives/edgar/data/1544227/000119312522170659/d368092d8k.htm" TargetMode="External"/><Relationship Id="rId28" Type="http://schemas.openxmlformats.org/officeDocument/2006/relationships/hyperlink" Target="http://www.sec.gov/ix?doc=/Archives/edgar/data/1544227/000119312522177053/d370249d8k.htm" TargetMode="External"/><Relationship Id="rId29" Type="http://schemas.openxmlformats.org/officeDocument/2006/relationships/hyperlink" Target="http://www.sec.gov/Archives/edgar/data/1544227/000110465913033085/a13-9660_28a12b.htm" TargetMode="External"/><Relationship Id="rId30" Type="http://schemas.openxmlformats.org/officeDocument/2006/relationships/hyperlink" Target="http://www.sec.gov/Archives/edgar/data/1544227/000119312522092417/d328059dex41.htm" TargetMode="External"/><Relationship Id="rId31" Type="http://schemas.openxmlformats.org/officeDocument/2006/relationships/hyperlink" Target="http://www.sec.gov/ix?doc=/Archives/edgar/data/1544227/000119312522092417/d328059d10ka.htm" TargetMode="External"/><Relationship Id="rId33" Type="http://schemas.openxmlformats.org/officeDocument/2006/relationships/hyperlink" Target="http://www.sec.gov/Archives/edgar/data/1544227/000155837019005038/mlnd-20190331ex31b53fa83.htm" TargetMode="External"/><Relationship Id="rId34" Type="http://schemas.openxmlformats.org/officeDocument/2006/relationships/hyperlink" Target="http://www.sec.gov/Archives/edgar/data/1544227/000119312521201157/d196630dex31.htm" TargetMode="External"/><Relationship Id="rId35" Type="http://schemas.openxmlformats.org/officeDocument/2006/relationships/hyperlink" Target="http://www.sec.gov/Archives/edgar/data/1544227/000119312521201157/d196630dex32.htm" TargetMode="External"/><Relationship Id="rId36" Type="http://schemas.openxmlformats.org/officeDocument/2006/relationships/hyperlink" Target="http://www.sec.gov/Archives/edgar/data/1544227/000119312521281694/d222030dex31.htm" TargetMode="External"/><Relationship Id="rId37" Type="http://schemas.openxmlformats.org/officeDocument/2006/relationships/hyperlink" Target="http://www.sec.gov/Archives/edgar/data/1544227/000119312522177053/d370249dex101.htm" TargetMode="External"/><Relationship Id="rId38" Type="http://schemas.openxmlformats.org/officeDocument/2006/relationships/hyperlink" Target="http://www.sec.gov/Archives/edgar/data/1544227/000155837019007932/mlnd-20190630ex107cfce16.htm" TargetMode="External"/><Relationship Id="rId39" Type="http://schemas.openxmlformats.org/officeDocument/2006/relationships/hyperlink" Target="http://www.sec.gov/Archives/edgar/data/1544227/000155837019007932/mlnd-20190630ex108da3c00.htm" TargetMode="External"/><Relationship Id="rId40" Type="http://schemas.openxmlformats.org/officeDocument/2006/relationships/hyperlink" Target="http://www.sec.gov/Archives/edgar/data/1544227/000154422720000004/mlnd-20191231xex1016.htm" TargetMode="External"/><Relationship Id="rId41" Type="http://schemas.openxmlformats.org/officeDocument/2006/relationships/hyperlink" Target="http://www.sec.gov/Archives/edgar/data/1544227/000154422720000004/mlnd-201912x31xex1017.htm" TargetMode="External"/><Relationship Id="rId42" Type="http://schemas.openxmlformats.org/officeDocument/2006/relationships/hyperlink" Target="http://www.sec.gov/Archives/edgar/data/1544227/000119312522177053/d370249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2022-06-21T07:07:19Z</dcterms:created>
  <dcterms:modified xsi:type="dcterms:W3CDTF">2022-06-21T07:07:19Z</dcterms:modified>
</cp:coreProperties>
</file>