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08664d8k.htm"/>
      <w:bookmarkStart w:id="1" w:name="ksd90866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June 11,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2000 Sierra Point Parkway, Suite 400</w:t>
            </w:r>
          </w:p>
          <w:p>
            <w:pPr>
              <w:pStyle w:val="TableContents"/>
              <w:bidi w:val="0"/>
              <w:spacing w:before="0" w:after="20"/>
              <w:jc w:val="center"/>
              <w:rPr>
                <w:rFonts w:ascii="Times New Roman" w:hAnsi="Times New Roman"/>
                <w:b/>
                <w:sz w:val="20"/>
              </w:rPr>
            </w:pPr>
            <w:r>
              <w:rPr>
                <w:rFonts w:ascii="Times New Roman" w:hAnsi="Times New Roman"/>
                <w:b/>
                <w:sz w:val="20"/>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135" w:type="dxa"/>
        <w:jc w:val="left"/>
        <w:tblInd w:w="0" w:type="dxa"/>
        <w:tblLayout w:type="fixed"/>
        <w:tblCellMar>
          <w:top w:w="0" w:type="dxa"/>
          <w:left w:w="0" w:type="dxa"/>
          <w:bottom w:w="0" w:type="dxa"/>
          <w:right w:w="0" w:type="dxa"/>
        </w:tblCellMar>
      </w:tblPr>
      <w:tblGrid>
        <w:gridCol w:w="5255"/>
        <w:gridCol w:w="60"/>
        <w:gridCol w:w="71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June 11, 2025, Tempest Therapeutics, Inc. (the “</w:t>
      </w:r>
      <w:r>
        <w:rPr>
          <w:rFonts w:ascii="Times New Roman" w:hAnsi="Times New Roman"/>
          <w:b/>
          <w:i/>
          <w:sz w:val="20"/>
        </w:rPr>
        <w:t>Company</w:t>
      </w:r>
      <w:r>
        <w:rPr>
          <w:rFonts w:ascii="Times New Roman" w:hAnsi="Times New Roman"/>
          <w:sz w:val="20"/>
        </w:rPr>
        <w:t>”) entered into a securities purchase agreement (the “</w:t>
      </w:r>
      <w:r>
        <w:rPr>
          <w:rFonts w:ascii="Times New Roman" w:hAnsi="Times New Roman"/>
          <w:b/>
          <w:i/>
          <w:sz w:val="20"/>
        </w:rPr>
        <w:t>Purchase Agreement</w:t>
      </w:r>
      <w:r>
        <w:rPr>
          <w:rFonts w:ascii="Times New Roman" w:hAnsi="Times New Roman"/>
          <w:sz w:val="20"/>
        </w:rPr>
        <w:t>”) with a single institutional investor, pursuant to which the Company agreed to issue and sell an aggregate of 405,000 shares (the “</w:t>
      </w:r>
      <w:r>
        <w:rPr>
          <w:rFonts w:ascii="Times New Roman" w:hAnsi="Times New Roman"/>
          <w:b/>
          <w:i/>
          <w:sz w:val="20"/>
        </w:rPr>
        <w:t>Shares</w:t>
      </w:r>
      <w:r>
        <w:rPr>
          <w:rFonts w:ascii="Times New Roman" w:hAnsi="Times New Roman"/>
          <w:sz w:val="20"/>
        </w:rPr>
        <w:t>”) of the Company’s common stock, $0.001 par value per share (the “</w:t>
      </w:r>
      <w:r>
        <w:rPr>
          <w:rFonts w:ascii="Times New Roman" w:hAnsi="Times New Roman"/>
          <w:b/>
          <w:i/>
          <w:sz w:val="20"/>
        </w:rPr>
        <w:t>Common Stock</w:t>
      </w:r>
      <w:r>
        <w:rPr>
          <w:rFonts w:ascii="Times New Roman" w:hAnsi="Times New Roman"/>
          <w:sz w:val="20"/>
        </w:rPr>
        <w:t>”), and prefunded warrants to purchase 334,000 shares of its Common Stock (the “</w:t>
      </w:r>
      <w:r>
        <w:rPr>
          <w:rFonts w:ascii="Times New Roman" w:hAnsi="Times New Roman"/>
          <w:b/>
          <w:i/>
          <w:sz w:val="20"/>
        </w:rPr>
        <w:t>Prefunded Warrants</w:t>
      </w:r>
      <w:r>
        <w:rPr>
          <w:rFonts w:ascii="Times New Roman" w:hAnsi="Times New Roman"/>
          <w:sz w:val="20"/>
        </w:rPr>
        <w:t>”) in a registered direct offering (the “</w:t>
      </w:r>
      <w:r>
        <w:rPr>
          <w:rFonts w:ascii="Times New Roman" w:hAnsi="Times New Roman"/>
          <w:b/>
          <w:i/>
          <w:sz w:val="20"/>
        </w:rPr>
        <w:t>Offering</w:t>
      </w:r>
      <w:r>
        <w:rPr>
          <w:rFonts w:ascii="Times New Roman" w:hAnsi="Times New Roman"/>
          <w:sz w:val="20"/>
        </w:rPr>
        <w:t>”), pursuant to an effective shelf registration statement on Form S-3 (File No. 333-280918) and a related prospectus and prospectus supplement (the “</w:t>
      </w:r>
      <w:r>
        <w:rPr>
          <w:rFonts w:ascii="Times New Roman" w:hAnsi="Times New Roman"/>
          <w:b/>
          <w:i/>
          <w:sz w:val="20"/>
        </w:rPr>
        <w:t>Prospectus Supplement</w:t>
      </w:r>
      <w:r>
        <w:rPr>
          <w:rFonts w:ascii="Times New Roman" w:hAnsi="Times New Roman"/>
          <w:sz w:val="20"/>
        </w:rPr>
        <w:t>”), in each case filed with the Securities and Exchange Commission (the “</w:t>
      </w:r>
      <w:r>
        <w:rPr>
          <w:rFonts w:ascii="Times New Roman" w:hAnsi="Times New Roman"/>
          <w:b/>
          <w:i/>
          <w:sz w:val="20"/>
        </w:rPr>
        <w:t>SEC</w:t>
      </w:r>
      <w:r>
        <w:rPr>
          <w:rFonts w:ascii="Times New Roman" w:hAnsi="Times New Roman"/>
          <w:sz w:val="20"/>
        </w:rPr>
        <w:t xml:space="preserve">”). The offering price is $6.25 per share of Common Stock and $6.249 per Prefunded Warrant, which is the price of each share of Common Stock sold in the Offering, minus the $0.001 exercise price per Prefunded Warrant. The Company estimates that the net proceeds from the Offering will be approximately $4.1 million, after deducting placement agent fees and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will have an initial exercise price per share of $0.001, subject to certain adjustments. The Prefunded Warrants may be exercised at any time until exercised in full, except that a holder (together with its affiliates) will not be entitled to exercise any portion of any Prefunded Warrant, which, upon giving effect to such exercise would cause the aggregate number of shares of the Company’s Common Stock beneficially owned by the holder (together with its affiliates) to exceed 4.99% (or, upon election of the holder, 9.99%) of the number of shares of the Company’s Common Stock outstanding immediately prior to or after giving effect to the exercise, subject to such holder’s rights under the Prefunded Warrants to increase or decrease such percentage to another percentage not in excess of 9.99% of the number of shares of our common stock outstanding immediately after giving effect to the exercise, as such percentage ownership is determined in accordance with the terms of the pre-funded warrants upon at least 61 days’ prior notice from such holder to the Company. </w:t>
      </w:r>
    </w:p>
    <w:p>
      <w:pPr>
        <w:pStyle w:val="TextBody"/>
        <w:bidi w:val="0"/>
        <w:spacing w:before="240" w:after="0"/>
        <w:jc w:val="left"/>
        <w:rPr>
          <w:rFonts w:ascii="Times New Roman" w:hAnsi="Times New Roman"/>
          <w:sz w:val="20"/>
        </w:rPr>
      </w:pPr>
      <w:r>
        <w:rPr>
          <w:rFonts w:ascii="Times New Roman" w:hAnsi="Times New Roman"/>
          <w:sz w:val="20"/>
        </w:rPr>
        <w:t>The Purchase Agreement contains customary representations, warranties and agreements by the Company, customary conditions to closing, indemnification obligations of the Company, including for liabilities arising under the Securities Act of 1933, as amended (the “</w:t>
      </w:r>
      <w:r>
        <w:rPr>
          <w:rFonts w:ascii="Times New Roman" w:hAnsi="Times New Roman"/>
          <w:b/>
          <w:i/>
          <w:sz w:val="20"/>
        </w:rPr>
        <w:t>Securities Act</w:t>
      </w:r>
      <w:r>
        <w:rPr>
          <w:rFonts w:ascii="Times New Roman" w:hAnsi="Times New Roman"/>
          <w:sz w:val="20"/>
        </w:rPr>
        <w:t xml:space="preserve">”), other obligations of the parties and termination provisions.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The Company entered into an engagement letter with H.C. Wainwright &amp; Co., LLC (the “</w:t>
      </w:r>
      <w:r>
        <w:rPr>
          <w:rFonts w:ascii="Times New Roman" w:hAnsi="Times New Roman"/>
          <w:b/>
          <w:i/>
          <w:sz w:val="20"/>
        </w:rPr>
        <w:t>Placement Agent</w:t>
      </w:r>
      <w:r>
        <w:rPr>
          <w:rFonts w:ascii="Times New Roman" w:hAnsi="Times New Roman"/>
          <w:sz w:val="20"/>
        </w:rPr>
        <w:t xml:space="preserve">”), pursuant to which the Placement Agent agreed to serve as the exclusive placement agent for the Company, on a reasonable best efforts basis, in connection with the Offering. The Company has agreed to pay the Placement Agent an aggregate cash fee equal to 6.0% of the gross proceeds received in the Offering and for certain expenses incurred by the Placement Agent in connection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currently plans to use the net proceeds from the Offering primarily for supporting the previously announced strategic alternative process and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and conditions of the Purchase Agreement and the Prefunded Warrants do not purport to be complete and are each qualified in their entirety by the full text of the Purchase Agreement and form of Prefunded Warrants, copies of which are attached hereto as Exhibits 10.1 and 4.1, respectively, and incorporated by reference herein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on the planned use of proceeds from the Offering, the Company believes that the net proceeds from the Offering and its current cash and cash equivalents will be sufficient to enable the Company to fund its operating expenses and capital expenditure requirements into the second quarter of 2026. The Company has based this estimate on assumptions that may prove to be incorrect, and the Company could use its available capital resources sooner than it currently expects.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set forth in this Item 7.01 shall not be deemed “filed” for purposes of Section 18 of the Securities Exchange Act of 1934, as amended (the “Exchange Act”), and is not incorporated by reference into any of the Company’s filings under the Securities Act or the Exchange Act, whether made before or after the date hereof, except as shall be expressly set forth by specific reference in any such filing.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965"/>
        <w:gridCol w:w="1700"/>
      </w:tblGrid>
      <w:tr>
        <w:trPr/>
        <w:tc>
          <w:tcPr>
            <w:tcW w:w="965" w:type="dxa"/>
            <w:tcBorders/>
            <w:vAlign w:val="center"/>
          </w:tcPr>
          <w:p>
            <w:pPr>
              <w:pStyle w:val="TableContents"/>
              <w:bidi w:val="0"/>
              <w:spacing w:before="0" w:after="283"/>
              <w:jc w:val="left"/>
              <w:rPr>
                <w:b/>
              </w:rPr>
            </w:pPr>
            <w:r>
              <w:rPr>
                <w:b/>
              </w:rPr>
              <w:t>Item 8.01</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filing of the Prospectus Supplement, the Company is filing a legal opinion of its counsel, Cooley LLP, regarding the validity of the securities being issued in the Offering, a copy of which is attached as Exhibit 5.1 to this Current Report.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forward-looking statements, including, without limitation, statements relating to the Company’s expectations regarding the completion of the Offering, the use of proceeds therefrom and the Company’s expected cash runway. These forward-looking statements are based upon the Company’s current expectations. Actual results could differ materially from these forward-looking statements as a result of certain factors, including, without limitation, risks and uncertainties related to the satisfaction of customary closing conditions related to the offering, the uncertain research and product development process, and other risks detailed in the Company’s filings with the SEC, including the Company’s Annual Report on Form 10-K for the year ended December 31, 2024, the Company’s Quarterly Report on Form 10-Q for the quarter ended March 31, 2025 and in the Prospectus Supplement, filed with the SEC on May 13, 2025. You are cautioned not to place undue reliance on these forward-looking statements, which speak only as of the date of this Current Report. The Company undertakes no duty to update such information except as required under applicable law.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08664dex41.htm">
              <w:r>
                <w:rPr>
                  <w:rStyle w:val="InternetLink"/>
                </w:rPr>
                <w:t xml:space="preserve">Form of Prefunded Warrant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08664dex51.htm">
              <w:r>
                <w:rPr>
                  <w:rStyle w:val="InternetLink"/>
                </w:rPr>
                <w:t xml:space="preserve">Opinion of Cooley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08664dex101.htm">
              <w:r>
                <w:rPr>
                  <w:rStyle w:val="InternetLink"/>
                </w:rPr>
                <w:t xml:space="preserve">Form of Securities Purchase Agreement between Tempest Therapeutics, Inc. and the purchaser party thereto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08664dex51.htm">
              <w:r>
                <w:rPr>
                  <w:rStyle w:val="InternetLink"/>
                </w:rPr>
                <w:t xml:space="preserve">Consent of Cooley LLP (Included in Exhibit 5.1)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4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363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pPr>
            <w:r>
              <w:rPr/>
              <w:t>Tempest Therapeutics,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12,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Brady</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Stephen Brady</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908664dex41.htm"/>
      <w:bookmarkStart w:id="3" w:name="ksd908664dex41"/>
      <w:bookmarkEnd w:id="2"/>
      <w:bookmarkEnd w:id="3"/>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PREFUNDED COMMON STOCK PURCHASE WARRANT </w:t>
      </w:r>
    </w:p>
    <w:p>
      <w:pPr>
        <w:pStyle w:val="TextBody"/>
        <w:bidi w:val="0"/>
        <w:spacing w:before="12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Warrant Shares: _______            Issue Date: June 12, 2025 </w:t>
      </w:r>
    </w:p>
    <w:p>
      <w:pPr>
        <w:pStyle w:val="TextBody"/>
        <w:bidi w:val="0"/>
        <w:spacing w:before="240" w:after="0"/>
        <w:jc w:val="left"/>
        <w:rPr>
          <w:rFonts w:ascii="Times New Roman" w:hAnsi="Times New Roman"/>
          <w:sz w:val="20"/>
        </w:rPr>
      </w:pPr>
      <w:r>
        <w:rPr>
          <w:rFonts w:ascii="Times New Roman" w:hAnsi="Times New Roman"/>
          <w:sz w:val="20"/>
        </w:rPr>
        <w:t>THIS PREFUNDED COMMON STOCK PURCHASE WARRANT (the </w:t>
      </w:r>
      <w:r>
        <w:rPr>
          <w:rFonts w:ascii="Times New Roman" w:hAnsi="Times New Roman"/>
          <w:sz w:val="20"/>
          <w:u w:val="single"/>
        </w:rPr>
        <w:t>Warrant</w:t>
      </w:r>
      <w:r>
        <w:rPr>
          <w:rFonts w:ascii="Times New Roman" w:hAnsi="Times New Roman"/>
          <w:sz w:val="20"/>
        </w:rPr>
        <w:t>) certifies that, for value received, _____________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the date hereof (the </w:t>
      </w:r>
      <w:r>
        <w:rPr>
          <w:rFonts w:ascii="Times New Roman" w:hAnsi="Times New Roman"/>
          <w:sz w:val="20"/>
          <w:u w:val="single"/>
        </w:rPr>
        <w:t>Initial Exercise Date</w:t>
      </w:r>
      <w:r>
        <w:rPr>
          <w:rFonts w:ascii="Times New Roman" w:hAnsi="Times New Roman"/>
          <w:sz w:val="20"/>
        </w:rPr>
        <w:t>) and until this Warrant is exercised in full (the </w:t>
      </w:r>
      <w:r>
        <w:rPr>
          <w:rFonts w:ascii="Times New Roman" w:hAnsi="Times New Roman"/>
          <w:sz w:val="20"/>
          <w:u w:val="single"/>
        </w:rPr>
        <w:t>Termination Date</w:t>
      </w:r>
      <w:r>
        <w:rPr>
          <w:rFonts w:ascii="Times New Roman" w:hAnsi="Times New Roman"/>
          <w:sz w:val="20"/>
        </w:rPr>
        <w:t>), to subscribe for and purchase from Tempest Therapeutics, Inc., a Delaware corporation (the </w:t>
      </w:r>
      <w:r>
        <w:rPr>
          <w:rFonts w:ascii="Times New Roman" w:hAnsi="Times New Roman"/>
          <w:sz w:val="20"/>
          <w:u w:val="single"/>
        </w:rPr>
        <w:t>Company</w:t>
      </w:r>
      <w:r>
        <w:rPr>
          <w:rFonts w:ascii="Times New Roman" w:hAnsi="Times New Roman"/>
          <w:sz w:val="20"/>
        </w:rPr>
        <w:t>), up to ______ shares (as subject to adjustment hereunder, the </w:t>
      </w:r>
      <w:r>
        <w:rPr>
          <w:rFonts w:ascii="Times New Roman" w:hAnsi="Times New Roman"/>
          <w:sz w:val="20"/>
          <w:u w:val="single"/>
        </w:rPr>
        <w:t>Warrant Shares</w:t>
      </w:r>
      <w:r>
        <w:rPr>
          <w:rFonts w:ascii="Times New Roman" w:hAnsi="Times New Roman"/>
          <w:sz w:val="20"/>
        </w:rPr>
        <w:t xml:space="preserve">) of the Companys Common Stock. The purchase price of one share of Common Stock under this Warrant shall be equal to the Exercise Price, as defined in Section 2(b).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Capitalized terms used and not otherwise defined herein shall have the meanings set forth in that certain Securities Purchase Agreement (the </w:t>
      </w:r>
      <w:r>
        <w:rPr>
          <w:rFonts w:ascii="Times New Roman" w:hAnsi="Times New Roman"/>
          <w:sz w:val="20"/>
          <w:u w:val="single"/>
        </w:rPr>
        <w:t>Purchase Agreement</w:t>
      </w:r>
      <w:r>
        <w:rPr>
          <w:rFonts w:ascii="Times New Roman" w:hAnsi="Times New Roman"/>
          <w:sz w:val="20"/>
        </w:rPr>
        <w:t xml:space="preserve">), dated June 11, 2025, among the Company and the purchasers signatory thereto.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Exercise of Warrant</w:t>
      </w:r>
      <w:r>
        <w:rPr>
          <w:rFonts w:ascii="Times New Roman" w:hAnsi="Times New Roman"/>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sz w:val="20"/>
          <w:u w:val="single"/>
        </w:rPr>
        <w:t>Notice of Exercise</w:t>
      </w:r>
      <w:r>
        <w:rPr>
          <w:rFonts w:ascii="Times New Roman" w:hAnsi="Times New Roman"/>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records showing the number of Warrant Shares purchased and the date of such purchases. The Company shall deliver any objection to any Notice of Exercise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3"/>
        <w:gridCol w:w="141"/>
        <w:gridCol w:w="155"/>
        <w:gridCol w:w="141"/>
        <w:gridCol w:w="8715"/>
      </w:tblGrid>
      <w:tr>
        <w:trPr/>
        <w:tc>
          <w:tcPr>
            <w:tcW w:w="105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715" w:type="dxa"/>
            <w:tcBorders/>
            <w:vAlign w:val="center"/>
          </w:tcPr>
          <w:p>
            <w:pPr>
              <w:pStyle w:val="TableContents"/>
              <w:bidi w:val="0"/>
              <w:spacing w:before="0" w:after="283"/>
              <w:jc w:val="left"/>
              <w:rPr>
                <w:sz w:val="4"/>
                <w:szCs w:val="4"/>
              </w:rPr>
            </w:pPr>
            <w:r>
              <w:rPr>
                <w:sz w:val="4"/>
                <w:szCs w:val="4"/>
              </w:rPr>
            </w:r>
          </w:p>
        </w:tc>
      </w:tr>
      <w:tr>
        <w:trPr/>
        <w:tc>
          <w:tcPr>
            <w:tcW w:w="1053" w:type="dxa"/>
            <w:tcBorders/>
          </w:tcPr>
          <w:p>
            <w:pPr>
              <w:pStyle w:val="TableContents"/>
              <w:bidi w:val="0"/>
              <w:spacing w:before="0" w:after="283"/>
              <w:jc w:val="right"/>
              <w:rPr/>
            </w:pPr>
            <w:r>
              <w:rPr/>
              <w:t>(A)</w:t>
            </w:r>
          </w:p>
        </w:tc>
        <w:tc>
          <w:tcPr>
            <w:tcW w:w="141"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283"/>
              <w:jc w:val="left"/>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u w:val="single"/>
              </w:rPr>
              <w:t>Bloomberg</w:t>
            </w:r>
            <w:r>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r>
        <w:trPr>
          <w:trHeight w:val="120" w:hRule="atLeast"/>
        </w:trPr>
        <w:tc>
          <w:tcPr>
            <w:tcW w:w="1053" w:type="dxa"/>
            <w:tcBorders/>
            <w:vAlign w:val="center"/>
          </w:tcPr>
          <w:p>
            <w:pPr>
              <w:pStyle w:val="TableContents"/>
              <w:bidi w:val="0"/>
              <w:spacing w:before="0" w:after="283"/>
              <w:jc w:val="left"/>
              <w:rPr>
                <w:sz w:val="4"/>
                <w:szCs w:val="4"/>
              </w:rPr>
            </w:pPr>
            <w:r>
              <w:rPr>
                <w:sz w:val="4"/>
                <w:szCs w:val="4"/>
              </w:rPr>
            </w:r>
          </w:p>
        </w:tc>
        <w:tc>
          <w:tcPr>
            <w:tcW w:w="296" w:type="dxa"/>
            <w:gridSpan w:val="2"/>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r>
      <w:tr>
        <w:trPr/>
        <w:tc>
          <w:tcPr>
            <w:tcW w:w="1053" w:type="dxa"/>
            <w:tcBorders/>
          </w:tcPr>
          <w:p>
            <w:pPr>
              <w:pStyle w:val="TableContents"/>
              <w:bidi w:val="0"/>
              <w:spacing w:before="0" w:after="283"/>
              <w:jc w:val="right"/>
              <w:rPr/>
            </w:pPr>
            <w:r>
              <w:rPr/>
              <w:t>(B)</w:t>
            </w:r>
          </w:p>
        </w:tc>
        <w:tc>
          <w:tcPr>
            <w:tcW w:w="141"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283"/>
              <w:jc w:val="left"/>
              <w:rPr/>
            </w:pPr>
            <w:r>
              <w:rPr/>
              <w:t>the Exercise Price of this Warrant, as adjusted hereunder; and</w:t>
            </w:r>
          </w:p>
        </w:tc>
      </w:tr>
      <w:tr>
        <w:trPr>
          <w:trHeight w:val="120" w:hRule="atLeast"/>
        </w:trPr>
        <w:tc>
          <w:tcPr>
            <w:tcW w:w="1053" w:type="dxa"/>
            <w:tcBorders/>
            <w:vAlign w:val="center"/>
          </w:tcPr>
          <w:p>
            <w:pPr>
              <w:pStyle w:val="TableContents"/>
              <w:bidi w:val="0"/>
              <w:spacing w:before="0" w:after="283"/>
              <w:jc w:val="left"/>
              <w:rPr>
                <w:sz w:val="4"/>
                <w:szCs w:val="4"/>
              </w:rPr>
            </w:pPr>
            <w:r>
              <w:rPr>
                <w:sz w:val="4"/>
                <w:szCs w:val="4"/>
              </w:rPr>
            </w:r>
          </w:p>
        </w:tc>
        <w:tc>
          <w:tcPr>
            <w:tcW w:w="296" w:type="dxa"/>
            <w:gridSpan w:val="2"/>
            <w:tcBorders/>
            <w:vAlign w:val="center"/>
          </w:tcPr>
          <w:p>
            <w:pPr>
              <w:pStyle w:val="TableContents"/>
              <w:bidi w:val="0"/>
              <w:spacing w:before="0" w:after="283"/>
              <w:jc w:val="left"/>
              <w:rPr>
                <w:sz w:val="4"/>
                <w:szCs w:val="4"/>
              </w:rPr>
            </w:pPr>
            <w:r>
              <w:rPr>
                <w:sz w:val="4"/>
                <w:szCs w:val="4"/>
              </w:rPr>
            </w:r>
          </w:p>
        </w:tc>
        <w:tc>
          <w:tcPr>
            <w:tcW w:w="8856" w:type="dxa"/>
            <w:gridSpan w:val="2"/>
            <w:tcBorders/>
            <w:vAlign w:val="center"/>
          </w:tcPr>
          <w:p>
            <w:pPr>
              <w:pStyle w:val="TableContents"/>
              <w:bidi w:val="0"/>
              <w:spacing w:before="0" w:after="283"/>
              <w:jc w:val="left"/>
              <w:rPr>
                <w:sz w:val="4"/>
                <w:szCs w:val="4"/>
              </w:rPr>
            </w:pPr>
            <w:r>
              <w:rPr>
                <w:sz w:val="4"/>
                <w:szCs w:val="4"/>
              </w:rPr>
            </w:r>
          </w:p>
        </w:tc>
      </w:tr>
      <w:tr>
        <w:trPr/>
        <w:tc>
          <w:tcPr>
            <w:tcW w:w="1053" w:type="dxa"/>
            <w:tcBorders/>
          </w:tcPr>
          <w:p>
            <w:pPr>
              <w:pStyle w:val="TableContents"/>
              <w:bidi w:val="0"/>
              <w:spacing w:before="0" w:after="283"/>
              <w:jc w:val="right"/>
              <w:rPr/>
            </w:pPr>
            <w:r>
              <w:rPr/>
              <w:t>(X)</w:t>
            </w:r>
          </w:p>
        </w:tc>
        <w:tc>
          <w:tcPr>
            <w:tcW w:w="141"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41"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283"/>
              <w:jc w:val="left"/>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Bid Price</w:t>
      </w:r>
      <w:r>
        <w:rPr>
          <w:rFonts w:ascii="Times New Roman" w:hAnsi="Times New Roman"/>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hAnsi="Times New Roman"/>
          <w:sz w:val="20"/>
          <w:u w:val="single"/>
        </w:rPr>
        <w:t>OTCQB</w:t>
      </w:r>
      <w:r>
        <w:rPr>
          <w:rFonts w:ascii="Times New Roman" w:hAnsi="Times New Roman"/>
          <w:sz w:val="20"/>
        </w:rPr>
        <w:t>) or the OTCQX Best Market (</w:t>
      </w:r>
      <w:r>
        <w:rPr>
          <w:rFonts w:ascii="Times New Roman" w:hAnsi="Times New Roman"/>
          <w:sz w:val="20"/>
          <w:u w:val="single"/>
        </w:rPr>
        <w:t>OTCQX</w:t>
      </w:r>
      <w:r>
        <w:rPr>
          <w:rFonts w:ascii="Times New Roman" w:hAnsi="Times New Roman"/>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hAnsi="Times New Roman"/>
          <w:sz w:val="20"/>
          <w:u w:val="single"/>
        </w:rPr>
        <w:t>Pink Market</w:t>
      </w:r>
      <w:r>
        <w:rPr>
          <w:rFonts w:ascii="Times New Roman" w:hAnsi="Times New Roman"/>
          <w:sz w:val="20"/>
        </w:rPr>
        <w:t xml:space="preserve">)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the Notice of Exercise.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Rights</w:t>
      </w:r>
      <w:r>
        <w:rPr>
          <w:rFonts w:ascii="Times New Roman" w:hAnsi="Times New Roman"/>
          <w:sz w:val="20"/>
        </w:rPr>
        <w:t xml:space="preserve">. If the Company fails to cause the Transfer Agent to transmit to the Holder the Warrant Shares pursuant to Section 2(d)(i) by the Warrant Share Delivery Date, then the Holder will have the right to rescind such exercise.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hAnsi="Times New Roman"/>
          <w:sz w:val="20"/>
          <w:u w:val="single"/>
        </w:rPr>
        <w:t>Attribution Parties</w:t>
      </w:r>
      <w:r>
        <w:rPr>
          <w:rFonts w:ascii="Times New Roman" w:hAnsi="Times New Roman"/>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Subsequent Rights Offerings</w:t>
      </w:r>
      <w:r>
        <w:rPr>
          <w:rFonts w:ascii="Times New Roman" w:hAnsi="Times New Roman"/>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sz w:val="20"/>
          <w:u w:val="single"/>
        </w:rPr>
        <w:t>Purchase Rights</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Rata Distributions</w:t>
      </w:r>
      <w:r>
        <w:rPr>
          <w:rFonts w:ascii="Times New Roman" w:hAnsi="Times New Roman"/>
          <w:sz w:val="20"/>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sz w:val="20"/>
          <w:u w:val="single"/>
        </w:rPr>
        <w:t>Distribution</w:t>
      </w:r>
      <w:r>
        <w:rPr>
          <w:rFonts w:ascii="Times New Roman" w:hAnsi="Times New Roman"/>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Fundamental Transaction</w:t>
      </w:r>
      <w:r>
        <w:rPr>
          <w:rFonts w:ascii="Times New Roman" w:hAnsi="Times New Roman"/>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voting power of the capital stock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voting power of the capital stock of the Company (each a </w:t>
      </w:r>
      <w:r>
        <w:rPr>
          <w:rFonts w:ascii="Times New Roman" w:hAnsi="Times New Roman"/>
          <w:sz w:val="20"/>
          <w:u w:val="single"/>
        </w:rPr>
        <w:t>Fundamental Transaction</w:t>
      </w:r>
      <w:r>
        <w:rPr>
          <w:rFonts w:ascii="Times New Roman" w:hAnsi="Times New Roman"/>
          <w:sz w:val="20"/>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consideration (the </w:t>
      </w:r>
      <w:r>
        <w:rPr>
          <w:rFonts w:ascii="Times New Roman" w:hAnsi="Times New Roman"/>
          <w:sz w:val="20"/>
          <w:u w:val="single"/>
        </w:rPr>
        <w:t>Alternate Consideration</w:t>
      </w:r>
      <w:r>
        <w:rPr>
          <w:rFonts w:ascii="Times New Roman" w:hAnsi="Times New Roman"/>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24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register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Stockholder Until Exercise; No Settlement in Cash</w:t>
      </w:r>
      <w:r>
        <w:rPr>
          <w:rFonts w:ascii="Times New Roman" w:hAnsi="Times New Roman"/>
          <w:sz w:val="20"/>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Trading Day, then such action may be taken or such right may be exercised on the next succeeding Trading Day.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Warrant shall be determined in accordance with the provisions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Any notice, request or other document required or permitted to be given or delivered to the Holder by the Company shall be delivered in accordance with the notice provisions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on the one hand, and the Holder of this Warrant,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TEMPEST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bottom"/>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32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9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vAlign w:val="bottom"/>
          </w:tcPr>
          <w:p>
            <w:pPr>
              <w:pStyle w:val="TableContents"/>
              <w:bidi w:val="0"/>
              <w:spacing w:before="0" w:after="283"/>
              <w:jc w:val="left"/>
              <w:rPr/>
            </w:pPr>
            <w:r>
              <w:rPr/>
              <w:t>Name:</w:t>
            </w:r>
          </w:p>
        </w:tc>
      </w:tr>
      <w:tr>
        <w:trPr/>
        <w:tc>
          <w:tcPr>
            <w:tcW w:w="69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240" w:after="0"/>
        <w:jc w:val="left"/>
        <w:rPr>
          <w:rFonts w:ascii="Times New Roman" w:hAnsi="Times New Roman"/>
          <w:b/>
          <w:sz w:val="20"/>
        </w:rPr>
      </w:pPr>
      <w:r>
        <w:rPr>
          <w:rFonts w:ascii="Times New Roman" w:hAnsi="Times New Roman"/>
          <w:b/>
          <w:sz w:val="20"/>
        </w:rPr>
        <w:t xml:space="preserve">TO: TEMPEST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 xml:space="preserve">Name of Investing Entity: _____________________________________________________________________________________________________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________________________________________________________________________________________________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_________________________________________________________________________________________________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Date: _____________________________________________________________________________________________________________________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i/>
          <w:sz w:val="20"/>
        </w:rPr>
      </w:pPr>
      <w:r>
        <w:rPr>
          <w:rFonts w:ascii="Times New Roman" w:hAnsi="Times New Roman"/>
          <w:i/>
          <w:sz w:val="20"/>
        </w:rPr>
        <w:t xml:space="preserve">(To assign the foregoing Warrant, execute this form and supply required information. Do not use this form to exercise the Warrant to purchase shares.) </w:t>
      </w:r>
    </w:p>
    <w:p>
      <w:pPr>
        <w:pStyle w:val="TextBody"/>
        <w:bidi w:val="0"/>
        <w:spacing w:before="120" w:after="0"/>
        <w:jc w:val="left"/>
        <w:rPr>
          <w:rFonts w:ascii="Times New Roman" w:hAnsi="Times New Roman"/>
          <w:sz w:val="20"/>
        </w:rPr>
      </w:pPr>
      <w:r>
        <w:rPr>
          <w:rFonts w:ascii="Times New Roman" w:hAnsi="Times New Roman"/>
          <w:sz w:val="20"/>
        </w:rPr>
        <w:t xml:space="preserve">FOR VALUE RECEIVED, the foregoing Warrant and all rights evidenced thereby are hereby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Name: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u w:val="single"/>
              </w:rPr>
            </w:pPr>
            <w:r>
              <w:rPr>
                <w:u w:val="single"/>
              </w:rPr>
              <w:t>                    </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(Please Print)</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Address: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u w:val="single"/>
              </w:rPr>
            </w:pPr>
            <w:r>
              <w:rPr>
                <w:u w:val="single"/>
              </w:rPr>
              <w:t>                    </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(Please Print)</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Phone Number: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u w:val="single"/>
              </w:rPr>
            </w:pPr>
            <w:r>
              <w:rPr>
                <w:u w:val="single"/>
              </w:rPr>
              <w:t>                    </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Email Address: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6"/>
        <w:gridCol w:w="122"/>
        <w:gridCol w:w="4537"/>
      </w:tblGrid>
      <w:tr>
        <w:trPr/>
        <w:tc>
          <w:tcPr>
            <w:tcW w:w="554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r>
      <w:tr>
        <w:trPr/>
        <w:tc>
          <w:tcPr>
            <w:tcW w:w="5546" w:type="dxa"/>
            <w:tcBorders/>
          </w:tcPr>
          <w:p>
            <w:pPr>
              <w:pStyle w:val="TableContents"/>
              <w:bidi w:val="0"/>
              <w:spacing w:before="0" w:after="283"/>
              <w:jc w:val="left"/>
              <w:rPr/>
            </w:pPr>
            <w:r>
              <w:rPr/>
              <w:t>Dated: _______________ __, ______</w:t>
            </w:r>
          </w:p>
        </w:tc>
        <w:tc>
          <w:tcPr>
            <w:tcW w:w="122" w:type="dxa"/>
            <w:tcBorders/>
            <w:vAlign w:val="bottom"/>
          </w:tcPr>
          <w:p>
            <w:pPr>
              <w:pStyle w:val="TableContents"/>
              <w:bidi w:val="0"/>
              <w:spacing w:before="0" w:after="283"/>
              <w:jc w:val="left"/>
              <w:rPr/>
            </w:pPr>
            <w:r>
              <w:rPr/>
              <w:t>  </w:t>
            </w:r>
          </w:p>
        </w:tc>
        <w:tc>
          <w:tcPr>
            <w:tcW w:w="4537" w:type="dxa"/>
            <w:tcBorders/>
          </w:tcPr>
          <w:p>
            <w:pPr>
              <w:pStyle w:val="TableContents"/>
              <w:bidi w:val="0"/>
              <w:spacing w:before="0" w:after="283"/>
              <w:jc w:val="left"/>
              <w:rPr>
                <w:sz w:val="4"/>
                <w:szCs w:val="4"/>
              </w:rPr>
            </w:pPr>
            <w:r>
              <w:rPr>
                <w:sz w:val="4"/>
                <w:szCs w:val="4"/>
              </w:rPr>
            </w:r>
          </w:p>
        </w:tc>
      </w:tr>
      <w:tr>
        <w:trPr>
          <w:trHeight w:val="240" w:hRule="atLeast"/>
        </w:trPr>
        <w:tc>
          <w:tcPr>
            <w:tcW w:w="5546" w:type="dxa"/>
            <w:tcBorders/>
            <w:vAlign w:val="center"/>
          </w:tcPr>
          <w:p>
            <w:pPr>
              <w:pStyle w:val="TableContents"/>
              <w:bidi w:val="0"/>
              <w:spacing w:before="0" w:after="283"/>
              <w:jc w:val="left"/>
              <w:rPr>
                <w:sz w:val="4"/>
                <w:szCs w:val="4"/>
              </w:rPr>
            </w:pPr>
            <w:r>
              <w:rPr>
                <w:sz w:val="4"/>
                <w:szCs w:val="4"/>
              </w:rPr>
            </w:r>
          </w:p>
        </w:tc>
        <w:tc>
          <w:tcPr>
            <w:tcW w:w="4659" w:type="dxa"/>
            <w:gridSpan w:val="2"/>
            <w:tcBorders/>
            <w:vAlign w:val="center"/>
          </w:tcPr>
          <w:p>
            <w:pPr>
              <w:pStyle w:val="TableContents"/>
              <w:bidi w:val="0"/>
              <w:spacing w:before="0" w:after="283"/>
              <w:jc w:val="left"/>
              <w:rPr>
                <w:sz w:val="4"/>
                <w:szCs w:val="4"/>
              </w:rPr>
            </w:pPr>
            <w:r>
              <w:rPr>
                <w:sz w:val="4"/>
                <w:szCs w:val="4"/>
              </w:rPr>
            </w:r>
          </w:p>
        </w:tc>
      </w:tr>
      <w:tr>
        <w:trPr/>
        <w:tc>
          <w:tcPr>
            <w:tcW w:w="5546" w:type="dxa"/>
            <w:tcBorders/>
          </w:tcPr>
          <w:p>
            <w:pPr>
              <w:pStyle w:val="TableContents"/>
              <w:bidi w:val="0"/>
              <w:spacing w:before="0" w:after="283"/>
              <w:jc w:val="left"/>
              <w:rPr/>
            </w:pPr>
            <w:r>
              <w:rPr/>
              <w:t>Holders Signature:</w:t>
            </w:r>
            <w:r>
              <w:rPr>
                <w:u w:val="single"/>
              </w:rPr>
              <w:t>            </w:t>
            </w:r>
          </w:p>
        </w:tc>
        <w:tc>
          <w:tcPr>
            <w:tcW w:w="122" w:type="dxa"/>
            <w:tcBorders/>
            <w:vAlign w:val="bottom"/>
          </w:tcPr>
          <w:p>
            <w:pPr>
              <w:pStyle w:val="TableContents"/>
              <w:bidi w:val="0"/>
              <w:spacing w:before="0" w:after="283"/>
              <w:jc w:val="left"/>
              <w:rPr/>
            </w:pPr>
            <w:r>
              <w:rPr/>
              <w:t>  </w:t>
            </w:r>
          </w:p>
        </w:tc>
        <w:tc>
          <w:tcPr>
            <w:tcW w:w="4537" w:type="dxa"/>
            <w:tcBorders/>
          </w:tcPr>
          <w:p>
            <w:pPr>
              <w:pStyle w:val="TableContents"/>
              <w:bidi w:val="0"/>
              <w:spacing w:before="0" w:after="283"/>
              <w:jc w:val="left"/>
              <w:rPr>
                <w:sz w:val="4"/>
                <w:szCs w:val="4"/>
              </w:rPr>
            </w:pPr>
            <w:r>
              <w:rPr>
                <w:sz w:val="4"/>
                <w:szCs w:val="4"/>
              </w:rPr>
            </w:r>
          </w:p>
        </w:tc>
      </w:tr>
      <w:tr>
        <w:trPr>
          <w:trHeight w:val="240" w:hRule="atLeast"/>
        </w:trPr>
        <w:tc>
          <w:tcPr>
            <w:tcW w:w="5546" w:type="dxa"/>
            <w:tcBorders/>
            <w:vAlign w:val="center"/>
          </w:tcPr>
          <w:p>
            <w:pPr>
              <w:pStyle w:val="TableContents"/>
              <w:bidi w:val="0"/>
              <w:spacing w:before="0" w:after="283"/>
              <w:jc w:val="left"/>
              <w:rPr>
                <w:sz w:val="4"/>
                <w:szCs w:val="4"/>
              </w:rPr>
            </w:pPr>
            <w:r>
              <w:rPr>
                <w:sz w:val="4"/>
                <w:szCs w:val="4"/>
              </w:rPr>
            </w:r>
          </w:p>
        </w:tc>
        <w:tc>
          <w:tcPr>
            <w:tcW w:w="4659" w:type="dxa"/>
            <w:gridSpan w:val="2"/>
            <w:tcBorders/>
            <w:vAlign w:val="center"/>
          </w:tcPr>
          <w:p>
            <w:pPr>
              <w:pStyle w:val="TableContents"/>
              <w:bidi w:val="0"/>
              <w:spacing w:before="0" w:after="283"/>
              <w:jc w:val="left"/>
              <w:rPr>
                <w:sz w:val="4"/>
                <w:szCs w:val="4"/>
              </w:rPr>
            </w:pPr>
            <w:r>
              <w:rPr>
                <w:sz w:val="4"/>
                <w:szCs w:val="4"/>
              </w:rPr>
            </w:r>
          </w:p>
        </w:tc>
      </w:tr>
      <w:tr>
        <w:trPr/>
        <w:tc>
          <w:tcPr>
            <w:tcW w:w="5546" w:type="dxa"/>
            <w:tcBorders/>
          </w:tcPr>
          <w:p>
            <w:pPr>
              <w:pStyle w:val="TableContents"/>
              <w:bidi w:val="0"/>
              <w:spacing w:before="0" w:after="283"/>
              <w:jc w:val="left"/>
              <w:rPr/>
            </w:pPr>
            <w:r>
              <w:rPr/>
              <w:t>Holders Address:</w:t>
            </w:r>
            <w:r>
              <w:rPr>
                <w:u w:val="single"/>
              </w:rPr>
              <w:t>             </w:t>
            </w:r>
          </w:p>
        </w:tc>
        <w:tc>
          <w:tcPr>
            <w:tcW w:w="122" w:type="dxa"/>
            <w:tcBorders/>
            <w:vAlign w:val="bottom"/>
          </w:tcPr>
          <w:p>
            <w:pPr>
              <w:pStyle w:val="TableContents"/>
              <w:bidi w:val="0"/>
              <w:spacing w:before="0" w:after="283"/>
              <w:jc w:val="left"/>
              <w:rPr/>
            </w:pPr>
            <w:r>
              <w:rPr/>
              <w:t>  </w:t>
            </w:r>
          </w:p>
        </w:tc>
        <w:tc>
          <w:tcPr>
            <w:tcW w:w="453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4" w:name="d908664dex51.htm"/>
      <w:bookmarkStart w:id="5" w:name="ksd908664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Jaime L. Chase </w:t>
      </w:r>
    </w:p>
    <w:p>
      <w:pPr>
        <w:pStyle w:val="TextBody"/>
        <w:bidi w:val="0"/>
        <w:spacing w:before="0" w:after="0"/>
        <w:jc w:val="left"/>
        <w:rPr>
          <w:rFonts w:ascii="Times New Roman" w:hAnsi="Times New Roman"/>
          <w:sz w:val="20"/>
        </w:rPr>
      </w:pPr>
      <w:r>
        <w:rPr>
          <w:rFonts w:ascii="Times New Roman" w:hAnsi="Times New Roman"/>
          <w:sz w:val="20"/>
        </w:rPr>
        <w:t xml:space="preserve">+1 202 728-7096 </w:t>
      </w:r>
    </w:p>
    <w:p>
      <w:pPr>
        <w:pStyle w:val="TextBody"/>
        <w:bidi w:val="0"/>
        <w:spacing w:before="0" w:after="0"/>
        <w:jc w:val="left"/>
        <w:rPr>
          <w:rFonts w:ascii="Times New Roman" w:hAnsi="Times New Roman"/>
          <w:sz w:val="20"/>
        </w:rPr>
      </w:pPr>
      <w:r>
        <w:rPr>
          <w:rFonts w:ascii="Times New Roman" w:hAnsi="Times New Roman"/>
          <w:sz w:val="20"/>
        </w:rPr>
        <w:t xml:space="preserve">jchase@cooley.com </w:t>
      </w:r>
    </w:p>
    <w:p>
      <w:pPr>
        <w:pStyle w:val="TextBody"/>
        <w:bidi w:val="0"/>
        <w:spacing w:before="240" w:after="0"/>
        <w:jc w:val="left"/>
        <w:rPr>
          <w:rFonts w:ascii="Times New Roman" w:hAnsi="Times New Roman"/>
          <w:sz w:val="20"/>
        </w:rPr>
      </w:pPr>
      <w:r>
        <w:rPr>
          <w:rFonts w:ascii="Times New Roman" w:hAnsi="Times New Roman"/>
          <w:sz w:val="20"/>
        </w:rPr>
        <w:t xml:space="preserve">June 12, 2025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left"/>
        <w:rPr>
          <w:rFonts w:ascii="Times New Roman" w:hAnsi="Times New Roman"/>
          <w:sz w:val="20"/>
        </w:rPr>
      </w:pPr>
      <w:r>
        <w:rPr>
          <w:rFonts w:ascii="Times New Roman" w:hAnsi="Times New Roman"/>
          <w:sz w:val="20"/>
        </w:rPr>
        <w:t xml:space="preserve">Brisbane, CA 94005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for Tempest Therapeutics, Inc., a Delaware corporation (the </w:t>
      </w:r>
      <w:r>
        <w:rPr>
          <w:rFonts w:ascii="Times New Roman" w:hAnsi="Times New Roman"/>
          <w:b/>
          <w:i/>
          <w:sz w:val="20"/>
        </w:rPr>
        <w:t>Company</w:t>
      </w:r>
      <w:r>
        <w:rPr>
          <w:rFonts w:ascii="Times New Roman" w:hAnsi="Times New Roman"/>
          <w:sz w:val="20"/>
        </w:rPr>
        <w:t>), in connection with the sale by the Company of (i) 405,000 shares (the </w:t>
      </w:r>
      <w:r>
        <w:rPr>
          <w:rFonts w:ascii="Times New Roman" w:hAnsi="Times New Roman"/>
          <w:b/>
          <w:i/>
          <w:sz w:val="20"/>
        </w:rPr>
        <w:t>Shares</w:t>
      </w:r>
      <w:r>
        <w:rPr>
          <w:rFonts w:ascii="Times New Roman" w:hAnsi="Times New Roman"/>
          <w:sz w:val="20"/>
        </w:rPr>
        <w:t>) of its common stock, par value $0.001 per share (the </w:t>
      </w:r>
      <w:r>
        <w:rPr>
          <w:rFonts w:ascii="Times New Roman" w:hAnsi="Times New Roman"/>
          <w:b/>
          <w:i/>
          <w:sz w:val="20"/>
        </w:rPr>
        <w:t>Common Stock</w:t>
      </w:r>
      <w:r>
        <w:rPr>
          <w:rFonts w:ascii="Times New Roman" w:hAnsi="Times New Roman"/>
          <w:sz w:val="20"/>
        </w:rPr>
        <w:t>); and (ii) pre-funded warrants (the </w:t>
      </w:r>
      <w:r>
        <w:rPr>
          <w:rFonts w:ascii="Times New Roman" w:hAnsi="Times New Roman"/>
          <w:b/>
          <w:i/>
          <w:sz w:val="20"/>
        </w:rPr>
        <w:t>Warrants</w:t>
      </w:r>
      <w:r>
        <w:rPr>
          <w:rFonts w:ascii="Times New Roman" w:hAnsi="Times New Roman"/>
          <w:sz w:val="20"/>
        </w:rPr>
        <w:t>) to purchase up to 334,000 shares of Common Stock (the </w:t>
      </w:r>
      <w:r>
        <w:rPr>
          <w:rFonts w:ascii="Times New Roman" w:hAnsi="Times New Roman"/>
          <w:b/>
          <w:i/>
          <w:sz w:val="20"/>
        </w:rPr>
        <w:t>Warrant Shares</w:t>
      </w:r>
      <w:r>
        <w:rPr>
          <w:rFonts w:ascii="Times New Roman" w:hAnsi="Times New Roman"/>
          <w:sz w:val="20"/>
        </w:rPr>
        <w:t>), all pursuant to the Registration Statement on Form S-3 (File No. 333-280918) (the </w:t>
      </w:r>
      <w:r>
        <w:rPr>
          <w:rFonts w:ascii="Times New Roman" w:hAnsi="Times New Roman"/>
          <w:b/>
          <w:i/>
          <w:sz w:val="20"/>
        </w:rPr>
        <w:t>Registration Statement</w:t>
      </w:r>
      <w:r>
        <w:rPr>
          <w:rFonts w:ascii="Times New Roman" w:hAnsi="Times New Roman"/>
          <w:sz w:val="20"/>
        </w:rPr>
        <w:t>) filed by the Company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prospectus included in the Registration Statement (the </w:t>
      </w:r>
      <w:r>
        <w:rPr>
          <w:rFonts w:ascii="Times New Roman" w:hAnsi="Times New Roman"/>
          <w:b/>
          <w:i/>
          <w:sz w:val="20"/>
        </w:rPr>
        <w:t>Base Prospectus</w:t>
      </w:r>
      <w:r>
        <w:rPr>
          <w:rFonts w:ascii="Times New Roman" w:hAnsi="Times New Roman"/>
          <w:sz w:val="20"/>
        </w:rPr>
        <w:t>), and the related prospectus supplement filed with the Commission pursuant to Rule 424(b) under the Securities Act (together with the Base Prospectus, the </w:t>
      </w:r>
      <w:r>
        <w:rPr>
          <w:rFonts w:ascii="Times New Roman" w:hAnsi="Times New Roman"/>
          <w:b/>
          <w:i/>
          <w:sz w:val="20"/>
        </w:rPr>
        <w:t>Prospectus</w:t>
      </w:r>
      <w:r>
        <w:rPr>
          <w:rFonts w:ascii="Times New Roman" w:hAnsi="Times New Roman"/>
          <w:sz w:val="20"/>
        </w:rPr>
        <w:t>). Each share of Common Stock includes a preferred share purchase right (each, a </w:t>
      </w:r>
      <w:r>
        <w:rPr>
          <w:rFonts w:ascii="Times New Roman" w:hAnsi="Times New Roman"/>
          <w:b/>
          <w:i/>
          <w:sz w:val="20"/>
        </w:rPr>
        <w:t>Right</w:t>
      </w:r>
      <w:r>
        <w:rPr>
          <w:rFonts w:ascii="Times New Roman" w:hAnsi="Times New Roman"/>
          <w:sz w:val="20"/>
        </w:rPr>
        <w:t>, collectively, the </w:t>
      </w:r>
      <w:r>
        <w:rPr>
          <w:rFonts w:ascii="Times New Roman" w:hAnsi="Times New Roman"/>
          <w:b/>
          <w:i/>
          <w:sz w:val="20"/>
        </w:rPr>
        <w:t>Rights</w:t>
      </w:r>
      <w:r>
        <w:rPr>
          <w:rFonts w:ascii="Times New Roman" w:hAnsi="Times New Roman"/>
          <w:sz w:val="20"/>
        </w:rPr>
        <w:t>) as set forth in the Rights Agreement (the </w:t>
      </w:r>
      <w:r>
        <w:rPr>
          <w:rFonts w:ascii="Times New Roman" w:hAnsi="Times New Roman"/>
          <w:b/>
          <w:i/>
          <w:sz w:val="20"/>
        </w:rPr>
        <w:t>Rights Plan</w:t>
      </w:r>
      <w:r>
        <w:rPr>
          <w:rFonts w:ascii="Times New Roman" w:hAnsi="Times New Roman"/>
          <w:sz w:val="20"/>
        </w:rPr>
        <w:t>), dated as of October 10, 2023, as amended. between the Company and Computershare Trust Company, N.A., as rights agent (the </w:t>
      </w:r>
      <w:r>
        <w:rPr>
          <w:rFonts w:ascii="Times New Roman" w:hAnsi="Times New Roman"/>
          <w:b/>
          <w:i/>
          <w:sz w:val="20"/>
        </w:rPr>
        <w:t>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forms of the Warrants to be filed as exhibits to a Current Report on Form 8-K, the Companys certificate of incorporation and bylaws, each as currently in effect, the Rights Plan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concerning the Rights: </w:t>
      </w:r>
    </w:p>
    <w:p>
      <w:pPr>
        <w:pStyle w:val="TextBody"/>
        <w:bidi w:val="0"/>
        <w:spacing w:before="120" w:after="0"/>
        <w:jc w:val="left"/>
        <w:rPr>
          <w:rFonts w:ascii="Times New Roman" w:hAnsi="Times New Roman"/>
          <w:sz w:val="20"/>
        </w:rPr>
      </w:pPr>
      <w:r>
        <w:rPr>
          <w:rFonts w:ascii="Times New Roman" w:hAnsi="Times New Roman"/>
          <w:sz w:val="20"/>
        </w:rPr>
        <w:t>(i) Our opinion does not address the determination a court of competent jurisdiction may make regarding whether the Companys board of directors (the </w:t>
      </w:r>
      <w:r>
        <w:rPr>
          <w:rFonts w:ascii="Times New Roman" w:hAnsi="Times New Roman"/>
          <w:b/>
          <w:i/>
          <w:sz w:val="20"/>
        </w:rPr>
        <w:t>Board</w:t>
      </w:r>
      <w:r>
        <w:rPr>
          <w:rFonts w:ascii="Times New Roman" w:hAnsi="Times New Roman"/>
          <w:sz w:val="20"/>
        </w:rPr>
        <w:t xml:space="preserve">) may be required to redeem or terminate, or take other action with respect to, the Rights or Rights Plan in the future based on the facts and circumstances then existing. </w:t>
      </w:r>
    </w:p>
    <w:p>
      <w:pPr>
        <w:pStyle w:val="TextBody"/>
        <w:bidi w:val="0"/>
        <w:spacing w:before="240" w:after="0"/>
        <w:jc w:val="left"/>
        <w:rPr>
          <w:rFonts w:ascii="Times New Roman" w:hAnsi="Times New Roman"/>
          <w:sz w:val="20"/>
        </w:rPr>
      </w:pPr>
      <w:r>
        <w:rPr>
          <w:rFonts w:ascii="Times New Roman" w:hAnsi="Times New Roman"/>
          <w:sz w:val="20"/>
        </w:rPr>
        <w:t xml:space="preserve">(ii) 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June 12, 2025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(iii) Our opinion addresses corporate procedures in connection with the issuance of the Rights associated with the Shares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our opinion as to the Warrants and the Warrant Shares, we express no opinion to the extent that future issuances of securities of the Company, antidilution adjustments to outstanding securities of the Company or other matters may cause the Warrants to be exercisable for more shares of Common Stock than the number then available for issuance by the Company or that the consideration paid upon exercise of the Warrants is less than the par value per share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our opinion concerning the Warrants constituting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 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(ii) 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 </w:t>
      </w:r>
    </w:p>
    <w:p>
      <w:pPr>
        <w:pStyle w:val="TextBody"/>
        <w:bidi w:val="0"/>
        <w:spacing w:before="240" w:after="0"/>
        <w:jc w:val="left"/>
        <w:rPr>
          <w:rFonts w:ascii="Times New Roman" w:hAnsi="Times New Roman"/>
          <w:sz w:val="20"/>
        </w:rPr>
      </w:pPr>
      <w:r>
        <w:rPr>
          <w:rFonts w:ascii="Times New Roman" w:hAnsi="Times New Roman"/>
          <w:sz w:val="20"/>
        </w:rPr>
        <w:t xml:space="preserve">(iii) 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 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 (h) relates to exclusivity, election or accumulation of rights or remedies; (i) authorizes or validates conclusive or discretionary determinations or (j) provides that provisions of the Warrants are severable to the extent an essential part of the agreed exchange is determined to be invalid and unenforceable; and </w:t>
      </w:r>
    </w:p>
    <w:p>
      <w:pPr>
        <w:pStyle w:val="TextBody"/>
        <w:bidi w:val="0"/>
        <w:spacing w:before="240" w:after="0"/>
        <w:jc w:val="left"/>
        <w:rPr>
          <w:rFonts w:ascii="Times New Roman" w:hAnsi="Times New Roman"/>
          <w:sz w:val="20"/>
        </w:rPr>
      </w:pPr>
      <w:r>
        <w:rPr>
          <w:rFonts w:ascii="Times New Roman" w:hAnsi="Times New Roman"/>
          <w:sz w:val="20"/>
        </w:rPr>
        <w:t xml:space="preserve">(iv) We express no opinion as to whether a state court outside of the State of New York or a federal court of the United States would give effect to the choice of New York law or jurisdiction provided for in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June 12, 2025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in reliance thereon and subject to the qualifications, limitations and assumptions set forth herein, we are of the opinion that (i) the Shares and associated Rights, when sold and issued against payment therefor in accordance with the Registration Statement and the Prospectus, will be validly issued, and the Shares will be fully paid and nonassessable, (ii) the Warrants, when duly executed by the Company and delivered to the purchasers thereof against payment therefor as described in the Registration Statement and the Prospectus, will be binding obligations of the Company and (iii) the Warrant Shares and any associated Rights, when sold and issued in accordance with the terms of the Warrants, will be validly issued, and the Warrant Shares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heading Legal Matters in the Prospectus and to the filing of this opinion as an exhibit to the Companys Current Report on Form 8-K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OOLEY</w:t>
            </w:r>
            <w:r>
              <w:rPr>
                <w:b/>
              </w:rPr>
              <w:t xml:space="preserve"> LLP</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Jaime L. Chase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Jaime L. Chase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p>
    <w:p>
      <w:pPr>
        <w:pStyle w:val="TextBody"/>
        <w:bidi w:val="0"/>
        <w:spacing w:before="0" w:after="0"/>
        <w:jc w:val="right"/>
        <w:rPr>
          <w:rFonts w:ascii="Times New Roman" w:hAnsi="Times New Roman"/>
          <w:b/>
          <w:sz w:val="20"/>
        </w:rPr>
      </w:pPr>
      <w:bookmarkStart w:id="6" w:name="d908664dex101.htm"/>
      <w:bookmarkStart w:id="7" w:name="ksd908664dex101"/>
      <w:bookmarkEnd w:id="6"/>
      <w:bookmarkEnd w:id="7"/>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This Securities Purchase Agreement (this </w:t>
      </w:r>
      <w:r>
        <w:rPr>
          <w:rFonts w:ascii="Times New Roman" w:hAnsi="Times New Roman"/>
          <w:sz w:val="20"/>
          <w:u w:val="single"/>
        </w:rPr>
        <w:t>Agreement</w:t>
      </w:r>
      <w:r>
        <w:rPr>
          <w:rFonts w:ascii="Times New Roman" w:hAnsi="Times New Roman"/>
          <w:sz w:val="20"/>
        </w:rPr>
        <w:t>) is dated as of June  , 2025, between Tempest Therapeutics, Inc., a Delaware corporation (the </w:t>
      </w:r>
      <w:r>
        <w:rPr>
          <w:rFonts w:ascii="Times New Roman" w:hAnsi="Times New Roman"/>
          <w:sz w:val="20"/>
          <w:u w:val="single"/>
        </w:rPr>
        <w:t>Company</w:t>
      </w:r>
      <w:r>
        <w:rPr>
          <w:rFonts w:ascii="Times New Roman" w:hAnsi="Times New Roman"/>
          <w:sz w:val="20"/>
        </w:rPr>
        <w:t>), and each purchaser identified on the signature pages hereto (each, including its successors and assigns, a </w:t>
      </w:r>
      <w:r>
        <w:rPr>
          <w:rFonts w:ascii="Times New Roman" w:hAnsi="Times New Roman"/>
          <w:sz w:val="20"/>
          <w:u w:val="single"/>
        </w:rPr>
        <w:t>Purchaser</w:t>
      </w:r>
      <w:r>
        <w:rPr>
          <w:rFonts w:ascii="Times New Roman" w:hAnsi="Times New Roman"/>
          <w:sz w:val="20"/>
        </w:rPr>
        <w:t> and collectively the </w:t>
      </w:r>
      <w:r>
        <w:rPr>
          <w:rFonts w:ascii="Times New Roman" w:hAnsi="Times New Roman"/>
          <w:sz w:val="20"/>
          <w:u w:val="single"/>
        </w:rPr>
        <w:t>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for other good and valuable consideration the receipt and adequacy of which are hereby acknowledged, the Company and each Purchaser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In addition to the terms defined elsewhere in this Agreement, for all purposes of this Agreement, the following terms have the meanings set forth in this Section 1.1: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Acquiring Person</w:t>
      </w:r>
      <w:r>
        <w:rPr>
          <w:rFonts w:ascii="Times New Roman" w:hAnsi="Times New Roman"/>
          <w:sz w:val="20"/>
        </w:rPr>
        <w:t xml:space="preserve"> shall have the meaning ascribed to such term in Section 4.5.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Action</w:t>
      </w:r>
      <w:r>
        <w:rPr>
          <w:rFonts w:ascii="Times New Roman" w:hAnsi="Times New Roman"/>
          <w:sz w:val="20"/>
        </w:rPr>
        <w:t xml:space="preserve"> shall have the meaning ascribed to such term in Section 3.1(j).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BHCA</w:t>
      </w:r>
      <w:r>
        <w:rPr>
          <w:rFonts w:ascii="Times New Roman" w:hAnsi="Times New Roman"/>
          <w:sz w:val="20"/>
        </w:rPr>
        <w:t xml:space="preserve"> shall have the meaning ascribed to such term in Section 3.1(mm).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w:t>
      </w:r>
      <w:r>
        <w:rPr>
          <w:rFonts w:ascii="Times New Roman" w:hAnsi="Times New Roman"/>
          <w:sz w:val="20"/>
        </w:rPr>
        <w:t xml:space="preserve"> means the closing of the purchase and sale of the Shares and the Prefunded Warrants pursuant to Section 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Trading Day on which all of the Transaction Documents have been executed and delivered by the applicable parties thereto, and all conditions precedent to (i) the Purchasers obligations to pay the Subscription Amount and (ii) the Companys obligations to deliver the Shares and the Prefunded Warrants, in each case, have been satisfied or waived, but in no event later than the first (1st) Trading Day following the date hereof (or the second (2nd) Trading Day following the date hereof if this Agreement is signed on a day that is not a Trading Day or after 4:00 p.m. (New York City time) and before midnight (New York City time) on a Trading Day).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common stock of the Company, par value $0.001 per share, and any other class of securities into which such securities may hereafter be reclassified or changed.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 Equivalents</w:t>
      </w:r>
      <w:r>
        <w:rPr>
          <w:rFonts w:ascii="Times New Roman" w:hAnsi="Times New Roman"/>
          <w:sz w:val="20"/>
        </w:rPr>
        <w:t xml:space="preserve">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Counsel</w:t>
      </w:r>
      <w:r>
        <w:rPr>
          <w:rFonts w:ascii="Times New Roman" w:hAnsi="Times New Roman"/>
          <w:sz w:val="20"/>
        </w:rPr>
        <w:t xml:space="preserve"> means Cooley LLP, with offices located at 1700 Seventh Avenue, Suite 1900, Seattle, Washington 98101.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Disclosure Time</w:t>
      </w:r>
      <w:r>
        <w:rPr>
          <w:rFonts w:ascii="Times New Roman" w:hAnsi="Times New Roman"/>
          <w:sz w:val="20"/>
        </w:rPr>
        <w:t xml:space="preserve">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Evaluation Date</w:t>
      </w:r>
      <w:r>
        <w:rPr>
          <w:rFonts w:ascii="Times New Roman" w:hAnsi="Times New Roman"/>
          <w:sz w:val="20"/>
        </w:rPr>
        <w:t xml:space="preserve"> shall have the meaning ascribed to such term in Section 3.1(s).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Exempt Issuance</w:t>
      </w:r>
      <w:r>
        <w:rPr>
          <w:rFonts w:ascii="Times New Roman" w:hAnsi="Times New Roman"/>
          <w:sz w:val="20"/>
        </w:rPr>
        <w:t xml:space="preserve"> means the issuance of (a) shares of Common Stock or options to employees, officers or directors of the Company pursuant to any stock or option plan or employee stock purchase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(including, for the avoidance of doubt, those under clause (a)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 under a rights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FCPA</w:t>
      </w:r>
      <w:r>
        <w:rPr>
          <w:rFonts w:ascii="Times New Roman" w:hAnsi="Times New Roman"/>
          <w:sz w:val="20"/>
        </w:rPr>
        <w:t xml:space="preserve"> means the Foreign Corrupt Practices Act of 1977, as amended.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FDA</w:t>
      </w:r>
      <w:r>
        <w:rPr>
          <w:rFonts w:ascii="Times New Roman" w:hAnsi="Times New Roman"/>
          <w:sz w:val="20"/>
        </w:rPr>
        <w:t xml:space="preserve"> shall have the meaning ascribed to such term in Section 3.1(hh).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FDCA</w:t>
      </w:r>
      <w:r>
        <w:rPr>
          <w:rFonts w:ascii="Times New Roman" w:hAnsi="Times New Roman"/>
          <w:sz w:val="20"/>
        </w:rPr>
        <w:t xml:space="preserve"> shall have the meaning ascribed to such term in Section 3.1(hh).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Reserve</w:t>
      </w:r>
      <w:r>
        <w:rPr>
          <w:rFonts w:ascii="Times New Roman" w:hAnsi="Times New Roman"/>
          <w:sz w:val="20"/>
        </w:rPr>
        <w:t xml:space="preserve"> shall have the meaning ascribed to such term in Section 3.1(mm).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shall have the meaning ascribed to such term in Section 3.1(h).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shall have the meaning ascribed to such term in Section 3.1(aa).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 Rights</w:t>
      </w:r>
      <w:r>
        <w:rPr>
          <w:rFonts w:ascii="Times New Roman" w:hAnsi="Times New Roman"/>
          <w:sz w:val="20"/>
        </w:rPr>
        <w:t xml:space="preserve"> shall have the meaning ascribed to such term in Section 3.1(p).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Liens</w:t>
      </w:r>
      <w:r>
        <w:rPr>
          <w:rFonts w:ascii="Times New Roman" w:hAnsi="Times New Roman"/>
          <w:sz w:val="20"/>
        </w:rPr>
        <w:t xml:space="preserve"> means a lien, charge, pledge, security interest, encumbrance, right of first refusal, preemptive right or other restriction.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shall have the meaning assigned to such term in Section 3.1(b).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Permits</w:t>
      </w:r>
      <w:r>
        <w:rPr>
          <w:rFonts w:ascii="Times New Roman" w:hAnsi="Times New Roman"/>
          <w:sz w:val="20"/>
        </w:rPr>
        <w:t xml:space="preserve"> shall have the meaning ascribed to such term in Section 3.1(n).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 Share Purchase Price</w:t>
      </w:r>
      <w:r>
        <w:rPr>
          <w:rFonts w:ascii="Times New Roman" w:hAnsi="Times New Roman"/>
          <w:sz w:val="20"/>
        </w:rPr>
        <w:t xml:space="preserve"> equals $6.25,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Pharmaceutical Product</w:t>
      </w:r>
      <w:r>
        <w:rPr>
          <w:rFonts w:ascii="Times New Roman" w:hAnsi="Times New Roman"/>
          <w:sz w:val="20"/>
        </w:rPr>
        <w:t xml:space="preserve"> shall have the meaning ascribed to such term in Section 3.1(hh).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Placement Agent</w:t>
      </w:r>
      <w:r>
        <w:rPr>
          <w:rFonts w:ascii="Times New Roman" w:hAnsi="Times New Roman"/>
          <w:sz w:val="20"/>
        </w:rPr>
        <w:t xml:space="preserve"> means H.C. Wainwright &amp; Co., LLC.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Prefunded Warrant</w:t>
      </w:r>
      <w:r>
        <w:rPr>
          <w:rFonts w:ascii="Times New Roman" w:hAnsi="Times New Roman"/>
          <w:sz w:val="20"/>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Prefunded Warrant Shares</w:t>
      </w:r>
      <w:r>
        <w:rPr>
          <w:rFonts w:ascii="Times New Roman" w:hAnsi="Times New Roman"/>
          <w:sz w:val="20"/>
        </w:rPr>
        <w:t xml:space="preserve"> means the shares of Common Stock issuable upon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Proceeding</w:t>
      </w:r>
      <w:r>
        <w:rPr>
          <w:rFonts w:ascii="Times New Roman" w:hAnsi="Times New Roman"/>
          <w:sz w:val="20"/>
        </w:rPr>
        <w:t xml:space="preserve"> means an action, claim, suit, investigation or proceeding (including, without limitation, an informal investigation or partial proceeding, such as a deposition), pending or, to the Companys knowledge, threatened in writing against the Company, any Subsidiary or any of their respective properties before or by any court, arbitrator, governmental or administrative agency or regulatory authority (federal, state, county, local or foreign).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means the base prospectus filed for the Registration Statement, including all information, documents and exhibits filed with or incorporated by reference into such prospectus.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Prospectus Supplement</w:t>
      </w:r>
      <w:r>
        <w:rPr>
          <w:rFonts w:ascii="Times New Roman" w:hAnsi="Times New Roman"/>
          <w:sz w:val="20"/>
        </w:rPr>
        <w:t xml:space="preserve">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Purchaser Party</w:t>
      </w:r>
      <w:r>
        <w:rPr>
          <w:rFonts w:ascii="Times New Roman" w:hAnsi="Times New Roman"/>
          <w:sz w:val="20"/>
        </w:rPr>
        <w:t xml:space="preserve"> shall have the meaning ascribed to such term in Section 4.8.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means the effective registration statement on Form S-3 (File No. 333-280918) filed with the Commission, including all information, documents and exhibits filed with or incorporated by reference into such registration statement, which registers the issuance and sale of the Securities to the Purchasers.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Approvals</w:t>
      </w:r>
      <w:r>
        <w:rPr>
          <w:rFonts w:ascii="Times New Roman" w:hAnsi="Times New Roman"/>
          <w:sz w:val="20"/>
        </w:rPr>
        <w:t xml:space="preserve"> shall have the meaning ascribed to such term in Section 3.1(c).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w:t>
      </w:r>
      <w:r>
        <w:rPr>
          <w:rFonts w:ascii="Times New Roman" w:hAnsi="Times New Roman"/>
          <w:sz w:val="20"/>
        </w:rPr>
        <w:t xml:space="preserve"> means Rule 144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424</w:t>
      </w:r>
      <w:r>
        <w:rPr>
          <w:rFonts w:ascii="Times New Roman" w:hAnsi="Times New Roman"/>
          <w:sz w:val="20"/>
        </w:rPr>
        <w:t xml:space="preserve"> means Rule 424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 Reports</w:t>
      </w:r>
      <w:r>
        <w:rPr>
          <w:rFonts w:ascii="Times New Roman" w:hAnsi="Times New Roman"/>
          <w:sz w:val="20"/>
        </w:rPr>
        <w:t xml:space="preserve"> shall have the meaning ascribed to such term in Section 3.1(h).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w:t>
      </w:r>
      <w:r>
        <w:rPr>
          <w:rFonts w:ascii="Times New Roman" w:hAnsi="Times New Roman"/>
          <w:sz w:val="20"/>
        </w:rPr>
        <w:t xml:space="preserve"> means the Shares, the Prefunded Warrants, and the Prefunded Warrant Shares.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Shares</w:t>
      </w:r>
      <w:r>
        <w:rPr>
          <w:rFonts w:ascii="Times New Roman" w:hAnsi="Times New Roman"/>
          <w:sz w:val="20"/>
        </w:rPr>
        <w:t xml:space="preserve"> means the shares of Common Stock issued or issuable to each Purchaser pursuant to this Agreement, but excluding the Prefunded Warrant Shares.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Short Sales</w:t>
      </w:r>
      <w:r>
        <w:rPr>
          <w:rFonts w:ascii="Times New Roman" w:hAnsi="Times New Roman"/>
          <w:sz w:val="20"/>
        </w:rPr>
        <w:t> means all short sales as defined in Rule 200 of Regulation SHO under the Exchange Act (but shall not be deemed to include locating and/or borrowing shares of Common Stock).</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Subscription Amount</w:t>
      </w:r>
      <w:r>
        <w:rPr>
          <w:rFonts w:ascii="Times New Roman" w:hAnsi="Times New Roman"/>
          <w:sz w:val="20"/>
        </w:rPr>
        <w:t xml:space="preserve"> means, as to each Purchaser, the aggregate amount to be paid for the Shares and the Prefunded Warrants, if applicable,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any subsidiary of the Company as set forth in the SEC Reports, and shall, where applicable, also include any direct or indirect subsidiary of the Company formed or acquired after the date hereof.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Day</w:t>
      </w:r>
      <w:r>
        <w:rPr>
          <w:rFonts w:ascii="Times New Roman" w:hAnsi="Times New Roman"/>
          <w:sz w:val="20"/>
        </w:rPr>
        <w:t xml:space="preserve"> means a day on which the principal Trading Market is open for trading.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this Agreement, the Prefunded Warrants, all exhibits and schedules thereto and hereto and any other documents or agreements executed in connection with the transactions contemplated 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Agent</w:t>
      </w:r>
      <w:r>
        <w:rPr>
          <w:rFonts w:ascii="Times New Roman" w:hAnsi="Times New Roman"/>
          <w:sz w:val="20"/>
        </w:rPr>
        <w:t xml:space="preserve"> means Computershare Trust Company, N.A., the current transfer agent of the Company, with a mailing address of 150 Royall Street, Canton, Massachusetts 02021, and any successor transfer agent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Closing</w:t>
      </w:r>
      <w:r>
        <w:rPr>
          <w:rFonts w:ascii="Times New Roman" w:hAnsi="Times New Roman"/>
          <w:sz w:val="20"/>
        </w:rPr>
        <w:t xml:space="preserve">. On the Closing Date, upon the terms and subject to the conditions set forth herein, the Company agrees to sell, and the Purchasers, severally and not jointly, agree to purchase, up to an aggregate of $4,618,750 of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w:t>
      </w:r>
      <w:r>
        <w:rPr>
          <w:rFonts w:ascii="Times New Roman" w:hAnsi="Times New Roman"/>
          <w:sz w:val="20"/>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 w:hAnsi="Times New Roman"/>
          <w:sz w:val="20"/>
          <w:u w:val="single"/>
        </w:rPr>
        <w:t>Beneficial Ownership Limitation</w:t>
      </w:r>
      <w:r>
        <w:rPr>
          <w:rFonts w:ascii="Times New Roman" w:hAnsi="Times New Roman"/>
          <w:sz w:val="20"/>
        </w:rPr>
        <w:t>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Purchasers Subscription Amount as set forth on the signature page hereto executed by such Purchaser shall be made available for Delivery Versus Payment (</w:t>
      </w:r>
      <w:r>
        <w:rPr>
          <w:rFonts w:ascii="Times New Roman" w:hAnsi="Times New Roman"/>
          <w:sz w:val="20"/>
          <w:u w:val="single"/>
        </w:rPr>
        <w:t>DVP</w:t>
      </w:r>
      <w:r>
        <w:rPr>
          <w:rFonts w:ascii="Times New Roman" w:hAnsi="Times New Roman"/>
          <w:sz w:val="20"/>
        </w:rPr>
        <w:t xml:space="preserve">) settlement with the Company or its designee. The Company shall deliver to each Purchaser its respective Shares (and, if applicable, a Prefunded Warrant)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transmission of the Closing documentation.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Deliveries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On or prior to the Closing Date, the Company shall deliver or cause to be delivered to each Purchaser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duly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legal opinions of Company Counsel, directed to the Placement Agent and the Purchasers, in form and substance reasonably acceptable to the Placement Agent and the Purchasers,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shall have provided each Purchaser with the Companys wire instructions, on Company letterhead and executed by the Chief Executive Officer or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subject to Section 2.1, a copy of the irrevocable instructions to the Transfer Agent instructing the Transfer Agent to deliver on an expedited basis via The Depository Trust Company Deposit or Withdrawal at Custodian system (</w:t>
      </w:r>
      <w:r>
        <w:rPr>
          <w:rFonts w:ascii="Times New Roman" w:hAnsi="Times New Roman"/>
          <w:sz w:val="20"/>
          <w:u w:val="single"/>
        </w:rPr>
        <w:t>DWAC</w:t>
      </w:r>
      <w:r>
        <w:rPr>
          <w:rFonts w:ascii="Times New Roman" w:hAnsi="Times New Roman"/>
          <w:sz w:val="20"/>
        </w:rPr>
        <w:t xml:space="preserve">) Shares equal to such Purchasers Subscription Amount divided by the Per Share Purchase Price (minus the number of shares of Common Stock issuable upon exercise of such Purchasers Prefunded Warrants, if applicable), registered in the name of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(v) 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minus $0.001, with an exercise price equal to $0.001, subject to adjustment therein; and </w:t>
      </w:r>
    </w:p>
    <w:p>
      <w:pPr>
        <w:pStyle w:val="TextBody"/>
        <w:bidi w:val="0"/>
        <w:spacing w:before="120" w:after="0"/>
        <w:jc w:val="left"/>
        <w:rPr>
          <w:rFonts w:ascii="Times New Roman" w:hAnsi="Times New Roman"/>
          <w:sz w:val="20"/>
        </w:rPr>
      </w:pPr>
      <w:r>
        <w:rPr>
          <w:rFonts w:ascii="Times New Roman" w:hAnsi="Times New Roman"/>
          <w:sz w:val="20"/>
        </w:rPr>
        <w:t xml:space="preserve">(vi) the Prospectus and Prospectus Supplement (which may be delivered in accordance with Rule 172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(b) On or prior to the Closing Date, each Purchaser shall deliver or cause to be delivered to the Company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duly executed by such Purchaser; and </w:t>
      </w:r>
    </w:p>
    <w:p>
      <w:pPr>
        <w:pStyle w:val="TextBody"/>
        <w:bidi w:val="0"/>
        <w:spacing w:before="120" w:after="0"/>
        <w:jc w:val="left"/>
        <w:rPr>
          <w:rFonts w:ascii="Times New Roman" w:hAnsi="Times New Roman"/>
          <w:sz w:val="20"/>
        </w:rPr>
      </w:pPr>
      <w:r>
        <w:rPr>
          <w:rFonts w:ascii="Times New Roman" w:hAnsi="Times New Roman"/>
          <w:sz w:val="20"/>
        </w:rPr>
        <w:t xml:space="preserve">(ii) such Purchasers Subscription Amount (minus, if applicable, a Purchasers aggregate exercise price of the Prefunded Warrants, which amounts shall be paid as and when such Prefunded Warrants are exercised for cash), which shall be made available for DVP settlement with the Company or its designee.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Closing Conditions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obligations of the Company hereunder in connection with the Closing are subject to the following conditions being met: </w:t>
      </w:r>
    </w:p>
    <w:p>
      <w:pPr>
        <w:pStyle w:val="TextBody"/>
        <w:bidi w:val="0"/>
        <w:spacing w:before="120" w:after="0"/>
        <w:jc w:val="left"/>
        <w:rPr>
          <w:rFonts w:ascii="Times New Roman" w:hAnsi="Times New Roman"/>
          <w:sz w:val="20"/>
        </w:rPr>
      </w:pPr>
      <w:r>
        <w:rPr>
          <w:rFonts w:ascii="Times New Roman" w:hAnsi="Times New Roman"/>
          <w:sz w:val="20"/>
        </w:rPr>
        <w:t xml:space="preserve">(i)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(ii) all obligations, covenants and agreements of each Purchaser required to be performed at or prior to the Closing Date shall have been performed; and </w:t>
      </w:r>
    </w:p>
    <w:p>
      <w:pPr>
        <w:pStyle w:val="TextBody"/>
        <w:bidi w:val="0"/>
        <w:spacing w:before="120" w:after="0"/>
        <w:jc w:val="left"/>
        <w:rPr>
          <w:rFonts w:ascii="Times New Roman" w:hAnsi="Times New Roman"/>
          <w:sz w:val="20"/>
        </w:rPr>
      </w:pPr>
      <w:r>
        <w:rPr>
          <w:rFonts w:ascii="Times New Roman" w:hAnsi="Times New Roman"/>
          <w:sz w:val="20"/>
        </w:rPr>
        <w:t xml:space="preserve">(iii) the delivery by each Purchaser of the items set forth in Section 2.2(b)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respective obligations of the Purchasers hereunder in connection with the Closing are subject to the following conditions being met: </w:t>
      </w:r>
    </w:p>
    <w:p>
      <w:pPr>
        <w:pStyle w:val="TextBody"/>
        <w:bidi w:val="0"/>
        <w:spacing w:before="120" w:after="0"/>
        <w:jc w:val="left"/>
        <w:rPr>
          <w:rFonts w:ascii="Times New Roman" w:hAnsi="Times New Roman"/>
          <w:sz w:val="20"/>
        </w:rPr>
      </w:pPr>
      <w:r>
        <w:rPr>
          <w:rFonts w:ascii="Times New Roman" w:hAnsi="Times New Roman"/>
          <w:sz w:val="20"/>
        </w:rPr>
        <w:t xml:space="preserve">(i)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(ii) all obligations, covenants and agreements of the Company required to be performed at or prior to the Closing Date shall have been performed; </w:t>
      </w:r>
    </w:p>
    <w:p>
      <w:pPr>
        <w:pStyle w:val="TextBody"/>
        <w:bidi w:val="0"/>
        <w:spacing w:before="120" w:after="0"/>
        <w:jc w:val="left"/>
        <w:rPr>
          <w:rFonts w:ascii="Times New Roman" w:hAnsi="Times New Roman"/>
          <w:sz w:val="20"/>
        </w:rPr>
      </w:pPr>
      <w:r>
        <w:rPr>
          <w:rFonts w:ascii="Times New Roman" w:hAnsi="Times New Roman"/>
          <w:sz w:val="20"/>
        </w:rPr>
        <w:t xml:space="preserve">(iii) the delivery by the Company of the items set forth in Section 2.2(a)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there shall have been no Material Adverse Effect with respect to the Company since the date hereof; and </w:t>
      </w:r>
    </w:p>
    <w:p>
      <w:pPr>
        <w:pStyle w:val="TextBody"/>
        <w:bidi w:val="0"/>
        <w:spacing w:before="120" w:after="0"/>
        <w:jc w:val="left"/>
        <w:rPr>
          <w:rFonts w:ascii="Times New Roman" w:hAnsi="Times New Roman"/>
          <w:sz w:val="20"/>
        </w:rPr>
      </w:pPr>
      <w:r>
        <w:rPr>
          <w:rFonts w:ascii="Times New Roman" w:hAnsi="Times New Roman"/>
          <w:sz w:val="20"/>
        </w:rPr>
        <w:t xml:space="preserve">(v)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Representations and Warranties of the Company</w:t>
      </w:r>
      <w:r>
        <w:rPr>
          <w:rFonts w:ascii="Times New Roman" w:hAnsi="Times New Roman"/>
          <w:sz w:val="20"/>
        </w:rPr>
        <w:t xml:space="preserve">. Except as set forth in the SEC Reports, the Company hereby makes the following representations and warranties to each Purchaser: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Subsidiaries</w:t>
      </w:r>
      <w:r>
        <w:rPr>
          <w:rFonts w:ascii="Times New Roman" w:hAnsi="Times New Roman"/>
          <w:sz w:val="20"/>
        </w:rPr>
        <w:t xml:space="preserve">.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Organization and Qualification</w:t>
      </w:r>
      <w:r>
        <w:rPr>
          <w:rFonts w:ascii="Times New Roman" w:hAnsi="Times New Roman"/>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sz w:val="20"/>
          <w:u w:val="single"/>
        </w:rPr>
        <w:t>Material Adverse Effect</w:t>
      </w:r>
      <w:r>
        <w:rPr>
          <w:rFonts w:ascii="Times New Roman" w:hAnsi="Times New Roman"/>
          <w:sz w:val="20"/>
        </w:rPr>
        <w:t xml:space="preserve">); provided that a change in the market price or trading volume in the Common Stock alone shall not be deemed, in and of itself, to constitute a Material Adverse Effect. No Proceeding has been instituted in any such jurisdiction revoking, limiting or curtailing or seeking to revoke, limit or curtail such power and authority or qualification.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Enforcement</w:t>
      </w:r>
      <w:r>
        <w:rPr>
          <w:rFonts w:ascii="Times New Roman" w:hAnsi="Times New Roman"/>
          <w:sz w:val="20"/>
        </w:rPr>
        <w:t xml:space="preserve">.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Conflicts</w:t>
      </w:r>
      <w:r>
        <w:rPr>
          <w:rFonts w:ascii="Times New Roman" w:hAnsi="Times New Roman"/>
          <w:sz w:val="20"/>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Filings, Consents and Approvals</w:t>
      </w:r>
      <w:r>
        <w:rPr>
          <w:rFonts w:ascii="Times New Roman" w:hAnsi="Times New Roman"/>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the Prefunded Warrant Shares for trading thereon in the time and manner required thereby, and (iv) such filings as are required to be made under applicable state securities laws (collectively, the </w:t>
      </w:r>
      <w:r>
        <w:rPr>
          <w:rFonts w:ascii="Times New Roman" w:hAnsi="Times New Roman"/>
          <w:sz w:val="20"/>
          <w:u w:val="single"/>
        </w:rPr>
        <w:t>Required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Issuance of the Securities; Registration</w:t>
      </w:r>
      <w:r>
        <w:rPr>
          <w:rFonts w:ascii="Times New Roman" w:hAnsi="Times New Roman"/>
          <w:sz w:val="20"/>
        </w:rPr>
        <w:t xml:space="preserve">. The Securities are duly authorized and, when issued and paid for in accordance with the applicable Transaction Documents, will be duly and validly issued, fully paid and nonassessable, free and clear of all Liens imposed by the Company. The Prefunded Warrants, when paid for and issued in accordance with this Agreement, will constitute valid and binding obligations of the Company, enforceable against the Company in accordance with their respective terms, except as such enforceability may be limited by bankruptcy, insolvency, reorganization or similar laws affecting the rights of creditors generally and subject to general principles of equity. The Company has prepared and filed the Registration Statement in conformity with the requirements of the Securities Act, which became effective on January 27,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Capitalization</w:t>
      </w:r>
      <w:r>
        <w:rPr>
          <w:rFonts w:ascii="Times New Roman" w:hAnsi="Times New Roman"/>
          <w:sz w:val="20"/>
        </w:rPr>
        <w:t xml:space="preserve">. The capitalization of the Company as of the date hereof is as set forth in the SEC Reports. The Company has not issued any capital stock since its most recently filed periodic report under the Exchange Act, other than pursuant to the exercise of employee stock options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 Reports; Financial Statements</w:t>
      </w:r>
      <w:r>
        <w:rPr>
          <w:rFonts w:ascii="Times New Roman" w:hAnsi="Times New Roman"/>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hAnsi="Times New Roman"/>
          <w:sz w:val="20"/>
          <w:u w:val="single"/>
        </w:rPr>
        <w:t>SEC Reports</w:t>
      </w:r>
      <w:r>
        <w:rPr>
          <w:rFonts w:ascii="Times New Roman" w:hAnsi="Times New Roman"/>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sz w:val="20"/>
          <w:u w:val="single"/>
        </w:rPr>
        <w:t>GAAP</w:t>
      </w:r>
      <w:r>
        <w:rPr>
          <w:rFonts w:ascii="Times New Roman" w:hAnsi="Times New Roman"/>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Material Changes; Undisclosed Events, Liabilities or Developments</w:t>
      </w:r>
      <w:r>
        <w:rPr>
          <w:rFonts w:ascii="Times New Roman" w:hAnsi="Times New Roman"/>
          <w:sz w:val="20"/>
        </w:rPr>
        <w:t xml:space="preserve">.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Commission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Litigation</w:t>
      </w:r>
      <w:r>
        <w:rPr>
          <w:rFonts w:ascii="Times New Roman" w:hAnsi="Times New Roman"/>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sz w:val="20"/>
          <w:u w:val="single"/>
        </w:rPr>
        <w:t>Action</w:t>
      </w:r>
      <w:r>
        <w:rPr>
          <w:rFonts w:ascii="Times New Roman" w:hAnsi="Times New Roman"/>
          <w:sz w:val="20"/>
        </w:rPr>
        <w:t xml:space="preserve">). No Action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Labor Relations</w:t>
      </w:r>
      <w:r>
        <w:rPr>
          <w:rFonts w:ascii="Times New Roman" w:hAnsi="Times New Roman"/>
          <w:sz w:val="20"/>
        </w:rPr>
        <w:t xml:space="preserve">.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Compliance</w:t>
      </w:r>
      <w:r>
        <w:rPr>
          <w:rFonts w:ascii="Times New Roman" w:hAnsi="Times New Roman"/>
          <w:sz w:val="20"/>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Environmental Laws</w:t>
      </w:r>
      <w:r>
        <w:rPr>
          <w:rFonts w:ascii="Times New Roman" w:hAnsi="Times New Roman"/>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sz w:val="20"/>
          <w:u w:val="single"/>
        </w:rPr>
        <w:t>Hazardous Materials</w:t>
      </w:r>
      <w:r>
        <w:rPr>
          <w:rFonts w:ascii="Times New Roman" w:hAnsi="Times New Roman"/>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sz w:val="20"/>
          <w:u w:val="single"/>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Regulatory Permits</w:t>
      </w:r>
      <w:r>
        <w:rPr>
          <w:rFonts w:ascii="Times New Roman" w:hAnsi="Times New Roman"/>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sz w:val="20"/>
          <w:u w:val="single"/>
        </w:rPr>
        <w:t>Material Permits</w:t>
      </w:r>
      <w:r>
        <w:rPr>
          <w:rFonts w:ascii="Times New Roman" w:hAnsi="Times New Roman"/>
          <w:sz w:val="20"/>
        </w:rPr>
        <w:t xml:space="preserve">), and neither the Company nor any Subsidiary has received any notice of proceedings relating to the revocation or modification of any Material Permit.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Title to Assets</w:t>
      </w:r>
      <w:r>
        <w:rPr>
          <w:rFonts w:ascii="Times New Roman" w:hAnsi="Times New Roman"/>
          <w:sz w:val="20"/>
        </w:rPr>
        <w:t xml:space="preserve">.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Intellectual Property</w:t>
      </w:r>
      <w:r>
        <w:rPr>
          <w:rFonts w:ascii="Times New Roman" w:hAnsi="Times New Roman"/>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sz w:val="20"/>
          <w:u w:val="single"/>
        </w:rPr>
        <w:t>Intellectual Property Rights</w:t>
      </w:r>
      <w:r>
        <w:rPr>
          <w:rFonts w:ascii="Times New Roman" w:hAnsi="Times New Roman"/>
          <w:sz w:val="20"/>
        </w:rPr>
        <w:t xml:space="preserve">).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Insurance</w:t>
      </w:r>
      <w:r>
        <w:rPr>
          <w:rFonts w:ascii="Times New Roman" w:hAnsi="Times New Roman"/>
          <w:sz w:val="20"/>
        </w:rPr>
        <w:t xml:space="preserve">.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Transactions With Affiliates and Employees</w:t>
      </w:r>
      <w:r>
        <w:rPr>
          <w:rFonts w:ascii="Times New Roman" w:hAnsi="Times New Roman"/>
          <w:sz w:val="20"/>
        </w:rPr>
        <w:t xml:space="preserve">.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Sarbanes-Oxley; Internal Accounting Controls</w:t>
      </w:r>
      <w:r>
        <w:rPr>
          <w:rFonts w:ascii="Times New Roman" w:hAnsi="Times New Roman"/>
          <w:sz w:val="20"/>
        </w:rPr>
        <w:t>. The Company and the Subsidiaries are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sz w:val="20"/>
          <w:u w:val="single"/>
        </w:rPr>
        <w:t>Evaluation Date</w:t>
      </w:r>
      <w:r>
        <w:rPr>
          <w:rFonts w:ascii="Times New Roman" w:hAnsi="Times New Roman"/>
          <w:sz w:val="20"/>
        </w:rPr>
        <w:t xml:space="preserv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Certain Fees</w:t>
      </w:r>
      <w:r>
        <w:rPr>
          <w:rFonts w:ascii="Times New Roman" w:hAnsi="Times New Roman"/>
          <w:sz w:val="20"/>
        </w:rPr>
        <w:t xml:space="preserve">. Except for compensation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Investment Company</w:t>
      </w:r>
      <w:r>
        <w:rPr>
          <w:rFonts w:ascii="Times New Roman" w:hAnsi="Times New Roman"/>
          <w:sz w:val="20"/>
        </w:rPr>
        <w:t xml:space="preserve">. The Company is not immediately after receipt of payment for the Securities, will not be, an investment company within the meaning of the Investment Company Act of 1940, as amended. The Company shall conduct its business in a manner so that it will not become an investment company subject to registration under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Registration Rights</w:t>
      </w:r>
      <w:r>
        <w:rPr>
          <w:rFonts w:ascii="Times New Roman" w:hAnsi="Times New Roman"/>
          <w:sz w:val="20"/>
        </w:rPr>
        <w:t xml:space="preserve">. No Person has any right to cause the Company or any Subsidiary to effect the registration under the Securities Act of any securities of the Company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Listing and Maintenance Requirements</w:t>
      </w:r>
      <w:r>
        <w:rPr>
          <w:rFonts w:ascii="Times New Roman" w:hAnsi="Times New Roman"/>
          <w:sz w:val="20"/>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disclosed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Application of Takeover Protections</w:t>
      </w:r>
      <w:r>
        <w:rPr>
          <w:rFonts w:ascii="Times New Roman" w:hAnsi="Times New Roman"/>
          <w:sz w:val="20"/>
        </w:rPr>
        <w:t xml:space="preserve">.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Disclosure</w:t>
      </w:r>
      <w:r>
        <w:rPr>
          <w:rFonts w:ascii="Times New Roman" w:hAnsi="Times New Roman"/>
          <w:sz w:val="20"/>
        </w:rPr>
        <w:t xml:space="preserve">.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No Integrated Offering</w:t>
      </w:r>
      <w:r>
        <w:rPr>
          <w:rFonts w:ascii="Times New Roman" w:hAnsi="Times New Roman"/>
          <w:sz w:val="20"/>
        </w:rPr>
        <w:t xml:space="preserve">.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Solvency</w:t>
      </w:r>
      <w:r>
        <w:rPr>
          <w:rFonts w:ascii="Times New Roman" w:hAnsi="Times New Roman"/>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hAnsi="Times New Roman"/>
          <w:sz w:val="20"/>
          <w:u w:val="single"/>
        </w:rPr>
        <w:t>The SEC Reports</w:t>
      </w:r>
      <w:r>
        <w:rPr>
          <w:rFonts w:ascii="Times New Roman" w:hAnsi="Times New Roman"/>
          <w:sz w:val="20"/>
        </w:rPr>
        <w:t xml:space="preserve"> set forth as of the date hereof all outstanding secured and unsecured Indebtedness of the Company or any Subsidiary, or for which the Company or any Subsidiary has commitments. For the purposes of this Agreement, </w:t>
      </w:r>
      <w:r>
        <w:rPr>
          <w:rFonts w:ascii="Times New Roman" w:hAnsi="Times New Roman"/>
          <w:sz w:val="20"/>
          <w:u w:val="single"/>
        </w:rPr>
        <w:t>Indebtedness</w:t>
      </w:r>
      <w:r>
        <w:rPr>
          <w:rFonts w:ascii="Times New Roman" w:hAnsi="Times New Roman"/>
          <w:sz w:val="20"/>
        </w:rPr>
        <w:t xml:space="preserve">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Tax Status</w:t>
      </w:r>
      <w:r>
        <w:rPr>
          <w:rFonts w:ascii="Times New Roman" w:hAnsi="Times New Roman"/>
          <w:sz w:val="20"/>
        </w:rPr>
        <w:t xml:space="preserve">.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Foreign Corrupt Practices</w:t>
      </w:r>
      <w:r>
        <w:rPr>
          <w:rFonts w:ascii="Times New Roman" w:hAnsi="Times New Roman"/>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Accountants</w:t>
      </w:r>
      <w:r>
        <w:rPr>
          <w:rFonts w:ascii="Times New Roman" w:hAnsi="Times New Roman"/>
          <w:sz w:val="20"/>
        </w:rPr>
        <w:t xml:space="preserve">.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Acknowledgment Regarding Purchasers Purchase of Securities</w:t>
      </w:r>
      <w:r>
        <w:rPr>
          <w:rFonts w:ascii="Times New Roman" w:hAnsi="Times New Roman"/>
          <w:sz w:val="20"/>
        </w:rPr>
        <w:t xml:space="preserve">.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Acknowledgment Regarding Purchasers Trading Activity</w:t>
      </w:r>
      <w:r>
        <w:rPr>
          <w:rFonts w:ascii="Times New Roman" w:hAnsi="Times New Roman"/>
          <w:sz w:val="20"/>
        </w:rPr>
        <w:t xml:space="preserve">.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Regulation M Compliance</w:t>
      </w:r>
      <w:r>
        <w:rPr>
          <w:rFonts w:ascii="Times New Roman" w:hAnsi="Times New Roman"/>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FDA</w:t>
      </w:r>
      <w:r>
        <w:rPr>
          <w:rFonts w:ascii="Times New Roman" w:hAnsi="Times New Roman"/>
          <w:sz w:val="20"/>
        </w:rPr>
        <w:t>. As to each product subject to the jurisdiction of the U.S. Food and Drug Administration (</w:t>
      </w:r>
      <w:r>
        <w:rPr>
          <w:rFonts w:ascii="Times New Roman" w:hAnsi="Times New Roman"/>
          <w:sz w:val="20"/>
          <w:u w:val="single"/>
        </w:rPr>
        <w:t>FDA</w:t>
      </w:r>
      <w:r>
        <w:rPr>
          <w:rFonts w:ascii="Times New Roman" w:hAnsi="Times New Roman"/>
          <w:sz w:val="20"/>
        </w:rPr>
        <w:t>) under the Federal Food, Drug and Cosmetic Act, as amended, and the regulations thereunder (</w:t>
      </w:r>
      <w:r>
        <w:rPr>
          <w:rFonts w:ascii="Times New Roman" w:hAnsi="Times New Roman"/>
          <w:sz w:val="20"/>
          <w:u w:val="single"/>
        </w:rPr>
        <w:t>FDCA</w:t>
      </w:r>
      <w:r>
        <w:rPr>
          <w:rFonts w:ascii="Times New Roman" w:hAnsi="Times New Roman"/>
          <w:sz w:val="20"/>
        </w:rPr>
        <w:t>) that is manufactured, packaged, labeled, tested, distributed, sold, and/or marketed by the Company or any of its Subsidiaries (each such product, a </w:t>
      </w:r>
      <w:r>
        <w:rPr>
          <w:rFonts w:ascii="Times New Roman" w:hAnsi="Times New Roman"/>
          <w:sz w:val="20"/>
          <w:u w:val="single"/>
        </w:rPr>
        <w:t>Pharmaceutical Product</w:t>
      </w:r>
      <w:r>
        <w:rPr>
          <w:rFonts w:ascii="Times New Roman" w:hAnsi="Times New Roman"/>
          <w:sz w:val="20"/>
        </w:rPr>
        <w:t xml:space="preserve">),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Stock Option Plans</w:t>
      </w:r>
      <w:r>
        <w:rPr>
          <w:rFonts w:ascii="Times New Roman" w:hAnsi="Times New Roman"/>
          <w:sz w:val="20"/>
        </w:rPr>
        <w:t xml:space="preserve">.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Cybersecurity</w:t>
      </w:r>
      <w:r>
        <w:rPr>
          <w:rFonts w:ascii="Times New Roman" w:hAnsi="Times New Roman"/>
          <w:sz w:val="20"/>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sz w:val="20"/>
          <w:u w:val="single"/>
        </w:rPr>
        <w:t>IT Systems and Data</w:t>
      </w:r>
      <w:r>
        <w:rPr>
          <w:rFonts w:ascii="Times New Roman" w:hAnsi="Times New Roman"/>
          <w:sz w:val="20"/>
        </w:rPr>
        <w:t xml:space="preserve">)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Office of Foreign Assets Control</w:t>
      </w:r>
      <w:r>
        <w:rPr>
          <w:rFonts w:ascii="Times New Roman" w:hAnsi="Times New Roman"/>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sz w:val="20"/>
          <w:u w:val="single"/>
        </w:rPr>
        <w:t>OFAC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U.S. Real Property Holding Corporation</w:t>
      </w:r>
      <w:r>
        <w:rPr>
          <w:rFonts w:ascii="Times New Roman" w:hAnsi="Times New Roman"/>
          <w:sz w:val="20"/>
        </w:rPr>
        <w:t xml:space="preserve">. The Company is not and has never been a U.S. real property holding corporation within the meaning of Section 897 of the Internal Revenue Code of 1986, as amended, and the Company shall so certify upon Purchasers request.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Bank Holding Company Act</w:t>
      </w:r>
      <w:r>
        <w:rPr>
          <w:rFonts w:ascii="Times New Roman" w:hAnsi="Times New Roman"/>
          <w:sz w:val="20"/>
        </w:rPr>
        <w:t>. Neither the Company nor any of its Subsidiaries or Affiliates is subject to the Bank Holding Company Act of 1956, as amended (the </w:t>
      </w:r>
      <w:r>
        <w:rPr>
          <w:rFonts w:ascii="Times New Roman" w:hAnsi="Times New Roman"/>
          <w:sz w:val="20"/>
          <w:u w:val="single"/>
        </w:rPr>
        <w:t>BHCA</w:t>
      </w:r>
      <w:r>
        <w:rPr>
          <w:rFonts w:ascii="Times New Roman" w:hAnsi="Times New Roman"/>
          <w:sz w:val="20"/>
        </w:rPr>
        <w:t>) and to regulation by the Board of Governors of the Federal Reserve System (the </w:t>
      </w:r>
      <w:r>
        <w:rPr>
          <w:rFonts w:ascii="Times New Roman" w:hAnsi="Times New Roman"/>
          <w:sz w:val="20"/>
          <w:u w:val="single"/>
        </w:rPr>
        <w:t>Federal Reserve</w:t>
      </w:r>
      <w:r>
        <w:rPr>
          <w:rFonts w:ascii="Times New Roman" w:hAnsi="Times New Roman"/>
          <w:sz w:val="20"/>
        </w:rPr>
        <w:t xml:space="p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Money Laundering</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sz w:val="20"/>
          <w:u w:val="single"/>
        </w:rPr>
        <w:t>Money Laundering Laws</w:t>
      </w:r>
      <w:r>
        <w:rPr>
          <w:rFonts w:ascii="Times New Roman" w:hAnsi="Times New Roman"/>
          <w:sz w:val="20"/>
        </w:rPr>
        <w:t xml:space="preserve">), and no Action or Proceeding by or before any court or governmental agency, authority or body or any arbitrator involving the Company or any Subsidiary with respect to the Money Laundering Laws is pending or, to the knowledge of the Company or any Subsidiary, threatened.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Representations and Warranties of the Purchasers</w:t>
      </w:r>
      <w:r>
        <w:rPr>
          <w:rFonts w:ascii="Times New Roman" w:hAnsi="Times New Roman"/>
          <w:sz w:val="20"/>
        </w:rPr>
        <w:t xml:space="preserve">. Each Purchaser, for itself and for no other Purchaser, hereby represents and warrants as of the date hereof and as of the Closing Date to the Company as follows (unless as of a specific date therein, in which case they shall be accurate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Authority</w:t>
      </w:r>
      <w:r>
        <w:rPr>
          <w:rFonts w:ascii="Times New Roman" w:hAnsi="Times New Roman"/>
          <w:sz w:val="20"/>
        </w:rPr>
        <w:t xml:space="preserve">.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Understandings or Arrangements</w:t>
      </w:r>
      <w:r>
        <w:rPr>
          <w:rFonts w:ascii="Times New Roman" w:hAnsi="Times New Roman"/>
          <w:sz w:val="20"/>
        </w:rPr>
        <w:t xml:space="preserve">.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Purchaser Status</w:t>
      </w:r>
      <w:r>
        <w:rPr>
          <w:rFonts w:ascii="Times New Roman" w:hAnsi="Times New Roman"/>
          <w:sz w:val="20"/>
        </w:rPr>
        <w:t xml:space="preserve">. At the time such Purchaser was offered the Securities, it was, and as of the date hereof it is, and on each date on which it exercises any Prefunded Warrants, it will be either: (i) an accredited investor as defined in Rule 501(a)(1), (a)(2), (a)(3), (a)(7), (a)(8), (a)(9), (a)(12), or (a)(13) under the Securities Act or (ii) a qualified institutional buyer as defined in Rule 144A(a)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Experience of Such Purchaser</w:t>
      </w:r>
      <w:r>
        <w:rPr>
          <w:rFonts w:ascii="Times New Roman" w:hAnsi="Times New Roman"/>
          <w:sz w:val="20"/>
        </w:rPr>
        <w:t xml:space="preserve">.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Access to Information</w:t>
      </w:r>
      <w:r>
        <w:rPr>
          <w:rFonts w:ascii="Times New Roman" w:hAnsi="Times New Roman"/>
          <w:sz w:val="20"/>
        </w:rPr>
        <w:t xml:space="preserve">.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Transactions and Confidentiality</w:t>
      </w:r>
      <w:r>
        <w:rPr>
          <w:rFonts w:ascii="Times New Roman" w:hAnsi="Times New Roman"/>
          <w:sz w:val="20"/>
        </w:rPr>
        <w:t xml:space="preserve">.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OTHER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Shares and Prefunded Warrant Shares.</w:t>
      </w:r>
      <w:r>
        <w:rPr>
          <w:rFonts w:ascii="Times New Roman" w:hAnsi="Times New Roman"/>
          <w:sz w:val="20"/>
        </w:rPr>
        <w:t xml:space="preserve"> The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its reasonable best efforts to keep a registration statement (including the Registration Statement) registering the issuance or resale of the Prefunded Warrant Shares effective during the term of the Prefunded Warrants, provided that any Prefunded Warrants remain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Furnishing of Information</w:t>
      </w:r>
      <w:r>
        <w:rPr>
          <w:rFonts w:ascii="Times New Roman" w:hAnsi="Times New Roman"/>
          <w:sz w:val="20"/>
        </w:rPr>
        <w:t>. Until the time no Purchaser owns Securities, the Company covenants to timely file (or obtain extensions in respect thereof and file within the applicable grace period) all reports required to be filed by the Company after the date hereof pursuant to the Exchange Act.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Integration</w:t>
      </w:r>
      <w:r>
        <w:rPr>
          <w:rFonts w:ascii="Times New Roman" w:hAnsi="Times New Roman"/>
          <w:sz w:val="20"/>
        </w:rPr>
        <w:t xml:space="preserve">.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Securities Laws Disclosure; Publicity</w:t>
      </w:r>
      <w:r>
        <w:rPr>
          <w:rFonts w:ascii="Times New Roman" w:hAnsi="Times New Roman"/>
          <w:sz w:val="20"/>
        </w:rPr>
        <w:t xml:space="preserve">.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Shareholder Rights Plan</w:t>
      </w:r>
      <w:r>
        <w:rPr>
          <w:rFonts w:ascii="Times New Roman" w:hAnsi="Times New Roman"/>
          <w:sz w:val="20"/>
        </w:rPr>
        <w:t>. No claim will be made or enforced by the Company or, with the consent of the Company, any other Person, that any Purchaser is an </w:t>
      </w:r>
      <w:r>
        <w:rPr>
          <w:rFonts w:ascii="Times New Roman" w:hAnsi="Times New Roman"/>
          <w:sz w:val="20"/>
          <w:u w:val="single"/>
        </w:rPr>
        <w:t>Acquiring Person</w:t>
      </w:r>
      <w:r>
        <w:rPr>
          <w:rFonts w:ascii="Times New Roman" w:hAnsi="Times New Roman"/>
          <w:sz w:val="20"/>
        </w:rPr>
        <w:t xml:space="preserve">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Non-Public Information</w:t>
      </w:r>
      <w:r>
        <w:rPr>
          <w:rFonts w:ascii="Times New Roman" w:hAnsi="Times New Roman"/>
          <w:sz w:val="20"/>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Use of Proceeds</w:t>
      </w:r>
      <w:r>
        <w:rPr>
          <w:rFonts w:ascii="Times New Roman" w:hAnsi="Times New Roman"/>
          <w:sz w:val="20"/>
        </w:rPr>
        <w:t xml:space="preserve">. The Company shall use the net proceeds from the sale of the Securities as set forth in the Prospectus Supplement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Indemnification of Purchasers</w:t>
      </w:r>
      <w:r>
        <w:rPr>
          <w:rFonts w:ascii="Times New Roman" w:hAnsi="Times New Roman"/>
          <w:sz w:val="20"/>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persons (each, a </w:t>
      </w:r>
      <w:r>
        <w:rPr>
          <w:rFonts w:ascii="Times New Roman" w:hAnsi="Times New Roman"/>
          <w:sz w:val="20"/>
          <w:u w:val="single"/>
        </w:rPr>
        <w:t>Purchaser Party</w:t>
      </w:r>
      <w:r>
        <w:rPr>
          <w:rFonts w:ascii="Times New Roman" w:hAnsi="Times New Roman"/>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Reservation of Common Stock</w:t>
      </w:r>
      <w:r>
        <w:rPr>
          <w:rFonts w:ascii="Times New Roman" w:hAnsi="Times New Roman"/>
          <w:sz w:val="20"/>
        </w:rPr>
        <w:t>. As of the date hereof, the Company has reserved and the Company shall continue to reserve and keep available at all times, free of preemptive rights, a sufficient number of shares of Common Stock for the purpose of enabling the Company to issue the Shares pursuant to this Agreement and the Prefunded Warrant Shares pursuant to any exercise of the Prefunded Warrants.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Listing of Common Stock</w:t>
      </w:r>
      <w:r>
        <w:rPr>
          <w:rFonts w:ascii="Times New Roman" w:hAnsi="Times New Roman"/>
          <w:sz w:val="20"/>
        </w:rPr>
        <w:t xml:space="preserve">. The Company hereby agrees to use commercially reasonable efforts to maintain the listing or quotation of the Common Stock on the Trading Market on which it is currently listed, and concurrently with the Closing, the Company shall apply to list or quote all of the Shares and the Prefunded Warrant Shares on such Trading Market and promptly secure the listing of all of the Shares and the Prefunded Warrant Shares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Trading Market. The Company further agrees, if the Company applies to have the Common Stock traded on any other Trading Market, it will then include in such application all of the Shares and the Prefunded Warrant Shares, and will take such other action as is necessary to cause all of the Shares and the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Subsequent Equity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ninety (90)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other than the Prospectus Supplement, or filing (A) a registration statement on Form S-4 related to a merger, business acquisition or business combination involving the Company, or (B) a registration statement on Form S-8 in connection with any employee benefit plan.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this Section 4.11 shall not apply in respect of an Exempt Issuance.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Equal Treatment of Purchasers</w:t>
      </w:r>
      <w:r>
        <w:rPr>
          <w:rFonts w:ascii="Times New Roman" w:hAnsi="Times New Roman"/>
          <w:sz w:val="20"/>
        </w:rPr>
        <w:t xml:space="preserve">.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Transactions and Confidentiality</w:t>
      </w:r>
      <w:r>
        <w:rPr>
          <w:rFonts w:ascii="Times New Roman" w:hAnsi="Times New Roman"/>
          <w:sz w:val="20"/>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Exercise Procedures</w:t>
      </w:r>
      <w:r>
        <w:rPr>
          <w:rFonts w:ascii="Times New Roman" w:hAnsi="Times New Roman"/>
          <w:sz w:val="20"/>
        </w:rPr>
        <w:t xml:space="preserve">.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the Prefunded Warrant Shares in accordance with the terms, conditions and time periods set forth in the Transaction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Termination</w:t>
      </w:r>
      <w:r>
        <w:rPr>
          <w:rFonts w:ascii="Times New Roman" w:hAnsi="Times New Roman"/>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termination will affect the right of any party to sue for any breach by any other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Fees and Expenses</w:t>
      </w:r>
      <w:r>
        <w:rPr>
          <w:rFonts w:ascii="Times New Roman" w:hAnsi="Times New Roman"/>
          <w:sz w:val="20"/>
        </w:rPr>
        <w:t xml:space="preserve">.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Entire Agreement</w:t>
      </w:r>
      <w:r>
        <w:rPr>
          <w:rFonts w:ascii="Times New Roman" w:hAnsi="Times New Roman"/>
          <w:sz w:val="20"/>
        </w:rPr>
        <w:t xml:space="preserve">.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Amendments; Waivers</w:t>
      </w:r>
      <w:r>
        <w:rPr>
          <w:rFonts w:ascii="Times New Roman" w:hAnsi="Times New Roman"/>
          <w:sz w:val="20"/>
        </w:rPr>
        <w:t xml:space="preserve">.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Agreement and shall not be deemed to limit or affect any of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Third-Party Beneficiaries</w:t>
      </w:r>
      <w:r>
        <w:rPr>
          <w:rFonts w:ascii="Times New Roman" w:hAnsi="Times New Roman"/>
          <w:sz w:val="20"/>
        </w:rPr>
        <w:t xml:space="preserve">. The Placement Agent shall be the third party beneficiary of the representations and warranties of the Company in Section 3.1, the covenants of the Company in Article 4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Survival</w:t>
      </w:r>
      <w:r>
        <w:rPr>
          <w:rFonts w:ascii="Times New Roman" w:hAnsi="Times New Roman"/>
          <w:sz w:val="20"/>
        </w:rPr>
        <w:t xml:space="preserve">. The representations and warranties contained herein shall survive the Closing and the delivery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Execution</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Rescission and Withdrawal Right</w:t>
      </w:r>
      <w:r>
        <w:rPr>
          <w:rFonts w:ascii="Times New Roman" w:hAnsi="Times New Roman"/>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Replacement of Securities</w:t>
      </w:r>
      <w:r>
        <w:rPr>
          <w:rFonts w:ascii="Times New Roman" w:hAnsi="Times New Roman"/>
          <w:sz w:val="20"/>
        </w:rPr>
        <w:t xml:space="preserve">.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Remedies</w:t>
      </w:r>
      <w:r>
        <w:rPr>
          <w:rFonts w:ascii="Times New Roman" w:hAnsi="Times New Roman"/>
          <w:sz w:val="20"/>
        </w:rPr>
        <w:t xml:space="preserve">.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Payment Set Aside</w:t>
      </w:r>
      <w:r>
        <w:rPr>
          <w:rFonts w:ascii="Times New Roman" w:hAnsi="Times New Roman"/>
          <w:sz w:val="20"/>
        </w:rPr>
        <w:t xml:space="preserve">.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Independent Nature of Purchasers Obligations and Rights</w:t>
      </w:r>
      <w:r>
        <w:rPr>
          <w:rFonts w:ascii="Times New Roman" w:hAnsi="Times New Roman"/>
          <w:sz w:val="20"/>
        </w:rPr>
        <w:t xml:space="preserve">.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Liquidated Damages</w:t>
      </w:r>
      <w:r>
        <w:rPr>
          <w:rFonts w:ascii="Times New Roman" w:hAnsi="Times New Roman"/>
          <w:sz w:val="20"/>
        </w:rPr>
        <w:t xml:space="preserve">.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5.20 </w:t>
      </w:r>
      <w:r>
        <w:rPr>
          <w:rFonts w:ascii="Times New Roman" w:hAnsi="Times New Roman"/>
          <w:sz w:val="20"/>
          <w:u w:val="single"/>
        </w:rPr>
        <w:t>Construction</w:t>
      </w:r>
      <w:r>
        <w:rPr>
          <w:rFonts w:ascii="Times New Roman" w:hAnsi="Times New Roman"/>
          <w:sz w:val="20"/>
        </w:rPr>
        <w:t xml:space="preserve">.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b/>
          <w:sz w:val="20"/>
          <w:u w:val="single"/>
        </w:rPr>
        <w:t>WAIVER OF JURY TRIAL</w:t>
      </w:r>
      <w:r>
        <w:rPr>
          <w:rFonts w:ascii="Times New Roman" w:hAnsi="Times New Roman"/>
          <w:b/>
          <w:sz w:val="20"/>
        </w:rPr>
        <w:t xml:space="preserve">. </w:t>
      </w:r>
      <w:r>
        <w:rPr>
          <w:rFonts w:ascii="Times New Roman" w:hAnsi="Times New Roman"/>
          <w:b/>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1"/>
        <w:gridCol w:w="110"/>
        <w:gridCol w:w="4617"/>
        <w:gridCol w:w="110"/>
        <w:gridCol w:w="295"/>
        <w:gridCol w:w="60"/>
        <w:gridCol w:w="23"/>
        <w:gridCol w:w="110"/>
        <w:gridCol w:w="4509"/>
      </w:tblGrid>
      <w:tr>
        <w:trPr/>
        <w:tc>
          <w:tcPr>
            <w:tcW w:w="37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509" w:type="dxa"/>
            <w:tcBorders/>
            <w:vAlign w:val="center"/>
          </w:tcPr>
          <w:p>
            <w:pPr>
              <w:pStyle w:val="TableContents"/>
              <w:bidi w:val="0"/>
              <w:spacing w:before="0" w:after="283"/>
              <w:jc w:val="left"/>
              <w:rPr>
                <w:sz w:val="4"/>
                <w:szCs w:val="4"/>
              </w:rPr>
            </w:pPr>
            <w:r>
              <w:rPr>
                <w:sz w:val="4"/>
                <w:szCs w:val="4"/>
              </w:rPr>
            </w:r>
          </w:p>
        </w:tc>
      </w:tr>
      <w:tr>
        <w:trPr/>
        <w:tc>
          <w:tcPr>
            <w:tcW w:w="509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TEMPEST THERAPEUTICS, INC.</w:t>
            </w:r>
          </w:p>
        </w:tc>
        <w:tc>
          <w:tcPr>
            <w:tcW w:w="110" w:type="dxa"/>
            <w:tcBorders/>
            <w:vAlign w:val="bottom"/>
          </w:tcPr>
          <w:p>
            <w:pPr>
              <w:pStyle w:val="TableContents"/>
              <w:bidi w:val="0"/>
              <w:spacing w:before="0" w:after="283"/>
              <w:jc w:val="left"/>
              <w:rPr/>
            </w:pPr>
            <w:r>
              <w:rPr/>
              <w:t> </w:t>
            </w:r>
          </w:p>
        </w:tc>
        <w:tc>
          <w:tcPr>
            <w:tcW w:w="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42" w:type="dxa"/>
            <w:gridSpan w:val="3"/>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Address for Notice: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4727" w:type="dxa"/>
            <w:gridSpan w:val="2"/>
            <w:tcBorders/>
            <w:vAlign w:val="center"/>
          </w:tcPr>
          <w:p>
            <w:pPr>
              <w:pStyle w:val="TableContents"/>
              <w:bidi w:val="0"/>
              <w:spacing w:before="0" w:after="283"/>
              <w:jc w:val="left"/>
              <w:rPr>
                <w:sz w:val="4"/>
                <w:szCs w:val="4"/>
              </w:rPr>
            </w:pPr>
            <w:r>
              <w:rPr>
                <w:sz w:val="4"/>
                <w:szCs w:val="4"/>
              </w:rPr>
            </w:r>
          </w:p>
        </w:tc>
        <w:tc>
          <w:tcPr>
            <w:tcW w:w="40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617" w:type="dxa"/>
            <w:tcBorders>
              <w:bottom w:val="single" w:sz="2" w:space="0" w:color="000000"/>
            </w:tcBorders>
            <w:tcMar>
              <w:bottom w:w="28" w:type="dxa"/>
            </w:tcMa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09" w:type="dxa"/>
            <w:tcBorders/>
          </w:tcPr>
          <w:p>
            <w:pPr>
              <w:pStyle w:val="TableContents"/>
              <w:bidi w:val="0"/>
              <w:spacing w:before="0" w:after="283"/>
              <w:jc w:val="left"/>
              <w:rPr/>
            </w:pPr>
            <w:r>
              <w:rPr/>
              <w:t>E-Mail:</w:t>
            </w:r>
          </w:p>
        </w:tc>
      </w:tr>
      <w:tr>
        <w:trPr/>
        <w:tc>
          <w:tcPr>
            <w:tcW w:w="37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17" w:type="dxa"/>
            <w:tcBorders/>
          </w:tcPr>
          <w:p>
            <w:pPr>
              <w:pStyle w:val="TableContents"/>
              <w:bidi w:val="0"/>
              <w:spacing w:before="0" w:after="283"/>
              <w:jc w:val="left"/>
              <w:rPr/>
            </w:pPr>
            <w:r>
              <w:rPr/>
              <w:t>Name: Stephen Brady</w:t>
            </w:r>
          </w:p>
        </w:tc>
        <w:tc>
          <w:tcPr>
            <w:tcW w:w="110" w:type="dxa"/>
            <w:tcBorders/>
            <w:vAlign w:val="bottom"/>
          </w:tcPr>
          <w:p>
            <w:pPr>
              <w:pStyle w:val="TableContents"/>
              <w:bidi w:val="0"/>
              <w:spacing w:before="0" w:after="283"/>
              <w:jc w:val="left"/>
              <w:rPr/>
            </w:pPr>
            <w:r>
              <w:rPr/>
              <w:t> </w:t>
            </w:r>
          </w:p>
        </w:tc>
        <w:tc>
          <w:tcPr>
            <w:tcW w:w="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09" w:type="dxa"/>
            <w:tcBorders/>
            <w:vAlign w:val="bottom"/>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17" w:type="dxa"/>
            <w:tcBorders/>
          </w:tcPr>
          <w:p>
            <w:pPr>
              <w:pStyle w:val="TableContents"/>
              <w:bidi w:val="0"/>
              <w:spacing w:before="0" w:after="283"/>
              <w:jc w:val="left"/>
              <w:rPr/>
            </w:pPr>
            <w:r>
              <w:rPr/>
              <w:t>Title: President and Chief Executive Officer</w:t>
            </w:r>
          </w:p>
        </w:tc>
        <w:tc>
          <w:tcPr>
            <w:tcW w:w="110" w:type="dxa"/>
            <w:tcBorders/>
            <w:vAlign w:val="bottom"/>
          </w:tcPr>
          <w:p>
            <w:pPr>
              <w:pStyle w:val="TableContents"/>
              <w:bidi w:val="0"/>
              <w:spacing w:before="0" w:after="283"/>
              <w:jc w:val="left"/>
              <w:rPr/>
            </w:pPr>
            <w:r>
              <w:rPr/>
              <w:t> </w:t>
            </w:r>
          </w:p>
        </w:tc>
        <w:tc>
          <w:tcPr>
            <w:tcW w:w="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0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098" w:type="dxa"/>
            <w:gridSpan w:val="3"/>
            <w:tcBorders/>
            <w:vAlign w:val="center"/>
          </w:tcPr>
          <w:p>
            <w:pPr>
              <w:pStyle w:val="TableContents"/>
              <w:bidi w:val="0"/>
              <w:spacing w:before="0" w:after="283"/>
              <w:jc w:val="left"/>
              <w:rPr>
                <w:sz w:val="4"/>
                <w:szCs w:val="4"/>
              </w:rPr>
            </w:pPr>
            <w:r>
              <w:rPr>
                <w:sz w:val="4"/>
                <w:szCs w:val="4"/>
              </w:rPr>
            </w:r>
          </w:p>
        </w:tc>
        <w:tc>
          <w:tcPr>
            <w:tcW w:w="40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19" w:type="dxa"/>
            <w:gridSpan w:val="2"/>
            <w:tcBorders/>
            <w:vAlign w:val="center"/>
          </w:tcPr>
          <w:p>
            <w:pPr>
              <w:pStyle w:val="TableContents"/>
              <w:bidi w:val="0"/>
              <w:spacing w:before="0" w:after="283"/>
              <w:jc w:val="left"/>
              <w:rPr>
                <w:sz w:val="4"/>
                <w:szCs w:val="4"/>
              </w:rPr>
            </w:pPr>
            <w:r>
              <w:rPr>
                <w:sz w:val="4"/>
                <w:szCs w:val="4"/>
              </w:rPr>
            </w:r>
          </w:p>
        </w:tc>
      </w:tr>
      <w:tr>
        <w:trPr/>
        <w:tc>
          <w:tcPr>
            <w:tcW w:w="5098" w:type="dxa"/>
            <w:gridSpan w:val="3"/>
            <w:tcBorders/>
          </w:tcPr>
          <w:p>
            <w:pPr>
              <w:pStyle w:val="TableContents"/>
              <w:bidi w:val="0"/>
              <w:spacing w:before="0" w:after="283"/>
              <w:jc w:val="left"/>
              <w:rPr/>
            </w:pPr>
            <w:r>
              <w:rPr/>
              <w:t>With a copy to (which shall not constitute notice):</w:t>
            </w:r>
          </w:p>
        </w:tc>
        <w:tc>
          <w:tcPr>
            <w:tcW w:w="110" w:type="dxa"/>
            <w:tcBorders/>
            <w:vAlign w:val="bottom"/>
          </w:tcPr>
          <w:p>
            <w:pPr>
              <w:pStyle w:val="TableContents"/>
              <w:bidi w:val="0"/>
              <w:spacing w:before="0" w:after="283"/>
              <w:jc w:val="left"/>
              <w:rPr/>
            </w:pPr>
            <w:r>
              <w:rPr/>
              <w:t> </w:t>
            </w:r>
          </w:p>
        </w:tc>
        <w:tc>
          <w:tcPr>
            <w:tcW w:w="2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50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PURCHASER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[PURCHASER SIGNATURE PAGES TO TPST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Securities Purchase Agreement to be duly executed by their respective authorized signatories as of the date first indicated above. </w:t>
      </w:r>
    </w:p>
    <w:p>
      <w:pPr>
        <w:pStyle w:val="TextBody"/>
        <w:bidi w:val="0"/>
        <w:spacing w:before="240" w:after="0"/>
        <w:jc w:val="left"/>
        <w:rPr>
          <w:rFonts w:ascii="Times New Roman" w:hAnsi="Times New Roman"/>
          <w:sz w:val="20"/>
        </w:rPr>
      </w:pPr>
      <w:r>
        <w:rPr>
          <w:rFonts w:ascii="Times New Roman" w:hAnsi="Times New Roman"/>
          <w:sz w:val="20"/>
        </w:rPr>
        <w:t xml:space="preserve">Name of Purchaser: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Signature of Authorized Signatory of Purchaser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Name of Authorized Signatory:</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Title of Authorized Signatory:</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Email Address of Authorized Signatory:</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for Notice to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for Delivery of Prefunded Warrants to Purchaser (if not same as address for notice): </w:t>
      </w:r>
    </w:p>
    <w:p>
      <w:pPr>
        <w:pStyle w:val="TextBody"/>
        <w:bidi w:val="0"/>
        <w:spacing w:before="240" w:after="0"/>
        <w:jc w:val="left"/>
        <w:rPr>
          <w:rFonts w:ascii="Times New Roman" w:hAnsi="Times New Roman"/>
          <w:sz w:val="20"/>
        </w:rPr>
      </w:pPr>
      <w:r>
        <w:rPr>
          <w:rFonts w:ascii="Times New Roman" w:hAnsi="Times New Roman"/>
          <w:sz w:val="20"/>
        </w:rPr>
        <w:t xml:space="preserve">Subscription Amount: </w:t>
      </w:r>
    </w:p>
    <w:p>
      <w:pPr>
        <w:pStyle w:val="TextBody"/>
        <w:bidi w:val="0"/>
        <w:spacing w:before="240" w:after="0"/>
        <w:jc w:val="left"/>
        <w:rPr>
          <w:rFonts w:ascii="Times New Roman" w:hAnsi="Times New Roman"/>
          <w:sz w:val="20"/>
        </w:rPr>
      </w:pPr>
      <w:r>
        <w:rPr>
          <w:rFonts w:ascii="Times New Roman" w:hAnsi="Times New Roman"/>
          <w:sz w:val="20"/>
        </w:rPr>
        <w:t xml:space="preserve">Shares: </w:t>
      </w:r>
    </w:p>
    <w:p>
      <w:pPr>
        <w:pStyle w:val="TextBody"/>
        <w:bidi w:val="0"/>
        <w:spacing w:before="240" w:after="0"/>
        <w:jc w:val="left"/>
        <w:rPr>
          <w:rFonts w:ascii="Times New Roman" w:hAnsi="Times New Roman"/>
          <w:sz w:val="20"/>
        </w:rPr>
      </w:pPr>
      <w:r>
        <w:rPr>
          <w:rFonts w:ascii="Times New Roman" w:hAnsi="Times New Roman"/>
          <w:sz w:val="20"/>
        </w:rPr>
        <w:t xml:space="preserve">Prefunded Warrant Shares: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CONTINUE]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30300</Words>
  <Characters>157183</Characters>
  <CharactersWithSpaces>187311</CharactersWithSpaces>
  <Paragraphs>671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