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color w:val="000000"/>
              </w:rPr>
            </w:pPr>
            <w:r>
              <w:rPr>
                <w:color w:val="000000"/>
              </w:rPr>
              <w:t> </w:t>
            </w:r>
          </w:p>
        </w:tc>
      </w:tr>
      <w:tr>
        <w:trPr/>
        <w:tc>
          <w:tcPr>
            <w:tcW w:w="387"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color w:val="000000"/>
              </w:rPr>
            </w:pPr>
            <w:r>
              <w:rPr>
                <w:color w:val="000000"/>
              </w:rPr>
              <w:t> </w:t>
            </w:r>
          </w:p>
        </w:tc>
      </w:tr>
    </w:tbl>
    <w:p>
      <w:pPr>
        <w:pStyle w:val="TextBody"/>
        <w:spacing w:lineRule="auto" w:line="276"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spacing w:lineRule="auto" w:line="276"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192" w:before="60" w:after="283"/>
              <w:jc w:val="center"/>
              <w:rPr>
                <w:color w:val="000000"/>
              </w:rPr>
            </w:pPr>
            <w:r>
              <w:rPr>
                <w:color w:val="000000"/>
              </w:rPr>
              <w:t> </w:t>
            </w:r>
          </w:p>
        </w:tc>
      </w:tr>
    </w:tbl>
    <w:p>
      <w:pPr>
        <w:pStyle w:val="TextBody"/>
        <w:spacing w:lineRule="auto" w:line="276" w:before="22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192" w:before="60" w:after="283"/>
              <w:jc w:val="center"/>
              <w:rPr>
                <w:color w:val="000000"/>
              </w:rPr>
            </w:pPr>
            <w:r>
              <w:rPr>
                <w:color w:val="000000"/>
              </w:rPr>
              <w:t> </w:t>
            </w:r>
          </w:p>
        </w:tc>
      </w:tr>
    </w:tbl>
    <w:p>
      <w:pPr>
        <w:pStyle w:val="TextBody"/>
        <w:spacing w:lineRule="auto" w:line="276" w:before="220" w:after="283"/>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OF THE SECURITIES EXCHANGE ACT OF 1934 </w:t>
      </w:r>
    </w:p>
    <w:p>
      <w:pPr>
        <w:pStyle w:val="TextBody"/>
        <w:spacing w:lineRule="auto" w:line="276" w:before="22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May 13, 2022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192" w:before="60" w:after="283"/>
              <w:jc w:val="center"/>
              <w:rPr>
                <w:color w:val="000000"/>
              </w:rPr>
            </w:pPr>
            <w:r>
              <w:rPr>
                <w:color w:val="000000"/>
              </w:rPr>
              <w:t> </w:t>
            </w:r>
          </w:p>
        </w:tc>
      </w:tr>
    </w:tbl>
    <w:p>
      <w:pPr>
        <w:pStyle w:val="TextBody"/>
        <w:spacing w:lineRule="auto" w:line="276" w:before="220" w:after="283"/>
        <w:jc w:val="center"/>
        <w:rPr>
          <w:rFonts w:ascii="Times New Roman;sans-serif" w:hAnsi="Times New Roman;sans-serif"/>
          <w:b/>
          <w:color w:val="000000"/>
          <w:sz w:val="48"/>
        </w:rPr>
      </w:pPr>
      <w:r>
        <w:rPr>
          <w:rFonts w:ascii="Times New Roman;sans-serif" w:hAnsi="Times New Roman;sans-serif"/>
          <w:b/>
          <w:color w:val="000000"/>
          <w:sz w:val="48"/>
        </w:rPr>
        <w:t xml:space="preserve">TEMPEST THERAPEUTICS, INC. </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192" w:before="60" w:after="283"/>
              <w:jc w:val="center"/>
              <w:rPr>
                <w:color w:val="000000"/>
              </w:rPr>
            </w:pPr>
            <w:r>
              <w:rPr>
                <w:color w:val="000000"/>
              </w:rPr>
              <w:t> </w:t>
            </w:r>
          </w:p>
        </w:tc>
      </w:tr>
    </w:tbl>
    <w:p>
      <w:pPr>
        <w:pStyle w:val="TextBody"/>
        <w:spacing w:lineRule="auto" w:line="276" w:before="0" w:after="0"/>
        <w:rPr>
          <w:color w:val="000000"/>
        </w:rPr>
      </w:pPr>
      <w:r>
        <w:rPr>
          <w:color w:val="000000"/>
        </w:rPr>
        <w:t> </w:t>
      </w:r>
    </w:p>
    <w:tbl>
      <w:tblPr>
        <w:tblW w:w="4617" w:type="dxa"/>
        <w:jc w:val="left"/>
        <w:tblInd w:w="0" w:type="dxa"/>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06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001-35890</w:t>
            </w:r>
          </w:p>
        </w:tc>
        <w:tc>
          <w:tcPr>
            <w:tcW w:w="148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45-1472564</w:t>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spacing w:lineRule="auto" w:line="276" w:before="22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7000 Shoreline Court, Suite 275 </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South San Francisco, CA 94080 </w:t>
      </w:r>
    </w:p>
    <w:p>
      <w:pPr>
        <w:pStyle w:val="TextBody"/>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(Zip Code) </w:t>
      </w:r>
    </w:p>
    <w:p>
      <w:pPr>
        <w:pStyle w:val="TextBody"/>
        <w:spacing w:lineRule="auto" w:line="276" w:before="2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(415) 798-8589 </w:t>
      </w:r>
    </w:p>
    <w:p>
      <w:pPr>
        <w:pStyle w:val="TextBody"/>
        <w:spacing w:lineRule="auto" w:line="276" w:before="220" w:after="283"/>
        <w:jc w:val="center"/>
        <w:rPr>
          <w:rFonts w:ascii="Times New Roman;sans-serif" w:hAnsi="Times New Roman;sans-serif"/>
          <w:b/>
          <w:color w:val="000000"/>
          <w:sz w:val="20"/>
        </w:rPr>
      </w:pPr>
      <w:r>
        <w:rPr>
          <w:rFonts w:ascii="Times New Roman;sans-serif" w:hAnsi="Times New Roman;sans-serif"/>
          <w:b/>
          <w:color w:val="000000"/>
          <w:sz w:val="20"/>
        </w:rPr>
        <w:t xml:space="preserve">N/A </w:t>
      </w:r>
    </w:p>
    <w:p>
      <w:pPr>
        <w:pStyle w:val="TextBody"/>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(Former Name or Former Address, if Changed Since Last Report)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192" w:before="60" w:after="283"/>
              <w:jc w:val="center"/>
              <w:rPr>
                <w:color w:val="000000"/>
              </w:rPr>
            </w:pPr>
            <w:r>
              <w:rPr>
                <w:color w:val="000000"/>
              </w:rPr>
              <w:t> </w:t>
            </w:r>
          </w:p>
        </w:tc>
      </w:tr>
    </w:tbl>
    <w:p>
      <w:pPr>
        <w:pStyle w:val="TextBody"/>
        <w:spacing w:lineRule="auto" w:line="276" w:before="220" w:after="283"/>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w:t>
      </w:r>
      <w:r>
        <w:rPr>
          <w:rFonts w:ascii="Times New Roman;sans-serif" w:hAnsi="Times New Roman;sans-serif"/>
          <w:b w:val="false"/>
          <w:color w:val="000000"/>
          <w:sz w:val="20"/>
          <w:u w:val="single"/>
        </w:rPr>
        <w:t>see</w:t>
      </w:r>
      <w:r>
        <w:rPr>
          <w:color w:val="000000"/>
        </w:rPr>
        <w:t xml:space="preserve"> </w:t>
      </w:r>
      <w:r>
        <w:rPr>
          <w:rFonts w:ascii="Times New Roman;sans-serif" w:hAnsi="Times New Roman;sans-serif"/>
          <w:b w:val="false"/>
          <w:color w:val="000000"/>
          <w:sz w:val="20"/>
        </w:rPr>
        <w:t xml:space="preserve">General Instruction A.2. below): </w:t>
      </w:r>
    </w:p>
    <w:p>
      <w:pPr>
        <w:pStyle w:val="TextBody"/>
        <w:spacing w:lineRule="auto" w:line="276" w:before="100" w:after="283"/>
        <w:ind w:left="0" w:right="0" w:hanging="490"/>
        <w:rPr/>
      </w:pPr>
      <w:r>
        <w:rPr>
          <w:color w:val="000000"/>
        </w:rPr>
        <w:t>☐    </w:t>
      </w:r>
      <w:r>
        <w:rPr>
          <w:rFonts w:ascii="Times New Roman;sans-serif" w:hAnsi="Times New Roman;sans-serif"/>
          <w:b w:val="false"/>
          <w:color w:val="000000"/>
          <w:sz w:val="20"/>
        </w:rPr>
        <w:t xml:space="preserve">Written communications pursuant to Rule 425 under the Securities Act (17 CFR 230.425) </w:t>
      </w:r>
    </w:p>
    <w:p>
      <w:pPr>
        <w:pStyle w:val="TextBody"/>
        <w:spacing w:lineRule="auto" w:line="276" w:before="100" w:after="283"/>
        <w:ind w:left="0" w:right="0" w:hanging="490"/>
        <w:rPr/>
      </w:pPr>
      <w:r>
        <w:rPr>
          <w:color w:val="000000"/>
        </w:rPr>
        <w:t>☐    </w:t>
      </w:r>
      <w:r>
        <w:rPr>
          <w:rFonts w:ascii="Times New Roman;sans-serif" w:hAnsi="Times New Roman;sans-serif"/>
          <w:b w:val="false"/>
          <w:color w:val="000000"/>
          <w:sz w:val="20"/>
        </w:rPr>
        <w:t xml:space="preserve">Soliciting material pursuant to Rule 14a-12 under the Exchange Act (17 CFR 240.14a-12) </w:t>
      </w:r>
    </w:p>
    <w:p>
      <w:pPr>
        <w:pStyle w:val="TextBody"/>
        <w:spacing w:lineRule="auto" w:line="276" w:before="100" w:after="283"/>
        <w:ind w:left="0" w:right="0" w:hanging="490"/>
        <w:rPr/>
      </w:pPr>
      <w:r>
        <w:rPr>
          <w:color w:val="000000"/>
        </w:rPr>
        <w:t>☐    </w:t>
      </w:r>
      <w:r>
        <w:rPr>
          <w:rFonts w:ascii="Times New Roman;sans-serif" w:hAnsi="Times New Roman;sans-serif"/>
          <w:b w:val="false"/>
          <w:color w:val="000000"/>
          <w:sz w:val="20"/>
        </w:rPr>
        <w:t xml:space="preserve">Pre-commencement communications pursuant to Rule 14d-2(b) under the Exchange Act (17 CFR 240.14d-2(b)) </w:t>
      </w:r>
    </w:p>
    <w:p>
      <w:pPr>
        <w:pStyle w:val="TextBody"/>
        <w:spacing w:lineRule="auto" w:line="276" w:before="100" w:after="283"/>
        <w:ind w:left="0" w:right="0" w:hanging="490"/>
        <w:rPr/>
      </w:pPr>
      <w:r>
        <w:rPr>
          <w:color w:val="000000"/>
        </w:rPr>
        <w:t>☐    </w:t>
      </w:r>
      <w:r>
        <w:rPr>
          <w:rFonts w:ascii="Times New Roman;sans-serif" w:hAnsi="Times New Roman;sans-serif"/>
          <w:b w:val="false"/>
          <w:color w:val="000000"/>
          <w:sz w:val="20"/>
        </w:rPr>
        <w:t xml:space="preserve">Pre-commencement communications pursuant to Rule 13e-4(c) under the Exchange Act (17 CFR 240.13e-4(c)) </w:t>
      </w:r>
    </w:p>
    <w:p>
      <w:pPr>
        <w:pStyle w:val="TextBody"/>
        <w:spacing w:lineRule="auto" w:line="276" w:before="2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p>
      <w:pPr>
        <w:pStyle w:val="TextBody"/>
        <w:spacing w:lineRule="auto" w:line="276" w:before="0" w:after="0"/>
        <w:rPr>
          <w:color w:val="000000"/>
        </w:rPr>
      </w:pPr>
      <w:r>
        <w:rPr>
          <w:color w:val="000000"/>
        </w:rPr>
        <w:t> </w:t>
      </w:r>
    </w:p>
    <w:tbl>
      <w:tblPr>
        <w:tblW w:w="6929" w:type="dxa"/>
        <w:jc w:val="left"/>
        <w:tblInd w:w="0" w:type="dxa"/>
        <w:tblCellMar>
          <w:top w:w="28" w:type="dxa"/>
          <w:left w:w="28" w:type="dxa"/>
          <w:bottom w:w="28" w:type="dxa"/>
          <w:right w:w="28" w:type="dxa"/>
        </w:tblCellMar>
      </w:tblPr>
      <w:tblGrid>
        <w:gridCol w:w="1361"/>
        <w:gridCol w:w="1194"/>
        <w:gridCol w:w="1210"/>
        <w:gridCol w:w="274"/>
        <w:gridCol w:w="274"/>
        <w:gridCol w:w="276"/>
        <w:gridCol w:w="685"/>
        <w:gridCol w:w="685"/>
        <w:gridCol w:w="970"/>
      </w:tblGrid>
      <w:tr>
        <w:trPr/>
        <w:tc>
          <w:tcPr>
            <w:tcW w:w="1361"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p>
            <w:pPr>
              <w:pStyle w:val="TableContents"/>
              <w:spacing w:lineRule="auto" w:line="192" w:before="0" w:after="0"/>
              <w:jc w:val="center"/>
              <w:rPr>
                <w:color w:val="000000"/>
              </w:rPr>
            </w:pPr>
            <w:r>
              <w:rPr>
                <w:color w:val="000000"/>
              </w:rPr>
              <w:t> </w:t>
            </w:r>
          </w:p>
        </w:tc>
        <w:tc>
          <w:tcPr>
            <w:tcW w:w="82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Trading</w:t>
              <w:br/>
              <w:t>Symbol(s)</w:t>
            </w:r>
          </w:p>
          <w:p>
            <w:pPr>
              <w:pStyle w:val="TableContents"/>
              <w:spacing w:lineRule="auto" w:line="192" w:before="0" w:after="0"/>
              <w:jc w:val="center"/>
              <w:rPr>
                <w:color w:val="000000"/>
              </w:rPr>
            </w:pPr>
            <w:r>
              <w:rPr>
                <w:color w:val="000000"/>
              </w:rPr>
              <w:t> </w:t>
            </w:r>
          </w:p>
        </w:tc>
        <w:tc>
          <w:tcPr>
            <w:tcW w:w="2340"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br/>
              <w:t>on which registered</w:t>
            </w:r>
          </w:p>
          <w:p>
            <w:pPr>
              <w:pStyle w:val="TableContents"/>
              <w:spacing w:lineRule="auto" w:line="192" w:before="0" w:after="0"/>
              <w:jc w:val="center"/>
              <w:rPr>
                <w:color w:val="000000"/>
              </w:rPr>
            </w:pPr>
            <w:r>
              <w:rPr>
                <w:color w:val="000000"/>
              </w:rPr>
              <w:t> </w:t>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$0.001 per share</w:t>
            </w:r>
          </w:p>
        </w:tc>
        <w:tc>
          <w:tcPr>
            <w:tcW w:w="82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TPST</w:t>
            </w:r>
          </w:p>
        </w:tc>
        <w:tc>
          <w:tcPr>
            <w:tcW w:w="2340"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The Nasdaq Stock Market</w:t>
            </w:r>
          </w:p>
        </w:tc>
      </w:tr>
    </w:tbl>
    <w:p>
      <w:pPr>
        <w:pStyle w:val="TextBody"/>
        <w:spacing w:lineRule="auto" w:line="276" w:before="2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spacing w:lineRule="auto" w:line="276" w:before="220" w:after="283"/>
        <w:rPr/>
      </w:pPr>
      <w:r>
        <w:rPr>
          <w:rFonts w:ascii="Times New Roman;sans-serif" w:hAnsi="Times New Roman;sans-serif"/>
          <w:b w:val="false"/>
          <w:color w:val="000000"/>
          <w:sz w:val="20"/>
        </w:rPr>
        <w:t xml:space="preserve">Emerging growth company </w:t>
      </w:r>
      <w:r>
        <w:rPr>
          <w:color w:val="000000"/>
        </w:rPr>
        <w:t xml:space="preserve">☐ </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76" w:before="220" w:after="283"/>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color w:val="000000"/>
              </w:rPr>
            </w:pPr>
            <w:r>
              <w:rPr>
                <w:color w:val="000000"/>
              </w:rPr>
              <w:t> </w:t>
            </w:r>
          </w:p>
        </w:tc>
      </w:tr>
      <w:tr>
        <w:trPr/>
        <w:tc>
          <w:tcPr>
            <w:tcW w:w="387"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color w:val="000000"/>
              </w:rPr>
            </w:pPr>
            <w:r>
              <w:rPr>
                <w:color w:val="000000"/>
              </w:rPr>
              <w:t> </w:t>
            </w:r>
          </w:p>
        </w:tc>
      </w:tr>
    </w:tbl>
    <w:p>
      <w:pPr>
        <w:pStyle w:val="TextBody"/>
        <w:spacing w:lineRule="auto" w:line="276" w:before="0" w:after="0"/>
        <w:rPr>
          <w:color w:val="000000"/>
        </w:rPr>
      </w:pPr>
      <w:r>
        <w:rPr>
          <w:color w:val="000000"/>
        </w:rPr>
        <w:t> </w:t>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 xml:space="preserve">Item 2.02 Results of Operations and Financial Condition.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2022, Tempest Therapeutics, Inc. (the “Company”) issued a press release announcing its financial results for the quarter ended March 31, 2022. A copy of the Company’s press release dated May 13, 2022, titled “Tempest Reports First Quarter 2022 Financial Results and Provides Corporate Highlights” is attached hereto as Exhibit 99.1 and is incorporated herein by reference.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information (including the exhibit hereto) is being furnished under “Item 2.02 Results of Operations and Financial Condition”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 </w:t>
      </w: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 xml:space="preserve">Item 9.01 Financial Statements and Exhibits. </w:t>
      </w:r>
    </w:p>
    <w:p>
      <w:pPr>
        <w:pStyle w:val="TextBody"/>
        <w:spacing w:lineRule="auto" w:line="276"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 Exhibits. </w:t>
      </w:r>
    </w:p>
    <w:p>
      <w:pPr>
        <w:pStyle w:val="TextBody"/>
        <w:spacing w:lineRule="auto" w:line="276" w:before="0" w:after="0"/>
        <w:rPr>
          <w:color w:val="000000"/>
        </w:rPr>
      </w:pPr>
      <w:r>
        <w:rPr>
          <w:color w:val="000000"/>
        </w:rPr>
        <w:t> </w:t>
      </w:r>
    </w:p>
    <w:tbl>
      <w:tblPr>
        <w:tblW w:w="7545" w:type="dxa"/>
        <w:jc w:val="left"/>
        <w:tblInd w:w="0" w:type="dxa"/>
        <w:tblCellMar>
          <w:top w:w="28" w:type="dxa"/>
          <w:left w:w="28" w:type="dxa"/>
          <w:bottom w:w="28" w:type="dxa"/>
          <w:right w:w="28" w:type="dxa"/>
        </w:tblCellMar>
      </w:tblPr>
      <w:tblGrid>
        <w:gridCol w:w="342"/>
        <w:gridCol w:w="301"/>
        <w:gridCol w:w="303"/>
        <w:gridCol w:w="1927"/>
        <w:gridCol w:w="1927"/>
        <w:gridCol w:w="2745"/>
      </w:tblGrid>
      <w:tr>
        <w:trPr/>
        <w:tc>
          <w:tcPr>
            <w:tcW w:w="34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2745"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16"/>
              </w:rPr>
            </w:pPr>
            <w:r>
              <w:rPr>
                <w:rFonts w:ascii="Times New Roman;sans-serif" w:hAnsi="Times New Roman;sans-serif"/>
                <w:b/>
                <w:color w:val="000000"/>
                <w:sz w:val="16"/>
              </w:rPr>
              <w:t>Exhibit No.</w:t>
            </w:r>
          </w:p>
          <w:p>
            <w:pPr>
              <w:pStyle w:val="TableContents"/>
              <w:spacing w:lineRule="auto" w:line="192" w:before="20" w:after="283"/>
              <w:jc w:val="center"/>
              <w:rPr>
                <w:color w:val="000000"/>
              </w:rPr>
            </w:pPr>
            <w:r>
              <w:rPr>
                <w:color w:val="000000"/>
              </w:rPr>
              <w:t> </w:t>
            </w:r>
          </w:p>
        </w:tc>
        <w:tc>
          <w:tcPr>
            <w:tcW w:w="65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16"/>
              </w:rPr>
            </w:pPr>
            <w:r>
              <w:rPr>
                <w:rFonts w:ascii="Times New Roman;sans-serif" w:hAnsi="Times New Roman;sans-serif"/>
                <w:b/>
                <w:color w:val="000000"/>
                <w:sz w:val="16"/>
              </w:rPr>
              <w:t>Description</w:t>
            </w:r>
          </w:p>
          <w:p>
            <w:pPr>
              <w:pStyle w:val="TableContents"/>
              <w:spacing w:lineRule="auto" w:line="192" w:before="0" w:after="0"/>
              <w:jc w:val="center"/>
              <w:rPr>
                <w:color w:val="000000"/>
              </w:rPr>
            </w:pPr>
            <w:r>
              <w:rPr>
                <w:color w:val="000000"/>
              </w:rPr>
              <w:t> </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659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65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q1228-kexhibit991.htm">
              <w:r>
                <w:rPr>
                  <w:rStyle w:val="InternetLink"/>
                  <w:rFonts w:ascii="Times New Roman;sans-serif" w:hAnsi="Times New Roman;sans-serif"/>
                  <w:b w:val="false"/>
                  <w:color w:val="0000FF"/>
                  <w:sz w:val="20"/>
                  <w:u w:val="single"/>
                </w:rPr>
                <w:t>Press release dated May 13, 2022</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659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59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lineRule="auto" w:line="276" w:before="240" w:after="283"/>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spacing w:lineRule="auto" w:line="276" w:before="0" w:after="0"/>
        <w:rPr>
          <w:color w:val="000000"/>
        </w:rPr>
      </w:pPr>
      <w:r>
        <w:rPr>
          <w:color w:val="000000"/>
        </w:rPr>
        <w:t> </w:t>
      </w:r>
    </w:p>
    <w:tbl>
      <w:tblPr>
        <w:tblW w:w="5729" w:type="dxa"/>
        <w:jc w:val="left"/>
        <w:tblInd w:w="0" w:type="dxa"/>
        <w:tblCellMar>
          <w:top w:w="28" w:type="dxa"/>
          <w:left w:w="28" w:type="dxa"/>
          <w:bottom w:w="28" w:type="dxa"/>
          <w:right w:w="28" w:type="dxa"/>
        </w:tblCellMar>
      </w:tblPr>
      <w:tblGrid>
        <w:gridCol w:w="629"/>
        <w:gridCol w:w="554"/>
        <w:gridCol w:w="557"/>
        <w:gridCol w:w="109"/>
        <w:gridCol w:w="109"/>
        <w:gridCol w:w="109"/>
        <w:gridCol w:w="491"/>
        <w:gridCol w:w="491"/>
        <w:gridCol w:w="491"/>
        <w:gridCol w:w="641"/>
        <w:gridCol w:w="641"/>
        <w:gridCol w:w="907"/>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3662"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TEMPEST THERAPEUTICS, INC.</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147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218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147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89" w:type="dxa"/>
            <w:gridSpan w:val="3"/>
            <w:tcBorders/>
            <w:shd w:fill="auto" w:val="clear"/>
            <w:tcMar>
              <w:top w:w="0" w:type="dxa"/>
              <w:left w:w="0" w:type="dxa"/>
              <w:bottom w:w="0" w:type="dxa"/>
              <w:right w:w="0" w:type="dxa"/>
            </w:tcMar>
            <w:vAlign w:val="center"/>
          </w:tcPr>
          <w:p>
            <w:pPr>
              <w:pStyle w:val="TableContents"/>
              <w:spacing w:lineRule="auto" w:line="276" w:before="1" w:after="1"/>
              <w:jc w:val="left"/>
              <w:rPr>
                <w:color w:val="000000"/>
              </w:rPr>
            </w:pPr>
            <w:r>
              <w:rPr>
                <w:color w:val="000000"/>
              </w:rPr>
              <w:t> </w:t>
            </w:r>
            <w:r>
              <w:rPr>
                <w:rFonts w:ascii="Times New Roman;sans-serif" w:hAnsi="Times New Roman;sans-serif"/>
                <w:b w:val="false"/>
                <w:color w:val="000000"/>
                <w:sz w:val="20"/>
              </w:rPr>
              <w:t>/s/ Stephen Brady </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147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18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r>
              <w:rPr>
                <w:rFonts w:ascii="Times New Roman;sans-serif" w:hAnsi="Times New Roman;sans-serif"/>
                <w:b w:val="false"/>
                <w:color w:val="000000"/>
                <w:sz w:val="20"/>
              </w:rPr>
              <w:t>Stephen Brady</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147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18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r>
              <w:rPr>
                <w:rFonts w:ascii="Times New Roman;sans-serif" w:hAnsi="Times New Roman;sans-serif"/>
                <w:b w:val="false"/>
                <w:color w:val="000000"/>
                <w:sz w:val="20"/>
              </w:rPr>
              <w:t>Chief Executive Officer</w:t>
            </w:r>
          </w:p>
        </w:tc>
      </w:tr>
    </w:tbl>
    <w:p>
      <w:pPr>
        <w:pStyle w:val="TextBody"/>
        <w:spacing w:before="180" w:after="1"/>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spacing w:before="0" w:after="0"/>
        <w:jc w:val="right"/>
        <w:rPr/>
      </w:pPr>
      <w:r>
        <w:rPr/>
      </w:r>
    </w:p>
    <w:p>
      <w:pPr>
        <w:pStyle w:val="TextBody"/>
        <w:spacing w:before="0" w:after="0"/>
        <w:jc w:val="center"/>
        <w:rPr/>
      </w:pPr>
      <w:r>
        <w:rPr/>
        <w:drawing>
          <wp:inline distT="0" distB="63500" distL="0" distR="0">
            <wp:extent cx="3524250" cy="9429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524250" cy="942975"/>
                    </a:xfrm>
                    <a:prstGeom prst="rect">
                      <a:avLst/>
                    </a:prstGeom>
                  </pic:spPr>
                </pic:pic>
              </a:graphicData>
            </a:graphic>
          </wp:inline>
        </w:drawing>
      </w:r>
    </w:p>
    <w:p>
      <w:pPr>
        <w:pStyle w:val="TextBody"/>
        <w:spacing w:before="0" w:after="0"/>
        <w:jc w:val="center"/>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Tempest Reports First Quarter 2022 Financial Results and</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Provides Corporate Highlights</w:t>
      </w:r>
    </w:p>
    <w:p>
      <w:pPr>
        <w:pStyle w:val="TextBody"/>
        <w:spacing w:before="0" w:after="0"/>
        <w:jc w:val="center"/>
        <w:rPr/>
      </w:pPr>
      <w:r>
        <w:rPr/>
      </w:r>
    </w:p>
    <w:p>
      <w:pPr>
        <w:pStyle w:val="TextBody"/>
        <w:spacing w:lineRule="auto" w:line="276" w:before="0" w:after="0"/>
        <w:ind w:left="0" w:right="0" w:hanging="360"/>
        <w:rPr/>
      </w:pPr>
      <w:r>
        <w:rPr>
          <w:color w:val="000000"/>
        </w:rPr>
        <w:t>•</w:t>
      </w:r>
      <w:r>
        <w:rPr>
          <w:rFonts w:ascii="Times New Roman;sans-serif" w:hAnsi="Times New Roman;sans-serif"/>
          <w:b w:val="false"/>
          <w:i/>
          <w:color w:val="000000"/>
          <w:sz w:val="20"/>
        </w:rPr>
        <w:t>Announced oral presentation of TPST-1120 Phase 1 monotherapy and combination therapy data at ASCO</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i/>
          <w:color w:val="000000"/>
          <w:sz w:val="20"/>
        </w:rPr>
        <w:t>Presented positive preclinical data for TPST-1495 at AACR</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i/>
          <w:color w:val="000000"/>
          <w:sz w:val="20"/>
        </w:rPr>
        <w:t>Presented positive preclinical data with proprietary small molecule TREX1 inhibitors at AACR</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color w:val="000000"/>
          <w:sz w:val="20"/>
        </w:rPr>
        <w:t>South San Francisco, CA</w:t>
      </w:r>
      <w:r>
        <w:rPr>
          <w:rFonts w:ascii="Times New Roman;sans-serif" w:hAnsi="Times New Roman;sans-serif"/>
          <w:b w:val="false"/>
          <w:color w:val="000000"/>
          <w:sz w:val="20"/>
        </w:rPr>
        <w:t xml:space="preserve">, May 13, 2022 </w:t>
      </w:r>
      <w:r>
        <w:rPr>
          <w:color w:val="000000"/>
        </w:rPr>
        <w:t xml:space="preserve">– </w:t>
      </w:r>
      <w:r>
        <w:rPr>
          <w:rFonts w:ascii="Times New Roman;sans-serif" w:hAnsi="Times New Roman;sans-serif"/>
          <w:b w:val="false"/>
          <w:color w:val="000000"/>
          <w:sz w:val="20"/>
        </w:rPr>
        <w:t>Tempest Therapeutics, Inc. (Nasdaq: TPST), a clinical-stage oncology company developing first-in-class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therapeutics that combine both targeted and immune-mediated mechanisms, today reported financial results for the quarter ended March 31, 2022 and provided a corporate update.</w:t>
      </w:r>
    </w:p>
    <w:p>
      <w:pPr>
        <w:pStyle w:val="TextBody"/>
        <w:spacing w:before="0" w:after="0"/>
        <w:jc w:val="both"/>
        <w:rPr/>
      </w:pPr>
      <w:r>
        <w:rPr/>
      </w:r>
    </w:p>
    <w:p>
      <w:pPr>
        <w:pStyle w:val="TextBody"/>
        <w:spacing w:lineRule="auto" w:line="268" w:before="0" w:after="0"/>
        <w:jc w:val="both"/>
        <w:rPr>
          <w:color w:val="000000"/>
        </w:rPr>
      </w:pPr>
      <w:r>
        <w:rPr>
          <w:color w:val="000000"/>
        </w:rPr>
        <w:t>“</w:t>
      </w:r>
      <w:r>
        <w:rPr>
          <w:rFonts w:ascii="Times New Roman;sans-serif" w:hAnsi="Times New Roman;sans-serif"/>
          <w:b w:val="false"/>
          <w:color w:val="000000"/>
          <w:sz w:val="20"/>
        </w:rPr>
        <w:t>The team continued to execute well throughout the first quarter of this year, enabling us to present the first clinical data from a Tempest program at the ASCO Annual Meeting in June,” said Stephen R. Brady, chief executive officer of Tempest. “We look forward to the upcoming oral presentation, which will highlight the clinical profile and responses observed in the monotherapy and combination Phase 1 study of TPST-1120, our novel PPARa antagonist.”</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Recent Highlights</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color w:val="000000"/>
          <w:sz w:val="20"/>
        </w:rPr>
        <w:t>TPST-1120</w:t>
      </w:r>
      <w:r>
        <w:rPr>
          <w:color w:val="000000"/>
        </w:rPr>
        <w:t xml:space="preserve"> </w:t>
      </w:r>
      <w:r>
        <w:rPr>
          <w:rFonts w:ascii="Times New Roman;sans-serif" w:hAnsi="Times New Roman;sans-serif"/>
          <w:b w:val="false"/>
          <w:color w:val="000000"/>
          <w:sz w:val="20"/>
        </w:rPr>
        <w:t>(clinical PPARα antagonist): (i) completed enrollment in the Phase 1 monotherapy and combination dose escalation arms; (ii) announced that the American Society of Clinical Oncology (ASCO) accepted for an oral presentation at its 2022 Annual Meeting an abstract containing the TPST-1120 Phase 1 monotherapy and combination data; and (iii) continued enrollment in first-line, randomized global Phase 1b/2 study in patients with hepatocellular carcinoma (HCC), under a collaboration with F. Hoffmann La Roche.</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color w:val="000000"/>
          <w:sz w:val="20"/>
        </w:rPr>
        <w:t>TPST-1495</w:t>
      </w:r>
      <w:r>
        <w:rPr>
          <w:color w:val="000000"/>
        </w:rPr>
        <w:t xml:space="preserve"> </w:t>
      </w:r>
      <w:r>
        <w:rPr>
          <w:rFonts w:ascii="Times New Roman;sans-serif" w:hAnsi="Times New Roman;sans-serif"/>
          <w:b w:val="false"/>
          <w:color w:val="000000"/>
          <w:sz w:val="20"/>
        </w:rPr>
        <w:t>(clinical dual EP2/4 prostaglandin receptor antagonist): (i) continued enrollment in a Phase 1 study evaluating both monotherapy and combination (with anti-PD-1 checkpoint inhibitor, pembrolizumab) dose and schedule optimization arms, towards establishing an RP2D; (ii) presented preclinical data further differentiating TPST-1495 from other approaches targeting the prostaglandin E2 (PGE2) pathway at the American Association for Cancer Research (AACR) 2022 Annual Meeting; and (ii) announced that ASCO accepted for a poster presentation a “trials in progress” for the ongoing TPST-1495 Phase 1 clinical monotherapy and combination therapy clinical trial.</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color w:val="000000"/>
          <w:sz w:val="20"/>
        </w:rPr>
        <w:t xml:space="preserve">TREX1 Inhibitor </w:t>
      </w:r>
      <w:r>
        <w:rPr>
          <w:rFonts w:ascii="Times New Roman;sans-serif" w:hAnsi="Times New Roman;sans-serif"/>
          <w:b w:val="false"/>
          <w:color w:val="000000"/>
          <w:sz w:val="20"/>
        </w:rPr>
        <w:t>(preclinical tumor-selective STING pathway activator): presented the first data with proprietary targeted molecules demonstrating therapeutic benefit in tumor-bearing mice at the AACR 2022 Annual Meeting.</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Planned Near-Term Milestones</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color w:val="000000"/>
          <w:sz w:val="20"/>
        </w:rPr>
        <w:t xml:space="preserve">TPST-1120 </w:t>
      </w:r>
      <w:r>
        <w:rPr>
          <w:rFonts w:ascii="Times New Roman;sans-serif" w:hAnsi="Times New Roman;sans-serif"/>
          <w:b w:val="false"/>
          <w:color w:val="000000"/>
          <w:sz w:val="20"/>
        </w:rPr>
        <w:t xml:space="preserve">(clinical PPARα antagonist): (i) first presentation of clinical data from a Tempest program at the oral presentation of the Phase 1 monotherapy and combination data at the ASCO 2022 Annual Meeting; </w:t>
      </w:r>
    </w:p>
    <w:p>
      <w:pPr>
        <w:pStyle w:val="TextBody"/>
        <w:spacing w:lineRule="auto" w:line="288"/>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If approved by the FDA</w:t>
      </w:r>
      <w:r>
        <w:br w:type="page"/>
      </w: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(ii) objective response data from the first 40 HCC patients in the first-line randomized study expected by year end or early 2023. </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color w:val="000000"/>
          <w:sz w:val="20"/>
        </w:rPr>
        <w:t>TPST-1495</w:t>
      </w:r>
      <w:r>
        <w:rPr>
          <w:color w:val="000000"/>
        </w:rPr>
        <w:t xml:space="preserve"> </w:t>
      </w:r>
      <w:r>
        <w:rPr>
          <w:rFonts w:ascii="Times New Roman;sans-serif" w:hAnsi="Times New Roman;sans-serif"/>
          <w:b w:val="false"/>
          <w:color w:val="000000"/>
          <w:sz w:val="20"/>
        </w:rPr>
        <w:t>(clinical dual EP2/4 prostaglandin receptor antagonist): (i) selection of monotherapy RP2D expected in the first half of 2022; (ii) presentation of “trial in progress” poster at ASCO 2022 Annual Meeting; and (iii) data from Phase 1 monotherapy and combination dose and schedule optimization arms expected by year end or early 2023.</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color w:val="000000"/>
          <w:sz w:val="20"/>
        </w:rPr>
        <w:t xml:space="preserve">TREX1 Inhibitor </w:t>
      </w:r>
      <w:r>
        <w:rPr>
          <w:rFonts w:ascii="Times New Roman;sans-serif" w:hAnsi="Times New Roman;sans-serif"/>
          <w:b w:val="false"/>
          <w:color w:val="000000"/>
          <w:sz w:val="20"/>
        </w:rPr>
        <w:t>(preclinical tumor-selective STING pathway activator): planned selection of development candidate in the second half of 2022.</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PIPE Financing</w:t>
      </w:r>
    </w:p>
    <w:p>
      <w:pPr>
        <w:pStyle w:val="TextBody"/>
        <w:spacing w:before="0" w:after="0"/>
        <w:jc w:val="both"/>
        <w:rPr/>
      </w:pPr>
      <w:r>
        <w:rPr/>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On April 27, we announced a $15 million private investment in public equity (PIPE) financing to EcoR1 Capital, LLC and Versant Venture Capital. </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Financial Results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First Quarter</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Tempest ended the first quarter of 2022 with $45.8 million in cash and cash equivalents, compared to $51.8 million at December 31, 2021. The decrease was primarily due to cash used in operations of $7.1 million offset by proceeds from sales under our ATM program of $1.4 million. Cash balance does not reflect $15 million raised in April from PIPE financing.</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Net cash used in operations for the quarter ended March 31, 2022 was $7.1 million compared to $6.3 million for the same period in 2021.</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Net loss and net loss per share for the quarter ended March 31, 2022 were $8.5 million and $1.18, respectively, compared to $5.4 million and $10.55, respectively, for the first quarter of 2021. </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Research and development expenses for the first quarter of 2022 were $5.1 million compared to $3.6 million for the same period in 2021. The $1.5 million increase was primarily attributable to expanded research and development efforts and increased fees for consulting services and compensation expenses.</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For the three months ended March 31, 2022, general and administrative expenses were $3.0 million compared to $1.5 million for the same period in 2021. The increase of $1.5 million was primarily due to higher professional and consulting fees, insurance, and compensation expenses.</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About Tempest Therapeutics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Tempest Therapeutics is a clinical-stage oncology company advancing small molecules that combine both tumor-targeted and immune-mediated mechanisms with the potential to treat a wide range of tumors. The company’s two novel clinical programs are TPST-1120 and TPST-1495, antagonists of PPARα and EP2/EP4, respectively. Both TPST-1120 and TPST-1495 are advancing through Phase 1 clinical trials designed to study both agents as monotherapies and in combination with other approved agents. In collaboration with F. Hoffmann La Roche, TPST-1120 is also advancing in a randomized, global, Phase 1b/2 clinical study in combination with the standard-of-care regimen of atezolizumab and bevacizumab in the first-line treatment of patients with advanced or metastatic hepatocellular carcinoma. Tempest is also developing an orally-available inhibitor of TREX-1 designed to activate selectively the cGAS/STING pathway, an innate immune response pathway important for the development of anti-tumor immunity. Tempest is headquartered in South San Francisco. More information about Tempest can be found on the company’s website at www.tempesttx.com. </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before="0" w:after="0"/>
        <w:jc w:val="both"/>
        <w:rPr/>
      </w:pPr>
      <w:r>
        <w:rPr/>
      </w:r>
    </w:p>
    <w:p>
      <w:pPr>
        <w:pStyle w:val="TextBody"/>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press release contains forward-looking statements (including within the meaning of Section 21E of the Securities Exchange Act of 1934, as amended, and Section 27A of the Securities Act of 1933, as amended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68" w:before="0" w:after="0"/>
        <w:jc w:val="both"/>
        <w:rPr>
          <w:color w:val="000000"/>
        </w:rPr>
      </w:pPr>
      <w:r>
        <w:rPr>
          <w:color w:val="000000"/>
        </w:rPr>
        <w:t>“</w:t>
      </w:r>
      <w:r>
        <w:rPr>
          <w:rFonts w:ascii="Times New Roman;sans-serif" w:hAnsi="Times New Roman;sans-serif"/>
          <w:b w:val="false"/>
          <w:color w:val="000000"/>
          <w:sz w:val="20"/>
        </w:rPr>
        <w:t>Securities Act”)) concerning Tempest Therapeutics, Inc. (“Tempest Therapeutics”).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regarding the timing and selection of development candidates, dose selection or commencement of, or availability of data from, clinical trials, the company’s guidance regarding cash resources, as well as our operational plans and the timing and ability to deliver on value-creating milestones. Forward-looking statements are based on information available to Tempest Therapeutics as of the date hereof and are not guarantees of future performance. Actual results could differ materially from those contained in any forward-looking statement. These and other risks are described in greater detail in the Form 10-K filed by Tempest Therapeutics with the Securities and Exchange Commission on March 29, 2022.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jc w:val="both"/>
        <w:rPr/>
      </w:pPr>
      <w:r>
        <w:rPr/>
        <w:drawing>
          <wp:inline distT="0" distB="63500" distL="0" distR="0">
            <wp:extent cx="5943600" cy="68770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5943600" cy="6877050"/>
                    </a:xfrm>
                    <a:prstGeom prst="rect">
                      <a:avLst/>
                    </a:prstGeom>
                  </pic:spPr>
                </pic:pic>
              </a:graphicData>
            </a:graphic>
          </wp:inline>
        </w:drawing>
      </w:r>
    </w:p>
    <w:p>
      <w:pPr>
        <w:pStyle w:val="TextBody"/>
        <w:spacing w:before="0" w:after="0"/>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jc w:val="both"/>
        <w:rPr/>
      </w:pPr>
      <w:r>
        <w:rPr/>
        <w:drawing>
          <wp:inline distT="0" distB="63500" distL="0" distR="0">
            <wp:extent cx="5943600" cy="379095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5943600" cy="3790950"/>
                    </a:xfrm>
                    <a:prstGeom prst="rect">
                      <a:avLst/>
                    </a:prstGeom>
                  </pic:spPr>
                </pic:pic>
              </a:graphicData>
            </a:graphic>
          </wp:inline>
        </w:drawing>
      </w:r>
    </w:p>
    <w:p>
      <w:pPr>
        <w:pStyle w:val="TextBody"/>
        <w:spacing w:before="0" w:after="0"/>
        <w:jc w:val="both"/>
        <w:rPr/>
      </w:pPr>
      <w:r>
        <w:rPr/>
      </w:r>
    </w:p>
    <w:p>
      <w:pPr>
        <w:pStyle w:val="TextBody"/>
        <w:spacing w:before="0" w:after="0"/>
        <w:jc w:val="both"/>
        <w:rPr/>
      </w:pPr>
      <w:r>
        <w:rPr/>
      </w:r>
    </w:p>
    <w:p>
      <w:pPr>
        <w:pStyle w:val="TextBody"/>
        <w:spacing w:lineRule="auto" w:line="256" w:before="0" w:after="0"/>
        <w:jc w:val="both"/>
        <w:rPr>
          <w:rFonts w:ascii="Times New Roman;sans-serif" w:hAnsi="Times New Roman;sans-serif"/>
          <w:b/>
          <w:color w:val="000000"/>
          <w:sz w:val="20"/>
        </w:rPr>
      </w:pPr>
      <w:r>
        <w:rPr>
          <w:rFonts w:ascii="Times New Roman;sans-serif" w:hAnsi="Times New Roman;sans-serif"/>
          <w:b/>
          <w:color w:val="000000"/>
          <w:sz w:val="20"/>
        </w:rPr>
        <w:t>Investor Contacts:</w:t>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Sylvia Wheeler</w:t>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Wheelhouse Life Science Advisors</w:t>
      </w:r>
    </w:p>
    <w:p>
      <w:pPr>
        <w:pStyle w:val="TextBody"/>
        <w:spacing w:lineRule="auto" w:line="256" w:before="0" w:after="0"/>
        <w:jc w:val="both"/>
        <w:rPr>
          <w:rFonts w:ascii="Times New Roman;sans-serif" w:hAnsi="Times New Roman;sans-serif"/>
          <w:b w:val="false"/>
          <w:color w:val="0563C1"/>
          <w:sz w:val="20"/>
        </w:rPr>
      </w:pPr>
      <w:r>
        <w:rPr>
          <w:rFonts w:ascii="Times New Roman;sans-serif" w:hAnsi="Times New Roman;sans-serif"/>
          <w:b w:val="false"/>
          <w:color w:val="0563C1"/>
          <w:sz w:val="20"/>
        </w:rPr>
        <w:t>swheeler@wheelhouselsa.com</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Aljanae Reynolds </w:t>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Wheelhouse Life Science Advisors</w:t>
      </w:r>
    </w:p>
    <w:p>
      <w:pPr>
        <w:pStyle w:val="TextBody"/>
        <w:spacing w:lineRule="auto" w:line="256"/>
        <w:jc w:val="both"/>
        <w:rPr>
          <w:rFonts w:ascii="Times New Roman;sans-serif" w:hAnsi="Times New Roman;sans-serif"/>
          <w:b w:val="false"/>
          <w:color w:val="0563C1"/>
          <w:sz w:val="20"/>
        </w:rPr>
      </w:pPr>
      <w:r>
        <w:rPr>
          <w:rFonts w:ascii="Times New Roman;sans-serif" w:hAnsi="Times New Roman;sans-serif"/>
          <w:b w:val="false"/>
          <w:color w:val="0563C1"/>
          <w:sz w:val="20"/>
        </w:rPr>
        <w:t>areynolds@wheelhouselsa.com</w:t>
      </w:r>
      <w:r>
        <w:br w:type="page"/>
      </w:r>
    </w:p>
    <w:p>
      <w:pPr>
        <w:pStyle w:val="TextBody"/>
        <w:spacing w:before="0" w:after="283"/>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1780</Words>
  <CharactersWithSpaces>12140</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