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6, 2021</w:t>
      </w:r>
    </w:p>
    <w:p>
      <w:pPr>
        <w:spacing w:after="0" w:line="27" w:lineRule="exact"/>
        <w:rPr>
          <w:sz w:val="24"/>
          <w:szCs w:val="24"/>
          <w:color w:val="auto"/>
        </w:rPr>
      </w:pPr>
    </w:p>
    <w:p>
      <w:pPr>
        <w:jc w:val="right"/>
        <w:spacing w:after="0"/>
        <w:tabs>
          <w:tab w:leader="none" w:pos="40" w:val="left"/>
        </w:tabs>
        <w:rPr>
          <w:sz w:val="20"/>
          <w:szCs w:val="20"/>
          <w:color w:val="auto"/>
        </w:rPr>
      </w:pPr>
      <w:r>
        <w:rPr>
          <w:rFonts w:ascii="Arial" w:cs="Arial" w:eastAsia="Arial" w:hAnsi="Arial"/>
          <w:sz w:val="18"/>
          <w:szCs w:val="18"/>
          <w:b w:val="1"/>
          <w:bCs w:val="1"/>
          <w:color w:val="auto"/>
        </w:rPr>
        <w:t>Registration No. 333-[</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Tempest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20" w:type="dxa"/>
        <w:tblCellMar>
          <w:top w:w="0" w:type="dxa"/>
          <w:left w:w="0" w:type="dxa"/>
          <w:bottom w:w="0" w:type="dxa"/>
          <w:right w:w="0" w:type="dxa"/>
        </w:tblCellMar>
      </w:tblPr>
      <w:tr>
        <w:trPr>
          <w:trHeight w:val="212"/>
        </w:trPr>
        <w:tc>
          <w:tcPr>
            <w:tcW w:w="3840" w:type="dxa"/>
            <w:vAlign w:val="bottom"/>
          </w:tcPr>
          <w:p>
            <w:pPr>
              <w:jc w:val="center"/>
              <w:ind w:right="1882"/>
              <w:spacing w:after="0"/>
              <w:rPr>
                <w:sz w:val="20"/>
                <w:szCs w:val="20"/>
                <w:color w:val="auto"/>
              </w:rPr>
            </w:pPr>
            <w:r>
              <w:rPr>
                <w:rFonts w:ascii="Arial" w:cs="Arial" w:eastAsia="Arial" w:hAnsi="Arial"/>
                <w:sz w:val="18"/>
                <w:szCs w:val="18"/>
                <w:b w:val="1"/>
                <w:bCs w:val="1"/>
                <w:color w:val="auto"/>
                <w:w w:val="91"/>
              </w:rPr>
              <w:t>Delaware</w:t>
            </w:r>
          </w:p>
        </w:tc>
        <w:tc>
          <w:tcPr>
            <w:tcW w:w="3380" w:type="dxa"/>
            <w:vAlign w:val="bottom"/>
          </w:tcPr>
          <w:p>
            <w:pPr>
              <w:jc w:val="center"/>
              <w:ind w:left="1862"/>
              <w:spacing w:after="0"/>
              <w:rPr>
                <w:sz w:val="20"/>
                <w:szCs w:val="20"/>
                <w:color w:val="auto"/>
              </w:rPr>
            </w:pPr>
            <w:r>
              <w:rPr>
                <w:rFonts w:ascii="Arial" w:cs="Arial" w:eastAsia="Arial" w:hAnsi="Arial"/>
                <w:sz w:val="18"/>
                <w:szCs w:val="18"/>
                <w:b w:val="1"/>
                <w:bCs w:val="1"/>
                <w:color w:val="auto"/>
                <w:w w:val="91"/>
              </w:rPr>
              <w:t>45-1472564</w:t>
            </w:r>
          </w:p>
        </w:tc>
      </w:tr>
      <w:tr>
        <w:trPr>
          <w:trHeight w:val="148"/>
        </w:trPr>
        <w:tc>
          <w:tcPr>
            <w:tcW w:w="384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8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tcPr>
          <w:p>
            <w:pPr>
              <w:jc w:val="center"/>
              <w:ind w:right="1882"/>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186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275,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(415) 798-8589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TEMPEST THERAPEUTICS, INC. 2017 EQUITY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INCEPTION 2, INC. 2011 EQUITY INCENTIVE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titles of the plans)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Stephen Brady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Tempest Therapeutics,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275,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(415) 798-8589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Asher Rubin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Rob Carlson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Sidley Austin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1001 Page Mill Road, Building 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Palo Alto, CA 94304 USA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565-7000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offering price</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$0.001 par value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259,108 shares (2)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$12.78 (3)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$3,311,400.24</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$361.27</w:t>
            </w:r>
          </w:p>
        </w:tc>
        <w:tc>
          <w:tcPr>
            <w:tcW w:w="0" w:type="dxa"/>
            <w:vAlign w:val="bottom"/>
          </w:tcPr>
          <w:p>
            <w:pPr>
              <w:spacing w:after="0"/>
              <w:rPr>
                <w:sz w:val="1"/>
                <w:szCs w:val="1"/>
                <w:color w:val="auto"/>
              </w:rPr>
            </w:pPr>
          </w:p>
        </w:tc>
      </w:tr>
    </w:tbl>
    <w:p>
      <w:pPr>
        <w:sectPr>
          <w:pgSz w:w="11900" w:h="16838" w:orient="portrait"/>
          <w:cols w:equalWidth="0" w:num="1">
            <w:col w:w="11020"/>
          </w:cols>
          <w:pgMar w:left="440" w:top="229" w:right="439" w:bottom="0" w:gutter="0" w:footer="0" w:header="0"/>
        </w:sectPr>
      </w:pPr>
    </w:p>
    <w:bookmarkStart w:id="1" w:name="page2"/>
    <w:bookmarkEnd w:id="1"/>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29"/>
        </w:trPr>
        <w:tc>
          <w:tcPr>
            <w:tcW w:w="48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$0.001 par value per share</w:t>
            </w:r>
          </w:p>
        </w:tc>
        <w:tc>
          <w:tcPr>
            <w:tcW w:w="1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648,837 shares (4)</w:t>
            </w:r>
          </w:p>
        </w:tc>
        <w:tc>
          <w:tcPr>
            <w:tcW w:w="154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$10.25 (5)</w:t>
            </w:r>
          </w:p>
        </w:tc>
        <w:tc>
          <w:tcPr>
            <w:tcW w:w="1540" w:type="dxa"/>
            <w:vAlign w:val="bottom"/>
            <w:tcBorders>
              <w:top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$6,650,579.25</w:t>
            </w:r>
          </w:p>
        </w:tc>
        <w:tc>
          <w:tcPr>
            <w:tcW w:w="15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$725.58</w:t>
            </w: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$0.001 par value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13,041 shares (6)</w:t>
            </w:r>
          </w:p>
        </w:tc>
        <w:tc>
          <w:tcPr>
            <w:tcW w:w="154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$2.79 (7)</w:t>
            </w:r>
          </w:p>
        </w:tc>
        <w:tc>
          <w:tcPr>
            <w:tcW w:w="154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$36,384.39</w:t>
            </w:r>
          </w:p>
        </w:tc>
        <w:tc>
          <w:tcPr>
            <w:tcW w:w="15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$3.97</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ind w:left="424" w:right="380" w:hanging="424"/>
        <w:spacing w:after="0" w:line="286"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416(a) under the Securities Act of 1933, as amended (the “Securities Act”), this Registration Statement shall also cover such additional and indeterminate number of shares of common stock of Tempest Therapeutics, Inc. (formerly Millendo Therapeutics, Inc., the “Registrant”), par value $0.001 per share (the “Common Stock”), as may become issuable pursuant to the provisions of the plans relating to adjustments for changes resulting from a stock dividend, stock split, recapitalization or other similar transactions.</w:t>
      </w:r>
    </w:p>
    <w:p>
      <w:pPr>
        <w:ind w:left="424" w:right="8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Common Stock reserved for issuance under the Tempest Therapeutics, Inc. 2017 Equity Incentive Plan (the “2017 Plan”) as assumed by the Registrant pursuant to the terms of that certain Agreement and Plan of Merger, dated as of March 29, 2021, among the Registrant, Tempest Therapeutics Inc., and Mars Merger Corp. (the “Merger Agreement”).</w:t>
      </w:r>
    </w:p>
    <w:p>
      <w:pPr>
        <w:spacing w:after="0" w:line="1" w:lineRule="exact"/>
        <w:rPr>
          <w:rFonts w:ascii="Arial" w:cs="Arial" w:eastAsia="Arial" w:hAnsi="Arial"/>
          <w:sz w:val="18"/>
          <w:szCs w:val="18"/>
          <w:color w:val="auto"/>
        </w:rPr>
      </w:pPr>
    </w:p>
    <w:p>
      <w:pPr>
        <w:ind w:left="424" w:right="20" w:hanging="424"/>
        <w:spacing w:after="0" w:line="281"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in accordance with Rule 457(c) and (h) under the Securities Act solely for the purposes of calculating the registration fee. The price of $12.78 per share represents the average high and low sales prices of the Common Stock as quoted on the Nasdaq Capital Market on June 29, 2021.</w:t>
      </w:r>
    </w:p>
    <w:p>
      <w:pPr>
        <w:spacing w:after="0" w:line="1" w:lineRule="exact"/>
        <w:rPr>
          <w:rFonts w:ascii="Arial" w:cs="Arial" w:eastAsia="Arial" w:hAnsi="Arial"/>
          <w:sz w:val="16"/>
          <w:szCs w:val="16"/>
          <w:color w:val="auto"/>
        </w:rPr>
      </w:pPr>
    </w:p>
    <w:p>
      <w:pPr>
        <w:ind w:left="424" w:right="18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Common Stock which may be issued pursuant to the exercise of outstanding stock options under the 2017 Plan, as assumed by the Registrant pursuant to the terms of the Merger Agreement.</w:t>
      </w:r>
    </w:p>
    <w:p>
      <w:pPr>
        <w:ind w:left="424" w:right="240" w:hanging="424"/>
        <w:spacing w:after="0" w:line="265"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in accordance with Rule 457(h) under the Securities Act solely for the purpose of calculating the registration fee. The price of $10.25 per share represents the weighted average exercise price per share of outstanding stock option awards under the 2017 Plan.</w:t>
      </w:r>
    </w:p>
    <w:p>
      <w:pPr>
        <w:ind w:left="424" w:right="220" w:hanging="424"/>
        <w:spacing w:after="0" w:line="265"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shares of Common Stock which may be issued pursuant to the exercise of outstanding stock options under the Inception 2, Inc. 2011 Equity Incentive Plan (the “2011 Plan”), as assumed by the Registrant pursuant to the terms of the Merger Agreement.</w:t>
      </w:r>
    </w:p>
    <w:p>
      <w:pPr>
        <w:ind w:left="424" w:right="60" w:hanging="424"/>
        <w:spacing w:after="0" w:line="290"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in accordance with Rule 457(h) under the Securities Act solely for the purpose of calculating the registration fee. The price of $2.79 per share represents the weighted average exercise price per share of outstanding stock option awards under the 2011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33"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ind w:right="40" w:firstLine="991"/>
        <w:spacing w:after="0" w:line="269" w:lineRule="auto"/>
        <w:rPr>
          <w:sz w:val="20"/>
          <w:szCs w:val="20"/>
          <w:color w:val="auto"/>
        </w:rPr>
      </w:pPr>
      <w:r>
        <w:rPr>
          <w:rFonts w:ascii="Arial" w:cs="Arial" w:eastAsia="Arial" w:hAnsi="Arial"/>
          <w:sz w:val="17"/>
          <w:szCs w:val="17"/>
          <w:color w:val="auto"/>
        </w:rPr>
        <w:t>On March 29, 2021, the registrant, then known as “Millendo Therapeutics, Inc.” and TempestTx, Inc., then known as “Tempest Therapeutics, Inc.”, a Delaware corporation (“TempestTx”) entered into an Agreement and Plan of Merger (the “Merger Agreement”) pursuant to which a direct, wholly owned subsidiary of the registrant, Mars Merger Corp., merged with and into TempestTx, with TempestTx surviving as a wholly owned subsidiary of the registrant, which transaction is referred to herein as the “Tempest Merger.” On June 25, 2021, in connection with, and prior to the completion of, the Tempest Merger, the registrant effected a 1-for-15 reverse stock split of its common stock (the “Reverse Stock Split”). On June 24, 2021, TempestTx changed its name from “Tempest Therapeutics, Inc.” to “TempestTx, Inc.” and the registrant changed its name to “Tempest Therapeutics, Inc.” (“Tempest”). Following the completion of the Tempest Merger, the business conducted by the Company became primarily the business conducted by TempestTx, which is a clinical-stage oncology company focused on leveraging its deep scientific understanding of cancer biology and medicinal chemistry to develop and advance novel orally available therapies for the treatment of solid tumors. All references to shares and per share amounts in this Registration Statement reflect, where applicable, the Reverse Stock Split.</w:t>
      </w:r>
    </w:p>
    <w:p>
      <w:pPr>
        <w:spacing w:after="0" w:line="185" w:lineRule="exact"/>
        <w:rPr>
          <w:sz w:val="20"/>
          <w:szCs w:val="20"/>
          <w:color w:val="auto"/>
        </w:rPr>
      </w:pPr>
    </w:p>
    <w:p>
      <w:pPr>
        <w:ind w:right="260" w:firstLine="991"/>
        <w:spacing w:after="0" w:line="257" w:lineRule="auto"/>
        <w:rPr>
          <w:sz w:val="20"/>
          <w:szCs w:val="20"/>
          <w:color w:val="auto"/>
        </w:rPr>
      </w:pPr>
      <w:r>
        <w:rPr>
          <w:rFonts w:ascii="Arial" w:cs="Arial" w:eastAsia="Arial" w:hAnsi="Arial"/>
          <w:sz w:val="18"/>
          <w:szCs w:val="18"/>
          <w:color w:val="auto"/>
        </w:rPr>
        <w:t>Pursuant to the Merger Agreement, each option to purchase shares of TempestTx common stock that was outstanding and unexercised immediately prior to the effective time of the merger, whether vested or unvested, and all stock option plans or other stock or equity-related plans of TempestTx was assumed by Tempest at the effective time and was converted into an option to acquire shares of Tempest’s Common Stock. This Registration Statement on Form S-8 is being filed for the purpose of registering the shares of Tempest’s Common Stock issuable under the 2017 Plan and the 2011 Plan.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right="240" w:firstLine="991"/>
        <w:spacing w:after="0" w:line="257" w:lineRule="auto"/>
        <w:rPr>
          <w:sz w:val="20"/>
          <w:szCs w:val="20"/>
          <w:color w:val="auto"/>
        </w:rPr>
      </w:pPr>
      <w:r>
        <w:rPr>
          <w:rFonts w:ascii="Arial" w:cs="Arial" w:eastAsia="Arial" w:hAnsi="Arial"/>
          <w:sz w:val="18"/>
          <w:szCs w:val="18"/>
          <w:color w:val="auto"/>
        </w:rPr>
        <w:t>All information required by Part I to be contained in the prospectus is omitted from this Registration Statement in accordance with the explanatory note to Part I of Form S-8 and Rule 428 under the Securities Act of 1933, as amended (the “Securities Act”). This Registration Statement on Form S-8 is filed by Tempest regarding the Tempest Therapeutics, Inc. 2017 Equity Incentive Plan and the Inception 2, Inc. 2011 Equity Incentive Plan. Documents containing the information required by Part I of the Registration Statement will be sent or given to plan participants as specified by Rule 428(b)(1) of the Securities Act.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Tempest hereby incorporates by reference in this Registration Statement the following documents and information previously filed with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(the “SEC”):</w:t>
      </w:r>
    </w:p>
    <w:p>
      <w:pPr>
        <w:spacing w:after="0" w:line="116" w:lineRule="exact"/>
        <w:rPr>
          <w:sz w:val="20"/>
          <w:szCs w:val="20"/>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annual report on </w:t>
      </w:r>
      <w:hyperlink r:id="rId1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2020, filed with the SEC on March 29, 2021;</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amendment no.1 to annual report on </w:t>
      </w:r>
      <w:hyperlink r:id="rId20">
        <w:r>
          <w:rPr>
            <w:rFonts w:ascii="Arial" w:cs="Arial" w:eastAsia="Arial" w:hAnsi="Arial"/>
            <w:sz w:val="16"/>
            <w:szCs w:val="16"/>
            <w:u w:val="single" w:color="auto"/>
            <w:color w:val="0000EE"/>
          </w:rPr>
          <w:t>Form 10-K/A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fiscal year ended December 31, 2020, filed with the SEC on April 29, 2021;</w:t>
      </w:r>
    </w:p>
    <w:p>
      <w:pPr>
        <w:spacing w:after="0" w:line="153" w:lineRule="exact"/>
        <w:rPr>
          <w:rFonts w:ascii="Arial" w:cs="Arial" w:eastAsia="Arial" w:hAnsi="Arial"/>
          <w:sz w:val="16"/>
          <w:szCs w:val="16"/>
          <w:color w:val="auto"/>
        </w:rPr>
      </w:pPr>
    </w:p>
    <w:p>
      <w:pPr>
        <w:ind w:left="960" w:right="12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audited financial statements of TempestTx as of December 31, 2020 and 2019 and for the years then ended filed with the SEC as part of the Registration Statement on Form S-4, as amended (File No. 333-255198);</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quarterly report on </w:t>
      </w:r>
      <w:hyperlink r:id="rId21">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quarterly period ended March 31, 2021, filed with the SEC on May 13, 2021;</w:t>
      </w:r>
    </w:p>
    <w:p>
      <w:pPr>
        <w:spacing w:after="0" w:line="130" w:lineRule="exact"/>
        <w:rPr>
          <w:rFonts w:ascii="Arial" w:cs="Arial" w:eastAsia="Arial" w:hAnsi="Arial"/>
          <w:sz w:val="18"/>
          <w:szCs w:val="18"/>
          <w:color w:val="auto"/>
        </w:rPr>
      </w:pPr>
    </w:p>
    <w:p>
      <w:pPr>
        <w:ind w:left="960" w:right="400" w:hanging="532"/>
        <w:spacing w:after="0" w:line="277" w:lineRule="auto"/>
        <w:tabs>
          <w:tab w:leader="none" w:pos="960" w:val="left"/>
        </w:tabs>
        <w:numPr>
          <w:ilvl w:val="0"/>
          <w:numId w:val="2"/>
        </w:numPr>
        <w:rPr>
          <w:rFonts w:ascii="Arial" w:cs="Arial" w:eastAsia="Arial" w:hAnsi="Arial"/>
          <w:sz w:val="18"/>
          <w:szCs w:val="18"/>
          <w:color w:val="0000EE"/>
        </w:rPr>
      </w:pPr>
      <w:hyperlink r:id="rId22">
        <w:r>
          <w:rPr>
            <w:rFonts w:ascii="Arial" w:cs="Arial" w:eastAsia="Arial" w:hAnsi="Arial"/>
            <w:sz w:val="18"/>
            <w:szCs w:val="18"/>
            <w:color w:val="auto"/>
          </w:rPr>
          <w:t xml:space="preserve">The current reports on Form 8-K filed with the SEC on </w:t>
        </w:r>
        <w:r>
          <w:rPr>
            <w:rFonts w:ascii="Arial" w:cs="Arial" w:eastAsia="Arial" w:hAnsi="Arial"/>
            <w:sz w:val="18"/>
            <w:szCs w:val="18"/>
            <w:u w:val="single" w:color="auto"/>
            <w:color w:val="0000EE"/>
          </w:rPr>
          <w:t>January 5,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January 28,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29,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11,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23,</w:t>
        </w:r>
      </w:hyperlink>
      <w:r>
        <w:rPr>
          <w:rFonts w:ascii="Arial" w:cs="Arial" w:eastAsia="Arial" w:hAnsi="Arial"/>
          <w:sz w:val="18"/>
          <w:szCs w:val="18"/>
          <w:color w:val="auto"/>
        </w:rPr>
        <w:t xml:space="preserve"> </w:t>
      </w:r>
      <w:hyperlink r:id="rId22">
        <w:r>
          <w:rPr>
            <w:rFonts w:ascii="Arial" w:cs="Arial" w:eastAsia="Arial" w:hAnsi="Arial"/>
            <w:sz w:val="18"/>
            <w:szCs w:val="18"/>
            <w:u w:val="single" w:color="auto"/>
            <w:color w:val="0000EE"/>
          </w:rPr>
          <w:t>2021</w:t>
        </w:r>
        <w:r>
          <w:rPr>
            <w:rFonts w:ascii="Arial" w:cs="Arial" w:eastAsia="Arial" w:hAnsi="Arial"/>
            <w:sz w:val="18"/>
            <w:szCs w:val="18"/>
            <w:color w:val="000000"/>
          </w:rPr>
          <w:t>, and June 28, 2021 (except Item 7.01), and on</w:t>
        </w:r>
        <w:r>
          <w:rPr>
            <w:rFonts w:ascii="Arial" w:cs="Arial" w:eastAsia="Arial" w:hAnsi="Arial"/>
            <w:sz w:val="18"/>
            <w:szCs w:val="18"/>
            <w:color w:val="0000EE"/>
          </w:rPr>
          <w:t xml:space="preserve"> </w:t>
        </w:r>
      </w:hyperlink>
      <w:hyperlink r:id="rId23">
        <w:r>
          <w:rPr>
            <w:rFonts w:ascii="Arial" w:cs="Arial" w:eastAsia="Arial" w:hAnsi="Arial"/>
            <w:sz w:val="18"/>
            <w:szCs w:val="18"/>
            <w:u w:val="single" w:color="auto"/>
            <w:color w:val="0000EE"/>
          </w:rPr>
          <w:t xml:space="preserve">Form 8-K/A </w:t>
        </w:r>
      </w:hyperlink>
      <w:hyperlink r:id="rId22">
        <w:r>
          <w:rPr>
            <w:rFonts w:ascii="Arial" w:cs="Arial" w:eastAsia="Arial" w:hAnsi="Arial"/>
            <w:sz w:val="18"/>
            <w:szCs w:val="18"/>
            <w:color w:val="000000"/>
          </w:rPr>
          <w:t>on July 1, 2021; and</w:t>
        </w:r>
      </w:hyperlink>
    </w:p>
    <w:p>
      <w:pPr>
        <w:spacing w:after="0" w:line="75" w:lineRule="exact"/>
        <w:rPr>
          <w:rFonts w:ascii="Arial" w:cs="Arial" w:eastAsia="Arial" w:hAnsi="Arial"/>
          <w:sz w:val="18"/>
          <w:szCs w:val="18"/>
          <w:color w:val="0000EE"/>
        </w:rPr>
      </w:pPr>
    </w:p>
    <w:p>
      <w:pPr>
        <w:ind w:left="960" w:hanging="532"/>
        <w:spacing w:after="0" w:line="286"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description of Tempest’s Common Stock set forth in the Description of the Registrant’s Securities Registered Pursuant to Section 12 of the Securities Exchange Act of 1934, as amended (the “Exchange Act”), filed as </w:t>
      </w:r>
      <w:hyperlink r:id="rId24">
        <w:r>
          <w:rPr>
            <w:rFonts w:ascii="Arial" w:cs="Arial" w:eastAsia="Arial" w:hAnsi="Arial"/>
            <w:sz w:val="17"/>
            <w:szCs w:val="17"/>
            <w:u w:val="single" w:color="auto"/>
            <w:color w:val="0000EE"/>
          </w:rPr>
          <w:t>Exhibit 4.6</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Form 10-K for the fiscal year ended December 31, 2020, including any amendment or report filed for the purpose of updating such description.</w:t>
      </w:r>
    </w:p>
    <w:p>
      <w:pPr>
        <w:spacing w:after="0" w:line="165" w:lineRule="exact"/>
        <w:rPr>
          <w:rFonts w:ascii="Arial" w:cs="Arial" w:eastAsia="Arial" w:hAnsi="Arial"/>
          <w:sz w:val="18"/>
          <w:szCs w:val="18"/>
          <w:color w:val="0000EE"/>
        </w:rPr>
      </w:pPr>
    </w:p>
    <w:p>
      <w:pPr>
        <w:ind w:firstLine="991"/>
        <w:spacing w:after="0" w:line="254" w:lineRule="auto"/>
        <w:rPr>
          <w:sz w:val="20"/>
          <w:szCs w:val="20"/>
          <w:color w:val="auto"/>
        </w:rPr>
      </w:pPr>
      <w:r>
        <w:rPr>
          <w:rFonts w:ascii="Arial" w:cs="Arial" w:eastAsia="Arial" w:hAnsi="Arial"/>
          <w:sz w:val="18"/>
          <w:szCs w:val="18"/>
          <w:color w:val="auto"/>
        </w:rPr>
        <w:t>All documents subsequently filed by Tempest with the SEC pursuant to Sections 13(a), 13(c), 14 and 15(d) of the Exchange Act after the date of this Registration Statement and prior to the filing of a post-effective amendment to this Registration Statement that indicates that all securities offered hereby have been sold or that deregisters all securities then remaining unsold, shall be deemed to be incorporated by reference herein and to be a part hereof from the respective dates of filing of such documents (such documents, and the documents enumerated above, being hereinafter referred to as “Incorporated Documents”). Any statement contained in an Incorporated Document shall be deemed to be modified or superseded for purposes of this Registration Statement to the extent that a statement contained herein or in any other subsequently filed Incorporated Document modifies or supersedes such statement. Any such statement so modified or superseded shall not be deemed, except as so modified or superseded, to constitute a part of this Registration Statement.</w:t>
      </w:r>
    </w:p>
    <w:p>
      <w:pPr>
        <w:spacing w:after="0" w:line="192" w:lineRule="exact"/>
        <w:rPr>
          <w:rFonts w:ascii="Arial" w:cs="Arial" w:eastAsia="Arial" w:hAnsi="Arial"/>
          <w:sz w:val="18"/>
          <w:szCs w:val="18"/>
          <w:color w:val="0000EE"/>
        </w:rPr>
      </w:pPr>
    </w:p>
    <w:p>
      <w:pPr>
        <w:ind w:firstLine="991"/>
        <w:spacing w:after="0" w:line="263" w:lineRule="auto"/>
        <w:rPr>
          <w:sz w:val="20"/>
          <w:szCs w:val="20"/>
          <w:color w:val="auto"/>
        </w:rPr>
      </w:pPr>
      <w:r>
        <w:rPr>
          <w:rFonts w:ascii="Arial" w:cs="Arial" w:eastAsia="Arial" w:hAnsi="Arial"/>
          <w:sz w:val="18"/>
          <w:szCs w:val="18"/>
          <w:color w:val="auto"/>
        </w:rPr>
        <w:t>Notwithstanding the foregoing, unless specifically stated to the contrary, none of the information disclosed by Tempest under Items 2.02 or 7.01 of any current report on Form 8-K, including the related exhibits under Item 9.01, that Tempest may from time to time furnish to the SEC will be incorporated by reference into, or otherwise included in, this Registration Statement.</w:t>
      </w:r>
    </w:p>
    <w:p>
      <w:pPr>
        <w:sectPr>
          <w:pgSz w:w="11900" w:h="16838" w:orient="portrait"/>
          <w:cols w:equalWidth="0" w:num="1">
            <w:col w:w="11000"/>
          </w:cols>
          <w:pgMar w:left="440" w:top="270" w:right="4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 Description of Securities.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left="4" w:right="100" w:firstLine="440"/>
        <w:spacing w:after="0" w:line="271" w:lineRule="auto"/>
        <w:rPr>
          <w:sz w:val="20"/>
          <w:szCs w:val="20"/>
          <w:color w:val="auto"/>
        </w:rPr>
      </w:pPr>
      <w:r>
        <w:rPr>
          <w:rFonts w:ascii="Arial" w:cs="Arial" w:eastAsia="Arial" w:hAnsi="Arial"/>
          <w:sz w:val="17"/>
          <w:szCs w:val="17"/>
          <w:color w:val="auto"/>
        </w:rPr>
        <w:t>Subsection (a) of Section 145 of the General Corporation Law of the State of Delaware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78" w:lineRule="exact"/>
        <w:rPr>
          <w:sz w:val="20"/>
          <w:szCs w:val="20"/>
          <w:color w:val="auto"/>
        </w:rPr>
      </w:pPr>
    </w:p>
    <w:p>
      <w:pPr>
        <w:ind w:left="4" w:right="60" w:firstLine="440"/>
        <w:spacing w:after="0" w:line="290" w:lineRule="auto"/>
        <w:rPr>
          <w:sz w:val="20"/>
          <w:szCs w:val="20"/>
          <w:color w:val="auto"/>
        </w:rPr>
      </w:pPr>
      <w:r>
        <w:rPr>
          <w:rFonts w:ascii="Arial" w:cs="Arial" w:eastAsia="Arial" w:hAnsi="Arial"/>
          <w:sz w:val="16"/>
          <w:szCs w:val="16"/>
          <w:color w:val="auto"/>
        </w:rPr>
        <w:t>Subsection (b) of Section 145 of the DGCL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5" w:lineRule="exact"/>
        <w:rPr>
          <w:sz w:val="20"/>
          <w:szCs w:val="20"/>
          <w:color w:val="auto"/>
        </w:rPr>
      </w:pPr>
    </w:p>
    <w:p>
      <w:pPr>
        <w:ind w:left="4" w:firstLine="440"/>
        <w:spacing w:after="0" w:line="288" w:lineRule="auto"/>
        <w:rPr>
          <w:sz w:val="20"/>
          <w:szCs w:val="20"/>
          <w:color w:val="auto"/>
        </w:rPr>
      </w:pPr>
      <w:r>
        <w:rPr>
          <w:rFonts w:ascii="Arial" w:cs="Arial" w:eastAsia="Arial" w:hAnsi="Arial"/>
          <w:sz w:val="16"/>
          <w:szCs w:val="16"/>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68" w:lineRule="exact"/>
        <w:rPr>
          <w:sz w:val="20"/>
          <w:szCs w:val="20"/>
          <w:color w:val="auto"/>
        </w:rPr>
      </w:pPr>
    </w:p>
    <w:p>
      <w:pPr>
        <w:ind w:left="4" w:right="180" w:firstLine="440"/>
        <w:spacing w:after="0" w:line="287" w:lineRule="auto"/>
        <w:rPr>
          <w:sz w:val="20"/>
          <w:szCs w:val="20"/>
          <w:color w:val="auto"/>
        </w:rPr>
      </w:pPr>
      <w:r>
        <w:rPr>
          <w:rFonts w:ascii="Arial" w:cs="Arial" w:eastAsia="Arial" w:hAnsi="Arial"/>
          <w:sz w:val="16"/>
          <w:szCs w:val="16"/>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w:t>
      </w:r>
    </w:p>
    <w:p>
      <w:pPr>
        <w:spacing w:after="0" w:line="2" w:lineRule="exact"/>
        <w:rPr>
          <w:sz w:val="20"/>
          <w:szCs w:val="20"/>
          <w:color w:val="auto"/>
        </w:rPr>
      </w:pPr>
    </w:p>
    <w:p>
      <w:pPr>
        <w:ind w:left="4" w:right="160" w:hanging="4"/>
        <w:spacing w:after="0" w:line="260" w:lineRule="auto"/>
        <w:tabs>
          <w:tab w:leader="none" w:pos="269"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 (iii) under Section 174 of the DGCL, or (iv) for any transaction from which the director derived an improper personal benefit.</w:t>
      </w:r>
    </w:p>
    <w:p>
      <w:pPr>
        <w:spacing w:after="0" w:line="185" w:lineRule="exact"/>
        <w:rPr>
          <w:sz w:val="20"/>
          <w:szCs w:val="20"/>
          <w:color w:val="auto"/>
        </w:rPr>
      </w:pPr>
    </w:p>
    <w:p>
      <w:pPr>
        <w:ind w:left="4" w:right="140" w:firstLine="440"/>
        <w:spacing w:after="0" w:line="273" w:lineRule="auto"/>
        <w:rPr>
          <w:sz w:val="20"/>
          <w:szCs w:val="20"/>
          <w:color w:val="auto"/>
        </w:rPr>
      </w:pPr>
      <w:r>
        <w:rPr>
          <w:rFonts w:ascii="Arial" w:cs="Arial" w:eastAsia="Arial" w:hAnsi="Arial"/>
          <w:sz w:val="17"/>
          <w:szCs w:val="17"/>
          <w:color w:val="auto"/>
        </w:rPr>
        <w:t>Tempest’s certificate of incorporation contains provisions that eliminate, to the maximum extent permitted by the DGCL, the personal liability of directors and executive officers for monetary damages for breach of their fiduciary duties as a director or officer. The certificate of incorporation and bylaws provide that Tempest shall indemnify its directors and officers and may indemnify its employees and other agents to the fullest extent permitted by the DGCL. The DGCL prohibits limiting the liability of directors for (i) any breach of a director’s duty of loyalty, (ii) acts or omissions not in good faith or that involve intentional misconduct or a knowing violation of law, (iii) unlawful payment of dividends or unlawful stock repurchases or redemptions, and (iv) any transaction from which a director derived an improper personal benefit.</w:t>
      </w:r>
    </w:p>
    <w:p>
      <w:pPr>
        <w:spacing w:after="0" w:line="178" w:lineRule="exact"/>
        <w:rPr>
          <w:sz w:val="20"/>
          <w:szCs w:val="20"/>
          <w:color w:val="auto"/>
        </w:rPr>
      </w:pPr>
    </w:p>
    <w:p>
      <w:pPr>
        <w:ind w:left="4" w:right="20" w:firstLine="440"/>
        <w:spacing w:after="0" w:line="293" w:lineRule="auto"/>
        <w:rPr>
          <w:sz w:val="20"/>
          <w:szCs w:val="20"/>
          <w:color w:val="auto"/>
        </w:rPr>
      </w:pPr>
      <w:r>
        <w:rPr>
          <w:rFonts w:ascii="Arial" w:cs="Arial" w:eastAsia="Arial" w:hAnsi="Arial"/>
          <w:sz w:val="16"/>
          <w:szCs w:val="16"/>
          <w:color w:val="auto"/>
        </w:rPr>
        <w:t>If Delaware law is amended to authorize corporate action further eliminating or limiting the personal liability of a director, then the liability of the directors will be eliminated or limited to the fullest extent permitted by Delaware law, as so amended. Tempest’s certificate of incorporation does not eliminate a director’s duty of care and, in appropriate circumstances, equitable remedies, such as injunctive or other forms of nonmonetary relief, remain available under Delaware law. It also does not affect a director’s responsibilities under any other laws, such as the federal securities laws or other state or federal laws. Under the bylaws, Tempest will also be empowered to enter into indemnification agreements with its directors, officers, employees and other agents and to purchase insurance on behalf of any person whom Tempest is required or permitted to indemnify.</w:t>
      </w:r>
    </w:p>
    <w:p>
      <w:pPr>
        <w:spacing w:after="0" w:line="164" w:lineRule="exact"/>
        <w:rPr>
          <w:sz w:val="20"/>
          <w:szCs w:val="20"/>
          <w:color w:val="auto"/>
        </w:rPr>
      </w:pPr>
    </w:p>
    <w:p>
      <w:pPr>
        <w:ind w:left="4" w:right="80" w:firstLine="440"/>
        <w:spacing w:after="0" w:line="255" w:lineRule="auto"/>
        <w:rPr>
          <w:sz w:val="20"/>
          <w:szCs w:val="20"/>
          <w:color w:val="auto"/>
        </w:rPr>
      </w:pPr>
      <w:r>
        <w:rPr>
          <w:rFonts w:ascii="Arial" w:cs="Arial" w:eastAsia="Arial" w:hAnsi="Arial"/>
          <w:sz w:val="18"/>
          <w:szCs w:val="18"/>
          <w:color w:val="auto"/>
        </w:rPr>
        <w:t>Tempest entered into indemnification agreements with its directors and executive officers, in addition to the indemnification provided for in its certificate of incorporation and bylaws, and intends to enter into indemnification agreements with any new directors and executive officers in the future. These agreements provide for the indemnification of such persons for all reasonable expenses and liabilities incurred in connection with any action or proceeding brought against them by reason of the fact that they are or were serving in such capacity. Tempest believes that these certificate of incorporation and bylaws provisions and indemnification agreements are necessary to attract and retain qualified persons as directors, officers and employees.</w:t>
      </w:r>
    </w:p>
    <w:p>
      <w:pPr>
        <w:sectPr>
          <w:pgSz w:w="11900" w:h="16838" w:orient="portrait"/>
          <w:cols w:equalWidth="0" w:num="1">
            <w:col w:w="11024"/>
          </w:cols>
          <w:pgMar w:left="436" w:top="270" w:right="439" w:bottom="1440" w:gutter="0" w:footer="0" w:header="0"/>
        </w:sectPr>
      </w:pPr>
    </w:p>
    <w:bookmarkStart w:id="4" w:name="page5"/>
    <w:bookmarkEnd w:id="4"/>
    <w:p>
      <w:pPr>
        <w:ind w:right="18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Tempest has purchased and intends to maintain insurance on behalf of any person who is or was a director or officer of Tempest against any loss arising from any claim asserted against him or her and incurred by him or her in any such capacity, subject to certain exclusions.</w:t>
      </w:r>
    </w:p>
    <w:p>
      <w:pPr>
        <w:spacing w:after="0" w:line="146"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The limitation of liability and indemnification provisions in Tempest’s certificate of incorporation and bylaws may discourage stockholders from bringing a lawsuit against directors for breach of their fiduciary duties. They may also reduce the likelihood of derivative litigation against directors and officers, even though an action, if successful, might benefit Tempest and its stockholders. A stockholder’s investment may be harmed to the extent Tempest pays the costs of settlement and damage awards against directors and officers pursuant to these indemnification provisions. Insofar as indemnification for liabilities arising under the Securities Act of 1933 may be permitted to Tempest’s directors, officers and controlling persons pursuant to the foregoing provisions, or otherwise, Tempest has been advised that, in the opinion of the SEC, such indemnification is against public policy as expressed in the Securities Act, and is, therefore, unenforceable.</w:t>
      </w:r>
    </w:p>
    <w:p>
      <w:pPr>
        <w:spacing w:after="0" w:line="177"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Under the Merger Agreement, from the closing of the merger through the sixth anniversary of the closing, Tempest has agreed that all rights to indemnification, exculpation or advancement of expenses in favor of, and all limitations on the personal liability of, each present and former director or officer of Millendo Therapeutics, Inc. or TempestTx, Inc. provided for in the respective organizational documents of Millendo Therapeutics, Inc. and TempestTx, Inc. in effect as of the date of the Merger Agreement, shall continue to be honored and in full force and effect.</w:t>
      </w:r>
    </w:p>
    <w:p>
      <w:pPr>
        <w:spacing w:after="0" w:line="171"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Under the Merger Agreement, the certificate of incorporation and bylaws of Tempest will contain provisions no less favorable with respect to indemnification, advancement of expenses and exculpation of present and former directors and officers than were set forth in the certificate of incorporation and amended and restated bylaws prior to the merger, which provisions shall not be amended, modified or repealed for a period of six years’ time from the closing of the merger in a manner that would materially and adversely affect the rights thereunder of individuals who, at or prior to the closing, were officers or directors of Millendo Therapeutics, Inc.</w:t>
      </w:r>
    </w:p>
    <w:p>
      <w:pPr>
        <w:spacing w:after="0" w:line="188"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Merger Agreement also provides that Tempest shall purchase an insurance policy in effect for six years from the closing, providing at least the same coverage as the directors’ and officers’ liability insurance policies maintained prior to the merger and containing terms and conditions that are not materially less favorable to current and former officers and directors.</w:t>
      </w:r>
    </w:p>
    <w:p>
      <w:pPr>
        <w:spacing w:after="0" w:line="184"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The foregoing summaries are not intended to be exhaustive and are qualified in their entirety by reference to the complete text of the statute, Tempest’s restated certificate of incorporation, as amended and the agreements referred to above and are qualified in their entirety by reference thereto.</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gridSpan w:val="3"/>
            <w:vMerge w:val="restart"/>
          </w:tcPr>
          <w:p>
            <w:pPr>
              <w:jc w:val="center"/>
              <w:ind w:right="250"/>
              <w:spacing w:after="0"/>
              <w:rPr>
                <w:sz w:val="20"/>
                <w:szCs w:val="20"/>
                <w:color w:val="auto"/>
              </w:rPr>
            </w:pPr>
            <w:r>
              <w:rPr>
                <w:rFonts w:ascii="Arial" w:cs="Arial" w:eastAsia="Arial" w:hAnsi="Arial"/>
                <w:sz w:val="14"/>
                <w:szCs w:val="14"/>
                <w:b w:val="1"/>
                <w:bCs w:val="1"/>
                <w:color w:val="auto"/>
                <w:w w:val="97"/>
              </w:rPr>
              <w:t>Filed</w:t>
            </w:r>
          </w:p>
        </w:tc>
        <w:tc>
          <w:tcPr>
            <w:tcW w:w="1840" w:type="dxa"/>
            <w:vAlign w:val="bottom"/>
            <w:gridSpan w:val="7"/>
          </w:tcPr>
          <w:p>
            <w:pPr>
              <w:ind w:left="2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19"/>
        </w:trPr>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Exhibit</w:t>
            </w:r>
          </w:p>
        </w:tc>
        <w:tc>
          <w:tcPr>
            <w:tcW w:w="4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2580" w:type="dxa"/>
            <w:vAlign w:val="bottom"/>
            <w:gridSpan w:val="3"/>
            <w:vMerge w:val="restart"/>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Filing</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580" w:type="dxa"/>
            <w:vAlign w:val="bottom"/>
            <w:gridSpan w:val="3"/>
            <w:vMerge w:val="continue"/>
          </w:tcPr>
          <w:p>
            <w:pPr>
              <w:spacing w:after="0"/>
              <w:rPr>
                <w:sz w:val="14"/>
                <w:szCs w:val="14"/>
                <w:color w:val="auto"/>
              </w:rPr>
            </w:pPr>
          </w:p>
        </w:tc>
        <w:tc>
          <w:tcPr>
            <w:tcW w:w="2100" w:type="dxa"/>
            <w:vAlign w:val="bottom"/>
            <w:gridSpan w:val="6"/>
          </w:tcPr>
          <w:p>
            <w:pPr>
              <w:ind w:left="800"/>
              <w:spacing w:after="0"/>
              <w:rPr>
                <w:sz w:val="20"/>
                <w:szCs w:val="20"/>
                <w:color w:val="auto"/>
              </w:rPr>
            </w:pPr>
            <w:r>
              <w:rPr>
                <w:rFonts w:ascii="Arial" w:cs="Arial" w:eastAsia="Arial" w:hAnsi="Arial"/>
                <w:sz w:val="14"/>
                <w:szCs w:val="14"/>
                <w:b w:val="1"/>
                <w:bCs w:val="1"/>
                <w:color w:val="auto"/>
              </w:rPr>
              <w:t>Herewith   Form</w:t>
            </w:r>
          </w:p>
        </w:tc>
        <w:tc>
          <w:tcPr>
            <w:tcW w:w="4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tcPr>
          <w:p>
            <w:pPr>
              <w:jc w:val="right"/>
              <w:ind w:right="52"/>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4"/>
                <w:szCs w:val="24"/>
                <w:color w:val="auto"/>
              </w:rPr>
            </w:pPr>
          </w:p>
        </w:tc>
        <w:tc>
          <w:tcPr>
            <w:tcW w:w="3260" w:type="dxa"/>
            <w:vAlign w:val="bottom"/>
            <w:gridSpan w:val="7"/>
          </w:tcPr>
          <w:p>
            <w:pPr>
              <w:spacing w:after="0"/>
              <w:rPr>
                <w:rFonts w:ascii="Arial" w:cs="Arial" w:eastAsia="Arial" w:hAnsi="Arial"/>
                <w:sz w:val="18"/>
                <w:szCs w:val="18"/>
                <w:color w:val="0000EE"/>
              </w:rPr>
            </w:pPr>
            <w:hyperlink r:id="rId27">
              <w:r>
                <w:rPr>
                  <w:rFonts w:ascii="Arial" w:cs="Arial" w:eastAsia="Arial" w:hAnsi="Arial"/>
                  <w:sz w:val="18"/>
                  <w:szCs w:val="18"/>
                  <w:color w:val="0000EE"/>
                </w:rPr>
                <w:t>Restated Certificate of Incorporation</w:t>
              </w:r>
            </w:hyperlink>
          </w:p>
        </w:tc>
        <w:tc>
          <w:tcPr>
            <w:tcW w:w="720" w:type="dxa"/>
            <w:vAlign w:val="bottom"/>
          </w:tcPr>
          <w:p>
            <w:pPr>
              <w:spacing w:after="0"/>
              <w:rPr>
                <w:sz w:val="24"/>
                <w:szCs w:val="24"/>
                <w:color w:val="auto"/>
              </w:rPr>
            </w:pPr>
          </w:p>
        </w:tc>
        <w:tc>
          <w:tcPr>
            <w:tcW w:w="2580" w:type="dxa"/>
            <w:vAlign w:val="bottom"/>
            <w:gridSpan w:val="3"/>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gridSpan w:val="4"/>
          </w:tcPr>
          <w:p>
            <w:pPr>
              <w:jc w:val="center"/>
              <w:ind w:right="20"/>
              <w:spacing w:after="0"/>
              <w:rPr>
                <w:sz w:val="20"/>
                <w:szCs w:val="20"/>
                <w:color w:val="auto"/>
              </w:rPr>
            </w:pPr>
            <w:r>
              <w:rPr>
                <w:rFonts w:ascii="Arial" w:cs="Arial" w:eastAsia="Arial" w:hAnsi="Arial"/>
                <w:sz w:val="18"/>
                <w:szCs w:val="18"/>
                <w:color w:val="auto"/>
                <w:w w:val="89"/>
              </w:rPr>
              <w:t>10-Q</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0" w:type="dxa"/>
            <w:vAlign w:val="bottom"/>
            <w:gridSpan w:val="4"/>
          </w:tcPr>
          <w:p>
            <w:pPr>
              <w:jc w:val="center"/>
              <w:ind w:left="90"/>
              <w:spacing w:after="0"/>
              <w:rPr>
                <w:sz w:val="20"/>
                <w:szCs w:val="20"/>
                <w:color w:val="auto"/>
              </w:rPr>
            </w:pPr>
            <w:r>
              <w:rPr>
                <w:rFonts w:ascii="Arial" w:cs="Arial" w:eastAsia="Arial" w:hAnsi="Arial"/>
                <w:sz w:val="18"/>
                <w:szCs w:val="18"/>
                <w:color w:val="auto"/>
                <w:w w:val="90"/>
              </w:rPr>
              <w:t>05/15/2019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ind w:right="52"/>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4"/>
                <w:szCs w:val="24"/>
                <w:color w:val="auto"/>
              </w:rPr>
            </w:pPr>
          </w:p>
        </w:tc>
        <w:tc>
          <w:tcPr>
            <w:tcW w:w="6560" w:type="dxa"/>
            <w:vAlign w:val="bottom"/>
            <w:tcBorders>
              <w:bottom w:val="single" w:sz="8" w:color="0000EE"/>
            </w:tcBorders>
            <w:gridSpan w:val="11"/>
          </w:tcPr>
          <w:p>
            <w:pPr>
              <w:spacing w:after="0"/>
              <w:rPr>
                <w:rFonts w:ascii="Arial" w:cs="Arial" w:eastAsia="Arial" w:hAnsi="Arial"/>
                <w:sz w:val="18"/>
                <w:szCs w:val="18"/>
                <w:color w:val="0000EE"/>
                <w:w w:val="90"/>
              </w:rPr>
            </w:pPr>
            <w:hyperlink r:id="rId28">
              <w:r>
                <w:rPr>
                  <w:rFonts w:ascii="Arial" w:cs="Arial" w:eastAsia="Arial" w:hAnsi="Arial"/>
                  <w:sz w:val="18"/>
                  <w:szCs w:val="18"/>
                  <w:color w:val="0000EE"/>
                  <w:w w:val="90"/>
                </w:rPr>
                <w:t>Certificate of Amendment to the Restated Certificate of Incorporation, dated June 24, 2021</w:t>
              </w:r>
            </w:hyperlink>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8-K</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0" w:type="dxa"/>
            <w:vAlign w:val="bottom"/>
            <w:gridSpan w:val="4"/>
          </w:tcPr>
          <w:p>
            <w:pPr>
              <w:jc w:val="center"/>
              <w:ind w:left="90"/>
              <w:spacing w:after="0"/>
              <w:rPr>
                <w:sz w:val="20"/>
                <w:szCs w:val="20"/>
                <w:color w:val="auto"/>
              </w:rPr>
            </w:pPr>
            <w:r>
              <w:rPr>
                <w:rFonts w:ascii="Arial" w:cs="Arial" w:eastAsia="Arial" w:hAnsi="Arial"/>
                <w:sz w:val="18"/>
                <w:szCs w:val="18"/>
                <w:color w:val="auto"/>
                <w:w w:val="90"/>
              </w:rPr>
              <w:t>06/28/2021</w:t>
            </w:r>
          </w:p>
        </w:tc>
        <w:tc>
          <w:tcPr>
            <w:tcW w:w="0" w:type="dxa"/>
            <w:vAlign w:val="bottom"/>
          </w:tcPr>
          <w:p>
            <w:pPr>
              <w:spacing w:after="0"/>
              <w:rPr>
                <w:sz w:val="1"/>
                <w:szCs w:val="1"/>
                <w:color w:val="auto"/>
              </w:rPr>
            </w:pPr>
          </w:p>
        </w:tc>
      </w:tr>
      <w:tr>
        <w:trPr>
          <w:trHeight w:val="304"/>
        </w:trPr>
        <w:tc>
          <w:tcPr>
            <w:tcW w:w="460" w:type="dxa"/>
            <w:vAlign w:val="bottom"/>
          </w:tcPr>
          <w:p>
            <w:pPr>
              <w:jc w:val="right"/>
              <w:ind w:right="52"/>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24"/>
                <w:szCs w:val="24"/>
                <w:color w:val="auto"/>
              </w:rPr>
            </w:pPr>
          </w:p>
        </w:tc>
        <w:tc>
          <w:tcPr>
            <w:tcW w:w="6560" w:type="dxa"/>
            <w:vAlign w:val="bottom"/>
            <w:tcBorders>
              <w:bottom w:val="single" w:sz="8" w:color="0000EE"/>
            </w:tcBorders>
            <w:gridSpan w:val="11"/>
          </w:tcPr>
          <w:p>
            <w:pPr>
              <w:spacing w:after="0"/>
              <w:rPr>
                <w:rFonts w:ascii="Arial" w:cs="Arial" w:eastAsia="Arial" w:hAnsi="Arial"/>
                <w:sz w:val="18"/>
                <w:szCs w:val="18"/>
                <w:color w:val="0000EE"/>
                <w:w w:val="90"/>
              </w:rPr>
            </w:pPr>
            <w:hyperlink r:id="rId29">
              <w:r>
                <w:rPr>
                  <w:rFonts w:ascii="Arial" w:cs="Arial" w:eastAsia="Arial" w:hAnsi="Arial"/>
                  <w:sz w:val="18"/>
                  <w:szCs w:val="18"/>
                  <w:color w:val="0000EE"/>
                  <w:w w:val="90"/>
                </w:rPr>
                <w:t>Certificate of Amendment to the Restated Certificate of Incorporation, dated June 25, 2021</w:t>
              </w:r>
            </w:hyperlink>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8-K</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0" w:type="dxa"/>
            <w:vAlign w:val="bottom"/>
            <w:gridSpan w:val="4"/>
          </w:tcPr>
          <w:p>
            <w:pPr>
              <w:jc w:val="center"/>
              <w:ind w:left="90"/>
              <w:spacing w:after="0"/>
              <w:rPr>
                <w:sz w:val="20"/>
                <w:szCs w:val="20"/>
                <w:color w:val="auto"/>
              </w:rPr>
            </w:pPr>
            <w:r>
              <w:rPr>
                <w:rFonts w:ascii="Arial" w:cs="Arial" w:eastAsia="Arial" w:hAnsi="Arial"/>
                <w:sz w:val="18"/>
                <w:szCs w:val="18"/>
                <w:color w:val="auto"/>
                <w:w w:val="90"/>
              </w:rPr>
              <w:t>06/28/2021</w:t>
            </w:r>
          </w:p>
        </w:tc>
        <w:tc>
          <w:tcPr>
            <w:tcW w:w="0" w:type="dxa"/>
            <w:vAlign w:val="bottom"/>
          </w:tcPr>
          <w:p>
            <w:pPr>
              <w:spacing w:after="0"/>
              <w:rPr>
                <w:sz w:val="1"/>
                <w:szCs w:val="1"/>
                <w:color w:val="auto"/>
              </w:rPr>
            </w:pPr>
          </w:p>
        </w:tc>
      </w:tr>
      <w:tr>
        <w:trPr>
          <w:trHeight w:val="304"/>
        </w:trPr>
        <w:tc>
          <w:tcPr>
            <w:tcW w:w="460" w:type="dxa"/>
            <w:vAlign w:val="bottom"/>
          </w:tcPr>
          <w:p>
            <w:pPr>
              <w:jc w:val="right"/>
              <w:ind w:right="52"/>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24"/>
                <w:szCs w:val="24"/>
                <w:color w:val="auto"/>
              </w:rPr>
            </w:pPr>
          </w:p>
        </w:tc>
        <w:tc>
          <w:tcPr>
            <w:tcW w:w="2260" w:type="dxa"/>
            <w:vAlign w:val="bottom"/>
            <w:tcBorders>
              <w:bottom w:val="single" w:sz="8" w:color="0000EE"/>
            </w:tcBorders>
            <w:gridSpan w:val="2"/>
          </w:tcPr>
          <w:p>
            <w:pPr>
              <w:spacing w:after="0"/>
              <w:rPr>
                <w:rFonts w:ascii="Arial" w:cs="Arial" w:eastAsia="Arial" w:hAnsi="Arial"/>
                <w:sz w:val="18"/>
                <w:szCs w:val="18"/>
                <w:color w:val="0000EE"/>
                <w:w w:val="89"/>
              </w:rPr>
            </w:pPr>
            <w:hyperlink r:id="rId30">
              <w:r>
                <w:rPr>
                  <w:rFonts w:ascii="Arial" w:cs="Arial" w:eastAsia="Arial" w:hAnsi="Arial"/>
                  <w:sz w:val="18"/>
                  <w:szCs w:val="18"/>
                  <w:color w:val="0000EE"/>
                  <w:w w:val="89"/>
                </w:rPr>
                <w:t>Amended and Restated Bylaws</w:t>
              </w:r>
            </w:hyperlink>
          </w:p>
        </w:tc>
        <w:tc>
          <w:tcPr>
            <w:tcW w:w="4300" w:type="dxa"/>
            <w:vAlign w:val="bottom"/>
            <w:gridSpan w:val="9"/>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8-K</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0" w:type="dxa"/>
            <w:vAlign w:val="bottom"/>
            <w:gridSpan w:val="4"/>
          </w:tcPr>
          <w:p>
            <w:pPr>
              <w:jc w:val="center"/>
              <w:ind w:left="90"/>
              <w:spacing w:after="0"/>
              <w:rPr>
                <w:sz w:val="20"/>
                <w:szCs w:val="20"/>
                <w:color w:val="auto"/>
              </w:rPr>
            </w:pPr>
            <w:r>
              <w:rPr>
                <w:rFonts w:ascii="Arial" w:cs="Arial" w:eastAsia="Arial" w:hAnsi="Arial"/>
                <w:sz w:val="18"/>
                <w:szCs w:val="18"/>
                <w:color w:val="auto"/>
                <w:w w:val="90"/>
              </w:rPr>
              <w:t>08/09/2018</w:t>
            </w:r>
          </w:p>
        </w:tc>
        <w:tc>
          <w:tcPr>
            <w:tcW w:w="0" w:type="dxa"/>
            <w:vAlign w:val="bottom"/>
          </w:tcPr>
          <w:p>
            <w:pPr>
              <w:spacing w:after="0"/>
              <w:rPr>
                <w:sz w:val="1"/>
                <w:szCs w:val="1"/>
                <w:color w:val="auto"/>
              </w:rPr>
            </w:pPr>
          </w:p>
        </w:tc>
      </w:tr>
      <w:tr>
        <w:trPr>
          <w:trHeight w:val="304"/>
        </w:trPr>
        <w:tc>
          <w:tcPr>
            <w:tcW w:w="460" w:type="dxa"/>
            <w:vAlign w:val="bottom"/>
          </w:tcPr>
          <w:p>
            <w:pPr>
              <w:jc w:val="right"/>
              <w:ind w:right="52"/>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24"/>
                <w:szCs w:val="24"/>
                <w:color w:val="auto"/>
              </w:rPr>
            </w:pPr>
          </w:p>
        </w:tc>
        <w:tc>
          <w:tcPr>
            <w:tcW w:w="2180" w:type="dxa"/>
            <w:vAlign w:val="bottom"/>
            <w:tcBorders>
              <w:bottom w:val="single" w:sz="8" w:color="0000EE"/>
            </w:tcBorders>
          </w:tcPr>
          <w:p>
            <w:pPr>
              <w:spacing w:after="0"/>
              <w:rPr>
                <w:rFonts w:ascii="Arial" w:cs="Arial" w:eastAsia="Arial" w:hAnsi="Arial"/>
                <w:sz w:val="18"/>
                <w:szCs w:val="18"/>
                <w:color w:val="0000EE"/>
                <w:w w:val="94"/>
              </w:rPr>
            </w:pPr>
            <w:hyperlink w:anchor="page8">
              <w:r>
                <w:rPr>
                  <w:rFonts w:ascii="Arial" w:cs="Arial" w:eastAsia="Arial" w:hAnsi="Arial"/>
                  <w:sz w:val="18"/>
                  <w:szCs w:val="18"/>
                  <w:color w:val="0000EE"/>
                  <w:w w:val="94"/>
                </w:rPr>
                <w:t>Opinion of Sidley Austin LLP</w:t>
              </w:r>
            </w:hyperlink>
          </w:p>
        </w:tc>
        <w:tc>
          <w:tcPr>
            <w:tcW w:w="4380" w:type="dxa"/>
            <w:vAlign w:val="bottom"/>
            <w:gridSpan w:val="10"/>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gridSpan w:val="5"/>
          </w:tcPr>
          <w:p>
            <w:pPr>
              <w:jc w:val="center"/>
              <w:ind w:right="740"/>
              <w:spacing w:after="0"/>
              <w:rPr>
                <w:sz w:val="20"/>
                <w:szCs w:val="20"/>
                <w:color w:val="auto"/>
              </w:rPr>
            </w:pPr>
            <w:r>
              <w:rPr>
                <w:rFonts w:ascii="Arial" w:cs="Arial" w:eastAsia="Arial" w:hAnsi="Arial"/>
                <w:sz w:val="18"/>
                <w:szCs w:val="18"/>
                <w:color w:val="auto"/>
              </w:rPr>
              <w:t>X</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10.1</w:t>
            </w:r>
          </w:p>
        </w:tc>
        <w:tc>
          <w:tcPr>
            <w:tcW w:w="400" w:type="dxa"/>
            <w:vAlign w:val="bottom"/>
          </w:tcPr>
          <w:p>
            <w:pPr>
              <w:spacing w:after="0"/>
              <w:rPr>
                <w:sz w:val="24"/>
                <w:szCs w:val="24"/>
                <w:color w:val="auto"/>
              </w:rPr>
            </w:pPr>
          </w:p>
        </w:tc>
        <w:tc>
          <w:tcPr>
            <w:tcW w:w="39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Tempest Therapeutics, Inc. 2017 Equity Incentive Plan</w:t>
              </w:r>
            </w:hyperlink>
          </w:p>
        </w:tc>
        <w:tc>
          <w:tcPr>
            <w:tcW w:w="2580" w:type="dxa"/>
            <w:vAlign w:val="bottom"/>
            <w:gridSpan w:val="3"/>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gridSpan w:val="5"/>
          </w:tcPr>
          <w:p>
            <w:pPr>
              <w:jc w:val="center"/>
              <w:ind w:right="740"/>
              <w:spacing w:after="0"/>
              <w:rPr>
                <w:sz w:val="20"/>
                <w:szCs w:val="20"/>
                <w:color w:val="auto"/>
              </w:rPr>
            </w:pPr>
            <w:r>
              <w:rPr>
                <w:rFonts w:ascii="Arial" w:cs="Arial" w:eastAsia="Arial" w:hAnsi="Arial"/>
                <w:sz w:val="18"/>
                <w:szCs w:val="18"/>
                <w:color w:val="auto"/>
              </w:rPr>
              <w:t>X</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10.2</w:t>
            </w:r>
          </w:p>
        </w:tc>
        <w:tc>
          <w:tcPr>
            <w:tcW w:w="400" w:type="dxa"/>
            <w:vAlign w:val="bottom"/>
          </w:tcPr>
          <w:p>
            <w:pPr>
              <w:spacing w:after="0"/>
              <w:rPr>
                <w:sz w:val="24"/>
                <w:szCs w:val="24"/>
                <w:color w:val="auto"/>
              </w:rPr>
            </w:pPr>
          </w:p>
        </w:tc>
        <w:tc>
          <w:tcPr>
            <w:tcW w:w="6560" w:type="dxa"/>
            <w:vAlign w:val="bottom"/>
            <w:gridSpan w:val="1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Inception 2, Inc. 2011 Equity Incentive Plan</w:t>
              </w:r>
            </w:hyperlink>
          </w:p>
        </w:tc>
        <w:tc>
          <w:tcPr>
            <w:tcW w:w="820" w:type="dxa"/>
            <w:vAlign w:val="bottom"/>
          </w:tcPr>
          <w:p>
            <w:pPr>
              <w:spacing w:after="0"/>
              <w:rPr>
                <w:sz w:val="24"/>
                <w:szCs w:val="24"/>
                <w:color w:val="auto"/>
              </w:rPr>
            </w:pPr>
          </w:p>
        </w:tc>
        <w:tc>
          <w:tcPr>
            <w:tcW w:w="1280" w:type="dxa"/>
            <w:vAlign w:val="bottom"/>
            <w:gridSpan w:val="5"/>
          </w:tcPr>
          <w:p>
            <w:pPr>
              <w:jc w:val="center"/>
              <w:ind w:right="740"/>
              <w:spacing w:after="0"/>
              <w:rPr>
                <w:sz w:val="20"/>
                <w:szCs w:val="20"/>
                <w:color w:val="auto"/>
              </w:rPr>
            </w:pPr>
            <w:r>
              <w:rPr>
                <w:rFonts w:ascii="Arial" w:cs="Arial" w:eastAsia="Arial" w:hAnsi="Arial"/>
                <w:sz w:val="18"/>
                <w:szCs w:val="18"/>
                <w:color w:val="auto"/>
              </w:rPr>
              <w:t>X</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23.1</w:t>
            </w:r>
          </w:p>
        </w:tc>
        <w:tc>
          <w:tcPr>
            <w:tcW w:w="400" w:type="dxa"/>
            <w:vAlign w:val="bottom"/>
          </w:tcPr>
          <w:p>
            <w:pPr>
              <w:spacing w:after="0"/>
              <w:rPr>
                <w:sz w:val="24"/>
                <w:szCs w:val="24"/>
                <w:color w:val="auto"/>
              </w:rPr>
            </w:pPr>
          </w:p>
        </w:tc>
        <w:tc>
          <w:tcPr>
            <w:tcW w:w="22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Consent of Ernst &amp; Young LLP</w:t>
              </w:r>
            </w:hyperlink>
          </w:p>
        </w:tc>
        <w:tc>
          <w:tcPr>
            <w:tcW w:w="900" w:type="dxa"/>
            <w:vAlign w:val="bottom"/>
            <w:tcBorders>
              <w:top w:val="single" w:sz="8" w:color="0000EE"/>
            </w:tcBorders>
            <w:gridSpan w:val="3"/>
          </w:tcPr>
          <w:p>
            <w:pPr>
              <w:spacing w:after="0"/>
              <w:rPr>
                <w:sz w:val="24"/>
                <w:szCs w:val="24"/>
                <w:color w:val="auto"/>
              </w:rPr>
            </w:pPr>
          </w:p>
        </w:tc>
        <w:tc>
          <w:tcPr>
            <w:tcW w:w="3380" w:type="dxa"/>
            <w:vAlign w:val="bottom"/>
            <w:gridSpan w:val="5"/>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gridSpan w:val="5"/>
          </w:tcPr>
          <w:p>
            <w:pPr>
              <w:jc w:val="center"/>
              <w:ind w:right="740"/>
              <w:spacing w:after="0"/>
              <w:rPr>
                <w:sz w:val="20"/>
                <w:szCs w:val="20"/>
                <w:color w:val="auto"/>
              </w:rPr>
            </w:pPr>
            <w:r>
              <w:rPr>
                <w:rFonts w:ascii="Arial" w:cs="Arial" w:eastAsia="Arial" w:hAnsi="Arial"/>
                <w:sz w:val="18"/>
                <w:szCs w:val="18"/>
                <w:color w:val="auto"/>
              </w:rPr>
              <w:t>X</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23.2</w:t>
            </w:r>
          </w:p>
        </w:tc>
        <w:tc>
          <w:tcPr>
            <w:tcW w:w="400" w:type="dxa"/>
            <w:vAlign w:val="bottom"/>
          </w:tcPr>
          <w:p>
            <w:pPr>
              <w:spacing w:after="0"/>
              <w:rPr>
                <w:sz w:val="24"/>
                <w:szCs w:val="24"/>
                <w:color w:val="auto"/>
              </w:rPr>
            </w:pPr>
          </w:p>
        </w:tc>
        <w:tc>
          <w:tcPr>
            <w:tcW w:w="25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Consent of Deloitte &amp; Touche LLP</w:t>
              </w:r>
            </w:hyperlink>
          </w:p>
        </w:tc>
        <w:tc>
          <w:tcPr>
            <w:tcW w:w="4020" w:type="dxa"/>
            <w:vAlign w:val="bottom"/>
            <w:gridSpan w:val="7"/>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gridSpan w:val="5"/>
          </w:tcPr>
          <w:p>
            <w:pPr>
              <w:jc w:val="center"/>
              <w:ind w:right="740"/>
              <w:spacing w:after="0"/>
              <w:rPr>
                <w:sz w:val="20"/>
                <w:szCs w:val="20"/>
                <w:color w:val="auto"/>
              </w:rPr>
            </w:pPr>
            <w:r>
              <w:rPr>
                <w:rFonts w:ascii="Arial" w:cs="Arial" w:eastAsia="Arial" w:hAnsi="Arial"/>
                <w:sz w:val="18"/>
                <w:szCs w:val="18"/>
                <w:color w:val="auto"/>
              </w:rPr>
              <w:t>X</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23.3</w:t>
            </w:r>
          </w:p>
        </w:tc>
        <w:tc>
          <w:tcPr>
            <w:tcW w:w="400" w:type="dxa"/>
            <w:vAlign w:val="bottom"/>
          </w:tcPr>
          <w:p>
            <w:pPr>
              <w:spacing w:after="0"/>
              <w:rPr>
                <w:sz w:val="24"/>
                <w:szCs w:val="24"/>
                <w:color w:val="auto"/>
              </w:rPr>
            </w:pPr>
          </w:p>
        </w:tc>
        <w:tc>
          <w:tcPr>
            <w:tcW w:w="400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8">
              <w:r>
                <w:rPr>
                  <w:rFonts w:ascii="Arial" w:cs="Arial" w:eastAsia="Arial" w:hAnsi="Arial"/>
                  <w:sz w:val="18"/>
                  <w:szCs w:val="18"/>
                  <w:color w:val="0000EE"/>
                  <w:w w:val="93"/>
                </w:rPr>
                <w:t>Consent of Sidley Austin LLP (included in Exhibit 5.1)</w:t>
              </w:r>
            </w:hyperlink>
          </w:p>
        </w:tc>
        <w:tc>
          <w:tcPr>
            <w:tcW w:w="256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gridSpan w:val="5"/>
          </w:tcPr>
          <w:p>
            <w:pPr>
              <w:jc w:val="center"/>
              <w:ind w:right="740"/>
              <w:spacing w:after="0"/>
              <w:rPr>
                <w:sz w:val="20"/>
                <w:szCs w:val="20"/>
                <w:color w:val="auto"/>
              </w:rPr>
            </w:pPr>
            <w:r>
              <w:rPr>
                <w:rFonts w:ascii="Arial" w:cs="Arial" w:eastAsia="Arial" w:hAnsi="Arial"/>
                <w:sz w:val="18"/>
                <w:szCs w:val="18"/>
                <w:color w:val="auto"/>
              </w:rPr>
              <w:t>X</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24.1</w:t>
            </w:r>
          </w:p>
        </w:tc>
        <w:tc>
          <w:tcPr>
            <w:tcW w:w="400" w:type="dxa"/>
            <w:vAlign w:val="bottom"/>
          </w:tcPr>
          <w:p>
            <w:pPr>
              <w:spacing w:after="0"/>
              <w:rPr>
                <w:sz w:val="24"/>
                <w:szCs w:val="24"/>
                <w:color w:val="auto"/>
              </w:rPr>
            </w:pPr>
          </w:p>
        </w:tc>
        <w:tc>
          <w:tcPr>
            <w:tcW w:w="58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Power of Attorney (included on the signature page of the Registration Statement)</w:t>
              </w:r>
            </w:hyperlink>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gridSpan w:val="5"/>
          </w:tcPr>
          <w:p>
            <w:pPr>
              <w:jc w:val="center"/>
              <w:ind w:right="740"/>
              <w:spacing w:after="0"/>
              <w:rPr>
                <w:sz w:val="20"/>
                <w:szCs w:val="20"/>
                <w:color w:val="auto"/>
              </w:rPr>
            </w:pPr>
            <w:r>
              <w:rPr>
                <w:rFonts w:ascii="Arial" w:cs="Arial" w:eastAsia="Arial" w:hAnsi="Arial"/>
                <w:sz w:val="18"/>
                <w:szCs w:val="18"/>
                <w:color w:val="auto"/>
              </w:rPr>
              <w:t>X</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4" w:right="45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9. Undertakings.</w:t>
      </w:r>
    </w:p>
    <w:p>
      <w:pPr>
        <w:spacing w:after="0" w:line="121" w:lineRule="exact"/>
        <w:rPr>
          <w:sz w:val="20"/>
          <w:szCs w:val="20"/>
          <w:color w:val="auto"/>
        </w:rPr>
      </w:pPr>
    </w:p>
    <w:p>
      <w:pPr>
        <w:ind w:left="244" w:hanging="244"/>
        <w:spacing w:after="0"/>
        <w:tabs>
          <w:tab w:leader="none" w:pos="2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1"/>
          <w:numId w:val="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28" w:lineRule="exact"/>
        <w:rPr>
          <w:rFonts w:ascii="Arial" w:cs="Arial" w:eastAsia="Arial" w:hAnsi="Arial"/>
          <w:sz w:val="17"/>
          <w:szCs w:val="17"/>
          <w:color w:val="auto"/>
        </w:rPr>
      </w:pPr>
    </w:p>
    <w:p>
      <w:pPr>
        <w:ind w:left="1644" w:hanging="212"/>
        <w:spacing w:after="0"/>
        <w:tabs>
          <w:tab w:leader="none" w:pos="1644"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left="1424" w:firstLine="8"/>
        <w:spacing w:after="0" w:line="272" w:lineRule="auto"/>
        <w:tabs>
          <w:tab w:leader="none" w:pos="1689" w:val="left"/>
        </w:tabs>
        <w:numPr>
          <w:ilvl w:val="2"/>
          <w:numId w:val="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69" w:lineRule="exact"/>
        <w:rPr>
          <w:rFonts w:ascii="Arial" w:cs="Arial" w:eastAsia="Arial" w:hAnsi="Arial"/>
          <w:sz w:val="17"/>
          <w:szCs w:val="17"/>
          <w:color w:val="auto"/>
        </w:rPr>
      </w:pPr>
    </w:p>
    <w:p>
      <w:pPr>
        <w:ind w:left="1424" w:right="20" w:firstLine="8"/>
        <w:spacing w:after="0" w:line="277" w:lineRule="auto"/>
        <w:tabs>
          <w:tab w:leader="none" w:pos="1739"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jc w:val="both"/>
        <w:ind w:left="1424" w:right="40"/>
        <w:spacing w:after="0" w:line="286"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(a)(1)(i) and (a)(1)(ii) of this section do not apply if the information required to be included in a</w:t>
      </w:r>
      <w:r>
        <w:rPr>
          <w:rFonts w:ascii="Arial" w:cs="Arial" w:eastAsia="Arial" w:hAnsi="Arial"/>
          <w:sz w:val="17"/>
          <w:szCs w:val="17"/>
          <w:i w:val="1"/>
          <w:iCs w:val="1"/>
          <w:color w:val="auto"/>
        </w:rPr>
        <w:t xml:space="preserve"> </w:t>
      </w:r>
      <w:r>
        <w:rPr>
          <w:rFonts w:ascii="Arial" w:cs="Arial" w:eastAsia="Arial" w:hAnsi="Arial"/>
          <w:sz w:val="17"/>
          <w:szCs w:val="17"/>
          <w:color w:val="auto"/>
        </w:rPr>
        <w:t>post-effective amendment by those paragraphs is contained in reports filed with or furnished to the SEC by the registrant pursuant to Section 13 or Section 15(d) of the Exchange Act that are incorporated by reference in the registration statement.</w:t>
      </w:r>
    </w:p>
    <w:p>
      <w:pPr>
        <w:spacing w:after="0" w:line="57" w:lineRule="exact"/>
        <w:rPr>
          <w:sz w:val="20"/>
          <w:szCs w:val="20"/>
          <w:color w:val="auto"/>
        </w:rPr>
      </w:pPr>
    </w:p>
    <w:p>
      <w:pPr>
        <w:ind w:left="984" w:right="20" w:firstLine="7"/>
        <w:spacing w:after="0" w:line="263" w:lineRule="auto"/>
        <w:tabs>
          <w:tab w:leader="none" w:pos="1239"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Arial" w:cs="Arial" w:eastAsia="Arial" w:hAnsi="Arial"/>
          <w:sz w:val="18"/>
          <w:szCs w:val="18"/>
          <w:color w:val="auto"/>
        </w:rPr>
      </w:pPr>
    </w:p>
    <w:p>
      <w:pPr>
        <w:ind w:left="984" w:right="80" w:firstLine="7"/>
        <w:spacing w:after="0" w:line="277" w:lineRule="auto"/>
        <w:tabs>
          <w:tab w:leader="none" w:pos="1239"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4" w:right="140" w:hanging="4"/>
        <w:spacing w:after="0" w:line="257" w:lineRule="auto"/>
        <w:tabs>
          <w:tab w:leader="none" w:pos="259"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7" w:lineRule="exact"/>
        <w:rPr>
          <w:rFonts w:ascii="Arial" w:cs="Arial" w:eastAsia="Arial" w:hAnsi="Arial"/>
          <w:sz w:val="18"/>
          <w:szCs w:val="18"/>
          <w:color w:val="auto"/>
        </w:rPr>
      </w:pPr>
    </w:p>
    <w:p>
      <w:pPr>
        <w:ind w:left="4" w:right="120" w:hanging="4"/>
        <w:spacing w:after="0" w:line="254"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04"/>
          </w:cols>
          <w:pgMar w:left="436" w:top="270" w:right="4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640" w:firstLine="440"/>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the 6th day of July, 2021.</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Tempest Therapeutics,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Stephen Brady</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Stephen Brady and Tom Dubensky as his or her true and lawful attorney-in-fact and agent, each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or substitute, may lawfully do or cause to be done by virtue hereof.</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Act, this report has been signed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gridSpan w:val="3"/>
          </w:tcPr>
          <w:p>
            <w:pPr>
              <w:ind w:left="1800"/>
              <w:spacing w:after="0"/>
              <w:rPr>
                <w:sz w:val="20"/>
                <w:szCs w:val="20"/>
                <w:color w:val="auto"/>
              </w:rPr>
            </w:pPr>
            <w:r>
              <w:rPr>
                <w:rFonts w:ascii="Arial" w:cs="Arial" w:eastAsia="Arial" w:hAnsi="Arial"/>
                <w:sz w:val="14"/>
                <w:szCs w:val="14"/>
                <w:b w:val="1"/>
                <w:bCs w:val="1"/>
                <w:color w:val="auto"/>
              </w:rPr>
              <w:t>Signature</w:t>
            </w:r>
          </w:p>
        </w:tc>
        <w:tc>
          <w:tcPr>
            <w:tcW w:w="5200" w:type="dxa"/>
            <w:vAlign w:val="bottom"/>
            <w:gridSpan w:val="3"/>
          </w:tcPr>
          <w:p>
            <w:pPr>
              <w:ind w:left="2400"/>
              <w:spacing w:after="0"/>
              <w:rPr>
                <w:sz w:val="20"/>
                <w:szCs w:val="20"/>
                <w:color w:val="auto"/>
              </w:rPr>
            </w:pPr>
            <w:r>
              <w:rPr>
                <w:rFonts w:ascii="Arial" w:cs="Arial" w:eastAsia="Arial" w:hAnsi="Arial"/>
                <w:sz w:val="14"/>
                <w:szCs w:val="14"/>
                <w:b w:val="1"/>
                <w:bCs w:val="1"/>
                <w:color w:val="auto"/>
              </w:rPr>
              <w:t>Title</w:t>
            </w:r>
          </w:p>
        </w:tc>
        <w:tc>
          <w:tcPr>
            <w:tcW w:w="600" w:type="dxa"/>
            <w:vAlign w:val="bottom"/>
          </w:tcPr>
          <w:p>
            <w:pPr>
              <w:spacing w:after="0"/>
              <w:rPr>
                <w:sz w:val="14"/>
                <w:szCs w:val="14"/>
                <w:color w:val="auto"/>
              </w:rPr>
            </w:pPr>
          </w:p>
        </w:tc>
        <w:tc>
          <w:tcPr>
            <w:tcW w:w="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500" w:type="dxa"/>
            <w:vAlign w:val="bottom"/>
            <w:vMerge w:val="restart"/>
          </w:tcPr>
          <w:p>
            <w:pPr>
              <w:ind w:left="140"/>
              <w:spacing w:after="0"/>
              <w:rPr>
                <w:sz w:val="20"/>
                <w:szCs w:val="20"/>
                <w:color w:val="auto"/>
              </w:rPr>
            </w:pPr>
            <w:r>
              <w:rPr>
                <w:rFonts w:ascii="Arial" w:cs="Arial" w:eastAsia="Arial" w:hAnsi="Arial"/>
                <w:sz w:val="18"/>
                <w:szCs w:val="18"/>
                <w:i w:val="1"/>
                <w:iCs w:val="1"/>
                <w:color w:val="auto"/>
              </w:rPr>
              <w:t>(Principal Executive Officer</w:t>
            </w:r>
          </w:p>
        </w:tc>
        <w:tc>
          <w:tcPr>
            <w:tcW w:w="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800" w:type="dxa"/>
            <w:vAlign w:val="bottom"/>
            <w:vMerge w:val="restart"/>
          </w:tcPr>
          <w:p>
            <w:pPr>
              <w:spacing w:after="0"/>
              <w:rPr>
                <w:sz w:val="20"/>
                <w:szCs w:val="20"/>
                <w:color w:val="auto"/>
              </w:rPr>
            </w:pPr>
            <w:r>
              <w:rPr>
                <w:rFonts w:ascii="Arial" w:cs="Arial" w:eastAsia="Arial" w:hAnsi="Arial"/>
                <w:sz w:val="18"/>
                <w:szCs w:val="18"/>
                <w:color w:val="auto"/>
              </w:rPr>
              <w:t>/s/ Stephen Brady</w:t>
            </w:r>
          </w:p>
        </w:tc>
        <w:tc>
          <w:tcPr>
            <w:tcW w:w="600" w:type="dxa"/>
            <w:vAlign w:val="bottom"/>
            <w:vMerge w:val="restart"/>
          </w:tcPr>
          <w:p>
            <w:pPr>
              <w:spacing w:after="0"/>
              <w:rPr>
                <w:sz w:val="16"/>
                <w:szCs w:val="16"/>
                <w:color w:val="auto"/>
              </w:rPr>
            </w:pPr>
          </w:p>
        </w:tc>
        <w:tc>
          <w:tcPr>
            <w:tcW w:w="1780" w:type="dxa"/>
            <w:vAlign w:val="bottom"/>
            <w:vMerge w:val="restart"/>
          </w:tcPr>
          <w:p>
            <w:pPr>
              <w:spacing w:after="0"/>
              <w:rPr>
                <w:sz w:val="16"/>
                <w:szCs w:val="16"/>
                <w:color w:val="auto"/>
              </w:rPr>
            </w:pPr>
          </w:p>
        </w:tc>
        <w:tc>
          <w:tcPr>
            <w:tcW w:w="2700" w:type="dxa"/>
            <w:vAlign w:val="bottom"/>
            <w:gridSpan w:val="2"/>
          </w:tcPr>
          <w:p>
            <w:pPr>
              <w:ind w:left="120"/>
              <w:spacing w:after="0" w:line="195" w:lineRule="exact"/>
              <w:rPr>
                <w:sz w:val="20"/>
                <w:szCs w:val="20"/>
                <w:color w:val="auto"/>
              </w:rPr>
            </w:pPr>
            <w:r>
              <w:rPr>
                <w:rFonts w:ascii="Arial" w:cs="Arial" w:eastAsia="Arial" w:hAnsi="Arial"/>
                <w:sz w:val="18"/>
                <w:szCs w:val="18"/>
                <w:color w:val="auto"/>
                <w:w w:val="89"/>
              </w:rPr>
              <w:t>Chief Executive Officer and Director</w:t>
            </w:r>
          </w:p>
        </w:tc>
        <w:tc>
          <w:tcPr>
            <w:tcW w:w="2500" w:type="dxa"/>
            <w:vAlign w:val="bottom"/>
            <w:vMerge w:val="continue"/>
          </w:tcPr>
          <w:p>
            <w:pPr>
              <w:spacing w:after="0"/>
              <w:rPr>
                <w:sz w:val="16"/>
                <w:szCs w:val="16"/>
                <w:color w:val="auto"/>
              </w:rPr>
            </w:pPr>
          </w:p>
        </w:tc>
        <w:tc>
          <w:tcPr>
            <w:tcW w:w="1200" w:type="dxa"/>
            <w:vAlign w:val="bottom"/>
            <w:gridSpan w:val="3"/>
          </w:tcPr>
          <w:p>
            <w:pPr>
              <w:jc w:val="center"/>
              <w:ind w:left="230"/>
              <w:spacing w:after="0" w:line="195" w:lineRule="exact"/>
              <w:rPr>
                <w:sz w:val="20"/>
                <w:szCs w:val="20"/>
                <w:color w:val="auto"/>
              </w:rPr>
            </w:pPr>
            <w:r>
              <w:rPr>
                <w:rFonts w:ascii="Arial" w:cs="Arial" w:eastAsia="Arial" w:hAnsi="Arial"/>
                <w:sz w:val="18"/>
                <w:szCs w:val="18"/>
                <w:color w:val="auto"/>
                <w:w w:val="90"/>
              </w:rPr>
              <w:t>July 6, 2021</w:t>
            </w:r>
          </w:p>
        </w:tc>
        <w:tc>
          <w:tcPr>
            <w:tcW w:w="0" w:type="dxa"/>
            <w:vAlign w:val="bottom"/>
          </w:tcPr>
          <w:p>
            <w:pPr>
              <w:spacing w:after="0"/>
              <w:rPr>
                <w:sz w:val="1"/>
                <w:szCs w:val="1"/>
                <w:color w:val="auto"/>
              </w:rPr>
            </w:pPr>
          </w:p>
        </w:tc>
      </w:tr>
      <w:tr>
        <w:trPr>
          <w:trHeight w:val="208"/>
        </w:trPr>
        <w:tc>
          <w:tcPr>
            <w:tcW w:w="180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780" w:type="dxa"/>
            <w:vAlign w:val="bottom"/>
            <w:tcBorders>
              <w:bottom w:val="single" w:sz="8" w:color="auto"/>
            </w:tcBorders>
            <w:vMerge w:val="continue"/>
          </w:tcPr>
          <w:p>
            <w:pPr>
              <w:spacing w:after="0"/>
              <w:rPr>
                <w:sz w:val="17"/>
                <w:szCs w:val="17"/>
                <w:color w:val="auto"/>
              </w:rPr>
            </w:pPr>
          </w:p>
        </w:tc>
        <w:tc>
          <w:tcPr>
            <w:tcW w:w="5200" w:type="dxa"/>
            <w:vAlign w:val="bottom"/>
            <w:gridSpan w:val="3"/>
          </w:tcPr>
          <w:p>
            <w:pPr>
              <w:ind w:left="120"/>
              <w:spacing w:after="0" w:line="203" w:lineRule="exact"/>
              <w:rPr>
                <w:sz w:val="20"/>
                <w:szCs w:val="20"/>
                <w:color w:val="auto"/>
              </w:rPr>
            </w:pPr>
            <w:r>
              <w:rPr>
                <w:rFonts w:ascii="Arial" w:cs="Arial" w:eastAsia="Arial" w:hAnsi="Arial"/>
                <w:sz w:val="18"/>
                <w:szCs w:val="18"/>
                <w:i w:val="1"/>
                <w:iCs w:val="1"/>
                <w:color w:val="auto"/>
              </w:rPr>
              <w:t>and Principal Financial Officer)</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180" w:type="dxa"/>
            <w:vAlign w:val="bottom"/>
            <w:gridSpan w:val="3"/>
          </w:tcPr>
          <w:p>
            <w:pPr>
              <w:spacing w:after="0"/>
              <w:rPr>
                <w:sz w:val="20"/>
                <w:szCs w:val="20"/>
                <w:color w:val="auto"/>
              </w:rPr>
            </w:pPr>
            <w:r>
              <w:rPr>
                <w:rFonts w:ascii="Arial" w:cs="Arial" w:eastAsia="Arial" w:hAnsi="Arial"/>
                <w:sz w:val="18"/>
                <w:szCs w:val="18"/>
                <w:color w:val="auto"/>
              </w:rPr>
              <w:t>Stephen Brady</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4180" w:type="dxa"/>
            <w:vAlign w:val="bottom"/>
            <w:gridSpan w:val="3"/>
            <w:vMerge w:val="restart"/>
          </w:tcPr>
          <w:p>
            <w:pPr>
              <w:spacing w:after="0"/>
              <w:rPr>
                <w:sz w:val="20"/>
                <w:szCs w:val="20"/>
                <w:color w:val="auto"/>
              </w:rPr>
            </w:pPr>
            <w:r>
              <w:rPr>
                <w:rFonts w:ascii="Arial" w:cs="Arial" w:eastAsia="Arial" w:hAnsi="Arial"/>
                <w:sz w:val="18"/>
                <w:szCs w:val="18"/>
                <w:color w:val="auto"/>
              </w:rPr>
              <w:t>/s/ Pierre Lorenzo</w:t>
            </w:r>
          </w:p>
        </w:tc>
        <w:tc>
          <w:tcPr>
            <w:tcW w:w="5200" w:type="dxa"/>
            <w:vAlign w:val="bottom"/>
            <w:gridSpan w:val="3"/>
          </w:tcPr>
          <w:p>
            <w:pPr>
              <w:ind w:left="120"/>
              <w:spacing w:after="0"/>
              <w:rPr>
                <w:sz w:val="20"/>
                <w:szCs w:val="20"/>
                <w:color w:val="auto"/>
              </w:rPr>
            </w:pPr>
            <w:r>
              <w:rPr>
                <w:rFonts w:ascii="Arial" w:cs="Arial" w:eastAsia="Arial" w:hAnsi="Arial"/>
                <w:sz w:val="18"/>
                <w:szCs w:val="18"/>
                <w:color w:val="auto"/>
              </w:rPr>
              <w:t>Corporate Controller, Treasurer and Secretary</w:t>
            </w:r>
            <w:r>
              <w:rPr>
                <w:rFonts w:ascii="Arial" w:cs="Arial" w:eastAsia="Arial" w:hAnsi="Arial"/>
                <w:sz w:val="18"/>
                <w:szCs w:val="18"/>
                <w:i w:val="1"/>
                <w:iCs w:val="1"/>
                <w:color w:val="auto"/>
              </w:rPr>
              <w:t>(Principal</w:t>
            </w:r>
          </w:p>
        </w:tc>
        <w:tc>
          <w:tcPr>
            <w:tcW w:w="1200" w:type="dxa"/>
            <w:vAlign w:val="bottom"/>
            <w:gridSpan w:val="3"/>
          </w:tcPr>
          <w:p>
            <w:pPr>
              <w:jc w:val="center"/>
              <w:ind w:left="230"/>
              <w:spacing w:after="0"/>
              <w:rPr>
                <w:sz w:val="20"/>
                <w:szCs w:val="20"/>
                <w:color w:val="auto"/>
              </w:rPr>
            </w:pPr>
            <w:r>
              <w:rPr>
                <w:rFonts w:ascii="Arial" w:cs="Arial" w:eastAsia="Arial" w:hAnsi="Arial"/>
                <w:sz w:val="18"/>
                <w:szCs w:val="18"/>
                <w:color w:val="auto"/>
                <w:w w:val="90"/>
              </w:rPr>
              <w:t>July 6, 2021</w:t>
            </w:r>
          </w:p>
        </w:tc>
        <w:tc>
          <w:tcPr>
            <w:tcW w:w="0" w:type="dxa"/>
            <w:vAlign w:val="bottom"/>
          </w:tcPr>
          <w:p>
            <w:pPr>
              <w:spacing w:after="0"/>
              <w:rPr>
                <w:sz w:val="1"/>
                <w:szCs w:val="1"/>
                <w:color w:val="auto"/>
              </w:rPr>
            </w:pPr>
          </w:p>
        </w:tc>
      </w:tr>
      <w:tr>
        <w:trPr>
          <w:trHeight w:val="208"/>
        </w:trPr>
        <w:tc>
          <w:tcPr>
            <w:tcW w:w="4180" w:type="dxa"/>
            <w:vAlign w:val="bottom"/>
            <w:tcBorders>
              <w:bottom w:val="single" w:sz="8" w:color="auto"/>
            </w:tcBorders>
            <w:gridSpan w:val="3"/>
            <w:vMerge w:val="continue"/>
          </w:tcPr>
          <w:p>
            <w:pPr>
              <w:spacing w:after="0"/>
              <w:rPr>
                <w:sz w:val="17"/>
                <w:szCs w:val="17"/>
                <w:color w:val="auto"/>
              </w:rPr>
            </w:pPr>
          </w:p>
        </w:tc>
        <w:tc>
          <w:tcPr>
            <w:tcW w:w="5200" w:type="dxa"/>
            <w:vAlign w:val="bottom"/>
            <w:gridSpan w:val="3"/>
          </w:tcPr>
          <w:p>
            <w:pPr>
              <w:ind w:left="120"/>
              <w:spacing w:after="0" w:line="203" w:lineRule="exact"/>
              <w:rPr>
                <w:sz w:val="20"/>
                <w:szCs w:val="20"/>
                <w:color w:val="auto"/>
              </w:rPr>
            </w:pPr>
            <w:r>
              <w:rPr>
                <w:rFonts w:ascii="Arial" w:cs="Arial" w:eastAsia="Arial" w:hAnsi="Arial"/>
                <w:sz w:val="18"/>
                <w:szCs w:val="18"/>
                <w:i w:val="1"/>
                <w:iCs w:val="1"/>
                <w:color w:val="auto"/>
              </w:rPr>
              <w:t>Accounting Officer)</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180" w:type="dxa"/>
            <w:vAlign w:val="bottom"/>
            <w:gridSpan w:val="3"/>
          </w:tcPr>
          <w:p>
            <w:pPr>
              <w:spacing w:after="0"/>
              <w:rPr>
                <w:sz w:val="20"/>
                <w:szCs w:val="20"/>
                <w:color w:val="auto"/>
              </w:rPr>
            </w:pPr>
            <w:r>
              <w:rPr>
                <w:rFonts w:ascii="Arial" w:cs="Arial" w:eastAsia="Arial" w:hAnsi="Arial"/>
                <w:sz w:val="18"/>
                <w:szCs w:val="18"/>
                <w:color w:val="auto"/>
              </w:rPr>
              <w:t>Pierre Lorenzo</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Mike Raab</w:t>
            </w:r>
          </w:p>
        </w:tc>
        <w:tc>
          <w:tcPr>
            <w:tcW w:w="5200" w:type="dxa"/>
            <w:vAlign w:val="bottom"/>
            <w:gridSpan w:val="3"/>
          </w:tcPr>
          <w:p>
            <w:pPr>
              <w:ind w:left="120"/>
              <w:spacing w:after="0"/>
              <w:rPr>
                <w:sz w:val="20"/>
                <w:szCs w:val="20"/>
                <w:color w:val="auto"/>
              </w:rPr>
            </w:pPr>
            <w:r>
              <w:rPr>
                <w:rFonts w:ascii="Arial" w:cs="Arial" w:eastAsia="Arial" w:hAnsi="Arial"/>
                <w:sz w:val="18"/>
                <w:szCs w:val="18"/>
                <w:color w:val="auto"/>
              </w:rPr>
              <w:t>Chairman of the Board of Directors</w:t>
            </w:r>
          </w:p>
        </w:tc>
        <w:tc>
          <w:tcPr>
            <w:tcW w:w="1200" w:type="dxa"/>
            <w:vAlign w:val="bottom"/>
            <w:gridSpan w:val="3"/>
          </w:tcPr>
          <w:p>
            <w:pPr>
              <w:jc w:val="center"/>
              <w:ind w:left="230"/>
              <w:spacing w:after="0"/>
              <w:rPr>
                <w:sz w:val="20"/>
                <w:szCs w:val="20"/>
                <w:color w:val="auto"/>
              </w:rPr>
            </w:pPr>
            <w:r>
              <w:rPr>
                <w:rFonts w:ascii="Arial" w:cs="Arial" w:eastAsia="Arial" w:hAnsi="Arial"/>
                <w:sz w:val="18"/>
                <w:szCs w:val="18"/>
                <w:color w:val="auto"/>
                <w:w w:val="90"/>
              </w:rPr>
              <w:t>July 6, 2021</w:t>
            </w:r>
          </w:p>
        </w:tc>
        <w:tc>
          <w:tcPr>
            <w:tcW w:w="0" w:type="dxa"/>
            <w:vAlign w:val="bottom"/>
          </w:tcPr>
          <w:p>
            <w:pPr>
              <w:spacing w:after="0"/>
              <w:rPr>
                <w:sz w:val="1"/>
                <w:szCs w:val="1"/>
                <w:color w:val="auto"/>
              </w:rPr>
            </w:pPr>
          </w:p>
        </w:tc>
      </w:tr>
      <w:tr>
        <w:trPr>
          <w:trHeight w:val="224"/>
        </w:trPr>
        <w:tc>
          <w:tcPr>
            <w:tcW w:w="4180" w:type="dxa"/>
            <w:vAlign w:val="bottom"/>
            <w:gridSpan w:val="3"/>
          </w:tcPr>
          <w:p>
            <w:pPr>
              <w:spacing w:after="0"/>
              <w:rPr>
                <w:sz w:val="20"/>
                <w:szCs w:val="20"/>
                <w:color w:val="auto"/>
              </w:rPr>
            </w:pPr>
            <w:r>
              <w:rPr>
                <w:rFonts w:ascii="Arial" w:cs="Arial" w:eastAsia="Arial" w:hAnsi="Arial"/>
                <w:sz w:val="18"/>
                <w:szCs w:val="18"/>
                <w:color w:val="auto"/>
              </w:rPr>
              <w:t>Mike Raab</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Tom Dubensky</w:t>
            </w:r>
          </w:p>
        </w:tc>
        <w:tc>
          <w:tcPr>
            <w:tcW w:w="5200" w:type="dxa"/>
            <w:vAlign w:val="bottom"/>
            <w:gridSpan w:val="3"/>
          </w:tcPr>
          <w:p>
            <w:pPr>
              <w:ind w:left="120"/>
              <w:spacing w:after="0"/>
              <w:rPr>
                <w:sz w:val="20"/>
                <w:szCs w:val="20"/>
                <w:color w:val="auto"/>
              </w:rPr>
            </w:pPr>
            <w:r>
              <w:rPr>
                <w:rFonts w:ascii="Arial" w:cs="Arial" w:eastAsia="Arial" w:hAnsi="Arial"/>
                <w:sz w:val="18"/>
                <w:szCs w:val="18"/>
                <w:color w:val="auto"/>
              </w:rPr>
              <w:t>President and Director</w:t>
            </w:r>
          </w:p>
        </w:tc>
        <w:tc>
          <w:tcPr>
            <w:tcW w:w="1200" w:type="dxa"/>
            <w:vAlign w:val="bottom"/>
            <w:gridSpan w:val="3"/>
          </w:tcPr>
          <w:p>
            <w:pPr>
              <w:jc w:val="center"/>
              <w:ind w:left="230"/>
              <w:spacing w:after="0"/>
              <w:rPr>
                <w:sz w:val="20"/>
                <w:szCs w:val="20"/>
                <w:color w:val="auto"/>
              </w:rPr>
            </w:pPr>
            <w:r>
              <w:rPr>
                <w:rFonts w:ascii="Arial" w:cs="Arial" w:eastAsia="Arial" w:hAnsi="Arial"/>
                <w:sz w:val="18"/>
                <w:szCs w:val="18"/>
                <w:color w:val="auto"/>
                <w:w w:val="90"/>
              </w:rPr>
              <w:t>July 6, 2021</w:t>
            </w:r>
          </w:p>
        </w:tc>
        <w:tc>
          <w:tcPr>
            <w:tcW w:w="0" w:type="dxa"/>
            <w:vAlign w:val="bottom"/>
          </w:tcPr>
          <w:p>
            <w:pPr>
              <w:spacing w:after="0"/>
              <w:rPr>
                <w:sz w:val="1"/>
                <w:szCs w:val="1"/>
                <w:color w:val="auto"/>
              </w:rPr>
            </w:pPr>
          </w:p>
        </w:tc>
      </w:tr>
      <w:tr>
        <w:trPr>
          <w:trHeight w:val="224"/>
        </w:trPr>
        <w:tc>
          <w:tcPr>
            <w:tcW w:w="4180" w:type="dxa"/>
            <w:vAlign w:val="bottom"/>
            <w:gridSpan w:val="3"/>
          </w:tcPr>
          <w:p>
            <w:pPr>
              <w:spacing w:after="0"/>
              <w:rPr>
                <w:sz w:val="20"/>
                <w:szCs w:val="20"/>
                <w:color w:val="auto"/>
              </w:rPr>
            </w:pPr>
            <w:r>
              <w:rPr>
                <w:rFonts w:ascii="Arial" w:cs="Arial" w:eastAsia="Arial" w:hAnsi="Arial"/>
                <w:sz w:val="18"/>
                <w:szCs w:val="18"/>
                <w:color w:val="auto"/>
              </w:rPr>
              <w:t>Tom Dubensky</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Geoff Nichol</w:t>
            </w:r>
          </w:p>
        </w:tc>
        <w:tc>
          <w:tcPr>
            <w:tcW w:w="52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200" w:type="dxa"/>
            <w:vAlign w:val="bottom"/>
            <w:gridSpan w:val="3"/>
          </w:tcPr>
          <w:p>
            <w:pPr>
              <w:jc w:val="center"/>
              <w:ind w:left="230"/>
              <w:spacing w:after="0"/>
              <w:rPr>
                <w:sz w:val="20"/>
                <w:szCs w:val="20"/>
                <w:color w:val="auto"/>
              </w:rPr>
            </w:pPr>
            <w:r>
              <w:rPr>
                <w:rFonts w:ascii="Arial" w:cs="Arial" w:eastAsia="Arial" w:hAnsi="Arial"/>
                <w:sz w:val="18"/>
                <w:szCs w:val="18"/>
                <w:color w:val="auto"/>
                <w:w w:val="90"/>
              </w:rPr>
              <w:t>July 6, 2021</w:t>
            </w:r>
          </w:p>
        </w:tc>
        <w:tc>
          <w:tcPr>
            <w:tcW w:w="0" w:type="dxa"/>
            <w:vAlign w:val="bottom"/>
          </w:tcPr>
          <w:p>
            <w:pPr>
              <w:spacing w:after="0"/>
              <w:rPr>
                <w:sz w:val="1"/>
                <w:szCs w:val="1"/>
                <w:color w:val="auto"/>
              </w:rPr>
            </w:pPr>
          </w:p>
        </w:tc>
      </w:tr>
      <w:tr>
        <w:trPr>
          <w:trHeight w:val="224"/>
        </w:trPr>
        <w:tc>
          <w:tcPr>
            <w:tcW w:w="4180" w:type="dxa"/>
            <w:vAlign w:val="bottom"/>
            <w:gridSpan w:val="3"/>
          </w:tcPr>
          <w:p>
            <w:pPr>
              <w:spacing w:after="0"/>
              <w:rPr>
                <w:sz w:val="20"/>
                <w:szCs w:val="20"/>
                <w:color w:val="auto"/>
              </w:rPr>
            </w:pPr>
            <w:r>
              <w:rPr>
                <w:rFonts w:ascii="Arial" w:cs="Arial" w:eastAsia="Arial" w:hAnsi="Arial"/>
                <w:sz w:val="18"/>
                <w:szCs w:val="18"/>
                <w:color w:val="auto"/>
              </w:rPr>
              <w:t>Geoff Nichol, M.B., Ch.B., M.B.A.</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Tom Woiwode</w:t>
            </w:r>
          </w:p>
        </w:tc>
        <w:tc>
          <w:tcPr>
            <w:tcW w:w="52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200" w:type="dxa"/>
            <w:vAlign w:val="bottom"/>
            <w:gridSpan w:val="3"/>
          </w:tcPr>
          <w:p>
            <w:pPr>
              <w:jc w:val="center"/>
              <w:ind w:left="230"/>
              <w:spacing w:after="0"/>
              <w:rPr>
                <w:sz w:val="20"/>
                <w:szCs w:val="20"/>
                <w:color w:val="auto"/>
              </w:rPr>
            </w:pPr>
            <w:r>
              <w:rPr>
                <w:rFonts w:ascii="Arial" w:cs="Arial" w:eastAsia="Arial" w:hAnsi="Arial"/>
                <w:sz w:val="18"/>
                <w:szCs w:val="18"/>
                <w:color w:val="auto"/>
                <w:w w:val="90"/>
              </w:rPr>
              <w:t>July 6, 2021</w:t>
            </w:r>
          </w:p>
        </w:tc>
        <w:tc>
          <w:tcPr>
            <w:tcW w:w="0" w:type="dxa"/>
            <w:vAlign w:val="bottom"/>
          </w:tcPr>
          <w:p>
            <w:pPr>
              <w:spacing w:after="0"/>
              <w:rPr>
                <w:sz w:val="1"/>
                <w:szCs w:val="1"/>
                <w:color w:val="auto"/>
              </w:rPr>
            </w:pPr>
          </w:p>
        </w:tc>
      </w:tr>
      <w:tr>
        <w:trPr>
          <w:trHeight w:val="224"/>
        </w:trPr>
        <w:tc>
          <w:tcPr>
            <w:tcW w:w="4180" w:type="dxa"/>
            <w:vAlign w:val="bottom"/>
            <w:gridSpan w:val="3"/>
          </w:tcPr>
          <w:p>
            <w:pPr>
              <w:spacing w:after="0"/>
              <w:rPr>
                <w:sz w:val="20"/>
                <w:szCs w:val="20"/>
                <w:color w:val="auto"/>
              </w:rPr>
            </w:pPr>
            <w:r>
              <w:rPr>
                <w:rFonts w:ascii="Arial" w:cs="Arial" w:eastAsia="Arial" w:hAnsi="Arial"/>
                <w:sz w:val="18"/>
                <w:szCs w:val="18"/>
                <w:color w:val="auto"/>
              </w:rPr>
              <w:t>Tom Woiwode, Ph.D.</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Stella Xu</w:t>
            </w:r>
          </w:p>
        </w:tc>
        <w:tc>
          <w:tcPr>
            <w:tcW w:w="52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200" w:type="dxa"/>
            <w:vAlign w:val="bottom"/>
            <w:gridSpan w:val="3"/>
          </w:tcPr>
          <w:p>
            <w:pPr>
              <w:jc w:val="center"/>
              <w:ind w:left="230"/>
              <w:spacing w:after="0"/>
              <w:rPr>
                <w:sz w:val="20"/>
                <w:szCs w:val="20"/>
                <w:color w:val="auto"/>
              </w:rPr>
            </w:pPr>
            <w:r>
              <w:rPr>
                <w:rFonts w:ascii="Arial" w:cs="Arial" w:eastAsia="Arial" w:hAnsi="Arial"/>
                <w:sz w:val="18"/>
                <w:szCs w:val="18"/>
                <w:color w:val="auto"/>
                <w:w w:val="90"/>
              </w:rPr>
              <w:t>July 6, 2021</w:t>
            </w:r>
          </w:p>
        </w:tc>
        <w:tc>
          <w:tcPr>
            <w:tcW w:w="0" w:type="dxa"/>
            <w:vAlign w:val="bottom"/>
          </w:tcPr>
          <w:p>
            <w:pPr>
              <w:spacing w:after="0"/>
              <w:rPr>
                <w:sz w:val="1"/>
                <w:szCs w:val="1"/>
                <w:color w:val="auto"/>
              </w:rPr>
            </w:pPr>
          </w:p>
        </w:tc>
      </w:tr>
      <w:tr>
        <w:trPr>
          <w:trHeight w:val="224"/>
        </w:trPr>
        <w:tc>
          <w:tcPr>
            <w:tcW w:w="4180" w:type="dxa"/>
            <w:vAlign w:val="bottom"/>
            <w:gridSpan w:val="3"/>
          </w:tcPr>
          <w:p>
            <w:pPr>
              <w:spacing w:after="0"/>
              <w:rPr>
                <w:sz w:val="20"/>
                <w:szCs w:val="20"/>
                <w:color w:val="auto"/>
              </w:rPr>
            </w:pPr>
            <w:r>
              <w:rPr>
                <w:rFonts w:ascii="Arial" w:cs="Arial" w:eastAsia="Arial" w:hAnsi="Arial"/>
                <w:sz w:val="18"/>
                <w:szCs w:val="18"/>
                <w:color w:val="auto"/>
              </w:rPr>
              <w:t>Stella Xu, Ph.D.</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Christine Pellizzari</w:t>
            </w:r>
          </w:p>
        </w:tc>
        <w:tc>
          <w:tcPr>
            <w:tcW w:w="52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200" w:type="dxa"/>
            <w:vAlign w:val="bottom"/>
            <w:gridSpan w:val="3"/>
          </w:tcPr>
          <w:p>
            <w:pPr>
              <w:jc w:val="center"/>
              <w:ind w:left="230"/>
              <w:spacing w:after="0"/>
              <w:rPr>
                <w:sz w:val="20"/>
                <w:szCs w:val="20"/>
                <w:color w:val="auto"/>
              </w:rPr>
            </w:pPr>
            <w:r>
              <w:rPr>
                <w:rFonts w:ascii="Arial" w:cs="Arial" w:eastAsia="Arial" w:hAnsi="Arial"/>
                <w:sz w:val="18"/>
                <w:szCs w:val="18"/>
                <w:color w:val="auto"/>
                <w:w w:val="90"/>
              </w:rPr>
              <w:t>July 6, 2021</w:t>
            </w:r>
          </w:p>
        </w:tc>
        <w:tc>
          <w:tcPr>
            <w:tcW w:w="0" w:type="dxa"/>
            <w:vAlign w:val="bottom"/>
          </w:tcPr>
          <w:p>
            <w:pPr>
              <w:spacing w:after="0"/>
              <w:rPr>
                <w:sz w:val="1"/>
                <w:szCs w:val="1"/>
                <w:color w:val="auto"/>
              </w:rPr>
            </w:pPr>
          </w:p>
        </w:tc>
      </w:tr>
      <w:tr>
        <w:trPr>
          <w:trHeight w:val="224"/>
        </w:trPr>
        <w:tc>
          <w:tcPr>
            <w:tcW w:w="4180" w:type="dxa"/>
            <w:vAlign w:val="bottom"/>
            <w:gridSpan w:val="3"/>
          </w:tcPr>
          <w:p>
            <w:pPr>
              <w:spacing w:after="0"/>
              <w:rPr>
                <w:sz w:val="20"/>
                <w:szCs w:val="20"/>
                <w:color w:val="auto"/>
              </w:rPr>
            </w:pPr>
            <w:r>
              <w:rPr>
                <w:rFonts w:ascii="Arial" w:cs="Arial" w:eastAsia="Arial" w:hAnsi="Arial"/>
                <w:sz w:val="18"/>
                <w:szCs w:val="18"/>
                <w:color w:val="auto"/>
              </w:rPr>
              <w:t>Christine Pellizzari</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0" w:right="45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045845"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04584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Tempest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7000 Shoreline Court, Suite 275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11" w:lineRule="exact"/>
        <w:rPr>
          <w:sz w:val="20"/>
          <w:szCs w:val="20"/>
          <w:color w:val="auto"/>
        </w:rPr>
      </w:pPr>
    </w:p>
    <w:p>
      <w:pPr>
        <w:jc w:val="center"/>
        <w:ind w:left="2980"/>
        <w:spacing w:after="0"/>
        <w:tabs>
          <w:tab w:leader="none" w:pos="3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920,986 shares of Common Stock, $0.001 par value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We refer to the Registration Statement on Form S-8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being filed by Tempest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with the Securities and Exchange Commission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relating to the registration of 920,986 shares of Common Stock, $0.001 par value per share (the “</w:t>
      </w:r>
      <w:r>
        <w:rPr>
          <w:rFonts w:ascii="Arial" w:cs="Arial" w:eastAsia="Arial" w:hAnsi="Arial"/>
          <w:sz w:val="18"/>
          <w:szCs w:val="18"/>
          <w:u w:val="single" w:color="auto"/>
          <w:color w:val="auto"/>
        </w:rPr>
        <w:t>Registered Shares</w:t>
      </w:r>
      <w:r>
        <w:rPr>
          <w:rFonts w:ascii="Arial" w:cs="Arial" w:eastAsia="Arial" w:hAnsi="Arial"/>
          <w:sz w:val="18"/>
          <w:szCs w:val="18"/>
          <w:color w:val="auto"/>
        </w:rPr>
        <w:t>”), of the Company, which may be issued under the Tempest Therapeutics, Inc. 2017 Equity Incentive Plan and Inception 2, Inc. 2011 Equity Incentive Plan (each a “</w:t>
      </w:r>
      <w:r>
        <w:rPr>
          <w:rFonts w:ascii="Arial" w:cs="Arial" w:eastAsia="Arial" w:hAnsi="Arial"/>
          <w:sz w:val="18"/>
          <w:szCs w:val="18"/>
          <w:u w:val="single" w:color="auto"/>
          <w:color w:val="auto"/>
        </w:rPr>
        <w:t>Plan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Plans</w:t>
      </w:r>
      <w:r>
        <w:rPr>
          <w:rFonts w:ascii="Arial" w:cs="Arial" w:eastAsia="Arial" w:hAnsi="Arial"/>
          <w:sz w:val="18"/>
          <w:szCs w:val="18"/>
          <w:color w:val="auto"/>
        </w:rPr>
        <w: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opinion letter is being delivered in accordance with the requirements of Item 601(b)(5) of Regulation S-K under the Securities Act.</w:t>
      </w:r>
    </w:p>
    <w:p>
      <w:pPr>
        <w:spacing w:after="0" w:line="237"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We have examined the Registration Statement, the Company’s Amended and Restated Certificate of Incorporation, the Company’s Amended and Restated Bylaws, the Plans, the resolutions adopted by the board of directors of the Company relating to the Registration Statement and the Plans, and the resolutions adopted by the stockholders of the Company relating to the Plans. We have also examined originals, or copies of originals certified to our satisfaction, of such agreements, documents, certificates and statements of the Company and other corporate documents and instruments,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w:t>
      </w:r>
    </w:p>
    <w:p>
      <w:pPr>
        <w:spacing w:after="0" w:line="166" w:lineRule="exact"/>
        <w:rPr>
          <w:sz w:val="20"/>
          <w:szCs w:val="20"/>
          <w:color w:val="auto"/>
        </w:rPr>
      </w:pPr>
    </w:p>
    <w:p>
      <w:pPr>
        <w:ind w:right="200" w:firstLine="440"/>
        <w:spacing w:after="0" w:line="301" w:lineRule="auto"/>
        <w:rPr>
          <w:sz w:val="20"/>
          <w:szCs w:val="20"/>
          <w:color w:val="auto"/>
        </w:rPr>
      </w:pPr>
      <w:r>
        <w:rPr>
          <w:rFonts w:ascii="Arial" w:cs="Arial" w:eastAsia="Arial" w:hAnsi="Arial"/>
          <w:sz w:val="16"/>
          <w:szCs w:val="16"/>
          <w:color w:val="auto"/>
        </w:rPr>
        <w:t>Based on the foregoing, we are of the opinion that each Registered Share that is newly issued pursuant to either Plan will be validly issued, fully paid and non-assessable when: (i) the Registration Statement, as finally amended, shall have become effective under the Securities Act; (ii) such Registered Share shall have been duly issued and delivered in accordance with the applicable Plan; and (iii) certificates representing such Registered Share shall have been duly executed, countersigned and registered and duly delivered to the person entitled thereto against payment of the agreed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Sidley Austin LLP is a limited liability partnership practicing in affiliation with other Sidley Austin partnerships.</w:t>
      </w:r>
    </w:p>
    <w:p>
      <w:pPr>
        <w:sectPr>
          <w:pgSz w:w="11900" w:h="16838" w:orient="portrait"/>
          <w:cols w:equalWidth="0" w:num="1">
            <w:col w:w="11020"/>
          </w:cols>
          <w:pgMar w:left="440" w:top="121" w:right="439" w:bottom="1440" w:gutter="0" w:footer="0" w:header="0"/>
        </w:sectPr>
      </w:pPr>
    </w:p>
    <w:bookmarkStart w:id="8" w:name="page9"/>
    <w:bookmarkEnd w:id="8"/>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45845"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74320"/>
                    </a:xfrm>
                    <a:prstGeom prst="rect">
                      <a:avLst/>
                    </a:prstGeom>
                    <a:noFill/>
                  </pic:spPr>
                </pic:pic>
              </a:graphicData>
            </a:graphic>
          </wp:anchor>
        </w:drawing>
        <w:t>consideration therefor (in an amount not less than the par value thereof) or, if any Registered Share is to be issued in uncertificated form, the Company’s books shall reflect the issuance of such Registered Share to the person entitled thereto against payment of the agreed consideration therefor (in an amount not less than the par value thereof), all in accordance with the Plans.</w:t>
      </w:r>
    </w:p>
    <w:p>
      <w:pPr>
        <w:spacing w:after="0" w:line="184" w:lineRule="exact"/>
        <w:rPr>
          <w:sz w:val="20"/>
          <w:szCs w:val="20"/>
          <w:color w:val="auto"/>
        </w:rPr>
      </w:pPr>
    </w:p>
    <w:p>
      <w:pPr>
        <w:ind w:right="100" w:firstLine="440"/>
        <w:spacing w:after="0" w:line="342" w:lineRule="auto"/>
        <w:rPr>
          <w:sz w:val="20"/>
          <w:szCs w:val="20"/>
          <w:color w:val="auto"/>
        </w:rPr>
      </w:pPr>
      <w:r>
        <w:rPr>
          <w:rFonts w:ascii="Arial" w:cs="Arial" w:eastAsia="Arial" w:hAnsi="Arial"/>
          <w:sz w:val="16"/>
          <w:szCs w:val="16"/>
          <w:color w:val="auto"/>
        </w:rPr>
        <w:t>This opinion letter is limited to the General Corporation Law of the State of Delaware. We express no opinion as to the laws, rules or regulations of any other jurisdiction, including, without limitation, the federal laws of the United States of America or any state securities or blue sky laws.</w:t>
      </w:r>
    </w:p>
    <w:p>
      <w:pPr>
        <w:spacing w:after="0" w:line="124"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Sidley Austin LLP</w:t>
      </w:r>
    </w:p>
    <w:p>
      <w:pPr>
        <w:spacing w:after="0" w:line="15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Sidley Austin LLP is a limited liability partnership practicing in affiliation with other Sidley Austin partnerships.</w:t>
      </w:r>
    </w:p>
    <w:p>
      <w:pPr>
        <w:sectPr>
          <w:pgSz w:w="11900" w:h="16838" w:orient="portrait"/>
          <w:cols w:equalWidth="0" w:num="1">
            <w:col w:w="10960"/>
          </w:cols>
          <w:pgMar w:left="440" w:top="854" w:right="49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TEMPEST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EQUITY INCENTIVE PLAN</w:t>
      </w:r>
    </w:p>
    <w:p>
      <w:pPr>
        <w:spacing w:after="0" w:line="229" w:lineRule="exact"/>
        <w:rPr>
          <w:sz w:val="20"/>
          <w:szCs w:val="20"/>
          <w:color w:val="auto"/>
        </w:rPr>
      </w:pPr>
    </w:p>
    <w:p>
      <w:pPr>
        <w:ind w:left="620" w:hanging="184"/>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Plan are: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provide additional incentive to Employees, Directors and Consultants,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225"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The Plan permits the grant of Incentive Stock Options, Nonstatutory Stock Options, Stock Appreciation Rights, Restricted Stock and Restricted Stock Units.</w:t>
      </w:r>
    </w:p>
    <w:p>
      <w:pPr>
        <w:spacing w:after="0" w:line="170" w:lineRule="exact"/>
        <w:rPr>
          <w:sz w:val="20"/>
          <w:szCs w:val="20"/>
          <w:color w:val="auto"/>
        </w:rPr>
      </w:pPr>
    </w:p>
    <w:p>
      <w:pPr>
        <w:ind w:left="620" w:hanging="184"/>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will apply:</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Board or any of its Committees as will be administering the Plan, in accordance with Section 4 of the Plan.</w:t>
      </w:r>
    </w:p>
    <w:p>
      <w:pPr>
        <w:spacing w:after="0" w:line="248" w:lineRule="exact"/>
        <w:rPr>
          <w:rFonts w:ascii="Arial" w:cs="Arial" w:eastAsia="Arial" w:hAnsi="Arial"/>
          <w:sz w:val="16"/>
          <w:szCs w:val="16"/>
          <w:color w:val="auto"/>
        </w:rPr>
      </w:pPr>
    </w:p>
    <w:p>
      <w:pPr>
        <w:jc w:val="both"/>
        <w:ind w:right="240" w:firstLine="987"/>
        <w:spacing w:after="0" w:line="311" w:lineRule="auto"/>
        <w:tabs>
          <w:tab w:leader="none" w:pos="1246" w:val="left"/>
        </w:tabs>
        <w:numPr>
          <w:ilvl w:val="1"/>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Laws</w:t>
      </w:r>
      <w:r>
        <w:rPr>
          <w:rFonts w:ascii="Arial" w:cs="Arial" w:eastAsia="Arial" w:hAnsi="Arial"/>
          <w:sz w:val="16"/>
          <w:szCs w:val="16"/>
          <w:color w:val="auto"/>
        </w:rPr>
        <w:t>” means the legal and regulatory requirements relating to the administration of equity-based awards, including but not limited to,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148" w:lineRule="exact"/>
        <w:rPr>
          <w:rFonts w:ascii="Arial" w:cs="Arial" w:eastAsia="Arial" w:hAnsi="Arial"/>
          <w:sz w:val="16"/>
          <w:szCs w:val="16"/>
          <w:color w:val="auto"/>
        </w:rPr>
      </w:pPr>
    </w:p>
    <w:p>
      <w:pPr>
        <w:ind w:right="640" w:firstLine="987"/>
        <w:spacing w:after="0" w:line="277" w:lineRule="auto"/>
        <w:tabs>
          <w:tab w:leader="none" w:pos="1236"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the Plan of Options, Stock Appreciation Rights, Restricted Stock, or Restricted Stock Units.</w:t>
      </w:r>
    </w:p>
    <w:p>
      <w:pPr>
        <w:spacing w:after="0" w:line="170" w:lineRule="exact"/>
        <w:rPr>
          <w:rFonts w:ascii="Arial" w:cs="Arial" w:eastAsia="Arial" w:hAnsi="Arial"/>
          <w:sz w:val="18"/>
          <w:szCs w:val="18"/>
          <w:color w:val="auto"/>
        </w:rPr>
      </w:pPr>
    </w:p>
    <w:p>
      <w:pPr>
        <w:ind w:right="60" w:firstLine="987"/>
        <w:spacing w:after="0" w:line="277" w:lineRule="auto"/>
        <w:tabs>
          <w:tab w:leader="none" w:pos="1246"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1220" w:hanging="233"/>
        <w:spacing w:after="0"/>
        <w:tabs>
          <w:tab w:leader="none" w:pos="122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225" w:lineRule="exact"/>
        <w:rPr>
          <w:rFonts w:ascii="Arial" w:cs="Arial" w:eastAsia="Arial" w:hAnsi="Arial"/>
          <w:sz w:val="18"/>
          <w:szCs w:val="18"/>
          <w:color w:val="auto"/>
        </w:rPr>
      </w:pPr>
    </w:p>
    <w:p>
      <w:pPr>
        <w:ind w:right="40" w:firstLine="1428"/>
        <w:spacing w:after="0" w:line="255" w:lineRule="auto"/>
        <w:tabs>
          <w:tab w:leader="none" w:pos="1647" w:val="left"/>
        </w:tabs>
        <w:numPr>
          <w:ilvl w:val="2"/>
          <w:numId w:val="8"/>
        </w:numPr>
        <w:rPr>
          <w:rFonts w:ascii="Arial" w:cs="Arial" w:eastAsia="Arial" w:hAnsi="Arial"/>
          <w:sz w:val="18"/>
          <w:szCs w:val="18"/>
          <w:color w:val="auto"/>
        </w:rPr>
      </w:pPr>
      <w:r>
        <w:rPr>
          <w:rFonts w:ascii="Arial" w:cs="Arial" w:eastAsia="Arial" w:hAnsi="Arial"/>
          <w:sz w:val="18"/>
          <w:szCs w:val="18"/>
          <w:u w:val="single" w:color="auto"/>
          <w:color w:val="auto"/>
        </w:rPr>
        <w:t>Change in Ownership of the Company</w:t>
      </w:r>
      <w:r>
        <w:rPr>
          <w:rFonts w:ascii="Arial" w:cs="Arial" w:eastAsia="Arial" w:hAnsi="Arial"/>
          <w:sz w:val="18"/>
          <w:szCs w:val="18"/>
          <w:color w:val="auto"/>
        </w:rPr>
        <w:t>. A change in the ownership of the Company which occurs on the date that any one person, or more than one person acting as a group (“</w:t>
      </w:r>
      <w:r>
        <w:rPr>
          <w:rFonts w:ascii="Arial" w:cs="Arial" w:eastAsia="Arial" w:hAnsi="Arial"/>
          <w:sz w:val="18"/>
          <w:szCs w:val="18"/>
          <w:u w:val="single" w:color="auto"/>
          <w:color w:val="auto"/>
        </w:rPr>
        <w:t>Person</w:t>
      </w:r>
      <w:r>
        <w:rPr>
          <w:rFonts w:ascii="Arial" w:cs="Arial" w:eastAsia="Arial" w:hAnsi="Arial"/>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w:t>
      </w:r>
    </w:p>
    <w:p>
      <w:pPr>
        <w:sectPr>
          <w:pgSz w:w="11900" w:h="16838" w:orient="portrait"/>
          <w:cols w:equalWidth="0" w:num="1">
            <w:col w:w="11020"/>
          </w:cols>
          <w:pgMar w:left="440" w:top="121" w:right="439" w:bottom="1440" w:gutter="0" w:footer="0" w:header="0"/>
        </w:sectPr>
      </w:pPr>
    </w:p>
    <w:bookmarkStart w:id="10" w:name="page11"/>
    <w:bookmarkEnd w:id="10"/>
    <w:p>
      <w:pPr>
        <w:ind w:left="4"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77" w:lineRule="exact"/>
        <w:rPr>
          <w:sz w:val="20"/>
          <w:szCs w:val="20"/>
          <w:color w:val="auto"/>
        </w:rPr>
      </w:pPr>
    </w:p>
    <w:p>
      <w:pPr>
        <w:jc w:val="both"/>
        <w:ind w:left="4" w:firstLine="1428"/>
        <w:spacing w:after="0" w:line="275" w:lineRule="auto"/>
        <w:tabs>
          <w:tab w:leader="none" w:pos="1701" w:val="left"/>
        </w:tabs>
        <w:numPr>
          <w:ilvl w:val="1"/>
          <w:numId w:val="9"/>
        </w:numPr>
        <w:rPr>
          <w:rFonts w:ascii="Arial" w:cs="Arial" w:eastAsia="Arial" w:hAnsi="Arial"/>
          <w:sz w:val="17"/>
          <w:szCs w:val="17"/>
          <w:color w:val="auto"/>
        </w:rPr>
      </w:pPr>
      <w:r>
        <w:rPr>
          <w:rFonts w:ascii="Arial" w:cs="Arial" w:eastAsia="Arial" w:hAnsi="Arial"/>
          <w:sz w:val="17"/>
          <w:szCs w:val="17"/>
          <w:u w:val="single" w:color="auto"/>
          <w:color w:val="auto"/>
        </w:rPr>
        <w:t>Change in Effective Control of the Company</w:t>
      </w:r>
      <w:r>
        <w:rPr>
          <w:rFonts w:ascii="Arial" w:cs="Arial" w:eastAsia="Arial" w:hAnsi="Arial"/>
          <w:sz w:val="17"/>
          <w:szCs w:val="17"/>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76" w:lineRule="exact"/>
        <w:rPr>
          <w:rFonts w:ascii="Arial" w:cs="Arial" w:eastAsia="Arial" w:hAnsi="Arial"/>
          <w:sz w:val="17"/>
          <w:szCs w:val="17"/>
          <w:color w:val="auto"/>
        </w:rPr>
      </w:pPr>
    </w:p>
    <w:p>
      <w:pPr>
        <w:ind w:left="4" w:right="60" w:firstLine="1428"/>
        <w:spacing w:after="0" w:line="285" w:lineRule="auto"/>
        <w:tabs>
          <w:tab w:leader="none" w:pos="1751"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Change in Ownership of a Substantial Portion of the Company’s Assets</w:t>
      </w:r>
      <w:r>
        <w:rPr>
          <w:rFonts w:ascii="Arial" w:cs="Arial" w:eastAsia="Arial" w:hAnsi="Arial"/>
          <w:sz w:val="16"/>
          <w:szCs w:val="16"/>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w:t>
      </w:r>
    </w:p>
    <w:p>
      <w:pPr>
        <w:spacing w:after="0" w:line="1" w:lineRule="exact"/>
        <w:rPr>
          <w:rFonts w:ascii="Arial" w:cs="Arial" w:eastAsia="Arial" w:hAnsi="Arial"/>
          <w:sz w:val="16"/>
          <w:szCs w:val="16"/>
          <w:color w:val="auto"/>
        </w:rPr>
      </w:pPr>
    </w:p>
    <w:p>
      <w:pPr>
        <w:ind w:left="304" w:hanging="304"/>
        <w:spacing w:after="0"/>
        <w:tabs>
          <w:tab w:leader="none" w:pos="304"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transfer to an entity that is controlled by the Company’s stockholders immediately after the transfer, or (B) a transfer of assets by the Company to:</w:t>
      </w:r>
    </w:p>
    <w:p>
      <w:pPr>
        <w:spacing w:after="0" w:line="32" w:lineRule="exact"/>
        <w:rPr>
          <w:rFonts w:ascii="Arial" w:cs="Arial" w:eastAsia="Arial" w:hAnsi="Arial"/>
          <w:sz w:val="16"/>
          <w:szCs w:val="16"/>
          <w:color w:val="auto"/>
        </w:rPr>
      </w:pPr>
    </w:p>
    <w:p>
      <w:pPr>
        <w:ind w:left="4" w:right="100"/>
        <w:spacing w:after="0" w:line="252" w:lineRule="auto"/>
        <w:rPr>
          <w:rFonts w:ascii="Arial" w:cs="Arial" w:eastAsia="Arial" w:hAnsi="Arial"/>
          <w:sz w:val="16"/>
          <w:szCs w:val="16"/>
          <w:color w:val="auto"/>
        </w:rPr>
      </w:pPr>
      <w:r>
        <w:rPr>
          <w:rFonts w:ascii="Arial" w:cs="Arial" w:eastAsia="Arial" w:hAnsi="Arial"/>
          <w:sz w:val="18"/>
          <w:szCs w:val="18"/>
          <w:color w:val="auto"/>
        </w:rPr>
        <w:t>(1)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94" w:lineRule="exact"/>
        <w:rPr>
          <w:sz w:val="20"/>
          <w:szCs w:val="20"/>
          <w:color w:val="auto"/>
        </w:rPr>
      </w:pPr>
    </w:p>
    <w:p>
      <w:pPr>
        <w:ind w:left="4" w:right="200" w:firstLine="1432"/>
        <w:spacing w:after="0" w:line="277" w:lineRule="auto"/>
        <w:rPr>
          <w:sz w:val="20"/>
          <w:szCs w:val="20"/>
          <w:color w:val="auto"/>
        </w:rPr>
      </w:pPr>
      <w:r>
        <w:rPr>
          <w:rFonts w:ascii="Arial" w:cs="Arial" w:eastAsia="Arial" w:hAnsi="Arial"/>
          <w:sz w:val="18"/>
          <w:szCs w:val="18"/>
          <w:color w:val="auto"/>
        </w:rPr>
        <w:t>For purposes of this Section 2(f), persons will be considered to be acting as a group if they are owners of a corporation that enters into a merger, consolidation, purchase or acquisition of stock, or similar business transaction with the Company.</w:t>
      </w:r>
    </w:p>
    <w:p>
      <w:pPr>
        <w:spacing w:after="0" w:line="170" w:lineRule="exact"/>
        <w:rPr>
          <w:sz w:val="20"/>
          <w:szCs w:val="20"/>
          <w:color w:val="auto"/>
        </w:rPr>
      </w:pPr>
    </w:p>
    <w:p>
      <w:pPr>
        <w:ind w:left="4" w:right="80" w:firstLine="1432"/>
        <w:spacing w:after="0" w:line="311" w:lineRule="auto"/>
        <w:rPr>
          <w:sz w:val="20"/>
          <w:szCs w:val="20"/>
          <w:color w:val="auto"/>
        </w:rPr>
      </w:pPr>
      <w:r>
        <w:rPr>
          <w:rFonts w:ascii="Arial" w:cs="Arial" w:eastAsia="Arial" w:hAnsi="Arial"/>
          <w:sz w:val="16"/>
          <w:szCs w:val="16"/>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8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4"/>
          </w:cols>
          <w:pgMar w:left="436" w:top="274" w:right="499" w:bottom="1440" w:gutter="0" w:footer="0" w:header="0"/>
        </w:sectPr>
      </w:pPr>
    </w:p>
    <w:bookmarkStart w:id="11" w:name="page12"/>
    <w:bookmarkEnd w:id="11"/>
    <w:p>
      <w:pPr>
        <w:ind w:right="180" w:firstLine="1432"/>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184" w:lineRule="exact"/>
        <w:rPr>
          <w:sz w:val="20"/>
          <w:szCs w:val="20"/>
          <w:color w:val="auto"/>
        </w:rPr>
      </w:pPr>
    </w:p>
    <w:p>
      <w:pPr>
        <w:ind w:right="80" w:firstLine="987"/>
        <w:spacing w:after="0" w:line="263" w:lineRule="auto"/>
        <w:tabs>
          <w:tab w:leader="none" w:pos="12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83" w:lineRule="exact"/>
        <w:rPr>
          <w:rFonts w:ascii="Arial" w:cs="Arial" w:eastAsia="Arial" w:hAnsi="Arial"/>
          <w:sz w:val="18"/>
          <w:szCs w:val="18"/>
          <w:color w:val="auto"/>
        </w:rPr>
      </w:pPr>
    </w:p>
    <w:p>
      <w:pPr>
        <w:ind w:right="80" w:firstLine="987"/>
        <w:spacing w:after="0" w:line="277" w:lineRule="auto"/>
        <w:tabs>
          <w:tab w:leader="none" w:pos="12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Directors or of other individuals satisfying Applicable Laws appointed by the Board, or by a duly authorized committee of the Board, in accordance with Section 4 hereof.</w:t>
      </w:r>
    </w:p>
    <w:p>
      <w:pPr>
        <w:spacing w:after="0" w:line="170" w:lineRule="exact"/>
        <w:rPr>
          <w:rFonts w:ascii="Arial" w:cs="Arial" w:eastAsia="Arial" w:hAnsi="Arial"/>
          <w:sz w:val="18"/>
          <w:szCs w:val="18"/>
          <w:color w:val="auto"/>
        </w:rPr>
      </w:pPr>
    </w:p>
    <w:p>
      <w:pPr>
        <w:ind w:left="1200" w:hanging="213"/>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25" w:lineRule="exact"/>
        <w:rPr>
          <w:rFonts w:ascii="Arial" w:cs="Arial" w:eastAsia="Arial" w:hAnsi="Arial"/>
          <w:sz w:val="18"/>
          <w:szCs w:val="18"/>
          <w:color w:val="auto"/>
        </w:rPr>
      </w:pPr>
    </w:p>
    <w:p>
      <w:pPr>
        <w:ind w:left="1200" w:hanging="213"/>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Tempest Therapeutics, Inc., a Delaware corporation, or any successor thereto.</w:t>
      </w:r>
    </w:p>
    <w:p>
      <w:pPr>
        <w:spacing w:after="0" w:line="225" w:lineRule="exact"/>
        <w:rPr>
          <w:rFonts w:ascii="Arial" w:cs="Arial" w:eastAsia="Arial" w:hAnsi="Arial"/>
          <w:sz w:val="18"/>
          <w:szCs w:val="18"/>
          <w:color w:val="auto"/>
        </w:rPr>
      </w:pPr>
    </w:p>
    <w:p>
      <w:pPr>
        <w:ind w:firstLine="987"/>
        <w:spacing w:after="0" w:line="257" w:lineRule="auto"/>
        <w:tabs>
          <w:tab w:leader="none" w:pos="12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natural person, including an advisor, engaged by the Company or a Parent or Subsidiary to render bona fide services to such entity, provided the services (i) are not in connection with the offer or sale of securities in a capital-raising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87" w:lineRule="exact"/>
        <w:rPr>
          <w:rFonts w:ascii="Arial" w:cs="Arial" w:eastAsia="Arial" w:hAnsi="Arial"/>
          <w:sz w:val="18"/>
          <w:szCs w:val="18"/>
          <w:color w:val="auto"/>
        </w:rPr>
      </w:pPr>
    </w:p>
    <w:p>
      <w:pPr>
        <w:ind w:left="1200" w:hanging="213"/>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ind w:right="120" w:firstLine="987"/>
        <w:spacing w:after="0" w:line="263" w:lineRule="auto"/>
        <w:tabs>
          <w:tab w:leader="none" w:pos="12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83" w:lineRule="exact"/>
        <w:rPr>
          <w:rFonts w:ascii="Arial" w:cs="Arial" w:eastAsia="Arial" w:hAnsi="Arial"/>
          <w:sz w:val="18"/>
          <w:szCs w:val="18"/>
          <w:color w:val="auto"/>
        </w:rPr>
      </w:pPr>
    </w:p>
    <w:p>
      <w:pPr>
        <w:ind w:right="80" w:firstLine="987"/>
        <w:spacing w:after="0" w:line="342" w:lineRule="auto"/>
        <w:tabs>
          <w:tab w:leader="none" w:pos="1246"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23" w:lineRule="exact"/>
        <w:rPr>
          <w:rFonts w:ascii="Arial" w:cs="Arial" w:eastAsia="Arial" w:hAnsi="Arial"/>
          <w:sz w:val="16"/>
          <w:szCs w:val="16"/>
          <w:color w:val="auto"/>
        </w:rPr>
      </w:pPr>
    </w:p>
    <w:p>
      <w:pPr>
        <w:ind w:left="1240" w:hanging="253"/>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jc w:val="both"/>
        <w:ind w:right="40" w:firstLine="987"/>
        <w:spacing w:after="0" w:line="263" w:lineRule="auto"/>
        <w:tabs>
          <w:tab w:leader="none" w:pos="12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Program</w:t>
      </w:r>
      <w:r>
        <w:rPr>
          <w:rFonts w:ascii="Arial" w:cs="Arial" w:eastAsia="Arial" w:hAnsi="Arial"/>
          <w:sz w:val="18"/>
          <w:szCs w:val="18"/>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2" w:name="page13"/>
    <w:bookmarkEnd w:id="12"/>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entity selected by the Administrator, and/or (iii) the exercise price of an outstanding Award is reduced or increased. The Administrator will determine the terms and conditions of any Exchange Program in its sole discretion.</w:t>
      </w:r>
    </w:p>
    <w:p>
      <w:pPr>
        <w:spacing w:after="0" w:line="170" w:lineRule="exact"/>
        <w:rPr>
          <w:sz w:val="20"/>
          <w:szCs w:val="20"/>
          <w:color w:val="auto"/>
        </w:rPr>
      </w:pPr>
    </w:p>
    <w:p>
      <w:pPr>
        <w:ind w:left="1240" w:hanging="253"/>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225" w:lineRule="exact"/>
        <w:rPr>
          <w:rFonts w:ascii="Arial" w:cs="Arial" w:eastAsia="Arial" w:hAnsi="Arial"/>
          <w:sz w:val="18"/>
          <w:szCs w:val="18"/>
          <w:color w:val="auto"/>
        </w:rPr>
      </w:pPr>
    </w:p>
    <w:p>
      <w:pPr>
        <w:ind w:right="180" w:firstLine="1428"/>
        <w:spacing w:after="0" w:line="279" w:lineRule="auto"/>
        <w:tabs>
          <w:tab w:leader="none" w:pos="1647" w:val="left"/>
        </w:tabs>
        <w:numPr>
          <w:ilvl w:val="1"/>
          <w:numId w:val="12"/>
        </w:numPr>
        <w:rPr>
          <w:rFonts w:ascii="Arial" w:cs="Arial" w:eastAsia="Arial" w:hAnsi="Arial"/>
          <w:sz w:val="17"/>
          <w:szCs w:val="17"/>
          <w:color w:val="auto"/>
        </w:rPr>
      </w:pPr>
      <w:r>
        <w:rPr>
          <w:rFonts w:ascii="Arial" w:cs="Arial" w:eastAsia="Arial" w:hAnsi="Arial"/>
          <w:sz w:val="17"/>
          <w:szCs w:val="17"/>
          <w:color w:val="auto"/>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Administrator deems reliable;</w:t>
      </w:r>
    </w:p>
    <w:p>
      <w:pPr>
        <w:spacing w:after="0" w:line="171" w:lineRule="exact"/>
        <w:rPr>
          <w:rFonts w:ascii="Arial" w:cs="Arial" w:eastAsia="Arial" w:hAnsi="Arial"/>
          <w:sz w:val="17"/>
          <w:szCs w:val="17"/>
          <w:color w:val="auto"/>
        </w:rPr>
      </w:pPr>
    </w:p>
    <w:p>
      <w:pPr>
        <w:ind w:right="80" w:firstLine="1428"/>
        <w:spacing w:after="0" w:line="259" w:lineRule="auto"/>
        <w:tabs>
          <w:tab w:leader="none" w:pos="1697"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date such bids and asks were reported),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 or</w:t>
      </w:r>
    </w:p>
    <w:p>
      <w:pPr>
        <w:spacing w:after="0" w:line="186" w:lineRule="exact"/>
        <w:rPr>
          <w:rFonts w:ascii="Arial" w:cs="Arial" w:eastAsia="Arial" w:hAnsi="Arial"/>
          <w:sz w:val="18"/>
          <w:szCs w:val="18"/>
          <w:color w:val="auto"/>
        </w:rPr>
      </w:pPr>
    </w:p>
    <w:p>
      <w:pPr>
        <w:ind w:left="1740" w:hanging="312"/>
        <w:spacing w:after="0"/>
        <w:tabs>
          <w:tab w:leader="none" w:pos="17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will be determined in good faith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Administrator.</w:t>
      </w:r>
    </w:p>
    <w:p>
      <w:pPr>
        <w:spacing w:after="0" w:line="210" w:lineRule="exact"/>
        <w:rPr>
          <w:rFonts w:ascii="Arial" w:cs="Arial" w:eastAsia="Arial" w:hAnsi="Arial"/>
          <w:sz w:val="16"/>
          <w:szCs w:val="16"/>
          <w:color w:val="auto"/>
        </w:rPr>
      </w:pPr>
    </w:p>
    <w:p>
      <w:pPr>
        <w:ind w:right="160" w:firstLine="987"/>
        <w:spacing w:after="0" w:line="277" w:lineRule="auto"/>
        <w:tabs>
          <w:tab w:leader="none" w:pos="1216"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by its terms qualifies and is otherwise intended to qualify as an incentive stock option within the meaning of Code Section 422 and the regulations promulgated thereunder.</w:t>
      </w:r>
    </w:p>
    <w:p>
      <w:pPr>
        <w:spacing w:after="0" w:line="170" w:lineRule="exact"/>
        <w:rPr>
          <w:rFonts w:ascii="Arial" w:cs="Arial" w:eastAsia="Arial" w:hAnsi="Arial"/>
          <w:sz w:val="18"/>
          <w:szCs w:val="18"/>
          <w:color w:val="auto"/>
        </w:rPr>
      </w:pPr>
    </w:p>
    <w:p>
      <w:pPr>
        <w:ind w:left="1220" w:hanging="233"/>
        <w:spacing w:after="0"/>
        <w:tabs>
          <w:tab w:leader="none" w:pos="12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Nonstatutory Stock Option</w:t>
      </w:r>
      <w:r>
        <w:rPr>
          <w:rFonts w:ascii="Arial" w:cs="Arial" w:eastAsia="Arial" w:hAnsi="Arial"/>
          <w:sz w:val="17"/>
          <w:szCs w:val="17"/>
          <w:color w:val="auto"/>
        </w:rPr>
        <w:t>” means an Option that by its terms does not qualify or is not intended to qualify as an Incentive Stock</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Option.</w:t>
      </w:r>
    </w:p>
    <w:p>
      <w:pPr>
        <w:spacing w:after="0" w:line="210" w:lineRule="exact"/>
        <w:rPr>
          <w:rFonts w:ascii="Arial" w:cs="Arial" w:eastAsia="Arial" w:hAnsi="Arial"/>
          <w:sz w:val="17"/>
          <w:szCs w:val="17"/>
          <w:color w:val="auto"/>
        </w:rPr>
      </w:pPr>
    </w:p>
    <w:p>
      <w:pPr>
        <w:ind w:left="1200" w:hanging="213"/>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stock option granted pursuant to the Plan.</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Code Section 424(e).</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the holder of an outstanding Award.</w:t>
      </w:r>
    </w:p>
    <w:p>
      <w:pPr>
        <w:spacing w:after="0" w:line="225" w:lineRule="exact"/>
        <w:rPr>
          <w:rFonts w:ascii="Arial" w:cs="Arial" w:eastAsia="Arial" w:hAnsi="Arial"/>
          <w:sz w:val="18"/>
          <w:szCs w:val="18"/>
          <w:color w:val="auto"/>
        </w:rPr>
      </w:pPr>
    </w:p>
    <w:p>
      <w:pPr>
        <w:ind w:firstLine="987"/>
        <w:spacing w:after="0" w:line="263" w:lineRule="auto"/>
        <w:tabs>
          <w:tab w:leader="none" w:pos="1286"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2017 Equity Incentive Plan.</w:t>
      </w:r>
    </w:p>
    <w:p>
      <w:pPr>
        <w:spacing w:after="0" w:line="225" w:lineRule="exact"/>
        <w:rPr>
          <w:rFonts w:ascii="Arial" w:cs="Arial" w:eastAsia="Arial" w:hAnsi="Arial"/>
          <w:sz w:val="18"/>
          <w:szCs w:val="18"/>
          <w:color w:val="auto"/>
        </w:rPr>
      </w:pPr>
    </w:p>
    <w:p>
      <w:pPr>
        <w:ind w:right="40" w:firstLine="987"/>
        <w:spacing w:after="0" w:line="277" w:lineRule="auto"/>
        <w:tabs>
          <w:tab w:leader="none" w:pos="12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issued pursuant to an Award of Restricted Stock under Section 8 of the Plan, or issued pursuant to the early exercise of an Option.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3" w:name="page14"/>
    <w:bookmarkEnd w:id="13"/>
    <w:p>
      <w:pPr>
        <w:ind w:left="-40" w:right="440" w:firstLine="987"/>
        <w:spacing w:after="0" w:line="308" w:lineRule="auto"/>
        <w:tabs>
          <w:tab w:leader="none" w:pos="1196" w:val="left"/>
        </w:tabs>
        <w:numPr>
          <w:ilvl w:val="0"/>
          <w:numId w:val="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Restricted Stock Unit</w:t>
      </w:r>
      <w:r>
        <w:rPr>
          <w:rFonts w:ascii="Arial" w:cs="Arial" w:eastAsia="Arial" w:hAnsi="Arial"/>
          <w:sz w:val="17"/>
          <w:szCs w:val="17"/>
          <w:color w:val="auto"/>
        </w:rPr>
        <w:t>” means a bookkeeping entry representing an amount equal to the Fair Market Value of one Share, granted pursuant to Section 9. Each Restricted Stock Unit represents an unfunded and unsecured obligation of the Company.</w:t>
      </w:r>
    </w:p>
    <w:p>
      <w:pPr>
        <w:spacing w:after="0" w:line="146" w:lineRule="exact"/>
        <w:rPr>
          <w:sz w:val="20"/>
          <w:szCs w:val="20"/>
          <w:color w:val="auto"/>
        </w:rPr>
      </w:pPr>
    </w:p>
    <w:p>
      <w:pPr>
        <w:ind w:left="1280" w:hanging="333"/>
        <w:spacing w:after="0"/>
        <w:tabs>
          <w:tab w:leader="none" w:pos="12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1300" w:hanging="353"/>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an Employee, Director or Consultant.</w:t>
      </w:r>
    </w:p>
    <w:p>
      <w:pPr>
        <w:spacing w:after="0" w:line="225" w:lineRule="exact"/>
        <w:rPr>
          <w:rFonts w:ascii="Arial" w:cs="Arial" w:eastAsia="Arial" w:hAnsi="Arial"/>
          <w:sz w:val="18"/>
          <w:szCs w:val="18"/>
          <w:color w:val="auto"/>
        </w:rPr>
      </w:pPr>
    </w:p>
    <w:p>
      <w:pPr>
        <w:ind w:left="1280" w:hanging="333"/>
        <w:spacing w:after="0"/>
        <w:tabs>
          <w:tab w:leader="none" w:pos="12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13 of the Plan.</w:t>
      </w:r>
    </w:p>
    <w:p>
      <w:pPr>
        <w:spacing w:after="0" w:line="225" w:lineRule="exact"/>
        <w:rPr>
          <w:rFonts w:ascii="Arial" w:cs="Arial" w:eastAsia="Arial" w:hAnsi="Arial"/>
          <w:sz w:val="18"/>
          <w:szCs w:val="18"/>
          <w:color w:val="auto"/>
        </w:rPr>
      </w:pPr>
    </w:p>
    <w:p>
      <w:pPr>
        <w:ind w:left="-40" w:right="80" w:firstLine="987"/>
        <w:spacing w:after="0" w:line="277" w:lineRule="auto"/>
        <w:tabs>
          <w:tab w:leader="none" w:pos="1296" w:val="left"/>
        </w:tabs>
        <w:numPr>
          <w:ilvl w:val="1"/>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means an Award, granted alone or in connection with an Option, that pursuant to Section 7 is designated as a Stock Appreciation Right.</w:t>
      </w:r>
    </w:p>
    <w:p>
      <w:pPr>
        <w:spacing w:after="0" w:line="170" w:lineRule="exact"/>
        <w:rPr>
          <w:rFonts w:ascii="Arial" w:cs="Arial" w:eastAsia="Arial" w:hAnsi="Arial"/>
          <w:sz w:val="18"/>
          <w:szCs w:val="18"/>
          <w:color w:val="auto"/>
        </w:rPr>
      </w:pPr>
    </w:p>
    <w:p>
      <w:pPr>
        <w:ind w:left="1280" w:hanging="333"/>
        <w:spacing w:after="0"/>
        <w:tabs>
          <w:tab w:leader="none" w:pos="12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Code Section 424(f).</w:t>
      </w:r>
    </w:p>
    <w:p>
      <w:pPr>
        <w:spacing w:after="0" w:line="225" w:lineRule="exact"/>
        <w:rPr>
          <w:rFonts w:ascii="Arial" w:cs="Arial" w:eastAsia="Arial" w:hAnsi="Arial"/>
          <w:sz w:val="18"/>
          <w:szCs w:val="18"/>
          <w:color w:val="auto"/>
        </w:rPr>
      </w:pPr>
    </w:p>
    <w:p>
      <w:pPr>
        <w:ind w:left="580" w:hanging="184"/>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20" w:firstLine="987"/>
        <w:spacing w:after="0" w:line="291" w:lineRule="auto"/>
        <w:tabs>
          <w:tab w:leader="none" w:pos="1196"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Stock Subject to the Plan</w:t>
      </w:r>
      <w:r>
        <w:rPr>
          <w:rFonts w:ascii="Arial" w:cs="Arial" w:eastAsia="Arial" w:hAnsi="Arial"/>
          <w:sz w:val="16"/>
          <w:szCs w:val="16"/>
          <w:color w:val="auto"/>
        </w:rPr>
        <w:t>. Subject to the provisions of Section 13 of the Plan, the maximum aggregate number of Shares that may be subject to Awards and sold under the Plan is 2,579,401 Shares, plus (i) any Shares that, as of the date of stockholder approval of this Plan, have been reserved but not issued pursuant to any awards granted under the Company’s 2011 Equity Incentive Plan (the “2011 Plan”) and are not subject to any awards granted thereunder, and (ii) any Shares subject to stock options or similar awards granted under the 2011 Plan that, after the date of stockholder approval of this Plan, expire or otherwise terminate without having been exercised in full and Shares issued pursuant to awards granted under the 2011 Plan that, after the date of stockholder approval of this Plan, are forfeited to or repurchased by the Company, with the maximum number of Shares to be added to the Plan pursuant to clauses (i) and (ii) equal to 5,050,250 Shares. The Shares may be authorized but unissued, or reacquired Common Stock.</w:t>
      </w:r>
    </w:p>
    <w:p>
      <w:pPr>
        <w:spacing w:after="0" w:line="166" w:lineRule="exact"/>
        <w:rPr>
          <w:rFonts w:ascii="Arial" w:cs="Arial" w:eastAsia="Arial" w:hAnsi="Arial"/>
          <w:sz w:val="16"/>
          <w:szCs w:val="16"/>
          <w:color w:val="auto"/>
        </w:rPr>
      </w:pPr>
    </w:p>
    <w:p>
      <w:pPr>
        <w:ind w:left="-40" w:firstLine="987"/>
        <w:spacing w:after="0" w:line="287" w:lineRule="auto"/>
        <w:tabs>
          <w:tab w:leader="none" w:pos="1206"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Lapsed Awards</w:t>
      </w:r>
      <w:r>
        <w:rPr>
          <w:rFonts w:ascii="Arial" w:cs="Arial" w:eastAsia="Arial" w:hAnsi="Arial"/>
          <w:sz w:val="16"/>
          <w:szCs w:val="16"/>
          <w:color w:val="auto"/>
        </w:rPr>
        <w:t>. If an Award expires or becomes unexercisable without having been exercised in full, is surrendered pursuant to an Exchange Program, or, with respect to Restricted Stock or Restricted Stock Units,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or Restricted Stock Units are repurchased by the Company or are forfeited to the Company due to the failure to vest,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80" w:top="274" w:right="499" w:bottom="1440" w:gutter="0" w:footer="0" w:header="0"/>
        </w:sectPr>
      </w:pPr>
    </w:p>
    <w:bookmarkStart w:id="14" w:name="page15"/>
    <w:bookmarkEnd w:id="14"/>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Code Section 422 and the Treasury Regulations promulgated thereunder, any Shares that become available for issuance under the Plan pursuant to Section 3(b).</w:t>
      </w:r>
    </w:p>
    <w:p>
      <w:pPr>
        <w:spacing w:after="0" w:line="187" w:lineRule="exact"/>
        <w:rPr>
          <w:sz w:val="20"/>
          <w:szCs w:val="20"/>
          <w:color w:val="auto"/>
        </w:rPr>
      </w:pPr>
    </w:p>
    <w:p>
      <w:pPr>
        <w:ind w:firstLine="987"/>
        <w:spacing w:after="0" w:line="277" w:lineRule="auto"/>
        <w:tabs>
          <w:tab w:leader="none" w:pos="1236"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Share Reserve</w:t>
      </w:r>
      <w:r>
        <w:rPr>
          <w:rFonts w:ascii="Arial" w:cs="Arial" w:eastAsia="Arial" w:hAnsi="Arial"/>
          <w:sz w:val="18"/>
          <w:szCs w:val="18"/>
          <w:color w:val="auto"/>
        </w:rPr>
        <w:t>. The Company, during the term of this Plan, will at all times reserve and keep available such number of Shares as will be sufficient to satisfy the requirements of the Plan.</w:t>
      </w:r>
    </w:p>
    <w:p>
      <w:pPr>
        <w:spacing w:after="0" w:line="170" w:lineRule="exact"/>
        <w:rPr>
          <w:rFonts w:ascii="Arial" w:cs="Arial" w:eastAsia="Arial" w:hAnsi="Arial"/>
          <w:sz w:val="18"/>
          <w:szCs w:val="18"/>
          <w:color w:val="auto"/>
        </w:rPr>
      </w:pPr>
    </w:p>
    <w:p>
      <w:pPr>
        <w:ind w:left="620" w:hanging="184"/>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40" w:hanging="212"/>
        <w:spacing w:after="0"/>
        <w:tabs>
          <w:tab w:leader="none" w:pos="1640" w:val="left"/>
        </w:tabs>
        <w:numPr>
          <w:ilvl w:val="2"/>
          <w:numId w:val="17"/>
        </w:numPr>
        <w:rPr>
          <w:rFonts w:ascii="Arial" w:cs="Arial" w:eastAsia="Arial" w:hAnsi="Arial"/>
          <w:sz w:val="16"/>
          <w:szCs w:val="16"/>
          <w:color w:val="auto"/>
        </w:rPr>
      </w:pPr>
      <w:r>
        <w:rPr>
          <w:rFonts w:ascii="Arial" w:cs="Arial" w:eastAsia="Arial" w:hAnsi="Arial"/>
          <w:sz w:val="16"/>
          <w:szCs w:val="16"/>
          <w:u w:val="single" w:color="auto"/>
          <w:color w:val="auto"/>
        </w:rPr>
        <w:t>Multiple Administrative Bodies</w:t>
      </w:r>
      <w:r>
        <w:rPr>
          <w:rFonts w:ascii="Arial" w:cs="Arial" w:eastAsia="Arial" w:hAnsi="Arial"/>
          <w:sz w:val="16"/>
          <w:szCs w:val="16"/>
          <w:color w:val="auto"/>
        </w:rPr>
        <w:t>. Different Committees with respect to different groups of Service Providers may administer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10" w:lineRule="exact"/>
        <w:rPr>
          <w:rFonts w:ascii="Arial" w:cs="Arial" w:eastAsia="Arial" w:hAnsi="Arial"/>
          <w:sz w:val="16"/>
          <w:szCs w:val="16"/>
          <w:color w:val="auto"/>
        </w:rPr>
      </w:pPr>
    </w:p>
    <w:p>
      <w:pPr>
        <w:ind w:right="120" w:firstLine="1428"/>
        <w:spacing w:after="0" w:line="277" w:lineRule="auto"/>
        <w:tabs>
          <w:tab w:leader="none" w:pos="1697" w:val="left"/>
        </w:tabs>
        <w:numPr>
          <w:ilvl w:val="2"/>
          <w:numId w:val="17"/>
        </w:numPr>
        <w:rPr>
          <w:rFonts w:ascii="Arial" w:cs="Arial" w:eastAsia="Arial" w:hAnsi="Arial"/>
          <w:sz w:val="18"/>
          <w:szCs w:val="18"/>
          <w:color w:val="auto"/>
        </w:rPr>
      </w:pPr>
      <w:r>
        <w:rPr>
          <w:rFonts w:ascii="Arial" w:cs="Arial" w:eastAsia="Arial" w:hAnsi="Arial"/>
          <w:sz w:val="18"/>
          <w:szCs w:val="18"/>
          <w:u w:val="single" w:color="auto"/>
          <w:color w:val="auto"/>
        </w:rPr>
        <w:t>Other Administration</w:t>
      </w:r>
      <w:r>
        <w:rPr>
          <w:rFonts w:ascii="Arial" w:cs="Arial" w:eastAsia="Arial" w:hAnsi="Arial"/>
          <w:sz w:val="18"/>
          <w:szCs w:val="18"/>
          <w:color w:val="auto"/>
        </w:rPr>
        <w:t>. Other than as provided above, the Plan will be administered by (A) the Board or (B) a Committee, which Committee will be constituted to satisfy Applicable Laws.</w:t>
      </w:r>
    </w:p>
    <w:p>
      <w:pPr>
        <w:spacing w:after="0" w:line="170" w:lineRule="exact"/>
        <w:rPr>
          <w:rFonts w:ascii="Arial" w:cs="Arial" w:eastAsia="Arial" w:hAnsi="Arial"/>
          <w:sz w:val="18"/>
          <w:szCs w:val="18"/>
          <w:color w:val="auto"/>
        </w:rPr>
      </w:pPr>
    </w:p>
    <w:p>
      <w:pPr>
        <w:ind w:right="560" w:firstLine="987"/>
        <w:spacing w:after="0" w:line="277" w:lineRule="auto"/>
        <w:tabs>
          <w:tab w:leader="none" w:pos="1246"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170" w:lineRule="exact"/>
        <w:rPr>
          <w:rFonts w:ascii="Arial" w:cs="Arial" w:eastAsia="Arial" w:hAnsi="Arial"/>
          <w:sz w:val="18"/>
          <w:szCs w:val="18"/>
          <w:color w:val="auto"/>
        </w:rPr>
      </w:pPr>
    </w:p>
    <w:p>
      <w:pPr>
        <w:ind w:left="1640" w:hanging="212"/>
        <w:spacing w:after="0"/>
        <w:tabs>
          <w:tab w:leader="none" w:pos="164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225" w:lineRule="exact"/>
        <w:rPr>
          <w:rFonts w:ascii="Arial" w:cs="Arial" w:eastAsia="Arial" w:hAnsi="Arial"/>
          <w:sz w:val="18"/>
          <w:szCs w:val="18"/>
          <w:color w:val="auto"/>
        </w:rPr>
      </w:pPr>
    </w:p>
    <w:p>
      <w:pPr>
        <w:ind w:left="1700" w:hanging="272"/>
        <w:spacing w:after="0"/>
        <w:tabs>
          <w:tab w:leader="none" w:pos="17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to select the Service Providers to whom Awards may be granted hereunder;</w:t>
      </w:r>
    </w:p>
    <w:p>
      <w:pPr>
        <w:spacing w:after="0" w:line="225" w:lineRule="exact"/>
        <w:rPr>
          <w:rFonts w:ascii="Arial" w:cs="Arial" w:eastAsia="Arial" w:hAnsi="Arial"/>
          <w:sz w:val="18"/>
          <w:szCs w:val="18"/>
          <w:color w:val="auto"/>
        </w:rPr>
      </w:pPr>
    </w:p>
    <w:p>
      <w:pPr>
        <w:ind w:left="1740" w:hanging="312"/>
        <w:spacing w:after="0"/>
        <w:tabs>
          <w:tab w:leader="none" w:pos="174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225" w:lineRule="exact"/>
        <w:rPr>
          <w:rFonts w:ascii="Arial" w:cs="Arial" w:eastAsia="Arial" w:hAnsi="Arial"/>
          <w:sz w:val="18"/>
          <w:szCs w:val="18"/>
          <w:color w:val="auto"/>
        </w:rPr>
      </w:pPr>
    </w:p>
    <w:p>
      <w:pPr>
        <w:ind w:left="1740" w:hanging="312"/>
        <w:spacing w:after="0"/>
        <w:tabs>
          <w:tab w:leader="none" w:pos="174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the Plan;</w:t>
      </w:r>
    </w:p>
    <w:p>
      <w:pPr>
        <w:spacing w:after="0" w:line="225" w:lineRule="exact"/>
        <w:rPr>
          <w:rFonts w:ascii="Arial" w:cs="Arial" w:eastAsia="Arial" w:hAnsi="Arial"/>
          <w:sz w:val="18"/>
          <w:szCs w:val="18"/>
          <w:color w:val="auto"/>
        </w:rPr>
      </w:pPr>
    </w:p>
    <w:p>
      <w:pPr>
        <w:ind w:right="20" w:firstLine="1428"/>
        <w:spacing w:after="0" w:line="259" w:lineRule="auto"/>
        <w:tabs>
          <w:tab w:leader="none" w:pos="1687" w:val="left"/>
        </w:tabs>
        <w:numPr>
          <w:ilvl w:val="2"/>
          <w:numId w:val="17"/>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86" w:lineRule="exact"/>
        <w:rPr>
          <w:rFonts w:ascii="Arial" w:cs="Arial" w:eastAsia="Arial" w:hAnsi="Arial"/>
          <w:sz w:val="18"/>
          <w:szCs w:val="18"/>
          <w:color w:val="auto"/>
        </w:rPr>
      </w:pPr>
    </w:p>
    <w:p>
      <w:pPr>
        <w:ind w:left="1740" w:hanging="312"/>
        <w:spacing w:after="0"/>
        <w:tabs>
          <w:tab w:leader="none" w:pos="174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to institute and determine the terms and conditions of an Exchange Program;</w:t>
      </w:r>
    </w:p>
    <w:p>
      <w:pPr>
        <w:spacing w:after="0" w:line="225" w:lineRule="exact"/>
        <w:rPr>
          <w:rFonts w:ascii="Arial" w:cs="Arial" w:eastAsia="Arial" w:hAnsi="Arial"/>
          <w:sz w:val="18"/>
          <w:szCs w:val="18"/>
          <w:color w:val="auto"/>
        </w:rPr>
      </w:pPr>
    </w:p>
    <w:p>
      <w:pPr>
        <w:ind w:left="1780" w:hanging="352"/>
        <w:spacing w:after="0"/>
        <w:tabs>
          <w:tab w:leader="none" w:pos="178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5" w:name="page16"/>
    <w:bookmarkEnd w:id="15"/>
    <w:p>
      <w:pPr>
        <w:ind w:right="120" w:firstLine="1428"/>
        <w:spacing w:after="0" w:line="342" w:lineRule="auto"/>
        <w:tabs>
          <w:tab w:leader="none" w:pos="1837" w:val="left"/>
        </w:tabs>
        <w:numPr>
          <w:ilvl w:val="2"/>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123" w:lineRule="exact"/>
        <w:rPr>
          <w:rFonts w:ascii="Arial" w:cs="Arial" w:eastAsia="Arial" w:hAnsi="Arial"/>
          <w:sz w:val="16"/>
          <w:szCs w:val="16"/>
          <w:color w:val="auto"/>
        </w:rPr>
      </w:pPr>
    </w:p>
    <w:p>
      <w:pPr>
        <w:ind w:right="80" w:firstLine="1428"/>
        <w:spacing w:after="0" w:line="263" w:lineRule="auto"/>
        <w:tabs>
          <w:tab w:leader="none" w:pos="1737" w:val="left"/>
        </w:tabs>
        <w:numPr>
          <w:ilvl w:val="2"/>
          <w:numId w:val="18"/>
        </w:numPr>
        <w:rPr>
          <w:rFonts w:ascii="Arial" w:cs="Arial" w:eastAsia="Arial" w:hAnsi="Arial"/>
          <w:sz w:val="18"/>
          <w:szCs w:val="18"/>
          <w:color w:val="auto"/>
        </w:rPr>
      </w:pPr>
      <w:r>
        <w:rPr>
          <w:rFonts w:ascii="Arial" w:cs="Arial" w:eastAsia="Arial" w:hAnsi="Arial"/>
          <w:sz w:val="18"/>
          <w:szCs w:val="18"/>
          <w:color w:val="auto"/>
        </w:rPr>
        <w:t>to modify or amend each Award (subject to Section 18(c) of the Plan), including but not limited to the discretionary authority to extend the post-termination exercisability period of Awards; provided, however, that in no case will an Option or Stock Appreciation right be extended beyond its original maximum term;</w:t>
      </w:r>
    </w:p>
    <w:p>
      <w:pPr>
        <w:spacing w:after="0" w:line="183" w:lineRule="exact"/>
        <w:rPr>
          <w:rFonts w:ascii="Arial" w:cs="Arial" w:eastAsia="Arial" w:hAnsi="Arial"/>
          <w:sz w:val="18"/>
          <w:szCs w:val="18"/>
          <w:color w:val="auto"/>
        </w:rPr>
      </w:pPr>
    </w:p>
    <w:p>
      <w:pPr>
        <w:ind w:left="1680" w:hanging="252"/>
        <w:spacing w:after="0"/>
        <w:tabs>
          <w:tab w:leader="none" w:pos="1680" w:val="left"/>
        </w:tabs>
        <w:numPr>
          <w:ilvl w:val="2"/>
          <w:numId w:val="18"/>
        </w:numPr>
        <w:rPr>
          <w:rFonts w:ascii="Arial" w:cs="Arial" w:eastAsia="Arial" w:hAnsi="Arial"/>
          <w:sz w:val="18"/>
          <w:szCs w:val="18"/>
          <w:color w:val="auto"/>
        </w:rPr>
      </w:pPr>
      <w:r>
        <w:rPr>
          <w:rFonts w:ascii="Arial" w:cs="Arial" w:eastAsia="Arial" w:hAnsi="Arial"/>
          <w:sz w:val="18"/>
          <w:szCs w:val="18"/>
          <w:color w:val="auto"/>
        </w:rPr>
        <w:t>to allow Participants to satisfy withholding tax obligations in a manner prescribed in Section 14;</w:t>
      </w:r>
    </w:p>
    <w:p>
      <w:pPr>
        <w:spacing w:after="0" w:line="225" w:lineRule="exact"/>
        <w:rPr>
          <w:rFonts w:ascii="Arial" w:cs="Arial" w:eastAsia="Arial" w:hAnsi="Arial"/>
          <w:sz w:val="18"/>
          <w:szCs w:val="18"/>
          <w:color w:val="auto"/>
        </w:rPr>
      </w:pPr>
    </w:p>
    <w:p>
      <w:pPr>
        <w:ind w:right="80" w:firstLine="1428"/>
        <w:spacing w:after="0" w:line="277" w:lineRule="auto"/>
        <w:tabs>
          <w:tab w:leader="none" w:pos="1737" w:val="left"/>
        </w:tabs>
        <w:numPr>
          <w:ilvl w:val="2"/>
          <w:numId w:val="18"/>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Administrator;</w:t>
      </w:r>
    </w:p>
    <w:p>
      <w:pPr>
        <w:spacing w:after="0" w:line="170" w:lineRule="exact"/>
        <w:rPr>
          <w:rFonts w:ascii="Arial" w:cs="Arial" w:eastAsia="Arial" w:hAnsi="Arial"/>
          <w:sz w:val="18"/>
          <w:szCs w:val="18"/>
          <w:color w:val="auto"/>
        </w:rPr>
      </w:pPr>
    </w:p>
    <w:p>
      <w:pPr>
        <w:ind w:right="180" w:firstLine="1428"/>
        <w:spacing w:after="0" w:line="277" w:lineRule="auto"/>
        <w:tabs>
          <w:tab w:leader="none" w:pos="1787" w:val="left"/>
        </w:tabs>
        <w:numPr>
          <w:ilvl w:val="2"/>
          <w:numId w:val="18"/>
        </w:numPr>
        <w:rPr>
          <w:rFonts w:ascii="Arial" w:cs="Arial" w:eastAsia="Arial" w:hAnsi="Arial"/>
          <w:sz w:val="18"/>
          <w:szCs w:val="18"/>
          <w:color w:val="auto"/>
        </w:rPr>
      </w:pPr>
      <w:r>
        <w:rPr>
          <w:rFonts w:ascii="Arial" w:cs="Arial" w:eastAsia="Arial" w:hAnsi="Arial"/>
          <w:sz w:val="18"/>
          <w:szCs w:val="18"/>
          <w:color w:val="auto"/>
        </w:rPr>
        <w:t>to allow a Participant to defer the receipt of the payment of cash or the delivery of Shares that otherwise would be due to such Participant under an Award; and</w:t>
      </w:r>
    </w:p>
    <w:p>
      <w:pPr>
        <w:spacing w:after="0" w:line="170" w:lineRule="exact"/>
        <w:rPr>
          <w:rFonts w:ascii="Arial" w:cs="Arial" w:eastAsia="Arial" w:hAnsi="Arial"/>
          <w:sz w:val="18"/>
          <w:szCs w:val="18"/>
          <w:color w:val="auto"/>
        </w:rPr>
      </w:pPr>
    </w:p>
    <w:p>
      <w:pPr>
        <w:ind w:left="1840" w:hanging="412"/>
        <w:spacing w:after="0"/>
        <w:tabs>
          <w:tab w:leader="none" w:pos="1840" w:val="left"/>
        </w:tabs>
        <w:numPr>
          <w:ilvl w:val="2"/>
          <w:numId w:val="18"/>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225" w:lineRule="exact"/>
        <w:rPr>
          <w:rFonts w:ascii="Arial" w:cs="Arial" w:eastAsia="Arial" w:hAnsi="Arial"/>
          <w:sz w:val="18"/>
          <w:szCs w:val="18"/>
          <w:color w:val="auto"/>
        </w:rPr>
      </w:pPr>
    </w:p>
    <w:p>
      <w:pPr>
        <w:ind w:right="220" w:firstLine="987"/>
        <w:spacing w:after="0" w:line="277" w:lineRule="auto"/>
        <w:tabs>
          <w:tab w:leader="none" w:pos="1236"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will be final and binding on all Participants and any other holders of Awards and will be given the maximum deference permitted by Applicable Laws.</w:t>
      </w:r>
    </w:p>
    <w:p>
      <w:pPr>
        <w:spacing w:after="0" w:line="170" w:lineRule="exact"/>
        <w:rPr>
          <w:rFonts w:ascii="Arial" w:cs="Arial" w:eastAsia="Arial" w:hAnsi="Arial"/>
          <w:sz w:val="18"/>
          <w:szCs w:val="18"/>
          <w:color w:val="auto"/>
        </w:rPr>
      </w:pPr>
    </w:p>
    <w:p>
      <w:pPr>
        <w:ind w:right="360" w:firstLine="436"/>
        <w:spacing w:after="0" w:line="277"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Nonstatutory Stock Options, Stock Appreciation Rights, Restricted Stock, and Restricted Stock Units may be granted to Service Providers. Incentive Stock Options may be granted only to Employees.</w:t>
      </w:r>
    </w:p>
    <w:p>
      <w:pPr>
        <w:spacing w:after="0" w:line="170" w:lineRule="exact"/>
        <w:rPr>
          <w:rFonts w:ascii="Arial" w:cs="Arial" w:eastAsia="Arial" w:hAnsi="Arial"/>
          <w:sz w:val="18"/>
          <w:szCs w:val="18"/>
          <w:color w:val="auto"/>
        </w:rPr>
      </w:pPr>
    </w:p>
    <w:p>
      <w:pPr>
        <w:ind w:left="620" w:hanging="184"/>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40" w:firstLine="987"/>
        <w:spacing w:after="0" w:line="277" w:lineRule="auto"/>
        <w:tabs>
          <w:tab w:leader="none" w:pos="1236"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Grant of Options</w:t>
      </w:r>
      <w:r>
        <w:rPr>
          <w:rFonts w:ascii="Arial" w:cs="Arial" w:eastAsia="Arial" w:hAnsi="Arial"/>
          <w:sz w:val="18"/>
          <w:szCs w:val="18"/>
          <w:color w:val="auto"/>
        </w:rPr>
        <w:t>. Subject to the terms and provisions of the Plan, the Administrator, at any time and from time to time, may grant Options in such amounts as the Administrator, in its sole discretion, will determine.</w:t>
      </w:r>
    </w:p>
    <w:p>
      <w:pPr>
        <w:spacing w:after="0" w:line="170" w:lineRule="exact"/>
        <w:rPr>
          <w:rFonts w:ascii="Arial" w:cs="Arial" w:eastAsia="Arial" w:hAnsi="Arial"/>
          <w:sz w:val="18"/>
          <w:szCs w:val="18"/>
          <w:color w:val="auto"/>
        </w:rPr>
      </w:pPr>
    </w:p>
    <w:p>
      <w:pPr>
        <w:ind w:firstLine="987"/>
        <w:spacing w:after="0" w:line="263" w:lineRule="auto"/>
        <w:tabs>
          <w:tab w:leader="none" w:pos="1246"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Option Agreement</w:t>
      </w:r>
      <w:r>
        <w:rPr>
          <w:rFonts w:ascii="Arial" w:cs="Arial" w:eastAsia="Arial" w:hAnsi="Arial"/>
          <w:sz w:val="18"/>
          <w:szCs w:val="18"/>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183" w:lineRule="exact"/>
        <w:rPr>
          <w:rFonts w:ascii="Arial" w:cs="Arial" w:eastAsia="Arial" w:hAnsi="Arial"/>
          <w:sz w:val="18"/>
          <w:szCs w:val="18"/>
          <w:color w:val="auto"/>
        </w:rPr>
      </w:pPr>
    </w:p>
    <w:p>
      <w:pPr>
        <w:ind w:right="80" w:firstLine="987"/>
        <w:spacing w:after="0" w:line="254" w:lineRule="auto"/>
        <w:tabs>
          <w:tab w:leader="none" w:pos="1236"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6(c),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Treasury Regulations promulgated thereunder.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6" w:name="page17"/>
    <w:bookmarkEnd w:id="16"/>
    <w:p>
      <w:pPr>
        <w:ind w:firstLine="987"/>
        <w:spacing w:after="0" w:line="257" w:lineRule="auto"/>
        <w:tabs>
          <w:tab w:leader="none" w:pos="124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 of Option</w:t>
      </w:r>
      <w:r>
        <w:rPr>
          <w:rFonts w:ascii="Arial" w:cs="Arial" w:eastAsia="Arial" w:hAnsi="Arial"/>
          <w:sz w:val="18"/>
          <w:szCs w:val="18"/>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87" w:lineRule="exact"/>
        <w:rPr>
          <w:rFonts w:ascii="Arial" w:cs="Arial" w:eastAsia="Arial" w:hAnsi="Arial"/>
          <w:sz w:val="18"/>
          <w:szCs w:val="18"/>
          <w:color w:val="auto"/>
        </w:rPr>
      </w:pPr>
    </w:p>
    <w:p>
      <w:pPr>
        <w:ind w:left="1240" w:hanging="253"/>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428"/>
        <w:spacing w:after="0" w:line="254" w:lineRule="auto"/>
        <w:tabs>
          <w:tab w:leader="none" w:pos="1647"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6(e)(i), Options may be granted with a per Share exercise price of less than one hundred percent (100%) of the Fair Market Value per Share on the date of grant pursuant to a transaction described in, and in a manner consistent with, Code Section 424(a).</w:t>
      </w:r>
    </w:p>
    <w:p>
      <w:pPr>
        <w:spacing w:after="0" w:line="194" w:lineRule="exact"/>
        <w:rPr>
          <w:rFonts w:ascii="Arial" w:cs="Arial" w:eastAsia="Arial" w:hAnsi="Arial"/>
          <w:sz w:val="18"/>
          <w:szCs w:val="18"/>
          <w:color w:val="auto"/>
        </w:rPr>
      </w:pPr>
    </w:p>
    <w:p>
      <w:pPr>
        <w:ind w:right="440" w:firstLine="1428"/>
        <w:spacing w:after="0" w:line="277" w:lineRule="auto"/>
        <w:tabs>
          <w:tab w:leader="none" w:pos="1697"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Waiting Period and Exercise Dates</w:t>
      </w:r>
      <w:r>
        <w:rPr>
          <w:rFonts w:ascii="Arial" w:cs="Arial" w:eastAsia="Arial" w:hAnsi="Arial"/>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170" w:lineRule="exact"/>
        <w:rPr>
          <w:rFonts w:ascii="Arial" w:cs="Arial" w:eastAsia="Arial" w:hAnsi="Arial"/>
          <w:sz w:val="18"/>
          <w:szCs w:val="18"/>
          <w:color w:val="auto"/>
        </w:rPr>
      </w:pPr>
    </w:p>
    <w:p>
      <w:pPr>
        <w:ind w:right="20" w:firstLine="1428"/>
        <w:spacing w:after="0" w:line="269" w:lineRule="auto"/>
        <w:tabs>
          <w:tab w:leader="none" w:pos="1747"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Form of Consideration</w:t>
      </w:r>
      <w:r>
        <w:rPr>
          <w:rFonts w:ascii="Arial" w:cs="Arial" w:eastAsia="Arial" w:hAnsi="Arial"/>
          <w:sz w:val="17"/>
          <w:szCs w:val="17"/>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(5) consideration received by the Company under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85" w:lineRule="exact"/>
        <w:rPr>
          <w:rFonts w:ascii="Arial" w:cs="Arial" w:eastAsia="Arial" w:hAnsi="Arial"/>
          <w:sz w:val="17"/>
          <w:szCs w:val="17"/>
          <w:color w:val="auto"/>
        </w:rPr>
      </w:pPr>
    </w:p>
    <w:p>
      <w:pPr>
        <w:ind w:left="1220" w:hanging="233"/>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428"/>
        <w:spacing w:after="0" w:line="263" w:lineRule="auto"/>
        <w:tabs>
          <w:tab w:leader="none" w:pos="1647"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Stockholder</w:t>
      </w:r>
      <w:r>
        <w:rPr>
          <w:rFonts w:ascii="Arial" w:cs="Arial" w:eastAsia="Arial" w:hAnsi="Arial"/>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7" w:name="page18"/>
    <w:bookmarkEnd w:id="17"/>
    <w:p>
      <w:pPr>
        <w:ind w:firstLine="198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tax withholding).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181" w:lineRule="exact"/>
        <w:rPr>
          <w:sz w:val="20"/>
          <w:szCs w:val="20"/>
          <w:color w:val="auto"/>
        </w:rPr>
      </w:pPr>
    </w:p>
    <w:p>
      <w:pPr>
        <w:ind w:right="220" w:firstLine="1983"/>
        <w:spacing w:after="0" w:line="277" w:lineRule="auto"/>
        <w:rPr>
          <w:sz w:val="20"/>
          <w:szCs w:val="20"/>
          <w:color w:val="auto"/>
        </w:rPr>
      </w:pPr>
      <w:r>
        <w:rPr>
          <w:rFonts w:ascii="Arial" w:cs="Arial" w:eastAsia="Arial" w:hAnsi="Arial"/>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170" w:lineRule="exact"/>
        <w:rPr>
          <w:sz w:val="20"/>
          <w:szCs w:val="20"/>
          <w:color w:val="auto"/>
        </w:rPr>
      </w:pPr>
    </w:p>
    <w:p>
      <w:pPr>
        <w:ind w:firstLine="1428"/>
        <w:spacing w:after="0" w:line="272" w:lineRule="auto"/>
        <w:tabs>
          <w:tab w:leader="none" w:pos="1697"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Termination of Relationship as a Service Provider</w:t>
      </w:r>
      <w:r>
        <w:rPr>
          <w:rFonts w:ascii="Arial" w:cs="Arial" w:eastAsia="Arial" w:hAnsi="Arial"/>
          <w:sz w:val="17"/>
          <w:szCs w:val="17"/>
          <w:color w:val="auto"/>
        </w:rPr>
        <w:t>. If a Participant ceases to be a Service Provider, other than upon the Participant’s termination as the result of the Participant’s death or Disability, the Participant may exercise his or her Option within thirty (30) days of termination, or such longer period of time as is specified in the Award Agreement (but in no event later than the expiration of the term of such Option as set forth in the Award Agreement) to the extent that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77" w:lineRule="exact"/>
        <w:rPr>
          <w:rFonts w:ascii="Arial" w:cs="Arial" w:eastAsia="Arial" w:hAnsi="Arial"/>
          <w:sz w:val="17"/>
          <w:szCs w:val="17"/>
          <w:color w:val="auto"/>
        </w:rPr>
      </w:pPr>
    </w:p>
    <w:p>
      <w:pPr>
        <w:ind w:right="20" w:firstLine="1428"/>
        <w:spacing w:after="0" w:line="293" w:lineRule="auto"/>
        <w:tabs>
          <w:tab w:leader="none" w:pos="1747"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Disability of Participant</w:t>
      </w:r>
      <w:r>
        <w:rPr>
          <w:rFonts w:ascii="Arial" w:cs="Arial" w:eastAsia="Arial" w:hAnsi="Arial"/>
          <w:sz w:val="16"/>
          <w:szCs w:val="16"/>
          <w:color w:val="auto"/>
        </w:rPr>
        <w:t>. If a Participant ceases to be a Service Provider as a result of the Participant’s Disability, the Participant may exercise his or her Option within six (6) months of termination, or such longer period of time as is specified in the Award Agreement (but in no event later than the expiration of the term of such Option as set forth in the Award Agreement) to the extent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64" w:lineRule="exact"/>
        <w:rPr>
          <w:rFonts w:ascii="Arial" w:cs="Arial" w:eastAsia="Arial" w:hAnsi="Arial"/>
          <w:sz w:val="16"/>
          <w:szCs w:val="16"/>
          <w:color w:val="auto"/>
        </w:rPr>
      </w:pPr>
    </w:p>
    <w:p>
      <w:pPr>
        <w:jc w:val="both"/>
        <w:ind w:right="20" w:firstLine="1428"/>
        <w:spacing w:after="0" w:line="259" w:lineRule="auto"/>
        <w:tabs>
          <w:tab w:leader="none" w:pos="1737"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Death of Participant</w:t>
      </w:r>
      <w:r>
        <w:rPr>
          <w:rFonts w:ascii="Arial" w:cs="Arial" w:eastAsia="Arial" w:hAnsi="Arial"/>
          <w:sz w:val="18"/>
          <w:szCs w:val="18"/>
          <w:color w:val="auto"/>
        </w:rPr>
        <w:t>. If a Participant dies while a Service Provider, the Option may be exercised within six (6) months following the Participant’s death, or within such longer period of time as is specified in the Award Agreement (but in no event later than the expiration of the term of such Option as set forth in the Award Agreement) to the extent that the Option is vested on the date of death, by the Participant’s designated beneficiary, provided such beneficiary has been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18" w:name="page19"/>
    <w:bookmarkEnd w:id="18"/>
    <w:p>
      <w:pPr>
        <w:ind w:right="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designated prior to the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61" w:lineRule="exact"/>
        <w:rPr>
          <w:sz w:val="20"/>
          <w:szCs w:val="20"/>
          <w:color w:val="auto"/>
        </w:rPr>
      </w:pPr>
    </w:p>
    <w:p>
      <w:pPr>
        <w:ind w:left="620" w:hanging="184"/>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60" w:firstLine="987"/>
        <w:spacing w:after="0" w:line="277" w:lineRule="auto"/>
        <w:tabs>
          <w:tab w:leader="none" w:pos="1236"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170" w:lineRule="exact"/>
        <w:rPr>
          <w:rFonts w:ascii="Arial" w:cs="Arial" w:eastAsia="Arial" w:hAnsi="Arial"/>
          <w:sz w:val="18"/>
          <w:szCs w:val="18"/>
          <w:color w:val="auto"/>
        </w:rPr>
      </w:pPr>
    </w:p>
    <w:p>
      <w:pPr>
        <w:ind w:right="120" w:firstLine="987"/>
        <w:spacing w:after="0" w:line="277" w:lineRule="auto"/>
        <w:tabs>
          <w:tab w:leader="none" w:pos="1246"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The Administrator will have complete discretion to determine the number of Shares subject to any Award of Stock Appreciation Rights.</w:t>
      </w:r>
    </w:p>
    <w:p>
      <w:pPr>
        <w:spacing w:after="0" w:line="170" w:lineRule="exact"/>
        <w:rPr>
          <w:rFonts w:ascii="Arial" w:cs="Arial" w:eastAsia="Arial" w:hAnsi="Arial"/>
          <w:sz w:val="18"/>
          <w:szCs w:val="18"/>
          <w:color w:val="auto"/>
        </w:rPr>
      </w:pPr>
    </w:p>
    <w:p>
      <w:pPr>
        <w:ind w:right="40" w:firstLine="987"/>
        <w:spacing w:after="0" w:line="279" w:lineRule="auto"/>
        <w:tabs>
          <w:tab w:leader="none" w:pos="1236" w:val="left"/>
        </w:tabs>
        <w:numPr>
          <w:ilvl w:val="1"/>
          <w:numId w:val="23"/>
        </w:numPr>
        <w:rPr>
          <w:rFonts w:ascii="Arial" w:cs="Arial" w:eastAsia="Arial" w:hAnsi="Arial"/>
          <w:sz w:val="17"/>
          <w:szCs w:val="17"/>
          <w:color w:val="auto"/>
        </w:rPr>
      </w:pPr>
      <w:r>
        <w:rPr>
          <w:rFonts w:ascii="Arial" w:cs="Arial" w:eastAsia="Arial" w:hAnsi="Arial"/>
          <w:sz w:val="17"/>
          <w:szCs w:val="17"/>
          <w:u w:val="single" w:color="auto"/>
          <w:color w:val="auto"/>
        </w:rPr>
        <w:t>Exercise Price and Other Terms</w:t>
      </w:r>
      <w:r>
        <w:rPr>
          <w:rFonts w:ascii="Arial" w:cs="Arial" w:eastAsia="Arial" w:hAnsi="Arial"/>
          <w:sz w:val="17"/>
          <w:szCs w:val="17"/>
          <w:color w:val="auto"/>
        </w:rPr>
        <w:t>. The per Share exercise price for the Shares that will determine the amount of the payment to be received upon exercise of a Stock Appreciation Right as set forth in Section 7(f)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71" w:lineRule="exact"/>
        <w:rPr>
          <w:rFonts w:ascii="Arial" w:cs="Arial" w:eastAsia="Arial" w:hAnsi="Arial"/>
          <w:sz w:val="17"/>
          <w:szCs w:val="17"/>
          <w:color w:val="auto"/>
        </w:rPr>
      </w:pPr>
    </w:p>
    <w:p>
      <w:pPr>
        <w:ind w:firstLine="987"/>
        <w:spacing w:after="0" w:line="263" w:lineRule="auto"/>
        <w:tabs>
          <w:tab w:leader="none" w:pos="1246"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Stock Appreciation Right Agreement</w:t>
      </w:r>
      <w:r>
        <w:rPr>
          <w:rFonts w:ascii="Arial" w:cs="Arial" w:eastAsia="Arial" w:hAnsi="Arial"/>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83" w:lineRule="exact"/>
        <w:rPr>
          <w:rFonts w:ascii="Arial" w:cs="Arial" w:eastAsia="Arial" w:hAnsi="Arial"/>
          <w:sz w:val="18"/>
          <w:szCs w:val="18"/>
          <w:color w:val="auto"/>
        </w:rPr>
      </w:pPr>
    </w:p>
    <w:p>
      <w:pPr>
        <w:jc w:val="both"/>
        <w:ind w:right="180" w:firstLine="987"/>
        <w:spacing w:after="0" w:line="263" w:lineRule="auto"/>
        <w:tabs>
          <w:tab w:leader="none" w:pos="1236"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Expiration of Stock Appreciation Rights</w:t>
      </w:r>
      <w:r>
        <w:rPr>
          <w:rFonts w:ascii="Arial" w:cs="Arial" w:eastAsia="Arial" w:hAnsi="Arial"/>
          <w:sz w:val="18"/>
          <w:szCs w:val="18"/>
          <w:color w:val="auto"/>
        </w:rPr>
        <w:t>. A Stock Appreciation Right granted under the Plan will expire upon the date determined by the Administrator, in its sole discretion, and set forth in the Award Agreement. Notwithstanding the foregoing, the rules of Section 6(d) relating to the maximum term and Section 6(f) relating to exercise also will apply to Stock Appreciation Rights.</w:t>
      </w:r>
    </w:p>
    <w:p>
      <w:pPr>
        <w:spacing w:after="0" w:line="183" w:lineRule="exact"/>
        <w:rPr>
          <w:rFonts w:ascii="Arial" w:cs="Arial" w:eastAsia="Arial" w:hAnsi="Arial"/>
          <w:sz w:val="18"/>
          <w:szCs w:val="18"/>
          <w:color w:val="auto"/>
        </w:rPr>
      </w:pPr>
    </w:p>
    <w:p>
      <w:pPr>
        <w:ind w:right="240" w:firstLine="987"/>
        <w:spacing w:after="0" w:line="277" w:lineRule="auto"/>
        <w:tabs>
          <w:tab w:leader="none" w:pos="1216"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Payment of Stock Appreciation Right Amount</w:t>
      </w:r>
      <w:r>
        <w:rPr>
          <w:rFonts w:ascii="Arial" w:cs="Arial" w:eastAsia="Arial" w:hAnsi="Arial"/>
          <w:sz w:val="18"/>
          <w:szCs w:val="18"/>
          <w:color w:val="auto"/>
        </w:rPr>
        <w:t>. Upon exercise of a Stock Appreciation Right, a Participant will be entitled to receive payment from the Company in an amount determined by multiplying:</w:t>
      </w:r>
    </w:p>
    <w:p>
      <w:pPr>
        <w:spacing w:after="0" w:line="170" w:lineRule="exact"/>
        <w:rPr>
          <w:rFonts w:ascii="Arial" w:cs="Arial" w:eastAsia="Arial" w:hAnsi="Arial"/>
          <w:sz w:val="18"/>
          <w:szCs w:val="18"/>
          <w:color w:val="auto"/>
        </w:rPr>
      </w:pPr>
    </w:p>
    <w:p>
      <w:pPr>
        <w:ind w:left="1640" w:hanging="212"/>
        <w:spacing w:after="0"/>
        <w:tabs>
          <w:tab w:leader="none" w:pos="164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over the exercise price; times</w:t>
      </w:r>
    </w:p>
    <w:p>
      <w:pPr>
        <w:spacing w:after="0" w:line="225" w:lineRule="exact"/>
        <w:rPr>
          <w:rFonts w:ascii="Arial" w:cs="Arial" w:eastAsia="Arial" w:hAnsi="Arial"/>
          <w:sz w:val="18"/>
          <w:szCs w:val="18"/>
          <w:color w:val="auto"/>
        </w:rPr>
      </w:pPr>
    </w:p>
    <w:p>
      <w:pPr>
        <w:ind w:left="1700" w:hanging="272"/>
        <w:spacing w:after="0"/>
        <w:tabs>
          <w:tab w:leader="none" w:pos="170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number of Shares with respect to which the Stock Appreciation Right is exercised.</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At the discretion of the Administrator, the payment upon Stock Appreciation Right exercise may be in cash, in Shares of equivalent value, or in some combination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9" w:name="page20"/>
    <w:bookmarkEnd w:id="19"/>
    <w:p>
      <w:pPr>
        <w:ind w:left="620" w:hanging="184"/>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Restricted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20" w:firstLine="987"/>
        <w:spacing w:after="0" w:line="308" w:lineRule="auto"/>
        <w:tabs>
          <w:tab w:leader="none" w:pos="1236"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Grant of Restricted Stock</w:t>
      </w:r>
      <w:r>
        <w:rPr>
          <w:rFonts w:ascii="Arial" w:cs="Arial" w:eastAsia="Arial" w:hAnsi="Arial"/>
          <w:sz w:val="17"/>
          <w:szCs w:val="17"/>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46" w:lineRule="exact"/>
        <w:rPr>
          <w:rFonts w:ascii="Arial" w:cs="Arial" w:eastAsia="Arial" w:hAnsi="Arial"/>
          <w:sz w:val="17"/>
          <w:szCs w:val="17"/>
          <w:color w:val="auto"/>
        </w:rPr>
      </w:pPr>
    </w:p>
    <w:p>
      <w:pPr>
        <w:ind w:firstLine="987"/>
        <w:spacing w:after="0" w:line="311" w:lineRule="auto"/>
        <w:tabs>
          <w:tab w:leader="none" w:pos="1246"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Restricted Stock Agreement</w:t>
      </w:r>
      <w:r>
        <w:rPr>
          <w:rFonts w:ascii="Arial" w:cs="Arial" w:eastAsia="Arial" w:hAnsi="Arial"/>
          <w:sz w:val="16"/>
          <w:szCs w:val="16"/>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48" w:lineRule="exact"/>
        <w:rPr>
          <w:rFonts w:ascii="Arial" w:cs="Arial" w:eastAsia="Arial" w:hAnsi="Arial"/>
          <w:sz w:val="16"/>
          <w:szCs w:val="16"/>
          <w:color w:val="auto"/>
        </w:rPr>
      </w:pPr>
    </w:p>
    <w:p>
      <w:pPr>
        <w:ind w:right="260" w:firstLine="987"/>
        <w:spacing w:after="0" w:line="277" w:lineRule="auto"/>
        <w:tabs>
          <w:tab w:leader="none" w:pos="1236"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170" w:lineRule="exact"/>
        <w:rPr>
          <w:rFonts w:ascii="Arial" w:cs="Arial" w:eastAsia="Arial" w:hAnsi="Arial"/>
          <w:sz w:val="18"/>
          <w:szCs w:val="18"/>
          <w:color w:val="auto"/>
        </w:rPr>
      </w:pPr>
    </w:p>
    <w:p>
      <w:pPr>
        <w:ind w:right="20" w:firstLine="987"/>
        <w:spacing w:after="0" w:line="277" w:lineRule="auto"/>
        <w:tabs>
          <w:tab w:leader="none" w:pos="1246"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Other Restrictions</w:t>
      </w:r>
      <w:r>
        <w:rPr>
          <w:rFonts w:ascii="Arial" w:cs="Arial" w:eastAsia="Arial" w:hAnsi="Arial"/>
          <w:sz w:val="18"/>
          <w:szCs w:val="18"/>
          <w:color w:val="auto"/>
        </w:rPr>
        <w:t>. The Administrator, in its sole discretion, may impose such other restrictions on Shares of Restricted Stock as it may deem advisable or appropriate.</w:t>
      </w:r>
    </w:p>
    <w:p>
      <w:pPr>
        <w:spacing w:after="0" w:line="170" w:lineRule="exact"/>
        <w:rPr>
          <w:rFonts w:ascii="Arial" w:cs="Arial" w:eastAsia="Arial" w:hAnsi="Arial"/>
          <w:sz w:val="18"/>
          <w:szCs w:val="18"/>
          <w:color w:val="auto"/>
        </w:rPr>
      </w:pPr>
    </w:p>
    <w:p>
      <w:pPr>
        <w:jc w:val="both"/>
        <w:ind w:right="160" w:firstLine="987"/>
        <w:spacing w:after="0" w:line="311" w:lineRule="auto"/>
        <w:tabs>
          <w:tab w:leader="none" w:pos="1236"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Removal of Restrictions</w:t>
      </w:r>
      <w:r>
        <w:rPr>
          <w:rFonts w:ascii="Arial" w:cs="Arial" w:eastAsia="Arial" w:hAnsi="Arial"/>
          <w:sz w:val="16"/>
          <w:szCs w:val="16"/>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48" w:lineRule="exact"/>
        <w:rPr>
          <w:rFonts w:ascii="Arial" w:cs="Arial" w:eastAsia="Arial" w:hAnsi="Arial"/>
          <w:sz w:val="16"/>
          <w:szCs w:val="16"/>
          <w:color w:val="auto"/>
        </w:rPr>
      </w:pPr>
    </w:p>
    <w:p>
      <w:pPr>
        <w:ind w:right="140" w:firstLine="987"/>
        <w:spacing w:after="0" w:line="277" w:lineRule="auto"/>
        <w:tabs>
          <w:tab w:leader="none" w:pos="1216"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70" w:lineRule="exact"/>
        <w:rPr>
          <w:rFonts w:ascii="Arial" w:cs="Arial" w:eastAsia="Arial" w:hAnsi="Arial"/>
          <w:sz w:val="18"/>
          <w:szCs w:val="18"/>
          <w:color w:val="auto"/>
        </w:rPr>
      </w:pPr>
    </w:p>
    <w:p>
      <w:pPr>
        <w:ind w:right="420" w:firstLine="987"/>
        <w:spacing w:after="0" w:line="259" w:lineRule="auto"/>
        <w:tabs>
          <w:tab w:leader="none" w:pos="1246"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Dividends and Other Distributions</w:t>
      </w:r>
      <w:r>
        <w:rPr>
          <w:rFonts w:ascii="Arial" w:cs="Arial" w:eastAsia="Arial" w:hAnsi="Arial"/>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86" w:lineRule="exact"/>
        <w:rPr>
          <w:rFonts w:ascii="Arial" w:cs="Arial" w:eastAsia="Arial" w:hAnsi="Arial"/>
          <w:sz w:val="18"/>
          <w:szCs w:val="18"/>
          <w:color w:val="auto"/>
        </w:rPr>
      </w:pPr>
    </w:p>
    <w:p>
      <w:pPr>
        <w:ind w:right="40" w:firstLine="987"/>
        <w:spacing w:after="0" w:line="277" w:lineRule="auto"/>
        <w:tabs>
          <w:tab w:leader="none" w:pos="1246"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Return of Restricted Stock to Company</w:t>
      </w:r>
      <w:r>
        <w:rPr>
          <w:rFonts w:ascii="Arial" w:cs="Arial" w:eastAsia="Arial" w:hAnsi="Arial"/>
          <w:sz w:val="18"/>
          <w:szCs w:val="18"/>
          <w:color w:val="auto"/>
        </w:rPr>
        <w:t>. On the date set forth in the Award Agreement, the Restricted Stock for which restrictions have not lapsed will revert to the Company and again will become available for grant under the Plan.</w:t>
      </w:r>
    </w:p>
    <w:p>
      <w:pPr>
        <w:spacing w:after="0" w:line="170" w:lineRule="exact"/>
        <w:rPr>
          <w:rFonts w:ascii="Arial" w:cs="Arial" w:eastAsia="Arial" w:hAnsi="Arial"/>
          <w:sz w:val="18"/>
          <w:szCs w:val="18"/>
          <w:color w:val="auto"/>
        </w:rPr>
      </w:pPr>
    </w:p>
    <w:p>
      <w:pPr>
        <w:ind w:left="620" w:hanging="184"/>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40" w:firstLine="987"/>
        <w:spacing w:after="0" w:line="263" w:lineRule="auto"/>
        <w:tabs>
          <w:tab w:leader="none" w:pos="1236"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0" w:name="page21"/>
    <w:bookmarkEnd w:id="20"/>
    <w:p>
      <w:pPr>
        <w:ind w:right="80" w:firstLine="987"/>
        <w:spacing w:after="0" w:line="259" w:lineRule="auto"/>
        <w:tabs>
          <w:tab w:leader="none" w:pos="1246"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Vesting Criteria and Other Terms</w:t>
      </w:r>
      <w:r>
        <w:rPr>
          <w:rFonts w:ascii="Arial" w:cs="Arial" w:eastAsia="Arial" w:hAnsi="Arial"/>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service), or any other basis determined by the Administrator in its discretion.</w:t>
      </w:r>
    </w:p>
    <w:p>
      <w:pPr>
        <w:spacing w:after="0" w:line="186" w:lineRule="exact"/>
        <w:rPr>
          <w:rFonts w:ascii="Arial" w:cs="Arial" w:eastAsia="Arial" w:hAnsi="Arial"/>
          <w:sz w:val="18"/>
          <w:szCs w:val="18"/>
          <w:color w:val="auto"/>
        </w:rPr>
      </w:pPr>
    </w:p>
    <w:p>
      <w:pPr>
        <w:jc w:val="both"/>
        <w:ind w:right="360" w:firstLine="987"/>
        <w:spacing w:after="0" w:line="263" w:lineRule="auto"/>
        <w:tabs>
          <w:tab w:leader="none" w:pos="1236"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Earning Restricted Stock Units</w:t>
      </w:r>
      <w:r>
        <w:rPr>
          <w:rFonts w:ascii="Arial" w:cs="Arial" w:eastAsia="Arial" w:hAnsi="Arial"/>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83" w:lineRule="exact"/>
        <w:rPr>
          <w:rFonts w:ascii="Arial" w:cs="Arial" w:eastAsia="Arial" w:hAnsi="Arial"/>
          <w:sz w:val="18"/>
          <w:szCs w:val="18"/>
          <w:color w:val="auto"/>
        </w:rPr>
      </w:pPr>
    </w:p>
    <w:p>
      <w:pPr>
        <w:ind w:right="340" w:firstLine="987"/>
        <w:spacing w:after="0" w:line="263" w:lineRule="auto"/>
        <w:tabs>
          <w:tab w:leader="none" w:pos="1246"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w:t>
      </w:r>
      <w:r>
        <w:rPr>
          <w:rFonts w:ascii="Arial" w:cs="Arial" w:eastAsia="Arial" w:hAnsi="Arial"/>
          <w:sz w:val="18"/>
          <w:szCs w:val="18"/>
          <w:color w:val="auto"/>
        </w:rPr>
        <w:t>. Payment of earned Restricted Stock Units will be made as soon as practicable after the date(s) determined by the Administrator and set forth in the Award Agreement. The Administrator, in its sole discretion, may settle earned Restricted Stock Units in cash, Shares, or a combination of both.</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Cancellation</w:t>
      </w:r>
      <w:r>
        <w:rPr>
          <w:rFonts w:ascii="Arial" w:cs="Arial" w:eastAsia="Arial" w:hAnsi="Arial"/>
          <w:sz w:val="17"/>
          <w:szCs w:val="17"/>
          <w:color w:val="auto"/>
        </w:rPr>
        <w:t>. On the date set forth in the Award Agreement, all unearned Restricted Stock Units will be forfeited to the Company.</w:t>
      </w:r>
    </w:p>
    <w:p>
      <w:pPr>
        <w:spacing w:after="0" w:line="236" w:lineRule="exact"/>
        <w:rPr>
          <w:rFonts w:ascii="Arial" w:cs="Arial" w:eastAsia="Arial" w:hAnsi="Arial"/>
          <w:sz w:val="17"/>
          <w:szCs w:val="17"/>
          <w:color w:val="auto"/>
        </w:rPr>
      </w:pPr>
    </w:p>
    <w:p>
      <w:pPr>
        <w:ind w:firstLine="436"/>
        <w:spacing w:after="0" w:line="284" w:lineRule="auto"/>
        <w:tabs>
          <w:tab w:leader="none" w:pos="71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Compliance With Code Section 409A</w:t>
      </w:r>
      <w:r>
        <w:rPr>
          <w:rFonts w:ascii="Arial" w:cs="Arial" w:eastAsia="Arial" w:hAnsi="Arial"/>
          <w:sz w:val="16"/>
          <w:szCs w:val="16"/>
          <w:color w:val="auto"/>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w:t>
      </w:r>
    </w:p>
    <w:p>
      <w:pPr>
        <w:spacing w:after="0" w:line="2" w:lineRule="exact"/>
        <w:rPr>
          <w:rFonts w:ascii="Arial" w:cs="Arial" w:eastAsia="Arial" w:hAnsi="Arial"/>
          <w:sz w:val="16"/>
          <w:szCs w:val="16"/>
          <w:color w:val="auto"/>
        </w:rPr>
      </w:pPr>
    </w:p>
    <w:p>
      <w:pPr>
        <w:ind w:right="80"/>
        <w:spacing w:after="0" w:line="260" w:lineRule="auto"/>
        <w:rPr>
          <w:rFonts w:ascii="Arial" w:cs="Arial" w:eastAsia="Arial" w:hAnsi="Arial"/>
          <w:sz w:val="16"/>
          <w:szCs w:val="16"/>
          <w:color w:val="auto"/>
        </w:rPr>
      </w:pPr>
      <w:r>
        <w:rPr>
          <w:rFonts w:ascii="Arial" w:cs="Arial" w:eastAsia="Arial" w:hAnsi="Arial"/>
          <w:sz w:val="18"/>
          <w:szCs w:val="18"/>
          <w:color w:val="auto"/>
        </w:rPr>
        <w:t>Section 409A. In no event will the Company have any obligation under the terms of this Plan to reimburse a Participant for any taxes or other costs that may be imposed on Participant as a result of Section 409A.</w:t>
      </w:r>
    </w:p>
    <w:p>
      <w:pPr>
        <w:spacing w:after="0" w:line="185" w:lineRule="exact"/>
        <w:rPr>
          <w:rFonts w:ascii="Arial" w:cs="Arial" w:eastAsia="Arial" w:hAnsi="Arial"/>
          <w:sz w:val="16"/>
          <w:szCs w:val="16"/>
          <w:color w:val="auto"/>
        </w:rPr>
      </w:pPr>
    </w:p>
    <w:p>
      <w:pPr>
        <w:ind w:right="100" w:firstLine="436"/>
        <w:spacing w:after="0" w:line="254" w:lineRule="auto"/>
        <w:tabs>
          <w:tab w:leader="none" w:pos="70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Leaves of Absence/Transfer Between Locations</w:t>
      </w:r>
      <w:r>
        <w:rPr>
          <w:rFonts w:ascii="Arial" w:cs="Arial" w:eastAsia="Arial" w:hAnsi="Arial"/>
          <w:sz w:val="18"/>
          <w:szCs w:val="18"/>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Arial" w:cs="Arial" w:eastAsia="Arial" w:hAnsi="Arial"/>
          <w:sz w:val="15"/>
          <w:szCs w:val="15"/>
          <w:color w:val="auto"/>
        </w:rPr>
        <w:t>st</w:t>
      </w:r>
      <w:r>
        <w:rPr>
          <w:rFonts w:ascii="Arial" w:cs="Arial" w:eastAsia="Arial" w:hAnsi="Arial"/>
          <w:sz w:val="18"/>
          <w:szCs w:val="18"/>
          <w:color w:val="auto"/>
        </w:rPr>
        <w:t>) day of such leave, any Incentive Stock Option held by the Participant will cease to be treated as an Incentive Stock Option and will be treated for tax purposes as a Nonstatutory Stock Option.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21" w:name="page22"/>
    <w:bookmarkEnd w:id="21"/>
    <w:p>
      <w:pPr>
        <w:ind w:left="660" w:hanging="26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Limited Transferability of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80" w:firstLine="987"/>
        <w:spacing w:after="0" w:line="259" w:lineRule="auto"/>
        <w:tabs>
          <w:tab w:leader="none" w:pos="1196" w:val="left"/>
        </w:tabs>
        <w:numPr>
          <w:ilvl w:val="1"/>
          <w:numId w:val="27"/>
        </w:numPr>
        <w:rPr>
          <w:rFonts w:ascii="Arial" w:cs="Arial" w:eastAsia="Arial" w:hAnsi="Arial"/>
          <w:sz w:val="18"/>
          <w:szCs w:val="18"/>
          <w:color w:val="auto"/>
        </w:rPr>
      </w:pPr>
      <w:r>
        <w:rPr>
          <w:rFonts w:ascii="Arial" w:cs="Arial" w:eastAsia="Arial" w:hAnsi="Arial"/>
          <w:sz w:val="18"/>
          <w:szCs w:val="18"/>
          <w:color w:val="auto"/>
        </w:rPr>
        <w:t>Unless determined otherwise by the Administrator, Awards may not be sold, pledged, assigned, hypothecated, or otherwise transferred in any manner other than by will or by the laws of descent and distribution, and may be exercised, during the lifetime of the Participant, only by the Participant. If the Administrator makes an Award transferable, such Award may only be transferred (i) by will, (ii) by the laws of descent and distribution, or (iii) as permitted by Rule 701 of the Securities Act.</w:t>
      </w:r>
    </w:p>
    <w:p>
      <w:pPr>
        <w:spacing w:after="0" w:line="186" w:lineRule="exact"/>
        <w:rPr>
          <w:rFonts w:ascii="Arial" w:cs="Arial" w:eastAsia="Arial" w:hAnsi="Arial"/>
          <w:sz w:val="18"/>
          <w:szCs w:val="18"/>
          <w:color w:val="auto"/>
        </w:rPr>
      </w:pPr>
    </w:p>
    <w:p>
      <w:pPr>
        <w:ind w:left="-40" w:right="40" w:firstLine="987"/>
        <w:spacing w:after="0" w:line="269" w:lineRule="auto"/>
        <w:tabs>
          <w:tab w:leader="none" w:pos="1206" w:val="left"/>
        </w:tabs>
        <w:numPr>
          <w:ilvl w:val="1"/>
          <w:numId w:val="27"/>
        </w:numPr>
        <w:rPr>
          <w:rFonts w:ascii="Arial" w:cs="Arial" w:eastAsia="Arial" w:hAnsi="Arial"/>
          <w:sz w:val="17"/>
          <w:szCs w:val="17"/>
          <w:color w:val="auto"/>
        </w:rPr>
      </w:pPr>
      <w:r>
        <w:rPr>
          <w:rFonts w:ascii="Arial" w:cs="Arial" w:eastAsia="Arial" w:hAnsi="Arial"/>
          <w:sz w:val="17"/>
          <w:szCs w:val="17"/>
          <w:color w:val="auto"/>
        </w:rPr>
        <w:t>Further, until the Company becomes subject to the reporting requirements of Section 13 or 15(d) of the Exchange Act, or after the Administrator determines that it is, will, or may no longer be relying upon the exemption from registration under the Exchange Act as set forth in Rule 12h-1(f) promulgated under the Exchange Act (the “Rule 12h-1(f) Exemption”), an Option, or prior to exercise, the Shares subject to the Option, may not be pledged, hypothecated or otherwise transferred or disposed of, in any manner, including by entering into any short position, any “put equivalent position” or any “call equivalent position” (as defined in Rule 16a-1(h) and Rule 16a-1(b) of the Exchange Act, respectively), other than to (i) persons who are “family members” (as defined in Rule 701(c)(3) of the Securities Act) through gifts or domestic relations orders, or (ii) to an executor or guardian of the Participant upon the death or disability of the Participant, in each case, to the extent required for continued reliance on the Rule 12h-1(f) Exemption. Notwithstanding the foregoing sentence, the Administrator, in its sole discretion, may determine to permit transfers to the Company or in connection with a Change in Control or other acquisition transactions involving the Company to the extent permitted by Rule 12h-1(f) or, if the Company is not relying on the Rule 12h-1(f) Exemption, to the extent permitted by the Plan.</w:t>
      </w:r>
    </w:p>
    <w:p>
      <w:pPr>
        <w:spacing w:after="0" w:line="185" w:lineRule="exact"/>
        <w:rPr>
          <w:rFonts w:ascii="Arial" w:cs="Arial" w:eastAsia="Arial" w:hAnsi="Arial"/>
          <w:sz w:val="17"/>
          <w:szCs w:val="17"/>
          <w:color w:val="auto"/>
        </w:rPr>
      </w:pPr>
    </w:p>
    <w:p>
      <w:pPr>
        <w:ind w:left="660" w:hanging="26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Adjustments; Dissolution or Liquidation; Merger or 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firstLine="987"/>
        <w:spacing w:after="0" w:line="291" w:lineRule="auto"/>
        <w:tabs>
          <w:tab w:leader="none" w:pos="1196"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provided, however, that the Administrator will make such adjustments to an Award required by Section 25102(o) of the California Corporations Code to the extent the Company is relying upon the exemption afforded thereby with respect to the Award.</w:t>
      </w:r>
    </w:p>
    <w:p>
      <w:pPr>
        <w:spacing w:after="0" w:line="166" w:lineRule="exact"/>
        <w:rPr>
          <w:rFonts w:ascii="Arial" w:cs="Arial" w:eastAsia="Arial" w:hAnsi="Arial"/>
          <w:sz w:val="16"/>
          <w:szCs w:val="16"/>
          <w:color w:val="auto"/>
        </w:rPr>
      </w:pPr>
    </w:p>
    <w:p>
      <w:pPr>
        <w:ind w:left="-40" w:right="140" w:firstLine="987"/>
        <w:spacing w:after="0" w:line="263" w:lineRule="auto"/>
        <w:tabs>
          <w:tab w:leader="none" w:pos="1206"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83" w:lineRule="exact"/>
        <w:rPr>
          <w:rFonts w:ascii="Arial" w:cs="Arial" w:eastAsia="Arial" w:hAnsi="Arial"/>
          <w:sz w:val="18"/>
          <w:szCs w:val="18"/>
          <w:color w:val="auto"/>
        </w:rPr>
      </w:pPr>
    </w:p>
    <w:p>
      <w:pPr>
        <w:ind w:left="-40" w:right="140" w:firstLine="987"/>
        <w:spacing w:after="0" w:line="257" w:lineRule="auto"/>
        <w:tabs>
          <w:tab w:leader="none" w:pos="1196"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Merger or Change in Control</w:t>
      </w:r>
      <w:r>
        <w:rPr>
          <w:rFonts w:ascii="Arial" w:cs="Arial" w:eastAsia="Arial" w:hAnsi="Arial"/>
          <w:sz w:val="18"/>
          <w:szCs w:val="18"/>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(i) Awards will be assumed, or substantially equivalent awards will be substituted, by the acquiring or succeeding corporation (or an affiliate thereof) with appropriate adjustments as to the number and kind of shares and prices; (ii) upon written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80" w:top="274" w:right="479" w:bottom="1440" w:gutter="0" w:footer="0" w:header="0"/>
        </w:sectPr>
      </w:pPr>
    </w:p>
    <w:bookmarkStart w:id="22" w:name="page23"/>
    <w:bookmarkEnd w:id="22"/>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to a Participant, that the Participant’s Awards will terminate upon or immediately prior to the consummation of such merger or Change in Control;</w:t>
      </w:r>
    </w:p>
    <w:p>
      <w:pPr>
        <w:spacing w:after="0" w:line="46" w:lineRule="exact"/>
        <w:rPr>
          <w:sz w:val="20"/>
          <w:szCs w:val="20"/>
          <w:color w:val="auto"/>
        </w:rPr>
      </w:pPr>
    </w:p>
    <w:p>
      <w:pPr>
        <w:ind w:left="4" w:right="40" w:hanging="4"/>
        <w:spacing w:after="0" w:line="286" w:lineRule="auto"/>
        <w:tabs>
          <w:tab w:leader="none" w:pos="319"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subsection 13(c), the Administrator will not be obligated to treat all Awards, all Awards held by a Participant, or all Awards of the same type, similarly.</w:t>
      </w:r>
    </w:p>
    <w:p>
      <w:pPr>
        <w:spacing w:after="0" w:line="172" w:lineRule="exact"/>
        <w:rPr>
          <w:rFonts w:ascii="Arial" w:cs="Arial" w:eastAsia="Arial" w:hAnsi="Arial"/>
          <w:sz w:val="16"/>
          <w:szCs w:val="16"/>
          <w:color w:val="auto"/>
        </w:rPr>
      </w:pPr>
    </w:p>
    <w:p>
      <w:pPr>
        <w:ind w:left="704" w:hanging="264"/>
        <w:spacing w:after="0"/>
        <w:tabs>
          <w:tab w:leader="none" w:pos="704"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20" w:firstLine="987"/>
        <w:spacing w:after="0" w:line="311" w:lineRule="auto"/>
        <w:tabs>
          <w:tab w:leader="none" w:pos="1240" w:val="left"/>
        </w:tabs>
        <w:numPr>
          <w:ilvl w:val="2"/>
          <w:numId w:val="28"/>
        </w:numPr>
        <w:rPr>
          <w:rFonts w:ascii="Arial" w:cs="Arial" w:eastAsia="Arial" w:hAnsi="Arial"/>
          <w:sz w:val="16"/>
          <w:szCs w:val="16"/>
          <w:color w:val="auto"/>
        </w:rPr>
      </w:pPr>
      <w:r>
        <w:rPr>
          <w:rFonts w:ascii="Arial" w:cs="Arial" w:eastAsia="Arial" w:hAnsi="Arial"/>
          <w:sz w:val="16"/>
          <w:szCs w:val="16"/>
          <w:u w:val="single" w:color="auto"/>
          <w:color w:val="auto"/>
        </w:rPr>
        <w:t>Withholding Requirements</w:t>
      </w:r>
      <w:r>
        <w:rPr>
          <w:rFonts w:ascii="Arial" w:cs="Arial" w:eastAsia="Arial" w:hAnsi="Arial"/>
          <w:sz w:val="16"/>
          <w:szCs w:val="16"/>
          <w:color w:val="auto"/>
        </w:rPr>
        <w:t>.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148" w:lineRule="exact"/>
        <w:rPr>
          <w:rFonts w:ascii="Arial" w:cs="Arial" w:eastAsia="Arial" w:hAnsi="Arial"/>
          <w:sz w:val="16"/>
          <w:szCs w:val="16"/>
          <w:color w:val="auto"/>
        </w:rPr>
      </w:pPr>
    </w:p>
    <w:p>
      <w:pPr>
        <w:ind w:left="4" w:firstLine="987"/>
        <w:spacing w:after="0" w:line="286" w:lineRule="auto"/>
        <w:tabs>
          <w:tab w:leader="none" w:pos="1250" w:val="left"/>
        </w:tabs>
        <w:numPr>
          <w:ilvl w:val="2"/>
          <w:numId w:val="28"/>
        </w:numPr>
        <w:rPr>
          <w:rFonts w:ascii="Arial" w:cs="Arial" w:eastAsia="Arial" w:hAnsi="Arial"/>
          <w:sz w:val="16"/>
          <w:szCs w:val="16"/>
          <w:color w:val="auto"/>
        </w:rPr>
      </w:pPr>
      <w:r>
        <w:rPr>
          <w:rFonts w:ascii="Arial" w:cs="Arial" w:eastAsia="Arial" w:hAnsi="Arial"/>
          <w:sz w:val="16"/>
          <w:szCs w:val="16"/>
          <w:u w:val="single" w:color="auto"/>
          <w:color w:val="auto"/>
        </w:rPr>
        <w:t>Withholding Arrangements</w:t>
      </w:r>
      <w:r>
        <w:rPr>
          <w:rFonts w:ascii="Arial" w:cs="Arial" w:eastAsia="Arial" w:hAnsi="Arial"/>
          <w:sz w:val="16"/>
          <w:szCs w:val="16"/>
          <w:color w:val="auto"/>
        </w:rPr>
        <w:t>. The Administrator, in its sole discretion and pursuant to such procedures as it may specify from time to time, may permit a Participant to satisfy such tax withholding obligation, in whole or in part by such methods as the Administrator shall determine, including, without limitation, (i) paying cash, (ii) electing to have the Company withhold otherwise deliverable Shares having a fair market value equal to the minimum statutory amount required to be withheld or such greater amount as the Administrator may determine if such amount would not have adverse accounting consequences, as the Administrator determines in its sole discretion, (iii) delivering to the Company already-owned Shares having a fair market value equal to the statutory amount required to be withheld or such greater amount as the Administrator may determine, in each case, provided the delivery of such Shares will not result in any adverse accounting consequences, as the Administrator determines in its sole discretion, (iv) selling a sufficient number of Shares otherwise deliverable to the Participant through such means as the Administrator may determine in its sole discretion (whether through a broker or otherwise) equal to the amount required to be withheld, or (v) any combination of the foregoing methods of payment.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w:t>
      </w:r>
    </w:p>
    <w:p>
      <w:pPr>
        <w:spacing w:after="0" w:line="173" w:lineRule="exact"/>
        <w:rPr>
          <w:rFonts w:ascii="Arial" w:cs="Arial" w:eastAsia="Arial" w:hAnsi="Arial"/>
          <w:sz w:val="16"/>
          <w:szCs w:val="16"/>
          <w:color w:val="auto"/>
        </w:rPr>
      </w:pPr>
    </w:p>
    <w:p>
      <w:pPr>
        <w:ind w:left="4" w:right="200" w:firstLine="436"/>
        <w:spacing w:after="0" w:line="277" w:lineRule="auto"/>
        <w:tabs>
          <w:tab w:leader="none" w:pos="714"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No Effect on Employment or Service</w:t>
      </w:r>
      <w:r>
        <w:rPr>
          <w:rFonts w:ascii="Arial" w:cs="Arial" w:eastAsia="Arial" w:hAnsi="Arial"/>
          <w:sz w:val="18"/>
          <w:szCs w:val="18"/>
          <w:color w:val="auto"/>
        </w:rPr>
        <w:t>. Neither the Plan nor any Award will confer upon a Participant any right with respect to continuing the Participant’s relationship as a Service Provider</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23" w:name="page24"/>
    <w:bookmarkEnd w:id="23"/>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the Company or its Subsidiaries or Parents, as applicable, nor will they interfere in any way with the Participant’s right or the right of the Company and its Subsidiaries or Parents, as applicable to terminate such relationship at any time, with or without cause, to the extent permitted by Applicable Laws.</w:t>
      </w:r>
    </w:p>
    <w:p>
      <w:pPr>
        <w:spacing w:after="0" w:line="184" w:lineRule="exact"/>
        <w:rPr>
          <w:sz w:val="20"/>
          <w:szCs w:val="20"/>
          <w:color w:val="auto"/>
        </w:rPr>
      </w:pPr>
    </w:p>
    <w:p>
      <w:pPr>
        <w:ind w:right="160" w:firstLine="436"/>
        <w:spacing w:after="0" w:line="263" w:lineRule="auto"/>
        <w:tabs>
          <w:tab w:leader="none" w:pos="71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83" w:lineRule="exact"/>
        <w:rPr>
          <w:rFonts w:ascii="Arial" w:cs="Arial" w:eastAsia="Arial" w:hAnsi="Arial"/>
          <w:sz w:val="18"/>
          <w:szCs w:val="18"/>
          <w:color w:val="auto"/>
        </w:rPr>
      </w:pPr>
    </w:p>
    <w:p>
      <w:pPr>
        <w:ind w:firstLine="436"/>
        <w:spacing w:after="0" w:line="263" w:lineRule="auto"/>
        <w:tabs>
          <w:tab w:leader="none" w:pos="71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Subject to Section 21 of the Plan, the Plan will become effective upon its adoption by the Board. Unless sooner terminated under Section 18, it will continue in effect for a term of ten (10) years from the later of (a) the effective date of the Plan, or (b) the earlier of the most recent Board or stockholder approval of an increase in the number of Shares reserved for issuance under the Plan.</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Board may at any time amend, alter, suspend or terminate the Plan.</w:t>
      </w:r>
    </w:p>
    <w:p>
      <w:pPr>
        <w:spacing w:after="0" w:line="225" w:lineRule="exact"/>
        <w:rPr>
          <w:rFonts w:ascii="Arial" w:cs="Arial" w:eastAsia="Arial" w:hAnsi="Arial"/>
          <w:sz w:val="18"/>
          <w:szCs w:val="18"/>
          <w:color w:val="auto"/>
        </w:rPr>
      </w:pPr>
    </w:p>
    <w:p>
      <w:pPr>
        <w:ind w:right="60" w:firstLine="987"/>
        <w:spacing w:after="0" w:line="277" w:lineRule="auto"/>
        <w:tabs>
          <w:tab w:leader="none" w:pos="1246"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Company will obtain stockholder approval of any Plan amendment to the extent necessary and desirable to comply with Applicable Laws.</w:t>
      </w:r>
    </w:p>
    <w:p>
      <w:pPr>
        <w:spacing w:after="0" w:line="170" w:lineRule="exact"/>
        <w:rPr>
          <w:rFonts w:ascii="Arial" w:cs="Arial" w:eastAsia="Arial" w:hAnsi="Arial"/>
          <w:sz w:val="18"/>
          <w:szCs w:val="18"/>
          <w:color w:val="auto"/>
        </w:rPr>
      </w:pPr>
    </w:p>
    <w:p>
      <w:pPr>
        <w:ind w:right="280" w:firstLine="987"/>
        <w:spacing w:after="0" w:line="259" w:lineRule="auto"/>
        <w:tabs>
          <w:tab w:leader="none" w:pos="1236"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86" w:lineRule="exact"/>
        <w:rPr>
          <w:rFonts w:ascii="Arial" w:cs="Arial" w:eastAsia="Arial" w:hAnsi="Arial"/>
          <w:sz w:val="18"/>
          <w:szCs w:val="18"/>
          <w:color w:val="auto"/>
        </w:rPr>
      </w:pPr>
    </w:p>
    <w:p>
      <w:pPr>
        <w:ind w:left="700" w:hanging="264"/>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987"/>
        <w:spacing w:after="0" w:line="263" w:lineRule="auto"/>
        <w:tabs>
          <w:tab w:leader="none" w:pos="1236"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Legal Compliance</w:t>
      </w:r>
      <w:r>
        <w:rPr>
          <w:rFonts w:ascii="Arial" w:cs="Arial" w:eastAsia="Arial" w:hAnsi="Arial"/>
          <w:sz w:val="18"/>
          <w:szCs w:val="18"/>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83" w:lineRule="exact"/>
        <w:rPr>
          <w:rFonts w:ascii="Arial" w:cs="Arial" w:eastAsia="Arial" w:hAnsi="Arial"/>
          <w:sz w:val="18"/>
          <w:szCs w:val="18"/>
          <w:color w:val="auto"/>
        </w:rPr>
      </w:pPr>
    </w:p>
    <w:p>
      <w:pPr>
        <w:ind w:firstLine="987"/>
        <w:spacing w:after="0" w:line="286" w:lineRule="auto"/>
        <w:tabs>
          <w:tab w:leader="none" w:pos="1246"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Investment Representations</w:t>
      </w:r>
      <w:r>
        <w:rPr>
          <w:rFonts w:ascii="Arial" w:cs="Arial" w:eastAsia="Arial" w:hAnsi="Arial"/>
          <w:sz w:val="17"/>
          <w:szCs w:val="17"/>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65" w:lineRule="exact"/>
        <w:rPr>
          <w:rFonts w:ascii="Arial" w:cs="Arial" w:eastAsia="Arial" w:hAnsi="Arial"/>
          <w:sz w:val="17"/>
          <w:szCs w:val="17"/>
          <w:color w:val="auto"/>
        </w:rPr>
      </w:pPr>
    </w:p>
    <w:p>
      <w:pPr>
        <w:ind w:right="60" w:firstLine="436"/>
        <w:spacing w:after="0" w:line="263" w:lineRule="auto"/>
        <w:tabs>
          <w:tab w:leader="none" w:pos="71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Inability to Obtain Authority</w:t>
      </w:r>
      <w:r>
        <w:rPr>
          <w:rFonts w:ascii="Arial" w:cs="Arial" w:eastAsia="Arial" w:hAnsi="Arial"/>
          <w:sz w:val="18"/>
          <w:szCs w:val="18"/>
          <w:color w:val="auto"/>
        </w:rPr>
        <w:t>. The inability of the Company to obtain authority from any regulatory body having jurisdiction or to complete or comply with the requirements of any registration or other qualification of the Shares under any state, federal or foreign law or under the rules and regulations of the Securities and Exchange Commission, the stock exchange on which Shares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4" w:name="page25"/>
    <w:bookmarkEnd w:id="24"/>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87" w:lineRule="exact"/>
        <w:rPr>
          <w:sz w:val="20"/>
          <w:szCs w:val="20"/>
          <w:color w:val="auto"/>
        </w:rPr>
      </w:pPr>
    </w:p>
    <w:p>
      <w:pPr>
        <w:ind w:right="160" w:firstLine="436"/>
        <w:spacing w:after="0" w:line="342" w:lineRule="auto"/>
        <w:tabs>
          <w:tab w:leader="none" w:pos="710"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Stockholder Approval</w:t>
      </w:r>
      <w:r>
        <w:rPr>
          <w:rFonts w:ascii="Arial" w:cs="Arial" w:eastAsia="Arial" w:hAnsi="Arial"/>
          <w:sz w:val="16"/>
          <w:szCs w:val="16"/>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23" w:lineRule="exact"/>
        <w:rPr>
          <w:rFonts w:ascii="Arial" w:cs="Arial" w:eastAsia="Arial" w:hAnsi="Arial"/>
          <w:sz w:val="16"/>
          <w:szCs w:val="16"/>
          <w:color w:val="auto"/>
        </w:rPr>
      </w:pPr>
    </w:p>
    <w:p>
      <w:pPr>
        <w:ind w:firstLine="436"/>
        <w:spacing w:after="0" w:line="269" w:lineRule="auto"/>
        <w:tabs>
          <w:tab w:leader="none" w:pos="71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Information to Participants</w:t>
      </w:r>
      <w:r>
        <w:rPr>
          <w:rFonts w:ascii="Arial" w:cs="Arial" w:eastAsia="Arial" w:hAnsi="Arial"/>
          <w:sz w:val="17"/>
          <w:szCs w:val="17"/>
          <w:color w:val="auto"/>
        </w:rPr>
        <w:t>. If and as required (i) pursuant to Rule 701 of the Securities Act, if the Company is relying on the exemption from registration provided pursuant to Rule 701 of the Securities Act with respect to the applicable Award, and/or (ii) pursuant to Rule 12h-1(f) of the Exchange Act, to the extent the Company is relying on the Rule 12h-1(f) Exemption, then during the period of reliance on the applicable exemption and in each case of (i) and (ii) until such time as the Company becomes subject to the reporting requirements of Section 13 or 15(d) of the Exchange Act, the Company shall provide to each Participant the information described in paragraphs (e)(3), (4), and (5) of Rule 701 under the Securities Act not less frequently than every six (6) months with the financial statements being not more than 180 days old and with such information provided either by physical or electronic delivery to the Participants or by written notice to the Participants of the availability of the information on an Internet site that may be password-protected and of any password needed to access the information. The Company may request that Participants agree to keep the information to be provided pursuant to this section confidential. If a Participant does not agree to keep the information to be provided pursuant to this section confidential, then the Company will not be required to provide the information unless otherwise required pursuant to Rule 12h-1(f)(1) under the Exchange Act (if the Company is relying on the Rule 12h-1(f) Exemption) or Rule 701 of the Securities Act (if the Company is relying on the exemption pursuant to Rule 701 of the Securities Act).</w:t>
      </w:r>
    </w:p>
    <w:p>
      <w:pPr>
        <w:spacing w:after="0" w:line="178" w:lineRule="exact"/>
        <w:rPr>
          <w:rFonts w:ascii="Arial" w:cs="Arial" w:eastAsia="Arial" w:hAnsi="Arial"/>
          <w:sz w:val="17"/>
          <w:szCs w:val="17"/>
          <w:color w:val="auto"/>
        </w:rPr>
      </w:pPr>
    </w:p>
    <w:p>
      <w:pPr>
        <w:ind w:right="100" w:firstLine="436"/>
        <w:spacing w:after="0" w:line="273" w:lineRule="auto"/>
        <w:tabs>
          <w:tab w:leader="none" w:pos="71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Forfeiture Events</w:t>
      </w:r>
      <w:r>
        <w:rPr>
          <w:rFonts w:ascii="Arial" w:cs="Arial" w:eastAsia="Arial" w:hAnsi="Arial"/>
          <w:sz w:val="17"/>
          <w:szCs w:val="17"/>
          <w:color w:val="auto"/>
        </w:rPr>
        <w:t>. The Administrator may specify in an Award Agreement that the Participant’s rights, payments, and benefits with respect to an Award will be subject to the reduction, cancellation, forfeiture, or recoupment upon the occurrence of certain specified events, in addition to any otherwise applicable vesting or performance conditions of an Award. Notwithstanding any provisions to the contrary under this Plan, an Award shall be subject to the Company’s clawback policy as may be established and/or amended from time to time (the “Clawback Policy”). The Administrator may require a Participant to forfeit, return or reimburse the Company all or a portion of the Award and any amounts paid thereunder pursuant to the terms of the Clawback Policy or as necessary or appropriate to comply with Applicable Laws.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INCEPTION 2,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2011 EQUITY INCENTIVE PLAN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ADOPTED BY THE BOARD OF DIRECTORS: October 5, 2011</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APPROVED BY THE STOCKHOLDERS: October 5, 2011</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TERMINATION DATE: October 5, 2021</w:t>
      </w:r>
    </w:p>
    <w:p>
      <w:pPr>
        <w:spacing w:after="0" w:line="355" w:lineRule="exact"/>
        <w:rPr>
          <w:sz w:val="20"/>
          <w:szCs w:val="20"/>
          <w:color w:val="auto"/>
        </w:rPr>
      </w:pPr>
    </w:p>
    <w:p>
      <w:pPr>
        <w:ind w:left="424" w:hanging="424"/>
        <w:spacing w:after="0"/>
        <w:tabs>
          <w:tab w:leader="none" w:pos="424"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704" w:hanging="264"/>
        <w:spacing w:after="0"/>
        <w:tabs>
          <w:tab w:leader="none" w:pos="704" w:val="left"/>
        </w:tabs>
        <w:numPr>
          <w:ilvl w:val="1"/>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Eligible Stock Award Recipients. </w:t>
      </w:r>
      <w:r>
        <w:rPr>
          <w:rFonts w:ascii="Arial" w:cs="Arial" w:eastAsia="Arial" w:hAnsi="Arial"/>
          <w:sz w:val="18"/>
          <w:szCs w:val="18"/>
          <w:color w:val="auto"/>
        </w:rPr>
        <w:t>The persons eligible to receive Stock Awards are Employees, Directors and Consultants.</w:t>
      </w:r>
    </w:p>
    <w:p>
      <w:pPr>
        <w:spacing w:after="0" w:line="225" w:lineRule="exact"/>
        <w:rPr>
          <w:rFonts w:ascii="Arial" w:cs="Arial" w:eastAsia="Arial" w:hAnsi="Arial"/>
          <w:sz w:val="18"/>
          <w:szCs w:val="18"/>
          <w:b w:val="1"/>
          <w:bCs w:val="1"/>
          <w:color w:val="auto"/>
        </w:rPr>
      </w:pPr>
    </w:p>
    <w:p>
      <w:pPr>
        <w:ind w:left="4" w:right="120" w:firstLine="436"/>
        <w:spacing w:after="0" w:line="312" w:lineRule="auto"/>
        <w:tabs>
          <w:tab w:leader="none" w:pos="709" w:val="left"/>
        </w:tabs>
        <w:numPr>
          <w:ilvl w:val="1"/>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Available Stock Awards. </w:t>
      </w:r>
      <w:r>
        <w:rPr>
          <w:rFonts w:ascii="Arial" w:cs="Arial" w:eastAsia="Arial" w:hAnsi="Arial"/>
          <w:sz w:val="17"/>
          <w:szCs w:val="17"/>
          <w:color w:val="auto"/>
        </w:rPr>
        <w:t>The Plan provides for the grant of the following Stock Awards: (i) Incentive Stock Options, (ii) Nonstatutory Stock</w:t>
      </w:r>
      <w:r>
        <w:rPr>
          <w:rFonts w:ascii="Arial" w:cs="Arial" w:eastAsia="Arial" w:hAnsi="Arial"/>
          <w:sz w:val="17"/>
          <w:szCs w:val="17"/>
          <w:b w:val="1"/>
          <w:bCs w:val="1"/>
          <w:color w:val="auto"/>
        </w:rPr>
        <w:t xml:space="preserve"> </w:t>
      </w:r>
      <w:r>
        <w:rPr>
          <w:rFonts w:ascii="Arial" w:cs="Arial" w:eastAsia="Arial" w:hAnsi="Arial"/>
          <w:sz w:val="17"/>
          <w:szCs w:val="17"/>
          <w:color w:val="auto"/>
        </w:rPr>
        <w:t>Options, (iii) Stock Appreciation Rights, (iv) Restricted Stock Awards, (v) Restricted Stock Unit Awards and (vi) Other Stock Awards.</w:t>
      </w:r>
    </w:p>
    <w:p>
      <w:pPr>
        <w:spacing w:after="0" w:line="139" w:lineRule="exact"/>
        <w:rPr>
          <w:rFonts w:ascii="Arial" w:cs="Arial" w:eastAsia="Arial" w:hAnsi="Arial"/>
          <w:sz w:val="17"/>
          <w:szCs w:val="17"/>
          <w:b w:val="1"/>
          <w:bCs w:val="1"/>
          <w:color w:val="auto"/>
        </w:rPr>
      </w:pPr>
    </w:p>
    <w:p>
      <w:pPr>
        <w:ind w:left="4" w:right="100" w:firstLine="436"/>
        <w:spacing w:after="0" w:line="261" w:lineRule="auto"/>
        <w:tabs>
          <w:tab w:leader="none" w:pos="689" w:val="left"/>
        </w:tabs>
        <w:numPr>
          <w:ilvl w:val="1"/>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Company, by means of the Plan, seeks to secure and retain the services of the group of persons eligible to receive Stock Awards</w:t>
      </w:r>
      <w:r>
        <w:rPr>
          <w:rFonts w:ascii="Arial" w:cs="Arial" w:eastAsia="Arial" w:hAnsi="Arial"/>
          <w:sz w:val="18"/>
          <w:szCs w:val="18"/>
          <w:b w:val="1"/>
          <w:bCs w:val="1"/>
          <w:color w:val="auto"/>
        </w:rPr>
        <w:t xml:space="preserve"> </w:t>
      </w:r>
      <w:r>
        <w:rPr>
          <w:rFonts w:ascii="Arial" w:cs="Arial" w:eastAsia="Arial" w:hAnsi="Arial"/>
          <w:sz w:val="18"/>
          <w:szCs w:val="18"/>
          <w:color w:val="auto"/>
        </w:rPr>
        <w:t>as set forth in Section l(a), to provide incentives for such persons to exert maximum efforts for the success of the Company and any Affiliate, and to provide a means by which such eligible recipients may be given an opportunity to benefit from increases in value of the Common Stock through the granting of Stock Awards.</w:t>
      </w:r>
    </w:p>
    <w:p>
      <w:pPr>
        <w:spacing w:after="0" w:line="328" w:lineRule="exact"/>
        <w:rPr>
          <w:rFonts w:ascii="Arial" w:cs="Arial" w:eastAsia="Arial" w:hAnsi="Arial"/>
          <w:sz w:val="18"/>
          <w:szCs w:val="18"/>
          <w:b w:val="1"/>
          <w:bCs w:val="1"/>
          <w:color w:val="auto"/>
        </w:rPr>
      </w:pPr>
    </w:p>
    <w:p>
      <w:pPr>
        <w:ind w:left="424" w:hanging="424"/>
        <w:spacing w:after="0"/>
        <w:tabs>
          <w:tab w:leader="none" w:pos="424"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20" w:firstLine="436"/>
        <w:spacing w:after="0" w:line="282" w:lineRule="auto"/>
        <w:tabs>
          <w:tab w:leader="none" w:pos="699" w:val="left"/>
        </w:tabs>
        <w:numPr>
          <w:ilvl w:val="1"/>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by Board. </w:t>
      </w:r>
      <w:r>
        <w:rPr>
          <w:rFonts w:ascii="Arial" w:cs="Arial" w:eastAsia="Arial" w:hAnsi="Arial"/>
          <w:sz w:val="18"/>
          <w:szCs w:val="18"/>
          <w:color w:val="auto"/>
        </w:rPr>
        <w:t>The Board shall administer the Plan unless and until the Board delegates administration of the Plan to a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or Committees, as provided in Section 2(c).</w:t>
      </w:r>
    </w:p>
    <w:p>
      <w:pPr>
        <w:spacing w:after="0" w:line="161" w:lineRule="exact"/>
        <w:rPr>
          <w:rFonts w:ascii="Arial" w:cs="Arial" w:eastAsia="Arial" w:hAnsi="Arial"/>
          <w:sz w:val="18"/>
          <w:szCs w:val="18"/>
          <w:b w:val="1"/>
          <w:bCs w:val="1"/>
          <w:color w:val="auto"/>
        </w:rPr>
      </w:pPr>
    </w:p>
    <w:p>
      <w:pPr>
        <w:ind w:left="704" w:hanging="264"/>
        <w:spacing w:after="0"/>
        <w:tabs>
          <w:tab w:leader="none" w:pos="704" w:val="left"/>
        </w:tabs>
        <w:numPr>
          <w:ilvl w:val="1"/>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of Board. </w:t>
      </w:r>
      <w:r>
        <w:rPr>
          <w:rFonts w:ascii="Arial" w:cs="Arial" w:eastAsia="Arial" w:hAnsi="Arial"/>
          <w:sz w:val="18"/>
          <w:szCs w:val="18"/>
          <w:color w:val="auto"/>
        </w:rPr>
        <w:t>The Board shall have the power, subject to, and within the limitations of, the express provisions of the Plan:</w:t>
      </w:r>
    </w:p>
    <w:p>
      <w:pPr>
        <w:spacing w:after="0" w:line="121" w:lineRule="exact"/>
        <w:rPr>
          <w:rFonts w:ascii="Arial" w:cs="Arial" w:eastAsia="Arial" w:hAnsi="Arial"/>
          <w:sz w:val="18"/>
          <w:szCs w:val="18"/>
          <w:b w:val="1"/>
          <w:bCs w:val="1"/>
          <w:color w:val="auto"/>
        </w:rPr>
      </w:pPr>
    </w:p>
    <w:p>
      <w:pPr>
        <w:ind w:left="444" w:right="80" w:firstLine="419"/>
        <w:spacing w:after="0" w:line="257" w:lineRule="auto"/>
        <w:tabs>
          <w:tab w:leader="none" w:pos="1082" w:val="left"/>
        </w:tabs>
        <w:numPr>
          <w:ilvl w:val="2"/>
          <w:numId w:val="31"/>
        </w:numPr>
        <w:rPr>
          <w:rFonts w:ascii="Arial" w:cs="Arial" w:eastAsia="Arial" w:hAnsi="Arial"/>
          <w:sz w:val="18"/>
          <w:szCs w:val="18"/>
          <w:b w:val="1"/>
          <w:bCs w:val="1"/>
          <w:color w:val="auto"/>
        </w:rPr>
      </w:pPr>
      <w:r>
        <w:rPr>
          <w:rFonts w:ascii="Arial" w:cs="Arial" w:eastAsia="Arial" w:hAnsi="Arial"/>
          <w:sz w:val="18"/>
          <w:szCs w:val="18"/>
          <w:color w:val="auto"/>
        </w:rPr>
        <w:t>To determine from time to time (A) which of the persons eligible under the Plan shall be granted Stock Awards; (B) when and how each Stock Award shall be granted; (C) what type or combination of types of Stock Award shall be granted; (D) the provisions of each Stock Award granted (which need not be identical), including the time or times when a person shall be permitted to receive cash or Common Stock pursuant to a Stock Award; (E) the number of shares of Common Stock with respect to which a Stock Award shall be granted to each such person; and (F) the Fair Market Value applicable to a Stock Award.</w:t>
      </w:r>
    </w:p>
    <w:p>
      <w:pPr>
        <w:spacing w:after="0" w:line="79" w:lineRule="exact"/>
        <w:rPr>
          <w:rFonts w:ascii="Arial" w:cs="Arial" w:eastAsia="Arial" w:hAnsi="Arial"/>
          <w:sz w:val="18"/>
          <w:szCs w:val="18"/>
          <w:b w:val="1"/>
          <w:bCs w:val="1"/>
          <w:color w:val="auto"/>
        </w:rPr>
      </w:pPr>
    </w:p>
    <w:p>
      <w:pPr>
        <w:ind w:left="444" w:right="100" w:firstLine="419"/>
        <w:spacing w:after="0" w:line="311" w:lineRule="auto"/>
        <w:tabs>
          <w:tab w:leader="none" w:pos="1132" w:val="left"/>
        </w:tabs>
        <w:numPr>
          <w:ilvl w:val="2"/>
          <w:numId w:val="31"/>
        </w:numPr>
        <w:rPr>
          <w:rFonts w:ascii="Arial" w:cs="Arial" w:eastAsia="Arial" w:hAnsi="Arial"/>
          <w:sz w:val="16"/>
          <w:szCs w:val="16"/>
          <w:b w:val="1"/>
          <w:bCs w:val="1"/>
          <w:color w:val="auto"/>
        </w:rPr>
      </w:pPr>
      <w:r>
        <w:rPr>
          <w:rFonts w:ascii="Arial" w:cs="Arial" w:eastAsia="Arial" w:hAnsi="Arial"/>
          <w:sz w:val="16"/>
          <w:szCs w:val="16"/>
          <w:color w:val="auto"/>
        </w:rPr>
        <w:t>To construe and interpret the Plan and Stock Awards granted under it, and to establish, amend and revoke rules and regulations for administration of the Plan. The Board, in the exercise of this power, may correct any defect, omission or inconsistency in the Plan or in any Stock Award Agreement, in a manner and to the extent it shall deem necessary or expedient to make the Plan or Stock Award fully effective.</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26" w:name="page27"/>
    <w:bookmarkEnd w:id="26"/>
    <w:p>
      <w:pPr>
        <w:ind w:left="744" w:hanging="321"/>
        <w:spacing w:after="0"/>
        <w:tabs>
          <w:tab w:leader="none" w:pos="744" w:val="left"/>
        </w:tabs>
        <w:numPr>
          <w:ilvl w:val="1"/>
          <w:numId w:val="3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settle all controversies regarding the Plan and Stock Awards granted under it.</w:t>
      </w:r>
    </w:p>
    <w:p>
      <w:pPr>
        <w:spacing w:after="0" w:line="117" w:lineRule="exact"/>
        <w:rPr>
          <w:rFonts w:ascii="Arial" w:cs="Arial" w:eastAsia="Arial" w:hAnsi="Arial"/>
          <w:sz w:val="18"/>
          <w:szCs w:val="18"/>
          <w:b w:val="1"/>
          <w:bCs w:val="1"/>
          <w:color w:val="auto"/>
        </w:rPr>
      </w:pPr>
    </w:p>
    <w:p>
      <w:pPr>
        <w:ind w:left="4" w:firstLine="419"/>
        <w:spacing w:after="0" w:line="263" w:lineRule="auto"/>
        <w:tabs>
          <w:tab w:leader="none" w:pos="731" w:val="left"/>
        </w:tabs>
        <w:numPr>
          <w:ilvl w:val="1"/>
          <w:numId w:val="32"/>
        </w:numPr>
        <w:rPr>
          <w:rFonts w:ascii="Arial" w:cs="Arial" w:eastAsia="Arial" w:hAnsi="Arial"/>
          <w:sz w:val="18"/>
          <w:szCs w:val="18"/>
          <w:b w:val="1"/>
          <w:bCs w:val="1"/>
          <w:color w:val="auto"/>
        </w:rPr>
      </w:pPr>
      <w:r>
        <w:rPr>
          <w:rFonts w:ascii="Arial" w:cs="Arial" w:eastAsia="Arial" w:hAnsi="Arial"/>
          <w:sz w:val="18"/>
          <w:szCs w:val="18"/>
          <w:color w:val="auto"/>
        </w:rPr>
        <w:t>To accelerate the time at which a Stock Award may first be exercised or the time during which a Stock Award or any part thereof will vest in accordance with the Plan, notwithstanding the provisions in the Stock Award stating the time at which it may first be exercised or the time during which it will vest.</w:t>
      </w:r>
    </w:p>
    <w:p>
      <w:pPr>
        <w:spacing w:after="0" w:line="75" w:lineRule="exact"/>
        <w:rPr>
          <w:rFonts w:ascii="Arial" w:cs="Arial" w:eastAsia="Arial" w:hAnsi="Arial"/>
          <w:sz w:val="18"/>
          <w:szCs w:val="18"/>
          <w:b w:val="1"/>
          <w:bCs w:val="1"/>
          <w:color w:val="auto"/>
        </w:rPr>
      </w:pPr>
    </w:p>
    <w:p>
      <w:pPr>
        <w:ind w:left="4" w:right="240" w:firstLine="419"/>
        <w:spacing w:after="0" w:line="277" w:lineRule="auto"/>
        <w:tabs>
          <w:tab w:leader="none" w:pos="681" w:val="left"/>
        </w:tabs>
        <w:numPr>
          <w:ilvl w:val="1"/>
          <w:numId w:val="32"/>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Suspension or termination of the Plan shall not impair rights and obligations under any Stock Award granted while the Plan is in effect except with the written consent of the affected Participant.</w:t>
      </w:r>
    </w:p>
    <w:p>
      <w:pPr>
        <w:spacing w:after="0" w:line="62" w:lineRule="exact"/>
        <w:rPr>
          <w:rFonts w:ascii="Arial" w:cs="Arial" w:eastAsia="Arial" w:hAnsi="Arial"/>
          <w:sz w:val="18"/>
          <w:szCs w:val="18"/>
          <w:b w:val="1"/>
          <w:bCs w:val="1"/>
          <w:color w:val="auto"/>
        </w:rPr>
      </w:pPr>
    </w:p>
    <w:p>
      <w:pPr>
        <w:ind w:left="4" w:right="20" w:firstLine="419"/>
        <w:spacing w:after="0" w:line="285" w:lineRule="auto"/>
        <w:tabs>
          <w:tab w:leader="none" w:pos="731" w:val="left"/>
        </w:tabs>
        <w:numPr>
          <w:ilvl w:val="1"/>
          <w:numId w:val="32"/>
        </w:numPr>
        <w:rPr>
          <w:rFonts w:ascii="Arial" w:cs="Arial" w:eastAsia="Arial" w:hAnsi="Arial"/>
          <w:sz w:val="16"/>
          <w:szCs w:val="16"/>
          <w:b w:val="1"/>
          <w:bCs w:val="1"/>
          <w:color w:val="auto"/>
        </w:rPr>
      </w:pPr>
      <w:r>
        <w:rPr>
          <w:rFonts w:ascii="Arial" w:cs="Arial" w:eastAsia="Arial" w:hAnsi="Arial"/>
          <w:sz w:val="16"/>
          <w:szCs w:val="16"/>
          <w:color w:val="auto"/>
        </w:rPr>
        <w:t>To amend the Plan in any respect the Board deems necessary or advisable, including, without limitation, by adopting amendments relating to Incentive Stock Options and certain nonqualified deferred compensation under Section 409A of the Code and/or to bring the Plan or Stock Awards granted under the Plan into compliance therewith, subject to the limitations, if any, of applicable law. However, except as provided in Section 9(a) relating to Capitalization Adjustments, to the extent required by applicable law, stockholder approval shall be required for any amendment of the Plan that either (A) materially increases the number of shares of Common Stock available for issuance under the Plan,</w:t>
      </w:r>
    </w:p>
    <w:p>
      <w:pPr>
        <w:spacing w:after="0" w:line="1" w:lineRule="exact"/>
        <w:rPr>
          <w:rFonts w:ascii="Arial" w:cs="Arial" w:eastAsia="Arial" w:hAnsi="Arial"/>
          <w:sz w:val="16"/>
          <w:szCs w:val="16"/>
          <w:b w:val="1"/>
          <w:bCs w:val="1"/>
          <w:color w:val="auto"/>
        </w:rPr>
      </w:pPr>
    </w:p>
    <w:p>
      <w:pPr>
        <w:ind w:left="4" w:right="120" w:hanging="4"/>
        <w:spacing w:after="0" w:line="281" w:lineRule="auto"/>
        <w:tabs>
          <w:tab w:leader="none" w:pos="288" w:val="left"/>
        </w:tabs>
        <w:numPr>
          <w:ilvl w:val="0"/>
          <w:numId w:val="33"/>
        </w:numPr>
        <w:rPr>
          <w:rFonts w:ascii="Arial" w:cs="Arial" w:eastAsia="Arial" w:hAnsi="Arial"/>
          <w:sz w:val="16"/>
          <w:szCs w:val="16"/>
          <w:color w:val="auto"/>
        </w:rPr>
      </w:pPr>
      <w:r>
        <w:rPr>
          <w:rFonts w:ascii="Arial" w:cs="Arial" w:eastAsia="Arial" w:hAnsi="Arial"/>
          <w:sz w:val="16"/>
          <w:szCs w:val="16"/>
          <w:color w:val="auto"/>
        </w:rPr>
        <w:t>materially expands the class of individuals eligible to receive Stock Awards under the Plan, (C) materially increases the benefits accruing to Participants under the Plan or materially reduces the price at which shares of Common Stock may be issued or purchased under the Plan,</w:t>
      </w:r>
    </w:p>
    <w:p>
      <w:pPr>
        <w:spacing w:after="0" w:line="1" w:lineRule="exact"/>
        <w:rPr>
          <w:rFonts w:ascii="Arial" w:cs="Arial" w:eastAsia="Arial" w:hAnsi="Arial"/>
          <w:sz w:val="16"/>
          <w:szCs w:val="16"/>
          <w:color w:val="auto"/>
        </w:rPr>
      </w:pPr>
    </w:p>
    <w:p>
      <w:pPr>
        <w:jc w:val="both"/>
        <w:ind w:left="4" w:right="160" w:hanging="4"/>
        <w:spacing w:after="0" w:line="277" w:lineRule="auto"/>
        <w:tabs>
          <w:tab w:leader="none" w:pos="298" w:val="left"/>
        </w:tabs>
        <w:numPr>
          <w:ilvl w:val="0"/>
          <w:numId w:val="34"/>
        </w:numPr>
        <w:rPr>
          <w:rFonts w:ascii="Arial" w:cs="Arial" w:eastAsia="Arial" w:hAnsi="Arial"/>
          <w:sz w:val="17"/>
          <w:szCs w:val="17"/>
          <w:color w:val="auto"/>
        </w:rPr>
      </w:pPr>
      <w:r>
        <w:rPr>
          <w:rFonts w:ascii="Arial" w:cs="Arial" w:eastAsia="Arial" w:hAnsi="Arial"/>
          <w:sz w:val="17"/>
          <w:szCs w:val="17"/>
          <w:color w:val="auto"/>
        </w:rPr>
        <w:t>materially extends the term of the Plan, or (E) expands the types of Stock Awards available for issuance under the Plan. Except as provided above, rights under any Stock Award granted before amendment of the Plan shall not be impaired by any amendment of the Plan unless (1) the Company requests the consent of the affected Participant, and (2) such Participant consents in writing.</w:t>
      </w:r>
    </w:p>
    <w:p>
      <w:pPr>
        <w:spacing w:after="0" w:line="64" w:lineRule="exact"/>
        <w:rPr>
          <w:rFonts w:ascii="Arial" w:cs="Arial" w:eastAsia="Arial" w:hAnsi="Arial"/>
          <w:sz w:val="17"/>
          <w:szCs w:val="17"/>
          <w:color w:val="auto"/>
        </w:rPr>
      </w:pPr>
    </w:p>
    <w:p>
      <w:pPr>
        <w:ind w:left="4" w:right="380" w:firstLine="419"/>
        <w:spacing w:after="0" w:line="277" w:lineRule="auto"/>
        <w:tabs>
          <w:tab w:leader="none" w:pos="781" w:val="left"/>
        </w:tabs>
        <w:numPr>
          <w:ilvl w:val="1"/>
          <w:numId w:val="34"/>
        </w:numPr>
        <w:rPr>
          <w:rFonts w:ascii="Arial" w:cs="Arial" w:eastAsia="Arial" w:hAnsi="Arial"/>
          <w:sz w:val="18"/>
          <w:szCs w:val="18"/>
          <w:b w:val="1"/>
          <w:bCs w:val="1"/>
          <w:color w:val="auto"/>
        </w:rPr>
      </w:pPr>
      <w:r>
        <w:rPr>
          <w:rFonts w:ascii="Arial" w:cs="Arial" w:eastAsia="Arial" w:hAnsi="Arial"/>
          <w:sz w:val="18"/>
          <w:szCs w:val="18"/>
          <w:color w:val="auto"/>
        </w:rPr>
        <w:t>To submit any amendment to the Plan for stockholder approval, including, but not limited to, amendments to the Plan intended to satisfy the requirements of Section 422 of the Code regarding Incentive Stock Options.</w:t>
      </w:r>
    </w:p>
    <w:p>
      <w:pPr>
        <w:spacing w:after="0" w:line="62" w:lineRule="exact"/>
        <w:rPr>
          <w:rFonts w:ascii="Arial" w:cs="Arial" w:eastAsia="Arial" w:hAnsi="Arial"/>
          <w:sz w:val="18"/>
          <w:szCs w:val="18"/>
          <w:b w:val="1"/>
          <w:bCs w:val="1"/>
          <w:color w:val="auto"/>
        </w:rPr>
      </w:pPr>
    </w:p>
    <w:p>
      <w:pPr>
        <w:ind w:left="4" w:right="60" w:firstLine="419"/>
        <w:spacing w:after="0" w:line="291" w:lineRule="auto"/>
        <w:tabs>
          <w:tab w:leader="none" w:pos="831" w:val="left"/>
        </w:tabs>
        <w:numPr>
          <w:ilvl w:val="1"/>
          <w:numId w:val="34"/>
        </w:numPr>
        <w:rPr>
          <w:rFonts w:ascii="Arial" w:cs="Arial" w:eastAsia="Arial" w:hAnsi="Arial"/>
          <w:sz w:val="16"/>
          <w:szCs w:val="16"/>
          <w:b w:val="1"/>
          <w:bCs w:val="1"/>
          <w:color w:val="auto"/>
        </w:rPr>
      </w:pPr>
      <w:r>
        <w:rPr>
          <w:rFonts w:ascii="Arial" w:cs="Arial" w:eastAsia="Arial" w:hAnsi="Arial"/>
          <w:sz w:val="16"/>
          <w:szCs w:val="16"/>
          <w:color w:val="auto"/>
        </w:rPr>
        <w:t xml:space="preserve">To approve forms of Stock Award Agreements for use under the Plan and to amend the terms of any one or more Stock Awards, including, but not limited to, amendments to provide terms more favorable to the Participant than previously provided in the Stock Award Agreement, subject to any specified limits in the Plan that are not subject to Board discretion;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rights under any Stock Award shall not be impaired by any such amendment unless (i) the Company requests the consent of the affected Participant, and (ii) such Participant consents in writing. Notwithstanding the foregoing, subject to the limitations of applicable law, if any, and without the affected Participant’s consent, the Board may amend the terms of any one or more Stock Awards if necessary to maintain the qualified status of the Stock Award as an Incentive Stock Option or to bring the Stock Award into compliance with Section 409A of the Code.</w:t>
      </w:r>
    </w:p>
    <w:p>
      <w:pPr>
        <w:spacing w:after="0" w:line="58" w:lineRule="exact"/>
        <w:rPr>
          <w:rFonts w:ascii="Arial" w:cs="Arial" w:eastAsia="Arial" w:hAnsi="Arial"/>
          <w:sz w:val="16"/>
          <w:szCs w:val="16"/>
          <w:b w:val="1"/>
          <w:bCs w:val="1"/>
          <w:color w:val="auto"/>
        </w:rPr>
      </w:pPr>
    </w:p>
    <w:p>
      <w:pPr>
        <w:ind w:left="4" w:right="20" w:firstLine="419"/>
        <w:spacing w:after="0" w:line="277" w:lineRule="auto"/>
        <w:tabs>
          <w:tab w:leader="none" w:pos="731" w:val="left"/>
        </w:tabs>
        <w:numPr>
          <w:ilvl w:val="1"/>
          <w:numId w:val="34"/>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 or Stock Awards.</w:t>
      </w:r>
    </w:p>
    <w:p>
      <w:pPr>
        <w:spacing w:after="0" w:line="103" w:lineRule="exact"/>
        <w:rPr>
          <w:sz w:val="20"/>
          <w:szCs w:val="20"/>
          <w:color w:val="auto"/>
        </w:rPr>
      </w:pPr>
    </w:p>
    <w:p>
      <w:pPr>
        <w:jc w:val="center"/>
        <w:ind w:right="31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64"/>
          </w:cols>
          <w:pgMar w:left="876" w:top="274" w:right="559" w:bottom="1440" w:gutter="0" w:footer="0" w:header="0"/>
        </w:sectPr>
      </w:pPr>
    </w:p>
    <w:bookmarkStart w:id="27" w:name="page28"/>
    <w:bookmarkEnd w:id="27"/>
    <w:p>
      <w:pPr>
        <w:ind w:left="444" w:right="140" w:firstLine="419"/>
        <w:spacing w:after="0" w:line="311" w:lineRule="auto"/>
        <w:tabs>
          <w:tab w:leader="none" w:pos="1122" w:val="left"/>
        </w:tabs>
        <w:numPr>
          <w:ilvl w:val="1"/>
          <w:numId w:val="3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adopt such procedures and sub-plans as are necessary or appropriate to permit participation in the Plan by Employees, Directors or Consultants who are foreign nationals or employed outside the United States (provided that Board approval shall not be necessary for immaterial modifications to the Plan or any Stock Award Agreement that are required for compliance with the laws of the relevant foreign jurisdiction).</w:t>
      </w:r>
    </w:p>
    <w:p>
      <w:pPr>
        <w:spacing w:after="0" w:line="40" w:lineRule="exact"/>
        <w:rPr>
          <w:rFonts w:ascii="Arial" w:cs="Arial" w:eastAsia="Arial" w:hAnsi="Arial"/>
          <w:sz w:val="16"/>
          <w:szCs w:val="16"/>
          <w:b w:val="1"/>
          <w:bCs w:val="1"/>
          <w:color w:val="auto"/>
        </w:rPr>
      </w:pPr>
    </w:p>
    <w:p>
      <w:pPr>
        <w:ind w:left="444" w:right="20" w:firstLine="419"/>
        <w:spacing w:after="0" w:line="286" w:lineRule="auto"/>
        <w:tabs>
          <w:tab w:leader="none" w:pos="1172" w:val="left"/>
        </w:tabs>
        <w:numPr>
          <w:ilvl w:val="1"/>
          <w:numId w:val="35"/>
        </w:numPr>
        <w:rPr>
          <w:rFonts w:ascii="Arial" w:cs="Arial" w:eastAsia="Arial" w:hAnsi="Arial"/>
          <w:sz w:val="16"/>
          <w:szCs w:val="16"/>
          <w:b w:val="1"/>
          <w:bCs w:val="1"/>
          <w:color w:val="auto"/>
        </w:rPr>
      </w:pPr>
      <w:r>
        <w:rPr>
          <w:rFonts w:ascii="Arial" w:cs="Arial" w:eastAsia="Arial" w:hAnsi="Arial"/>
          <w:sz w:val="16"/>
          <w:szCs w:val="16"/>
          <w:color w:val="auto"/>
        </w:rPr>
        <w:t>To effect, at any time and from time to time, with the consent of any adversely affected Participant, (A) the reduction of the exercise price (or strike price) of any outstanding Option or SAR under the Plan, (B) the cancellation of any outstanding Option or SAR under the Plan and the grant in substitution therefore of (1) a new Option or SAR under the Plan or another equity plan of the Company covering the same or a different number of shares of Common Stock, (2) a Restricted Stock Award, (3) a Restricted Stock Unit Award, (4) an Other Stock Award,</w:t>
      </w:r>
    </w:p>
    <w:p>
      <w:pPr>
        <w:spacing w:after="0" w:line="1" w:lineRule="exact"/>
        <w:rPr>
          <w:rFonts w:ascii="Arial" w:cs="Arial" w:eastAsia="Arial" w:hAnsi="Arial"/>
          <w:sz w:val="16"/>
          <w:szCs w:val="16"/>
          <w:b w:val="1"/>
          <w:bCs w:val="1"/>
          <w:color w:val="auto"/>
        </w:rPr>
      </w:pPr>
    </w:p>
    <w:p>
      <w:pPr>
        <w:ind w:left="444" w:hanging="4"/>
        <w:spacing w:after="0" w:line="253" w:lineRule="auto"/>
        <w:tabs>
          <w:tab w:leader="none" w:pos="699"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cash and/or (6) other valuable consideration (as determined by the Board, in its sole discretion), or (C) any other action that is treated as a repricing under generally accepted accounting principles;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such reduction or cancellation may be effected if it is determined, in the Company’s sole discretion, that such reduction or cancellation would result in any such outstanding Option becoming subject to the requirements of Section 409A of the Code.</w:t>
      </w:r>
    </w:p>
    <w:p>
      <w:pPr>
        <w:spacing w:after="0" w:line="189" w:lineRule="exact"/>
        <w:rPr>
          <w:sz w:val="20"/>
          <w:szCs w:val="20"/>
          <w:color w:val="auto"/>
        </w:rPr>
      </w:pPr>
    </w:p>
    <w:p>
      <w:pPr>
        <w:ind w:left="4" w:right="40" w:firstLine="436"/>
        <w:spacing w:after="0" w:line="255" w:lineRule="auto"/>
        <w:tabs>
          <w:tab w:leader="none" w:pos="689" w:val="left"/>
        </w:tabs>
        <w:numPr>
          <w:ilvl w:val="1"/>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Delegation to Committee. </w:t>
      </w:r>
      <w:r>
        <w:rPr>
          <w:rFonts w:ascii="Arial" w:cs="Arial" w:eastAsia="Arial" w:hAnsi="Arial"/>
          <w:sz w:val="18"/>
          <w:szCs w:val="18"/>
          <w:color w:val="auto"/>
        </w:rPr>
        <w:t>The Board may delegate some or all of the administration of the Plan to a Committee or Committees. If</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of the Plan is delegated to a Committee, the Committee shall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shall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w:t>
      </w:r>
    </w:p>
    <w:p>
      <w:pPr>
        <w:spacing w:after="0" w:line="188" w:lineRule="exact"/>
        <w:rPr>
          <w:rFonts w:ascii="Arial" w:cs="Arial" w:eastAsia="Arial" w:hAnsi="Arial"/>
          <w:sz w:val="18"/>
          <w:szCs w:val="18"/>
          <w:b w:val="1"/>
          <w:bCs w:val="1"/>
          <w:color w:val="auto"/>
        </w:rPr>
      </w:pPr>
    </w:p>
    <w:p>
      <w:pPr>
        <w:ind w:left="704" w:hanging="264"/>
        <w:spacing w:after="0"/>
        <w:tabs>
          <w:tab w:leader="none" w:pos="704" w:val="left"/>
        </w:tabs>
        <w:numPr>
          <w:ilvl w:val="1"/>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Delegation to an Officer. </w:t>
      </w:r>
      <w:r>
        <w:rPr>
          <w:rFonts w:ascii="Arial" w:cs="Arial" w:eastAsia="Arial" w:hAnsi="Arial"/>
          <w:sz w:val="16"/>
          <w:szCs w:val="16"/>
          <w:color w:val="auto"/>
        </w:rPr>
        <w:t>The Board may delegate to one or more Officers of the Company the authority to do one or both of the following:</w:t>
      </w:r>
    </w:p>
    <w:p>
      <w:pPr>
        <w:spacing w:after="0" w:line="50" w:lineRule="exact"/>
        <w:rPr>
          <w:rFonts w:ascii="Arial" w:cs="Arial" w:eastAsia="Arial" w:hAnsi="Arial"/>
          <w:sz w:val="16"/>
          <w:szCs w:val="16"/>
          <w:b w:val="1"/>
          <w:bCs w:val="1"/>
          <w:color w:val="auto"/>
        </w:rPr>
      </w:pPr>
    </w:p>
    <w:p>
      <w:pPr>
        <w:ind w:left="4" w:right="60" w:hanging="4"/>
        <w:spacing w:after="0" w:line="252" w:lineRule="auto"/>
        <w:tabs>
          <w:tab w:leader="none" w:pos="219"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designate Officers and Employees of the Company or any of its Subsidiaries to be recipients of Options and Stock Appreciation Rights (and, to the extent permitted by applicable law, other Stock Awards) and the terms thereof, and (ii) determine the number of shares of Common Stock to be subject to such Stock Awards granted to such Officers and Employees;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Board resolutions regarding such delegation shall specify the total number of shares of Common Stock that may be subject to the Stock Awards granted by such Officer and that such Officer may not grant a Stock Award to himself or herself. Notwithstanding the foregoing, the Board may not delegate authority to an Officer to determine the Fair Market Value pursuant to Section 13(t) below.</w:t>
      </w:r>
    </w:p>
    <w:p>
      <w:pPr>
        <w:spacing w:after="0" w:line="189" w:lineRule="exact"/>
        <w:rPr>
          <w:rFonts w:ascii="Arial" w:cs="Arial" w:eastAsia="Arial" w:hAnsi="Arial"/>
          <w:sz w:val="18"/>
          <w:szCs w:val="18"/>
          <w:color w:val="auto"/>
        </w:rPr>
      </w:pPr>
    </w:p>
    <w:p>
      <w:pPr>
        <w:ind w:left="4" w:right="460" w:firstLine="436"/>
        <w:spacing w:after="0" w:line="282" w:lineRule="auto"/>
        <w:tabs>
          <w:tab w:leader="none" w:pos="689" w:val="left"/>
        </w:tabs>
        <w:numPr>
          <w:ilvl w:val="1"/>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Board’s Decision. </w:t>
      </w:r>
      <w:r>
        <w:rPr>
          <w:rFonts w:ascii="Arial" w:cs="Arial" w:eastAsia="Arial" w:hAnsi="Arial"/>
          <w:sz w:val="18"/>
          <w:szCs w:val="18"/>
          <w:color w:val="auto"/>
        </w:rPr>
        <w:t>All determinations, interpretations and constructions made by the Board in good faith shall not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review by any person and shall be final, binding and conclusive on all persons.</w:t>
      </w:r>
    </w:p>
    <w:p>
      <w:pPr>
        <w:spacing w:after="0" w:line="161" w:lineRule="exact"/>
        <w:rPr>
          <w:rFonts w:ascii="Arial" w:cs="Arial" w:eastAsia="Arial" w:hAnsi="Arial"/>
          <w:sz w:val="18"/>
          <w:szCs w:val="18"/>
          <w:b w:val="1"/>
          <w:bCs w:val="1"/>
          <w:color w:val="auto"/>
        </w:rPr>
      </w:pPr>
    </w:p>
    <w:p>
      <w:pPr>
        <w:ind w:left="4" w:right="80" w:firstLine="436"/>
        <w:spacing w:after="0" w:line="282" w:lineRule="auto"/>
        <w:tabs>
          <w:tab w:leader="none" w:pos="669" w:val="left"/>
        </w:tabs>
        <w:numPr>
          <w:ilvl w:val="1"/>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Arbitration. </w:t>
      </w:r>
      <w:r>
        <w:rPr>
          <w:rFonts w:ascii="Arial" w:cs="Arial" w:eastAsia="Arial" w:hAnsi="Arial"/>
          <w:sz w:val="18"/>
          <w:szCs w:val="18"/>
          <w:color w:val="auto"/>
        </w:rPr>
        <w:t>Any dispute or claim concerning any Stock Awards granted (or not granted) or any disputes or claims relating to or arising out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shall be fully, finally and</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28" w:name="page29"/>
    <w:bookmarkEnd w:id="28"/>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exclusively resolved by binding and confidential arbitration conducted pursuant to the rules of Judicial Arbitration and Mediation Services, Inc.</w:t>
      </w:r>
    </w:p>
    <w:p>
      <w:pPr>
        <w:spacing w:after="0" w:line="35" w:lineRule="exact"/>
        <w:rPr>
          <w:sz w:val="20"/>
          <w:szCs w:val="20"/>
          <w:color w:val="auto"/>
        </w:rPr>
      </w:pPr>
    </w:p>
    <w:p>
      <w:pPr>
        <w:ind w:left="4"/>
        <w:spacing w:after="0" w:line="255"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JAMS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city or county in which the Company’s principal offices are then located. The Company shall pay all arbitration fees. In addition to 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relief, the arbitrator may award to the prevailing party recovery of its attorneys’ fees and costs. By accepting a Stock Award, Participants and the Company waive their respective rights to have any such disputes or claims tried by a judge or jury.</w:t>
      </w:r>
    </w:p>
    <w:p>
      <w:pPr>
        <w:spacing w:after="0" w:line="334" w:lineRule="exact"/>
        <w:rPr>
          <w:sz w:val="20"/>
          <w:szCs w:val="20"/>
          <w:color w:val="auto"/>
        </w:rPr>
      </w:pPr>
    </w:p>
    <w:p>
      <w:pPr>
        <w:ind w:left="424" w:hanging="424"/>
        <w:spacing w:after="0"/>
        <w:tabs>
          <w:tab w:leader="none" w:pos="424"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80" w:firstLine="436"/>
        <w:spacing w:after="0" w:line="261" w:lineRule="auto"/>
        <w:tabs>
          <w:tab w:leader="none" w:pos="699" w:val="left"/>
        </w:tabs>
        <w:numPr>
          <w:ilvl w:val="1"/>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Reserve. </w:t>
      </w:r>
      <w:r>
        <w:rPr>
          <w:rFonts w:ascii="Arial" w:cs="Arial" w:eastAsia="Arial" w:hAnsi="Arial"/>
          <w:sz w:val="18"/>
          <w:szCs w:val="18"/>
          <w:color w:val="auto"/>
        </w:rPr>
        <w:t>Subject to the provisions of Section 9(a) relating to Capitalization Adjustments, the aggregate number of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Stock that may be issued pursuant to Stock Awards beginning on the Effective Date shall not exceed 5,052,500 shares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Share Reserve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For clarity, the limitation in this Section 3(a) is a limitation in the number of shares of Common Stock that may be issued pursuant to the Plan. Accordingly, this Section 3(a) does not limit the granting of Stock Awards except as provided in Section 7(a).</w:t>
      </w:r>
    </w:p>
    <w:p>
      <w:pPr>
        <w:spacing w:after="0" w:line="179" w:lineRule="exact"/>
        <w:rPr>
          <w:rFonts w:ascii="Arial" w:cs="Arial" w:eastAsia="Arial" w:hAnsi="Arial"/>
          <w:sz w:val="18"/>
          <w:szCs w:val="18"/>
          <w:b w:val="1"/>
          <w:bCs w:val="1"/>
          <w:color w:val="auto"/>
        </w:rPr>
      </w:pPr>
    </w:p>
    <w:p>
      <w:pPr>
        <w:ind w:left="4" w:right="240" w:firstLine="436"/>
        <w:spacing w:after="0" w:line="272" w:lineRule="auto"/>
        <w:tabs>
          <w:tab w:leader="none" w:pos="709" w:val="left"/>
        </w:tabs>
        <w:numPr>
          <w:ilvl w:val="1"/>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Reversion of Shares to the Share Reserve. </w:t>
      </w:r>
      <w:r>
        <w:rPr>
          <w:rFonts w:ascii="Arial" w:cs="Arial" w:eastAsia="Arial" w:hAnsi="Arial"/>
          <w:sz w:val="17"/>
          <w:szCs w:val="17"/>
          <w:color w:val="auto"/>
        </w:rPr>
        <w:t>If any shares of Common Stock issued pursuant to a Stock Award are forfeited back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because of the failure to meet a contingency or condition required to vest such shares in the Participant, then the shares which are forfeited shall revert to and again become available for issuance under the Plan. Also, any shares reacquired by the Company pursuant to Section 8(g) or as consideration for the exercise of an Option shall again become available for issuance under the Plan. Furthermore, if a Stock Award or any portion thereof (i) expires or otherwise terminates without all of the shares covered by such Stock Award having been issued, or (ii) is settled in cash (i.e., the Participant receives cash rather than stock), such expiration, termination or settlement shall not reduce (or otherwise offset) the number of shares of Common Stock that may be available for issuance under the Plan. Notwithstanding the provisions of this Section 3(a), any such shares shall not be subsequently issued pursuant to the exercise of Incentive Stock Options.</w:t>
      </w:r>
    </w:p>
    <w:p>
      <w:pPr>
        <w:spacing w:after="0" w:line="171" w:lineRule="exact"/>
        <w:rPr>
          <w:rFonts w:ascii="Arial" w:cs="Arial" w:eastAsia="Arial" w:hAnsi="Arial"/>
          <w:sz w:val="17"/>
          <w:szCs w:val="17"/>
          <w:b w:val="1"/>
          <w:bCs w:val="1"/>
          <w:color w:val="auto"/>
        </w:rPr>
      </w:pPr>
    </w:p>
    <w:p>
      <w:pPr>
        <w:ind w:left="4" w:right="60" w:firstLine="436"/>
        <w:spacing w:after="0" w:line="266" w:lineRule="auto"/>
        <w:tabs>
          <w:tab w:leader="none" w:pos="689" w:val="left"/>
        </w:tabs>
        <w:numPr>
          <w:ilvl w:val="1"/>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Incentive Stock Option Limit. </w:t>
      </w:r>
      <w:r>
        <w:rPr>
          <w:rFonts w:ascii="Arial" w:cs="Arial" w:eastAsia="Arial" w:hAnsi="Arial"/>
          <w:sz w:val="18"/>
          <w:szCs w:val="18"/>
          <w:color w:val="auto"/>
        </w:rPr>
        <w:t>Notwithstanding anything to the contrary in this Section 3(c), subject to the provisions of Section 9(a) relating</w:t>
      </w:r>
      <w:r>
        <w:rPr>
          <w:rFonts w:ascii="Arial" w:cs="Arial" w:eastAsia="Arial" w:hAnsi="Arial"/>
          <w:sz w:val="18"/>
          <w:szCs w:val="18"/>
          <w:b w:val="1"/>
          <w:bCs w:val="1"/>
          <w:color w:val="auto"/>
        </w:rPr>
        <w:t xml:space="preserve"> </w:t>
      </w:r>
      <w:r>
        <w:rPr>
          <w:rFonts w:ascii="Arial" w:cs="Arial" w:eastAsia="Arial" w:hAnsi="Arial"/>
          <w:sz w:val="18"/>
          <w:szCs w:val="18"/>
          <w:color w:val="auto"/>
        </w:rPr>
        <w:t>to Capitalization Adjustments, the aggregate maximum number of shares of Common Stock that may be issued pursuant to the exercise of Incentive Stock Options shall be 10,105,000 shares of Common Stock.</w:t>
      </w:r>
    </w:p>
    <w:p>
      <w:pPr>
        <w:spacing w:after="0" w:line="175" w:lineRule="exact"/>
        <w:rPr>
          <w:rFonts w:ascii="Arial" w:cs="Arial" w:eastAsia="Arial" w:hAnsi="Arial"/>
          <w:sz w:val="18"/>
          <w:szCs w:val="18"/>
          <w:b w:val="1"/>
          <w:bCs w:val="1"/>
          <w:color w:val="auto"/>
        </w:rPr>
      </w:pPr>
    </w:p>
    <w:p>
      <w:pPr>
        <w:ind w:left="4" w:right="40" w:firstLine="436"/>
        <w:spacing w:after="0" w:line="282" w:lineRule="auto"/>
        <w:tabs>
          <w:tab w:leader="none" w:pos="709" w:val="left"/>
        </w:tabs>
        <w:numPr>
          <w:ilvl w:val="1"/>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Shares. </w:t>
      </w:r>
      <w:r>
        <w:rPr>
          <w:rFonts w:ascii="Arial" w:cs="Arial" w:eastAsia="Arial" w:hAnsi="Arial"/>
          <w:sz w:val="18"/>
          <w:szCs w:val="18"/>
          <w:color w:val="auto"/>
        </w:rPr>
        <w:t>The stock issuable under the Plan shall be shares of authorized but unissued or reacquired Common Stock, including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repurchased by the Company on the open market or otherwise.</w:t>
      </w:r>
    </w:p>
    <w:p>
      <w:pPr>
        <w:spacing w:after="0" w:line="310" w:lineRule="exact"/>
        <w:rPr>
          <w:rFonts w:ascii="Arial" w:cs="Arial" w:eastAsia="Arial" w:hAnsi="Arial"/>
          <w:sz w:val="18"/>
          <w:szCs w:val="18"/>
          <w:b w:val="1"/>
          <w:bCs w:val="1"/>
          <w:color w:val="auto"/>
        </w:rPr>
      </w:pPr>
    </w:p>
    <w:p>
      <w:pPr>
        <w:ind w:left="424" w:hanging="424"/>
        <w:spacing w:after="0"/>
        <w:tabs>
          <w:tab w:leader="none" w:pos="424"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jc w:val="both"/>
        <w:ind w:left="4" w:right="80" w:firstLine="436"/>
        <w:spacing w:after="0" w:line="258" w:lineRule="auto"/>
        <w:tabs>
          <w:tab w:leader="none" w:pos="699" w:val="left"/>
        </w:tabs>
        <w:numPr>
          <w:ilvl w:val="1"/>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Eligibility for Specific Stock Awards. </w:t>
      </w:r>
      <w:r>
        <w:rPr>
          <w:rFonts w:ascii="Arial" w:cs="Arial" w:eastAsia="Arial" w:hAnsi="Arial"/>
          <w:sz w:val="18"/>
          <w:szCs w:val="18"/>
          <w:color w:val="auto"/>
        </w:rPr>
        <w:t>Incentive Stock Options may be granted only to employees of the Company or a “parent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“subsidiary corporation” thereof (as such terms are defined in Sections 424(e) and (f) of the Code). Stock Awards other than Incentive Stock Options may be granted to Employees, Directors and Consultants;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Nonstatutory Stock Options and SARs may not be granted to Employees, Directors and Consultants who are providing Continuous Service only to any “parent” of the Company, as such term is defined in Rule 405, unless the stock underlying such Stock Awards is treated as “service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29" w:name="page30"/>
    <w:bookmarkEnd w:id="29"/>
    <w:p>
      <w:pPr>
        <w:ind w:left="4" w:right="8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recipient stock” under Section 409A of the Code because the Stock Awards are granted pursuant to a corporate transaction (such as a spin off transaction) or unless such Stock Awards comply with the distribution requirements of Section 409A of the Code.</w:t>
      </w:r>
    </w:p>
    <w:p>
      <w:pPr>
        <w:spacing w:after="0" w:line="142" w:lineRule="exact"/>
        <w:rPr>
          <w:sz w:val="20"/>
          <w:szCs w:val="20"/>
          <w:color w:val="auto"/>
        </w:rPr>
      </w:pPr>
    </w:p>
    <w:p>
      <w:pPr>
        <w:ind w:left="4" w:firstLine="436"/>
        <w:spacing w:after="0" w:line="266" w:lineRule="auto"/>
        <w:tabs>
          <w:tab w:leader="none" w:pos="709"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Ten Percent Stockholders. </w:t>
      </w:r>
      <w:r>
        <w:rPr>
          <w:rFonts w:ascii="Arial" w:cs="Arial" w:eastAsia="Arial" w:hAnsi="Arial"/>
          <w:sz w:val="18"/>
          <w:szCs w:val="18"/>
          <w:color w:val="auto"/>
        </w:rPr>
        <w:t>A Ten Percent Stockholder shall not be granted an Incentive Stock Option unless the exercise price of such Option</w:t>
      </w:r>
      <w:r>
        <w:rPr>
          <w:rFonts w:ascii="Arial" w:cs="Arial" w:eastAsia="Arial" w:hAnsi="Arial"/>
          <w:sz w:val="18"/>
          <w:szCs w:val="18"/>
          <w:b w:val="1"/>
          <w:bCs w:val="1"/>
          <w:color w:val="auto"/>
        </w:rPr>
        <w:t xml:space="preserve"> </w:t>
      </w:r>
      <w:r>
        <w:rPr>
          <w:rFonts w:ascii="Arial" w:cs="Arial" w:eastAsia="Arial" w:hAnsi="Arial"/>
          <w:sz w:val="18"/>
          <w:szCs w:val="18"/>
          <w:color w:val="auto"/>
        </w:rPr>
        <w:t>is at least one hundred ten percent (110%) of the Fair Market Value on the date of grant and the Option is not exercisable after the expiration of five(5) years from the date of grant.</w:t>
      </w:r>
    </w:p>
    <w:p>
      <w:pPr>
        <w:spacing w:after="0" w:line="175" w:lineRule="exact"/>
        <w:rPr>
          <w:rFonts w:ascii="Arial" w:cs="Arial" w:eastAsia="Arial" w:hAnsi="Arial"/>
          <w:sz w:val="18"/>
          <w:szCs w:val="18"/>
          <w:b w:val="1"/>
          <w:bCs w:val="1"/>
          <w:color w:val="auto"/>
        </w:rPr>
      </w:pPr>
    </w:p>
    <w:p>
      <w:pPr>
        <w:ind w:left="4" w:right="60" w:firstLine="436"/>
        <w:spacing w:after="0" w:line="258" w:lineRule="auto"/>
        <w:tabs>
          <w:tab w:leader="none" w:pos="689"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Consultants. </w:t>
      </w:r>
      <w:r>
        <w:rPr>
          <w:rFonts w:ascii="Arial" w:cs="Arial" w:eastAsia="Arial" w:hAnsi="Arial"/>
          <w:sz w:val="18"/>
          <w:szCs w:val="18"/>
          <w:color w:val="auto"/>
        </w:rPr>
        <w:t>A Consultant shall not be eligible for the grant of a Stock Award if, at the time of grant, either the offer or the sale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securities to such Consultant is not exempt under Rule 701 because of the nature of the services that the Consultant is providing to the Company, because the Consultant is not a natural person, or because of any other provision of Rule 701, unless the Company determines that such grant need not comply with the requirements of Rule 701 and will satisfy another exemption under the Securities Act as well as comply with the securities laws of all other relevant jurisdictions.</w:t>
      </w:r>
    </w:p>
    <w:p>
      <w:pPr>
        <w:spacing w:after="0" w:line="332" w:lineRule="exact"/>
        <w:rPr>
          <w:sz w:val="20"/>
          <w:szCs w:val="20"/>
          <w:color w:val="auto"/>
        </w:rPr>
      </w:pPr>
    </w:p>
    <w:p>
      <w:pPr>
        <w:ind w:left="424" w:hanging="424"/>
        <w:spacing w:after="0"/>
        <w:tabs>
          <w:tab w:leader="none" w:pos="424"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ROVISIONS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ELATING</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21" w:lineRule="exact"/>
        <w:rPr>
          <w:sz w:val="20"/>
          <w:szCs w:val="20"/>
          <w:color w:val="auto"/>
        </w:rPr>
      </w:pPr>
    </w:p>
    <w:p>
      <w:pPr>
        <w:ind w:left="4" w:right="20" w:firstLine="440"/>
        <w:spacing w:after="0" w:line="293" w:lineRule="auto"/>
        <w:rPr>
          <w:sz w:val="20"/>
          <w:szCs w:val="20"/>
          <w:color w:val="auto"/>
        </w:rPr>
      </w:pPr>
      <w:r>
        <w:rPr>
          <w:rFonts w:ascii="Arial" w:cs="Arial" w:eastAsia="Arial" w:hAnsi="Arial"/>
          <w:sz w:val="16"/>
          <w:szCs w:val="16"/>
          <w:color w:val="auto"/>
        </w:rPr>
        <w:t xml:space="preserve">Each Option or SAR shall be in such form and shall contain such terms and conditions as the Board shall deem appropriate. All Options shall be separately designated Incentive Stock Options or Nonstatutory Stock Options at the time of grant, and, if certificates are issued, a separate certificate or certificates shall be issued for shares of Common Stock purchased on exorcise of each type of Option. If an Option is not specifically designated as an Incentive Stock Option, then the Option shall be a Nonstatutory Stock Option. The provisions of separate Options or SARs need not be identical;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each Option Agreement or Stock Appreciation Right Agreement shall conform to (through incorporation of provisions hereof by</w:t>
      </w:r>
      <w:r>
        <w:rPr>
          <w:rFonts w:ascii="Arial" w:cs="Arial" w:eastAsia="Arial" w:hAnsi="Arial"/>
          <w:sz w:val="16"/>
          <w:szCs w:val="16"/>
          <w:i w:val="1"/>
          <w:iCs w:val="1"/>
          <w:color w:val="auto"/>
        </w:rPr>
        <w:t xml:space="preserve"> </w:t>
      </w:r>
      <w:r>
        <w:rPr>
          <w:rFonts w:ascii="Arial" w:cs="Arial" w:eastAsia="Arial" w:hAnsi="Arial"/>
          <w:sz w:val="16"/>
          <w:szCs w:val="16"/>
          <w:color w:val="auto"/>
        </w:rPr>
        <w:t>reference in the applicable Stock Award Agreement or otherwise) the substance of each of the following provisions:</w:t>
      </w:r>
    </w:p>
    <w:p>
      <w:pPr>
        <w:spacing w:after="0" w:line="160" w:lineRule="exact"/>
        <w:rPr>
          <w:sz w:val="20"/>
          <w:szCs w:val="20"/>
          <w:color w:val="auto"/>
        </w:rPr>
      </w:pPr>
    </w:p>
    <w:p>
      <w:pPr>
        <w:ind w:left="4" w:firstLine="436"/>
        <w:spacing w:after="0" w:line="282" w:lineRule="auto"/>
        <w:tabs>
          <w:tab w:leader="none" w:pos="699"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Subject to the provisions of Section 4(b) regarding Ten Percent Stockholders, no Option or SAR shall be exercisable after the expiration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ten (10) years from the date of its grant or such shorter period specified in the Stock Award Agreement.</w:t>
      </w:r>
    </w:p>
    <w:p>
      <w:pPr>
        <w:spacing w:after="0" w:line="161" w:lineRule="exact"/>
        <w:rPr>
          <w:rFonts w:ascii="Arial" w:cs="Arial" w:eastAsia="Arial" w:hAnsi="Arial"/>
          <w:sz w:val="18"/>
          <w:szCs w:val="18"/>
          <w:b w:val="1"/>
          <w:bCs w:val="1"/>
          <w:color w:val="auto"/>
        </w:rPr>
      </w:pPr>
    </w:p>
    <w:p>
      <w:pPr>
        <w:ind w:left="4" w:right="20" w:firstLine="436"/>
        <w:spacing w:after="0" w:line="273" w:lineRule="auto"/>
        <w:tabs>
          <w:tab w:leader="none" w:pos="709"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Exercise Price. </w:t>
      </w:r>
      <w:r>
        <w:rPr>
          <w:rFonts w:ascii="Arial" w:cs="Arial" w:eastAsia="Arial" w:hAnsi="Arial"/>
          <w:sz w:val="17"/>
          <w:szCs w:val="17"/>
          <w:color w:val="auto"/>
        </w:rPr>
        <w:t>Subject to the provisions of Section 4(b) regarding Incentive Stock Options granted to Ten Percent Stockholders, the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price (or strike price) of each Option or SAR shall be not less than one hundred percent (100%) of the Fair Market Value of the Common Stock subject to the Option or SAR on the date the Option or SAR is granted. Notwithstanding the foregoing, an Option or SAR may be granted with an exercise price (or strike price) lower than one hundred percent (100%) of the Fair Market Value of the Common Stock subject to the Option or SAR if such Option or SAR is granted pursuant to an assumption of or substitution for another option or stock appreciation right pursuant to a Corporate Transaction and in a manner consistent with the provisions of Sections 409A and 424(a) of the Code (whether or not such Stock Awards are Incentive Stock Options). Each SAR will be denominated in shares of Common Stock equivalents.</w:t>
      </w:r>
    </w:p>
    <w:p>
      <w:pPr>
        <w:spacing w:after="0" w:line="10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30" w:name="page31"/>
    <w:bookmarkEnd w:id="30"/>
    <w:p>
      <w:pPr>
        <w:jc w:val="both"/>
        <w:ind w:right="20" w:firstLine="436"/>
        <w:spacing w:after="0" w:line="258" w:lineRule="auto"/>
        <w:tabs>
          <w:tab w:leader="none" w:pos="685"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Consideration for Options. </w:t>
      </w:r>
      <w:r>
        <w:rPr>
          <w:rFonts w:ascii="Arial" w:cs="Arial" w:eastAsia="Arial" w:hAnsi="Arial"/>
          <w:sz w:val="18"/>
          <w:szCs w:val="18"/>
          <w:color w:val="auto"/>
        </w:rPr>
        <w:t>The purchase price of Common Stock acquired pursuant to the exercise of an Option shall be paid,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by applicable law and as determined by the Board in its sole discretion, by any combination of the methods of payment set forth below. The Board shall have the authority to grant Options that do not permit all of the following methods of payment (or otherwise restrict the ability to use certain methods) and to grant Options that require the consent of the Company to utilize a particular method of payment. The permitted methods of payment are as follows:</w:t>
      </w:r>
    </w:p>
    <w:p>
      <w:pPr>
        <w:spacing w:after="0" w:line="79" w:lineRule="exact"/>
        <w:rPr>
          <w:rFonts w:ascii="Arial" w:cs="Arial" w:eastAsia="Arial" w:hAnsi="Arial"/>
          <w:sz w:val="18"/>
          <w:szCs w:val="18"/>
          <w:b w:val="1"/>
          <w:bCs w:val="1"/>
          <w:color w:val="auto"/>
        </w:rPr>
      </w:pPr>
    </w:p>
    <w:p>
      <w:pPr>
        <w:ind w:left="1080" w:hanging="221"/>
        <w:spacing w:after="0"/>
        <w:tabs>
          <w:tab w:leader="none" w:pos="1080" w:val="left"/>
        </w:tabs>
        <w:numPr>
          <w:ilvl w:val="1"/>
          <w:numId w:val="43"/>
        </w:numPr>
        <w:rPr>
          <w:rFonts w:ascii="Arial" w:cs="Arial" w:eastAsia="Arial" w:hAnsi="Arial"/>
          <w:sz w:val="18"/>
          <w:szCs w:val="18"/>
          <w:b w:val="1"/>
          <w:bCs w:val="1"/>
          <w:color w:val="auto"/>
        </w:rPr>
      </w:pPr>
      <w:r>
        <w:rPr>
          <w:rFonts w:ascii="Arial" w:cs="Arial" w:eastAsia="Arial" w:hAnsi="Arial"/>
          <w:sz w:val="18"/>
          <w:szCs w:val="18"/>
          <w:color w:val="auto"/>
        </w:rPr>
        <w:t>by cash, check, bank draft or money order payable to the Company;</w:t>
      </w:r>
    </w:p>
    <w:p>
      <w:pPr>
        <w:spacing w:after="0" w:line="117" w:lineRule="exact"/>
        <w:rPr>
          <w:rFonts w:ascii="Arial" w:cs="Arial" w:eastAsia="Arial" w:hAnsi="Arial"/>
          <w:sz w:val="18"/>
          <w:szCs w:val="18"/>
          <w:b w:val="1"/>
          <w:bCs w:val="1"/>
          <w:color w:val="auto"/>
        </w:rPr>
      </w:pPr>
    </w:p>
    <w:p>
      <w:pPr>
        <w:jc w:val="both"/>
        <w:ind w:left="440" w:right="380" w:firstLine="419"/>
        <w:spacing w:after="0" w:line="263" w:lineRule="auto"/>
        <w:tabs>
          <w:tab w:leader="none" w:pos="1128" w:val="left"/>
        </w:tabs>
        <w:numPr>
          <w:ilvl w:val="1"/>
          <w:numId w:val="43"/>
        </w:numPr>
        <w:rPr>
          <w:rFonts w:ascii="Arial" w:cs="Arial" w:eastAsia="Arial" w:hAnsi="Arial"/>
          <w:sz w:val="18"/>
          <w:szCs w:val="18"/>
          <w:b w:val="1"/>
          <w:bCs w:val="1"/>
          <w:color w:val="auto"/>
        </w:rPr>
      </w:pPr>
      <w:r>
        <w:rPr>
          <w:rFonts w:ascii="Arial" w:cs="Arial" w:eastAsia="Arial" w:hAnsi="Arial"/>
          <w:sz w:val="18"/>
          <w:szCs w:val="18"/>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75" w:lineRule="exact"/>
        <w:rPr>
          <w:rFonts w:ascii="Arial" w:cs="Arial" w:eastAsia="Arial" w:hAnsi="Arial"/>
          <w:sz w:val="18"/>
          <w:szCs w:val="18"/>
          <w:b w:val="1"/>
          <w:bCs w:val="1"/>
          <w:color w:val="auto"/>
        </w:rPr>
      </w:pPr>
    </w:p>
    <w:p>
      <w:pPr>
        <w:ind w:left="1180" w:hanging="321"/>
        <w:spacing w:after="0"/>
        <w:tabs>
          <w:tab w:leader="none" w:pos="1180" w:val="left"/>
        </w:tabs>
        <w:numPr>
          <w:ilvl w:val="1"/>
          <w:numId w:val="43"/>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shares of Common Stock;</w:t>
      </w:r>
    </w:p>
    <w:p>
      <w:pPr>
        <w:spacing w:after="0" w:line="117" w:lineRule="exact"/>
        <w:rPr>
          <w:rFonts w:ascii="Arial" w:cs="Arial" w:eastAsia="Arial" w:hAnsi="Arial"/>
          <w:sz w:val="18"/>
          <w:szCs w:val="18"/>
          <w:b w:val="1"/>
          <w:bCs w:val="1"/>
          <w:color w:val="auto"/>
        </w:rPr>
      </w:pPr>
    </w:p>
    <w:p>
      <w:pPr>
        <w:ind w:left="440" w:firstLine="419"/>
        <w:spacing w:after="0" w:line="272" w:lineRule="auto"/>
        <w:tabs>
          <w:tab w:leader="none" w:pos="1168" w:val="left"/>
        </w:tabs>
        <w:numPr>
          <w:ilvl w:val="1"/>
          <w:numId w:val="43"/>
        </w:numPr>
        <w:rPr>
          <w:rFonts w:ascii="Arial" w:cs="Arial" w:eastAsia="Arial" w:hAnsi="Arial"/>
          <w:sz w:val="17"/>
          <w:szCs w:val="17"/>
          <w:b w:val="1"/>
          <w:bCs w:val="1"/>
          <w:color w:val="auto"/>
        </w:rPr>
      </w:pPr>
      <w:r>
        <w:rPr>
          <w:rFonts w:ascii="Arial" w:cs="Arial" w:eastAsia="Arial" w:hAnsi="Arial"/>
          <w:sz w:val="17"/>
          <w:szCs w:val="17"/>
          <w:color w:val="auto"/>
        </w:rPr>
        <w:t xml:space="preserve">if the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shall accept a cash or other payment from the Participant to the extent of any remaining balance of the aggregate exercise price not satisfied by such reduction in the number of whole shares to be issued;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shares of Common Stock will no longer be subject to an Option and will not be exercisable thereafter to the extent that (A) shares issuable upon exercise are reduced to pay the exercise price pursuant to the “net exercise,” (B) shares are delivered to the Participant as a result of such exercise, and (C) shares are withheld to satisfy tax withholding obligations;</w:t>
      </w:r>
    </w:p>
    <w:p>
      <w:pPr>
        <w:spacing w:after="0" w:line="69" w:lineRule="exact"/>
        <w:rPr>
          <w:rFonts w:ascii="Arial" w:cs="Arial" w:eastAsia="Arial" w:hAnsi="Arial"/>
          <w:sz w:val="17"/>
          <w:szCs w:val="17"/>
          <w:b w:val="1"/>
          <w:bCs w:val="1"/>
          <w:color w:val="auto"/>
        </w:rPr>
      </w:pPr>
    </w:p>
    <w:p>
      <w:pPr>
        <w:ind w:left="440" w:right="160" w:firstLine="419"/>
        <w:spacing w:after="0" w:line="259" w:lineRule="auto"/>
        <w:tabs>
          <w:tab w:leader="none" w:pos="1118" w:val="left"/>
        </w:tabs>
        <w:numPr>
          <w:ilvl w:val="1"/>
          <w:numId w:val="43"/>
        </w:numPr>
        <w:rPr>
          <w:rFonts w:ascii="Arial" w:cs="Arial" w:eastAsia="Arial" w:hAnsi="Arial"/>
          <w:sz w:val="18"/>
          <w:szCs w:val="18"/>
          <w:b w:val="1"/>
          <w:bCs w:val="1"/>
          <w:color w:val="auto"/>
        </w:rPr>
      </w:pPr>
      <w:r>
        <w:rPr>
          <w:rFonts w:ascii="Arial" w:cs="Arial" w:eastAsia="Arial" w:hAnsi="Arial"/>
          <w:sz w:val="18"/>
          <w:szCs w:val="18"/>
          <w:color w:val="auto"/>
        </w:rPr>
        <w:t xml:space="preserve">according to a deferred payment or similar arrangement with the Optionholder;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interest shall compound at least annually and shall be charged at the minimum rate of interest necessary to avoid (A) the imputation of interest income to the Company and compensation income to the Optionholder under any applicable provisions of the Code, and (B) the classification of the Option as a liability for financial accounting purposes; or</w:t>
      </w:r>
    </w:p>
    <w:p>
      <w:pPr>
        <w:spacing w:after="0" w:line="78" w:lineRule="exact"/>
        <w:rPr>
          <w:rFonts w:ascii="Arial" w:cs="Arial" w:eastAsia="Arial" w:hAnsi="Arial"/>
          <w:sz w:val="18"/>
          <w:szCs w:val="18"/>
          <w:b w:val="1"/>
          <w:bCs w:val="1"/>
          <w:color w:val="auto"/>
        </w:rPr>
      </w:pPr>
    </w:p>
    <w:p>
      <w:pPr>
        <w:ind w:left="1160" w:hanging="301"/>
        <w:spacing w:after="0"/>
        <w:tabs>
          <w:tab w:leader="none" w:pos="1160" w:val="left"/>
        </w:tabs>
        <w:numPr>
          <w:ilvl w:val="1"/>
          <w:numId w:val="43"/>
        </w:numPr>
        <w:rPr>
          <w:rFonts w:ascii="Arial" w:cs="Arial" w:eastAsia="Arial" w:hAnsi="Arial"/>
          <w:sz w:val="18"/>
          <w:szCs w:val="18"/>
          <w:b w:val="1"/>
          <w:bCs w:val="1"/>
          <w:color w:val="auto"/>
        </w:rPr>
      </w:pPr>
      <w:r>
        <w:rPr>
          <w:rFonts w:ascii="Arial" w:cs="Arial" w:eastAsia="Arial" w:hAnsi="Arial"/>
          <w:sz w:val="18"/>
          <w:szCs w:val="18"/>
          <w:color w:val="auto"/>
        </w:rPr>
        <w:t>in any other form of legal consideration that may be acceptable to the Board.</w:t>
      </w:r>
    </w:p>
    <w:p>
      <w:pPr>
        <w:spacing w:after="0" w:line="221" w:lineRule="exact"/>
        <w:rPr>
          <w:rFonts w:ascii="Arial" w:cs="Arial" w:eastAsia="Arial" w:hAnsi="Arial"/>
          <w:sz w:val="18"/>
          <w:szCs w:val="18"/>
          <w:b w:val="1"/>
          <w:bCs w:val="1"/>
          <w:color w:val="auto"/>
        </w:rPr>
      </w:pPr>
    </w:p>
    <w:p>
      <w:pPr>
        <w:ind w:right="80" w:firstLine="436"/>
        <w:spacing w:after="0" w:line="256" w:lineRule="auto"/>
        <w:tabs>
          <w:tab w:leader="none" w:pos="705"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and Payment of a SAR. </w:t>
      </w:r>
      <w:r>
        <w:rPr>
          <w:rFonts w:ascii="Arial" w:cs="Arial" w:eastAsia="Arial" w:hAnsi="Arial"/>
          <w:sz w:val="18"/>
          <w:szCs w:val="18"/>
          <w:color w:val="auto"/>
        </w:rPr>
        <w:t>To exercise any outstanding Stock Appreciation Right, the Participant must provide written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to the Company in compliance with the provisions of the Stock Appreciation Right Agreement evidencing such Stock Appreciation Right. The appreciation distribution payable on the exercise of a Stock Appreciation Right will be not greater than an amount equal to the excess of (A) the aggregate Fair Market Value (on the date of the exercise of the Stock Appreciation Right) of a number of shares of Common Stock equal to the number of Common Stock equivalents in which the Participant is vested under such Stock Appreciation Right, and with respect to which the Participant is exercising the Stock</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31" w:name="page32"/>
    <w:bookmarkEnd w:id="31"/>
    <w:p>
      <w:pPr>
        <w:jc w:val="both"/>
        <w:ind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Appreciation Right on such date, over (B) the strike price that will be determined by the Board at the time of grant of the Stock Appreciation Right. The appreciation distribution in respect to a Stock Appreciation Right may be paid in Common Stock, in cash, in any combination of the two or in any other form of consideration, as determined by the Board and contained in the Stock Appreciation Right Agreement evidencing such Stock Appreciation Right.</w:t>
      </w:r>
    </w:p>
    <w:p>
      <w:pPr>
        <w:spacing w:after="0" w:line="145" w:lineRule="exact"/>
        <w:rPr>
          <w:sz w:val="20"/>
          <w:szCs w:val="20"/>
          <w:color w:val="auto"/>
        </w:rPr>
      </w:pPr>
    </w:p>
    <w:p>
      <w:pPr>
        <w:ind w:right="140" w:firstLine="436"/>
        <w:spacing w:after="0" w:line="266" w:lineRule="auto"/>
        <w:tabs>
          <w:tab w:leader="none" w:pos="685"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Transferability of Options and SARs. </w:t>
      </w:r>
      <w:r>
        <w:rPr>
          <w:rFonts w:ascii="Arial" w:cs="Arial" w:eastAsia="Arial" w:hAnsi="Arial"/>
          <w:sz w:val="18"/>
          <w:szCs w:val="18"/>
          <w:color w:val="auto"/>
        </w:rPr>
        <w:t>The Board may, in its sole discretion, impose such limitations on the transferability of Options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SARs as the Board shall determine. In the absence of such a determination by the Board to the contrary, the following restrictions on the transferability of Options and SARs shall apply:</w:t>
      </w:r>
    </w:p>
    <w:p>
      <w:pPr>
        <w:spacing w:after="0" w:line="67" w:lineRule="exact"/>
        <w:rPr>
          <w:rFonts w:ascii="Arial" w:cs="Arial" w:eastAsia="Arial" w:hAnsi="Arial"/>
          <w:sz w:val="18"/>
          <w:szCs w:val="18"/>
          <w:b w:val="1"/>
          <w:bCs w:val="1"/>
          <w:color w:val="auto"/>
        </w:rPr>
      </w:pPr>
    </w:p>
    <w:p>
      <w:pPr>
        <w:ind w:left="440" w:right="80" w:firstLine="419"/>
        <w:spacing w:after="0" w:line="261" w:lineRule="auto"/>
        <w:tabs>
          <w:tab w:leader="none" w:pos="1078" w:val="left"/>
        </w:tabs>
        <w:numPr>
          <w:ilvl w:val="1"/>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w:t>
      </w:r>
      <w:r>
        <w:rPr>
          <w:rFonts w:ascii="Arial" w:cs="Arial" w:eastAsia="Arial" w:hAnsi="Arial"/>
          <w:sz w:val="18"/>
          <w:szCs w:val="18"/>
          <w:color w:val="auto"/>
        </w:rPr>
        <w:t>An Option or SAR shall not be transferable except by will or by the laws of descent and distribution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 exercisable during the lifetime of the Participant only by the Participant;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Board may, in its sole discretion, permit transfer of the Option or SAR to such extent as permitted by Rule 701 and in a manner consistent with applicable tax and securities laws upon the Participant’s request.</w:t>
      </w:r>
    </w:p>
    <w:p>
      <w:pPr>
        <w:spacing w:after="0" w:line="71" w:lineRule="exact"/>
        <w:rPr>
          <w:rFonts w:ascii="Arial" w:cs="Arial" w:eastAsia="Arial" w:hAnsi="Arial"/>
          <w:sz w:val="18"/>
          <w:szCs w:val="18"/>
          <w:b w:val="1"/>
          <w:bCs w:val="1"/>
          <w:color w:val="auto"/>
        </w:rPr>
      </w:pPr>
    </w:p>
    <w:p>
      <w:pPr>
        <w:ind w:left="440" w:firstLine="419"/>
        <w:spacing w:after="0" w:line="266" w:lineRule="auto"/>
        <w:tabs>
          <w:tab w:leader="none" w:pos="1128" w:val="left"/>
        </w:tabs>
        <w:numPr>
          <w:ilvl w:val="1"/>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Notwithstanding the foregoing, an Option or SAR may be transferred pursuant to a domestic relations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order;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 Option is an Incentive Stock Option, such Option may be deemed to be a Nonstatutory Stock Option as a result of such transfer.</w:t>
      </w:r>
    </w:p>
    <w:p>
      <w:pPr>
        <w:spacing w:after="0" w:line="67" w:lineRule="exact"/>
        <w:rPr>
          <w:rFonts w:ascii="Arial" w:cs="Arial" w:eastAsia="Arial" w:hAnsi="Arial"/>
          <w:sz w:val="18"/>
          <w:szCs w:val="18"/>
          <w:b w:val="1"/>
          <w:bCs w:val="1"/>
          <w:color w:val="auto"/>
        </w:rPr>
      </w:pPr>
    </w:p>
    <w:p>
      <w:pPr>
        <w:ind w:left="440" w:right="40" w:firstLine="419"/>
        <w:spacing w:after="0" w:line="256" w:lineRule="auto"/>
        <w:tabs>
          <w:tab w:leader="none" w:pos="1178" w:val="left"/>
        </w:tabs>
        <w:numPr>
          <w:ilvl w:val="1"/>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Beneficiary Designation. </w:t>
      </w:r>
      <w:r>
        <w:rPr>
          <w:rFonts w:ascii="Arial" w:cs="Arial" w:eastAsia="Arial" w:hAnsi="Arial"/>
          <w:sz w:val="18"/>
          <w:szCs w:val="18"/>
          <w:color w:val="auto"/>
        </w:rPr>
        <w:t>Notwithstanding the foregoing, the Participant may, by delivering written notice to the Company, in a form</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by or otherwise satisfactory to the Company and any broker designated by the Company to effect Option exercises, designate a third party who, in the event of the death of the Participant, shall thereafter be the beneficiary of an Option with the right to exercise the Option or SAR and receive the Common Stock or other consideration resulting from such exercise. In the absence of such a designation, the executor or administrator of the Participant’s estate shall be entitled to exercise the Option or SAR and receive the Common Stock or other consideration resulting from such exercise.</w:t>
      </w:r>
    </w:p>
    <w:p>
      <w:pPr>
        <w:spacing w:after="0" w:line="187" w:lineRule="exact"/>
        <w:rPr>
          <w:rFonts w:ascii="Arial" w:cs="Arial" w:eastAsia="Arial" w:hAnsi="Arial"/>
          <w:sz w:val="18"/>
          <w:szCs w:val="18"/>
          <w:b w:val="1"/>
          <w:bCs w:val="1"/>
          <w:color w:val="auto"/>
        </w:rPr>
      </w:pPr>
    </w:p>
    <w:p>
      <w:pPr>
        <w:ind w:right="140" w:firstLine="436"/>
        <w:spacing w:after="0" w:line="277" w:lineRule="auto"/>
        <w:tabs>
          <w:tab w:leader="none" w:pos="665"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Vesting Generally. </w:t>
      </w:r>
      <w:r>
        <w:rPr>
          <w:rFonts w:ascii="Arial" w:cs="Arial" w:eastAsia="Arial" w:hAnsi="Arial"/>
          <w:sz w:val="17"/>
          <w:szCs w:val="17"/>
          <w:color w:val="auto"/>
        </w:rPr>
        <w:t>The total number of shares of Common Stock subject to an Option or SAR may vest and therefore become exercisable in</w:t>
      </w:r>
      <w:r>
        <w:rPr>
          <w:rFonts w:ascii="Arial" w:cs="Arial" w:eastAsia="Arial" w:hAnsi="Arial"/>
          <w:sz w:val="17"/>
          <w:szCs w:val="17"/>
          <w:b w:val="1"/>
          <w:bCs w:val="1"/>
          <w:color w:val="auto"/>
        </w:rPr>
        <w:t xml:space="preserve"> </w:t>
      </w:r>
      <w:r>
        <w:rPr>
          <w:rFonts w:ascii="Arial" w:cs="Arial" w:eastAsia="Arial" w:hAnsi="Arial"/>
          <w:sz w:val="17"/>
          <w:szCs w:val="17"/>
          <w:color w:val="auto"/>
        </w:rPr>
        <w:t>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67" w:lineRule="exact"/>
        <w:rPr>
          <w:rFonts w:ascii="Arial" w:cs="Arial" w:eastAsia="Arial" w:hAnsi="Arial"/>
          <w:sz w:val="17"/>
          <w:szCs w:val="17"/>
          <w:b w:val="1"/>
          <w:bCs w:val="1"/>
          <w:color w:val="auto"/>
        </w:rPr>
      </w:pPr>
    </w:p>
    <w:p>
      <w:pPr>
        <w:ind w:right="40" w:firstLine="436"/>
        <w:spacing w:after="0" w:line="261" w:lineRule="auto"/>
        <w:tabs>
          <w:tab w:leader="none" w:pos="695"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Continuous Service. </w:t>
      </w:r>
      <w:r>
        <w:rPr>
          <w:rFonts w:ascii="Arial" w:cs="Arial" w:eastAsia="Arial" w:hAnsi="Arial"/>
          <w:sz w:val="18"/>
          <w:szCs w:val="18"/>
          <w:color w:val="auto"/>
        </w:rPr>
        <w:t>Except as otherwise provided in the applicable Stock Award Agreement or other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and the Company, in the event that a Participant’s Continuous Service terminates (other than for Cause or upon the Participant’s death or Disability), the Participant may exercise his or her Option or SAR (to the extent that the Participant was entitled to exercise such Stock Award as of the date of termination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2" w:name="page33"/>
    <w:bookmarkEnd w:id="32"/>
    <w:p>
      <w:pPr>
        <w:ind w:left="4" w:right="3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Continuous Service) but only within such period of time ending on the earlier of (i) the date three (3) months following the termination of the Participant’s Continuous Service (or such longer or shorter period specified in the Stock Award Agreement, which period shall not be less than thirty</w:t>
      </w:r>
    </w:p>
    <w:p>
      <w:pPr>
        <w:ind w:left="4" w:hanging="4"/>
        <w:spacing w:after="0" w:line="255" w:lineRule="auto"/>
        <w:tabs>
          <w:tab w:leader="none" w:pos="349" w:val="left"/>
        </w:tabs>
        <w:numPr>
          <w:ilvl w:val="0"/>
          <w:numId w:val="45"/>
        </w:numPr>
        <w:rPr>
          <w:rFonts w:ascii="Arial" w:cs="Arial" w:eastAsia="Arial" w:hAnsi="Arial"/>
          <w:sz w:val="18"/>
          <w:szCs w:val="18"/>
          <w:color w:val="auto"/>
        </w:rPr>
      </w:pPr>
      <w:r>
        <w:rPr>
          <w:rFonts w:ascii="Arial" w:cs="Arial" w:eastAsia="Arial" w:hAnsi="Arial"/>
          <w:sz w:val="18"/>
          <w:szCs w:val="18"/>
          <w:color w:val="auto"/>
        </w:rPr>
        <w:t>days if necessary to comply with applicable state laws unless such termination is for Cause) or (ii) the expiration of the term of the Option or SAR as set forth in the Stock Award Agreement. If, after termination of Continuous Service, the Participant does not exercise his or her Option or SAR within the time specified herein or in the Stock Award Agreement (as applicable), the Option or SAR shall terminate.</w:t>
      </w:r>
    </w:p>
    <w:p>
      <w:pPr>
        <w:spacing w:after="0" w:line="185" w:lineRule="exact"/>
        <w:rPr>
          <w:rFonts w:ascii="Arial" w:cs="Arial" w:eastAsia="Arial" w:hAnsi="Arial"/>
          <w:sz w:val="18"/>
          <w:szCs w:val="18"/>
          <w:color w:val="auto"/>
        </w:rPr>
      </w:pPr>
    </w:p>
    <w:p>
      <w:pPr>
        <w:ind w:left="4" w:right="100" w:firstLine="436"/>
        <w:spacing w:after="0" w:line="288" w:lineRule="auto"/>
        <w:tabs>
          <w:tab w:leader="none" w:pos="709" w:val="left"/>
        </w:tabs>
        <w:numPr>
          <w:ilvl w:val="1"/>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Extension of Termination Date. </w:t>
      </w:r>
      <w:r>
        <w:rPr>
          <w:rFonts w:ascii="Arial" w:cs="Arial" w:eastAsia="Arial" w:hAnsi="Arial"/>
          <w:sz w:val="16"/>
          <w:szCs w:val="16"/>
          <w:color w:val="auto"/>
        </w:rPr>
        <w:t>Except as otherwise provided in the applicable Stock Award Agreement or other agreement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and the Company, if the exercise of an Option or SAR following the termination of the Participant’s Continuous Service (other than for Cause or upon the Participant’s death or Disability) would be prohibited at any time solely because the issuance of shares of Common Stock would violate the registration requirements under the Securities Act, then the Option or SAR shall terminate on the earlier of (i) the expiration of a period of three (3) months after the termination of the Participant’s Continuous Service during which the exercise of the Option or SAR would not be in violation of such registration requirements, or (ii) the expiration of the term of the Option or SAR as set forth in the Stock Award Agreement. In addition, unless otherwise provided in a Participant’s Award Agreement, if the sale of any Common Stock received upon exercise of an Option or SAR following the termination of the Participant’s Continuous Service (other than for Cause) would violate the Company’s insider trading policy, then the Option or SAR shall terminate on the earlier of (i) the expiration of a period equal to the applicable post-termination exercise period after the termination of the Participant’s Continuous Service during which the exercise of the Option or SAR would not be in violation of the Company’s insider trading policy, or (ii) the expiration of the term of the Option or SAR as set forth in the applicable Stock Award Agreement.</w:t>
      </w:r>
    </w:p>
    <w:p>
      <w:pPr>
        <w:spacing w:after="0" w:line="163" w:lineRule="exact"/>
        <w:rPr>
          <w:rFonts w:ascii="Arial" w:cs="Arial" w:eastAsia="Arial" w:hAnsi="Arial"/>
          <w:sz w:val="16"/>
          <w:szCs w:val="16"/>
          <w:b w:val="1"/>
          <w:bCs w:val="1"/>
          <w:color w:val="auto"/>
        </w:rPr>
      </w:pPr>
    </w:p>
    <w:p>
      <w:pPr>
        <w:ind w:left="4" w:right="20" w:firstLine="436"/>
        <w:spacing w:after="0" w:line="254" w:lineRule="auto"/>
        <w:tabs>
          <w:tab w:leader="none" w:pos="659" w:val="left"/>
        </w:tabs>
        <w:numPr>
          <w:ilvl w:val="1"/>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Disability of Participant. </w:t>
      </w:r>
      <w:r>
        <w:rPr>
          <w:rFonts w:ascii="Arial" w:cs="Arial" w:eastAsia="Arial" w:hAnsi="Arial"/>
          <w:sz w:val="18"/>
          <w:szCs w:val="18"/>
          <w:color w:val="auto"/>
        </w:rPr>
        <w:t>Except as otherwise provided in the applicable Stock Award Agreement or other agreement between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in the event that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twelve (12) months following such termination of Continuous Service (or such longer or shorter period specified in the Stock Award Agreement, which period shall not be less than six (6) months if necessary to comply with applicable state laws), or (ii) the expiration of the term of the Option or SAR as set forth in the Stock Award Agreement. If, after termination of Continuous Service, the Participant does not exercise his or her Option or SAR within the time specified herein or in the Stock Award Agreement (as applicable), the Option or SAR shall terminate.</w:t>
      </w:r>
    </w:p>
    <w:p>
      <w:pPr>
        <w:spacing w:after="0" w:line="191" w:lineRule="exact"/>
        <w:rPr>
          <w:rFonts w:ascii="Arial" w:cs="Arial" w:eastAsia="Arial" w:hAnsi="Arial"/>
          <w:sz w:val="18"/>
          <w:szCs w:val="18"/>
          <w:b w:val="1"/>
          <w:bCs w:val="1"/>
          <w:color w:val="auto"/>
        </w:rPr>
      </w:pPr>
    </w:p>
    <w:p>
      <w:pPr>
        <w:ind w:left="4" w:right="60" w:firstLine="436"/>
        <w:spacing w:after="0" w:line="258" w:lineRule="auto"/>
        <w:tabs>
          <w:tab w:leader="none" w:pos="669" w:val="left"/>
        </w:tabs>
        <w:numPr>
          <w:ilvl w:val="1"/>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of Participant. </w:t>
      </w:r>
      <w:r>
        <w:rPr>
          <w:rFonts w:ascii="Arial" w:cs="Arial" w:eastAsia="Arial" w:hAnsi="Arial"/>
          <w:sz w:val="18"/>
          <w:szCs w:val="18"/>
          <w:color w:val="auto"/>
        </w:rPr>
        <w:t>Except as otherwise provided in the applicable Stock Award Agreement or other agreement between the Participant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in the event that (i) a Participant’s Continuous Service terminates as a result of the Participant’s death, or (ii) the Participant dies within the period (if any) specified in the Stock Award Agreement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33" w:name="page34"/>
    <w:bookmarkEnd w:id="33"/>
    <w:p>
      <w:pPr>
        <w:ind w:right="1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 the Option or SAR by bequest or inheritance or by a person designated to exercise the Option or SAR upon the Participant’s death, but only within the period ending on the earlier of (i) the date eighteen (18) months following the date of death (or such longer or shorter period specified in the Stock Award Agreement, which period shall not be less than six (6) months if necessary to comply with applicable state laws), or (ii) the expiration of the term of such Option or SAR as set forth in the Stock Award Agreement. If, after the Participant’s death, the Option or SAR is not exercised within the time specified herein or in the Stock Award Agreement (as applicable), the Option or SAR shall terminate.</w:t>
      </w:r>
    </w:p>
    <w:p>
      <w:pPr>
        <w:spacing w:after="0" w:line="172" w:lineRule="exact"/>
        <w:rPr>
          <w:sz w:val="20"/>
          <w:szCs w:val="20"/>
          <w:color w:val="auto"/>
        </w:rPr>
      </w:pPr>
    </w:p>
    <w:p>
      <w:pPr>
        <w:ind w:right="400" w:firstLine="436"/>
        <w:spacing w:after="0" w:line="314" w:lineRule="auto"/>
        <w:tabs>
          <w:tab w:leader="none" w:pos="705"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for Cause. </w:t>
      </w:r>
      <w:r>
        <w:rPr>
          <w:rFonts w:ascii="Arial" w:cs="Arial" w:eastAsia="Arial" w:hAnsi="Arial"/>
          <w:sz w:val="16"/>
          <w:szCs w:val="16"/>
          <w:color w:val="auto"/>
        </w:rPr>
        <w:t>Except as explicitly provided otherwise in a Participant’s Stock Award Agreement, if a Participant’s Continuous</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is terminated for Cause, the Option or SAR shall terminate upon the termination date of such Participant’s Continuous Service and the Participant shall be prohibited from exercising his or her Option or SAR from and after the time of such termination of Continuous Service.</w:t>
      </w:r>
    </w:p>
    <w:p>
      <w:pPr>
        <w:spacing w:after="0" w:line="141" w:lineRule="exact"/>
        <w:rPr>
          <w:rFonts w:ascii="Arial" w:cs="Arial" w:eastAsia="Arial" w:hAnsi="Arial"/>
          <w:sz w:val="16"/>
          <w:szCs w:val="16"/>
          <w:b w:val="1"/>
          <w:bCs w:val="1"/>
          <w:color w:val="auto"/>
        </w:rPr>
      </w:pPr>
    </w:p>
    <w:p>
      <w:pPr>
        <w:ind w:right="20" w:firstLine="436"/>
        <w:spacing w:after="0" w:line="272" w:lineRule="auto"/>
        <w:tabs>
          <w:tab w:leader="none" w:pos="655"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Non-Exempt Employees. </w:t>
      </w:r>
      <w:r>
        <w:rPr>
          <w:rFonts w:ascii="Arial" w:cs="Arial" w:eastAsia="Arial" w:hAnsi="Arial"/>
          <w:sz w:val="17"/>
          <w:szCs w:val="17"/>
          <w:color w:val="auto"/>
        </w:rPr>
        <w:t>No Option or SAR granted to an Employee who is a non-exempt employee for purposes of the Fair Labor Standards</w:t>
      </w:r>
      <w:r>
        <w:rPr>
          <w:rFonts w:ascii="Arial" w:cs="Arial" w:eastAsia="Arial" w:hAnsi="Arial"/>
          <w:sz w:val="17"/>
          <w:szCs w:val="17"/>
          <w:b w:val="1"/>
          <w:bCs w:val="1"/>
          <w:color w:val="auto"/>
        </w:rPr>
        <w:t xml:space="preserve"> </w:t>
      </w:r>
      <w:r>
        <w:rPr>
          <w:rFonts w:ascii="Arial" w:cs="Arial" w:eastAsia="Arial" w:hAnsi="Arial"/>
          <w:sz w:val="17"/>
          <w:szCs w:val="17"/>
          <w:color w:val="auto"/>
        </w:rPr>
        <w:t>Act of 1938, as amended, shall be first exercisable for any shares of Common Stock until at least six months following the date of grant of the Option or SAR. Notwithstanding the foregoing, consistent with the provisions of the Worker Economic Opportunity Act, in the event of the Participant’s death or Disability, upon a Corporate Transaction or a Change in Control in which the vesting of such Options or SARs accelerates, or upon the Participant’s retirement (as such term may be defined in the Participant’s Stock Award Agreement or in another applicable agreement or in accordance with the Company’s then current employment policies and guidelines) any such vested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w:t>
      </w:r>
    </w:p>
    <w:p>
      <w:pPr>
        <w:spacing w:after="0" w:line="171" w:lineRule="exact"/>
        <w:rPr>
          <w:rFonts w:ascii="Arial" w:cs="Arial" w:eastAsia="Arial" w:hAnsi="Arial"/>
          <w:sz w:val="17"/>
          <w:szCs w:val="17"/>
          <w:b w:val="1"/>
          <w:bCs w:val="1"/>
          <w:color w:val="auto"/>
        </w:rPr>
      </w:pPr>
    </w:p>
    <w:p>
      <w:pPr>
        <w:ind w:firstLine="436"/>
        <w:spacing w:after="0" w:line="273" w:lineRule="auto"/>
        <w:tabs>
          <w:tab w:leader="none" w:pos="755"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Early Exercise of Options. </w:t>
      </w:r>
      <w:r>
        <w:rPr>
          <w:rFonts w:ascii="Arial" w:cs="Arial" w:eastAsia="Arial" w:hAnsi="Arial"/>
          <w:sz w:val="17"/>
          <w:szCs w:val="17"/>
          <w:color w:val="auto"/>
        </w:rPr>
        <w:t>An Option may, but need not, include a provision whereby the Optionholder may elect at any time before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Optionholder’s Continuous Service terminates to exercise the Option as to any part or all of the shares of Common Stock subject to the Option prior to the full vesting of the Option. Subject to the “Repurchase Limitation” in Section 8(l), any unvested shares of Common Stock so purchased may be subject to a repurchase right in favor of the Company or to any other restriction the Board determines to be appropriate. Provided that the “Repurchase Limitation” in Section 8(l) is not violated, the Company shall not be required to exercise its repurchase right until at least six (6) months (or such longer or shorter period of time required to avoid classification of the Option as a liability for financial accounting purposes) have elapsed following exercise of the Option unless the Board otherwise specifically provides in the Option Agreement.</w:t>
      </w:r>
    </w:p>
    <w:p>
      <w:pPr>
        <w:spacing w:after="0" w:line="171" w:lineRule="exact"/>
        <w:rPr>
          <w:rFonts w:ascii="Arial" w:cs="Arial" w:eastAsia="Arial" w:hAnsi="Arial"/>
          <w:sz w:val="17"/>
          <w:szCs w:val="17"/>
          <w:b w:val="1"/>
          <w:bCs w:val="1"/>
          <w:color w:val="auto"/>
        </w:rPr>
      </w:pPr>
    </w:p>
    <w:p>
      <w:pPr>
        <w:ind w:right="500" w:firstLine="436"/>
        <w:spacing w:after="0" w:line="266" w:lineRule="auto"/>
        <w:tabs>
          <w:tab w:leader="none" w:pos="705"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 of Repurchase. </w:t>
      </w:r>
      <w:r>
        <w:rPr>
          <w:rFonts w:ascii="Arial" w:cs="Arial" w:eastAsia="Arial" w:hAnsi="Arial"/>
          <w:sz w:val="18"/>
          <w:szCs w:val="18"/>
          <w:color w:val="auto"/>
        </w:rPr>
        <w:t>Subject to the “Repurchase Limitation” in Section 8(l), the Option or SAR may include a provision whereby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elect to repurchase all or any part of the vested shares of Common Stock acquired by the Participant pursuant to the exercise of the Option or SAR.</w:t>
      </w:r>
    </w:p>
    <w:p>
      <w:pPr>
        <w:spacing w:after="0" w:line="175" w:lineRule="exact"/>
        <w:rPr>
          <w:rFonts w:ascii="Arial" w:cs="Arial" w:eastAsia="Arial" w:hAnsi="Arial"/>
          <w:sz w:val="18"/>
          <w:szCs w:val="18"/>
          <w:b w:val="1"/>
          <w:bCs w:val="1"/>
          <w:color w:val="auto"/>
        </w:rPr>
      </w:pPr>
    </w:p>
    <w:p>
      <w:pPr>
        <w:ind w:right="560" w:firstLine="436"/>
        <w:spacing w:after="0" w:line="282" w:lineRule="auto"/>
        <w:tabs>
          <w:tab w:leader="none" w:pos="695"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 of First Refusal. </w:t>
      </w:r>
      <w:r>
        <w:rPr>
          <w:rFonts w:ascii="Arial" w:cs="Arial" w:eastAsia="Arial" w:hAnsi="Arial"/>
          <w:sz w:val="18"/>
          <w:szCs w:val="18"/>
          <w:color w:val="auto"/>
        </w:rPr>
        <w:t>The Option or SAR may include a provision whereby the Company may elect to exercise a right of first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receipt of notice from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4" w:name="page35"/>
    <w:bookmarkEnd w:id="34"/>
    <w:p>
      <w:pPr>
        <w:ind w:left="4" w:right="2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 of the intent to transfer all or any part of the shares of Common Stock received upon the exercise of the Option or SAR. Such right of first refusal shall be subject to the “Repurchase Limitation” in Section 8(l). Except as expressly provided in this Section 5(o) or in the Stock Award Agreement, such right of first refusal shall otherwise comply with any applicable provisions of the Bylaws of the Company.</w:t>
      </w:r>
    </w:p>
    <w:p>
      <w:pPr>
        <w:spacing w:after="0" w:line="310" w:lineRule="exact"/>
        <w:rPr>
          <w:sz w:val="20"/>
          <w:szCs w:val="20"/>
          <w:color w:val="auto"/>
        </w:rPr>
      </w:pPr>
    </w:p>
    <w:p>
      <w:pPr>
        <w:ind w:left="424" w:hanging="424"/>
        <w:spacing w:after="0"/>
        <w:tabs>
          <w:tab w:leader="none" w:pos="424"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ROVISIONS OF RESTRICTED STOCK AWARDS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RESTRICTED STOCK UNITS AND OTHER STOCK AWARDS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60" w:firstLine="436"/>
        <w:spacing w:after="0" w:line="273" w:lineRule="auto"/>
        <w:tabs>
          <w:tab w:leader="none" w:pos="699" w:val="left"/>
        </w:tabs>
        <w:numPr>
          <w:ilvl w:val="1"/>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Restricted Stock Awards. </w:t>
      </w:r>
      <w:r>
        <w:rPr>
          <w:rFonts w:ascii="Arial" w:cs="Arial" w:eastAsia="Arial" w:hAnsi="Arial"/>
          <w:sz w:val="17"/>
          <w:szCs w:val="17"/>
          <w:color w:val="auto"/>
        </w:rPr>
        <w:t>Each Restricted Stock Award Agreement shall be in such form and shall contain such terms and conditions as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Board shall deem appropriate. To the extent consistent with the Company’s Bylaws, at the Board’s election, shares of Common Stock may be (x) held in book entry form subject to the Company’s instructions until any restrictions relating to the Restricted Stock Award lapse; or (y) evidenced by a certificate, which certificate shall be held in such form and manner as determined by the Board. The terms and conditions of Restricted Stock Award Agreements may change from time to time, and the terms and conditions of separate Restricted Stock Award Agreements need not be identical;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each Restricted Stock Award Agreement shall conform to (through incorporation of the provisions hereof by reference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or otherwise) the substance of each of the following provisions:</w:t>
      </w:r>
    </w:p>
    <w:p>
      <w:pPr>
        <w:spacing w:after="0" w:line="63" w:lineRule="exact"/>
        <w:rPr>
          <w:rFonts w:ascii="Arial" w:cs="Arial" w:eastAsia="Arial" w:hAnsi="Arial"/>
          <w:sz w:val="17"/>
          <w:szCs w:val="17"/>
          <w:b w:val="1"/>
          <w:bCs w:val="1"/>
          <w:color w:val="auto"/>
        </w:rPr>
      </w:pPr>
    </w:p>
    <w:p>
      <w:pPr>
        <w:jc w:val="both"/>
        <w:ind w:left="444" w:right="160" w:firstLine="419"/>
        <w:spacing w:after="0" w:line="266" w:lineRule="auto"/>
        <w:tabs>
          <w:tab w:leader="none" w:pos="1082" w:val="left"/>
        </w:tabs>
        <w:numPr>
          <w:ilvl w:val="2"/>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 Restricted Stock Award may be awarded in consideration for (A) cash or cash equivalents, (B) past or future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actually or to be rendered to the Company or an Affiliate, or (C) any other form of legal consideration that may be acceptable to the Board in its sole discretion and permissible under applicable law.</w:t>
      </w:r>
    </w:p>
    <w:p>
      <w:pPr>
        <w:spacing w:after="0" w:line="67" w:lineRule="exact"/>
        <w:rPr>
          <w:rFonts w:ascii="Arial" w:cs="Arial" w:eastAsia="Arial" w:hAnsi="Arial"/>
          <w:sz w:val="18"/>
          <w:szCs w:val="18"/>
          <w:b w:val="1"/>
          <w:bCs w:val="1"/>
          <w:color w:val="auto"/>
        </w:rPr>
      </w:pPr>
    </w:p>
    <w:p>
      <w:pPr>
        <w:ind w:left="444" w:right="300" w:firstLine="419"/>
        <w:spacing w:after="0" w:line="312" w:lineRule="auto"/>
        <w:tabs>
          <w:tab w:leader="none" w:pos="1132" w:val="left"/>
        </w:tabs>
        <w:numPr>
          <w:ilvl w:val="2"/>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Vesting. </w:t>
      </w:r>
      <w:r>
        <w:rPr>
          <w:rFonts w:ascii="Arial" w:cs="Arial" w:eastAsia="Arial" w:hAnsi="Arial"/>
          <w:sz w:val="17"/>
          <w:szCs w:val="17"/>
          <w:color w:val="auto"/>
        </w:rPr>
        <w:t>Subject to the “Repurchase Limitation” in Section 8(l), shares of Common Stock awarded under the Restricted Stock Award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may be subject to forfeiture to the Company in accordance with a vesting schedule to be determined by the Board.</w:t>
      </w:r>
    </w:p>
    <w:p>
      <w:pPr>
        <w:spacing w:after="0" w:line="31" w:lineRule="exact"/>
        <w:rPr>
          <w:rFonts w:ascii="Arial" w:cs="Arial" w:eastAsia="Arial" w:hAnsi="Arial"/>
          <w:sz w:val="17"/>
          <w:szCs w:val="17"/>
          <w:b w:val="1"/>
          <w:bCs w:val="1"/>
          <w:color w:val="auto"/>
        </w:rPr>
      </w:pPr>
    </w:p>
    <w:p>
      <w:pPr>
        <w:ind w:left="444" w:firstLine="419"/>
        <w:spacing w:after="0" w:line="266" w:lineRule="auto"/>
        <w:tabs>
          <w:tab w:leader="none" w:pos="1182" w:val="left"/>
        </w:tabs>
        <w:numPr>
          <w:ilvl w:val="2"/>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Participant’s Continuous Service. </w:t>
      </w:r>
      <w:r>
        <w:rPr>
          <w:rFonts w:ascii="Arial" w:cs="Arial" w:eastAsia="Arial" w:hAnsi="Arial"/>
          <w:sz w:val="18"/>
          <w:szCs w:val="18"/>
          <w:color w:val="auto"/>
        </w:rPr>
        <w:t>If a Participant’s Continuous Service terminates, the Company may receive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a forfeiture condition or a repurchase right, any or all of the shares of Common Stock held by the Participant that have not vested as of the date of termination of Continuous Service under the terms of the Restricted Stock Award Agreement.</w:t>
      </w:r>
    </w:p>
    <w:p>
      <w:pPr>
        <w:spacing w:after="0" w:line="67" w:lineRule="exact"/>
        <w:rPr>
          <w:rFonts w:ascii="Arial" w:cs="Arial" w:eastAsia="Arial" w:hAnsi="Arial"/>
          <w:sz w:val="18"/>
          <w:szCs w:val="18"/>
          <w:b w:val="1"/>
          <w:bCs w:val="1"/>
          <w:color w:val="auto"/>
        </w:rPr>
      </w:pPr>
    </w:p>
    <w:p>
      <w:pPr>
        <w:ind w:left="444" w:right="100" w:firstLine="419"/>
        <w:spacing w:after="0" w:line="261" w:lineRule="auto"/>
        <w:tabs>
          <w:tab w:leader="none" w:pos="1172" w:val="left"/>
        </w:tabs>
        <w:numPr>
          <w:ilvl w:val="2"/>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Transferability. </w:t>
      </w:r>
      <w:r>
        <w:rPr>
          <w:rFonts w:ascii="Arial" w:cs="Arial" w:eastAsia="Arial" w:hAnsi="Arial"/>
          <w:sz w:val="18"/>
          <w:szCs w:val="18"/>
          <w:color w:val="auto"/>
        </w:rPr>
        <w:t>Rights to acquire shares of Common Stock under the Restricted Stock Award Agreement shall be transferable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only upon such terms and conditions as are set forth in the Restricted Stock Award Agreement, as the Board shall determine in its sole discretion, so long as Common Stock awarded under the Restricted Stock Award Agreement remains subject to the terms of the Restricted Stock Award Agreement.</w:t>
      </w:r>
    </w:p>
    <w:p>
      <w:pPr>
        <w:spacing w:after="0" w:line="71" w:lineRule="exact"/>
        <w:rPr>
          <w:rFonts w:ascii="Arial" w:cs="Arial" w:eastAsia="Arial" w:hAnsi="Arial"/>
          <w:sz w:val="18"/>
          <w:szCs w:val="18"/>
          <w:b w:val="1"/>
          <w:bCs w:val="1"/>
          <w:color w:val="auto"/>
        </w:rPr>
      </w:pPr>
    </w:p>
    <w:p>
      <w:pPr>
        <w:ind w:left="444" w:right="240" w:firstLine="419"/>
        <w:spacing w:after="0" w:line="282" w:lineRule="auto"/>
        <w:tabs>
          <w:tab w:leader="none" w:pos="1122" w:val="left"/>
        </w:tabs>
        <w:numPr>
          <w:ilvl w:val="2"/>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A Restricted Stock Award Agreement may provide that any dividends paid on Restricted Stock will be subject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and forfeiture restrictions as apply to the shares subject to the Restricted Stock Award to which they relate.</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4"/>
          </w:cols>
          <w:pgMar w:left="436" w:top="274" w:right="439" w:bottom="1440" w:gutter="0" w:footer="0" w:header="0"/>
        </w:sectPr>
      </w:pPr>
    </w:p>
    <w:bookmarkStart w:id="35" w:name="page36"/>
    <w:bookmarkEnd w:id="35"/>
    <w:p>
      <w:pPr>
        <w:ind w:left="-60" w:right="140" w:firstLine="436"/>
        <w:spacing w:after="0" w:line="258" w:lineRule="auto"/>
        <w:tabs>
          <w:tab w:leader="none" w:pos="645"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Restricted Stock Unit Awards, </w:t>
      </w:r>
      <w:r>
        <w:rPr>
          <w:rFonts w:ascii="Arial" w:cs="Arial" w:eastAsia="Arial" w:hAnsi="Arial"/>
          <w:sz w:val="18"/>
          <w:szCs w:val="18"/>
          <w:color w:val="auto"/>
        </w:rPr>
        <w:t>Each Restricted Stock Unit Award Agreement shall be in such form and shall contain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conditions as the Board shall deem appropriate. The terms and conditions of Restricted Stock Unit Award Agreements may change from time to time, and the terms and conditions of separate Restricted Stock Unit Award Agreements need not be identical,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each Restricted Stock Unit Award Agreement shall conform to (through incorporation of the provisions hereof by reference in the Agreement or otherwise) the substance of each of the following provisions:</w:t>
      </w:r>
    </w:p>
    <w:p>
      <w:pPr>
        <w:spacing w:after="0" w:line="75" w:lineRule="exact"/>
        <w:rPr>
          <w:rFonts w:ascii="Arial" w:cs="Arial" w:eastAsia="Arial" w:hAnsi="Arial"/>
          <w:sz w:val="18"/>
          <w:szCs w:val="18"/>
          <w:b w:val="1"/>
          <w:bCs w:val="1"/>
          <w:color w:val="auto"/>
        </w:rPr>
      </w:pPr>
    </w:p>
    <w:p>
      <w:pPr>
        <w:ind w:left="380" w:firstLine="419"/>
        <w:spacing w:after="0" w:line="281" w:lineRule="auto"/>
        <w:tabs>
          <w:tab w:leader="none" w:pos="1018" w:val="left"/>
        </w:tabs>
        <w:numPr>
          <w:ilvl w:val="1"/>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Consideration. </w:t>
      </w:r>
      <w:r>
        <w:rPr>
          <w:rFonts w:ascii="Arial" w:cs="Arial" w:eastAsia="Arial" w:hAnsi="Arial"/>
          <w:sz w:val="17"/>
          <w:szCs w:val="17"/>
          <w:color w:val="auto"/>
        </w:rPr>
        <w:t>At the time of grant of a Restricted Stock Unit Award, the Board will determine the consideration, if any, to be paid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56" w:lineRule="exact"/>
        <w:rPr>
          <w:rFonts w:ascii="Arial" w:cs="Arial" w:eastAsia="Arial" w:hAnsi="Arial"/>
          <w:sz w:val="17"/>
          <w:szCs w:val="17"/>
          <w:b w:val="1"/>
          <w:bCs w:val="1"/>
          <w:color w:val="auto"/>
        </w:rPr>
      </w:pPr>
    </w:p>
    <w:p>
      <w:pPr>
        <w:ind w:left="380" w:right="120" w:firstLine="419"/>
        <w:spacing w:after="0" w:line="282" w:lineRule="auto"/>
        <w:tabs>
          <w:tab w:leader="none" w:pos="1068" w:val="left"/>
        </w:tabs>
        <w:numPr>
          <w:ilvl w:val="1"/>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At the time of the grant of a Restricted Stock Unit Award, the Board may impose such restrictions or conditions to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of the Restricted Stock Unit Award as it, in its sole discretion, deems appropriate.</w:t>
      </w:r>
    </w:p>
    <w:p>
      <w:pPr>
        <w:spacing w:after="0" w:line="53" w:lineRule="exact"/>
        <w:rPr>
          <w:rFonts w:ascii="Arial" w:cs="Arial" w:eastAsia="Arial" w:hAnsi="Arial"/>
          <w:sz w:val="18"/>
          <w:szCs w:val="18"/>
          <w:b w:val="1"/>
          <w:bCs w:val="1"/>
          <w:color w:val="auto"/>
        </w:rPr>
      </w:pPr>
    </w:p>
    <w:p>
      <w:pPr>
        <w:ind w:left="380" w:right="580" w:firstLine="419"/>
        <w:spacing w:after="0" w:line="266" w:lineRule="auto"/>
        <w:tabs>
          <w:tab w:leader="none" w:pos="1118" w:val="left"/>
        </w:tabs>
        <w:numPr>
          <w:ilvl w:val="1"/>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w:t>
      </w:r>
      <w:r>
        <w:rPr>
          <w:rFonts w:ascii="Arial" w:cs="Arial" w:eastAsia="Arial" w:hAnsi="Arial"/>
          <w:sz w:val="18"/>
          <w:szCs w:val="18"/>
          <w:color w:val="auto"/>
        </w:rPr>
        <w:t>A Restricted Stock Unit Award may be settled by the delivery of shares of Common Stock, their cash equivalent, any</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thereof or in any other form of consideration, as determined by the Board and contained in the Restricted Stock Unit Award Agreement.</w:t>
      </w:r>
    </w:p>
    <w:p>
      <w:pPr>
        <w:spacing w:after="0" w:line="67" w:lineRule="exact"/>
        <w:rPr>
          <w:rFonts w:ascii="Arial" w:cs="Arial" w:eastAsia="Arial" w:hAnsi="Arial"/>
          <w:sz w:val="18"/>
          <w:szCs w:val="18"/>
          <w:b w:val="1"/>
          <w:bCs w:val="1"/>
          <w:color w:val="auto"/>
        </w:rPr>
      </w:pPr>
    </w:p>
    <w:p>
      <w:pPr>
        <w:ind w:left="380" w:right="80" w:firstLine="419"/>
        <w:spacing w:after="0" w:line="266" w:lineRule="auto"/>
        <w:tabs>
          <w:tab w:leader="none" w:pos="1108" w:val="left"/>
        </w:tabs>
        <w:numPr>
          <w:ilvl w:val="1"/>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Restrictions. </w:t>
      </w:r>
      <w:r>
        <w:rPr>
          <w:rFonts w:ascii="Arial" w:cs="Arial" w:eastAsia="Arial" w:hAnsi="Arial"/>
          <w:sz w:val="18"/>
          <w:szCs w:val="18"/>
          <w:color w:val="auto"/>
        </w:rPr>
        <w:t>At the time of the grant of a Restricted Stock Unit Award, the Board, as it deems appropriate, may impose</w:t>
      </w:r>
      <w:r>
        <w:rPr>
          <w:rFonts w:ascii="Arial" w:cs="Arial" w:eastAsia="Arial" w:hAnsi="Arial"/>
          <w:sz w:val="18"/>
          <w:szCs w:val="18"/>
          <w:b w:val="1"/>
          <w:bCs w:val="1"/>
          <w:color w:val="auto"/>
        </w:rPr>
        <w:t xml:space="preserve"> </w:t>
      </w:r>
      <w:r>
        <w:rPr>
          <w:rFonts w:ascii="Arial" w:cs="Arial" w:eastAsia="Arial" w:hAnsi="Arial"/>
          <w:sz w:val="18"/>
          <w:szCs w:val="18"/>
          <w:color w:val="auto"/>
        </w:rPr>
        <w:t>such restrictions or conditions that delay the delivery of the shares of Common Stock (or their cash equivalent) subject to a Restricted Stock Unit Award to a time after the vesting of such Restricted Stock Unit Award.</w:t>
      </w:r>
    </w:p>
    <w:p>
      <w:pPr>
        <w:spacing w:after="0" w:line="67" w:lineRule="exact"/>
        <w:rPr>
          <w:rFonts w:ascii="Arial" w:cs="Arial" w:eastAsia="Arial" w:hAnsi="Arial"/>
          <w:sz w:val="18"/>
          <w:szCs w:val="18"/>
          <w:b w:val="1"/>
          <w:bCs w:val="1"/>
          <w:color w:val="auto"/>
        </w:rPr>
      </w:pPr>
    </w:p>
    <w:p>
      <w:pPr>
        <w:ind w:left="380" w:right="20" w:firstLine="419"/>
        <w:spacing w:after="0" w:line="298" w:lineRule="auto"/>
        <w:tabs>
          <w:tab w:leader="none" w:pos="1058" w:val="left"/>
        </w:tabs>
        <w:numPr>
          <w:ilvl w:val="1"/>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 Equivalents. </w:t>
      </w:r>
      <w:r>
        <w:rPr>
          <w:rFonts w:ascii="Arial" w:cs="Arial" w:eastAsia="Arial" w:hAnsi="Arial"/>
          <w:sz w:val="16"/>
          <w:szCs w:val="16"/>
          <w:color w:val="auto"/>
        </w:rPr>
        <w:t>Dividend equivalents may be credited in respect of shares of Common Stock covered by a Restricted Stock Unit</w:t>
      </w:r>
      <w:r>
        <w:rPr>
          <w:rFonts w:ascii="Arial" w:cs="Arial" w:eastAsia="Arial" w:hAnsi="Arial"/>
          <w:sz w:val="16"/>
          <w:szCs w:val="16"/>
          <w:b w:val="1"/>
          <w:bCs w:val="1"/>
          <w:color w:val="auto"/>
        </w:rPr>
        <w:t xml:space="preserve"> </w:t>
      </w:r>
      <w:r>
        <w:rPr>
          <w:rFonts w:ascii="Arial" w:cs="Arial" w:eastAsia="Arial" w:hAnsi="Arial"/>
          <w:sz w:val="16"/>
          <w:szCs w:val="16"/>
          <w:color w:val="auto"/>
        </w:rPr>
        <w:t>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the terms and conditions of the underlying Restricted Stock Unit Award Agreement to which they relate.</w:t>
      </w:r>
    </w:p>
    <w:p>
      <w:pPr>
        <w:spacing w:after="0" w:line="45" w:lineRule="exact"/>
        <w:rPr>
          <w:rFonts w:ascii="Arial" w:cs="Arial" w:eastAsia="Arial" w:hAnsi="Arial"/>
          <w:sz w:val="16"/>
          <w:szCs w:val="16"/>
          <w:b w:val="1"/>
          <w:bCs w:val="1"/>
          <w:color w:val="auto"/>
        </w:rPr>
      </w:pPr>
    </w:p>
    <w:p>
      <w:pPr>
        <w:ind w:left="380" w:right="20" w:firstLine="419"/>
        <w:spacing w:after="0" w:line="266" w:lineRule="auto"/>
        <w:tabs>
          <w:tab w:leader="none" w:pos="1108" w:val="left"/>
        </w:tabs>
        <w:numPr>
          <w:ilvl w:val="1"/>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Participant’s Continuous Service. </w:t>
      </w:r>
      <w:r>
        <w:rPr>
          <w:rFonts w:ascii="Arial" w:cs="Arial" w:eastAsia="Arial" w:hAnsi="Arial"/>
          <w:sz w:val="18"/>
          <w:szCs w:val="18"/>
          <w:color w:val="auto"/>
        </w:rPr>
        <w:t>Except as otherwise provided in the applicable Restricted Stock Unit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such portion of the Restricted Stock Unit Award that has not vested will be forfeited upon the Participant’s termination of Continuous Service.</w:t>
      </w:r>
    </w:p>
    <w:p>
      <w:pPr>
        <w:spacing w:after="0" w:line="67" w:lineRule="exact"/>
        <w:rPr>
          <w:rFonts w:ascii="Arial" w:cs="Arial" w:eastAsia="Arial" w:hAnsi="Arial"/>
          <w:sz w:val="18"/>
          <w:szCs w:val="18"/>
          <w:b w:val="1"/>
          <w:bCs w:val="1"/>
          <w:color w:val="auto"/>
        </w:rPr>
      </w:pPr>
    </w:p>
    <w:p>
      <w:pPr>
        <w:jc w:val="both"/>
        <w:ind w:left="380" w:right="280" w:firstLine="419"/>
        <w:spacing w:after="0" w:line="266" w:lineRule="auto"/>
        <w:tabs>
          <w:tab w:leader="none" w:pos="1158" w:val="left"/>
        </w:tabs>
        <w:numPr>
          <w:ilvl w:val="1"/>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Section 409A of the Code. </w:t>
      </w:r>
      <w:r>
        <w:rPr>
          <w:rFonts w:ascii="Arial" w:cs="Arial" w:eastAsia="Arial" w:hAnsi="Arial"/>
          <w:sz w:val="18"/>
          <w:szCs w:val="18"/>
          <w:color w:val="auto"/>
        </w:rPr>
        <w:t>Notwithstanding anything to the contrary set forth herein, any Restricted Stock Unit</w:t>
      </w:r>
      <w:r>
        <w:rPr>
          <w:rFonts w:ascii="Arial" w:cs="Arial" w:eastAsia="Arial" w:hAnsi="Arial"/>
          <w:sz w:val="18"/>
          <w:szCs w:val="18"/>
          <w:b w:val="1"/>
          <w:bCs w:val="1"/>
          <w:color w:val="auto"/>
        </w:rPr>
        <w:t xml:space="preserve"> </w:t>
      </w:r>
      <w:r>
        <w:rPr>
          <w:rFonts w:ascii="Arial" w:cs="Arial" w:eastAsia="Arial" w:hAnsi="Arial"/>
          <w:sz w:val="18"/>
          <w:szCs w:val="18"/>
          <w:color w:val="auto"/>
        </w:rPr>
        <w:t>Award granted under the Plan that is not exempt from the requirements of Section 409A of the Code shall contain such provisions so that such Restricted Stock Unit Award will comply with the requirements of Section 409A</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500" w:top="270" w:right="499" w:bottom="1440" w:gutter="0" w:footer="0" w:header="0"/>
        </w:sectPr>
      </w:pPr>
    </w:p>
    <w:bookmarkStart w:id="36" w:name="page37"/>
    <w:bookmarkEnd w:id="36"/>
    <w:p>
      <w:pPr>
        <w:ind w:left="44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Code. Such restrictions, if any, shall be determined by the Board and contained in the Restricted Stock Unit Award Agreement evidencing such Restricted Stock Unit Award. For example, such restrictions may include, without limitation, a requirement that any Common Stock that is to be issued in a year following the year in which the Restricted Stock Unit Award vests must be issued in accordance with a fixed pre-determined schedule.</w:t>
      </w:r>
    </w:p>
    <w:p>
      <w:pPr>
        <w:spacing w:after="0" w:line="183" w:lineRule="exact"/>
        <w:rPr>
          <w:sz w:val="20"/>
          <w:szCs w:val="20"/>
          <w:color w:val="auto"/>
        </w:rPr>
      </w:pPr>
    </w:p>
    <w:p>
      <w:pPr>
        <w:ind w:left="4" w:right="60" w:firstLine="436"/>
        <w:spacing w:after="0" w:line="274" w:lineRule="auto"/>
        <w:tabs>
          <w:tab w:leader="none" w:pos="689" w:val="left"/>
        </w:tabs>
        <w:numPr>
          <w:ilvl w:val="1"/>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Other Stock Awards. </w:t>
      </w:r>
      <w:r>
        <w:rPr>
          <w:rFonts w:ascii="Arial" w:cs="Arial" w:eastAsia="Arial" w:hAnsi="Arial"/>
          <w:sz w:val="17"/>
          <w:szCs w:val="17"/>
          <w:color w:val="auto"/>
        </w:rPr>
        <w:t>Other forms of Stock Awards valued in whole or in part by reference to, or otherwise based on,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appreciation in value thereof (e.g., options or stock rights with an exercise price or strike price less than 100% of the Fair Market Value of the Common Stock at the time of grant) may be granted either alone or in addition to Stock Awards provided for under Section 5 and the preceding provisions of this Section 6. Subject to the provisions of the Plan, the Board shall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321" w:lineRule="exact"/>
        <w:rPr>
          <w:rFonts w:ascii="Arial" w:cs="Arial" w:eastAsia="Arial" w:hAnsi="Arial"/>
          <w:sz w:val="17"/>
          <w:szCs w:val="17"/>
          <w:b w:val="1"/>
          <w:bCs w:val="1"/>
          <w:color w:val="auto"/>
        </w:rPr>
      </w:pPr>
    </w:p>
    <w:p>
      <w:pPr>
        <w:ind w:left="424" w:hanging="424"/>
        <w:spacing w:after="0"/>
        <w:tabs>
          <w:tab w:leader="none" w:pos="424"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20" w:firstLine="436"/>
        <w:spacing w:after="0" w:line="282" w:lineRule="auto"/>
        <w:tabs>
          <w:tab w:leader="none" w:pos="699" w:val="left"/>
        </w:tabs>
        <w:numPr>
          <w:ilvl w:val="1"/>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Availability of Shares. </w:t>
      </w:r>
      <w:r>
        <w:rPr>
          <w:rFonts w:ascii="Arial" w:cs="Arial" w:eastAsia="Arial" w:hAnsi="Arial"/>
          <w:sz w:val="18"/>
          <w:szCs w:val="18"/>
          <w:color w:val="auto"/>
        </w:rPr>
        <w:t>During the terms of the Stock Awards, the Company shall keep available at all times the number of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required to satisfy such Stock Awards.</w:t>
      </w:r>
    </w:p>
    <w:p>
      <w:pPr>
        <w:spacing w:after="0" w:line="161" w:lineRule="exact"/>
        <w:rPr>
          <w:rFonts w:ascii="Arial" w:cs="Arial" w:eastAsia="Arial" w:hAnsi="Arial"/>
          <w:sz w:val="18"/>
          <w:szCs w:val="18"/>
          <w:b w:val="1"/>
          <w:bCs w:val="1"/>
          <w:color w:val="auto"/>
        </w:rPr>
      </w:pPr>
    </w:p>
    <w:p>
      <w:pPr>
        <w:ind w:left="4" w:right="20" w:firstLine="436"/>
        <w:spacing w:after="0" w:line="272" w:lineRule="auto"/>
        <w:tabs>
          <w:tab w:leader="none" w:pos="709" w:val="left"/>
        </w:tabs>
        <w:numPr>
          <w:ilvl w:val="1"/>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Securities Law Compliance. </w:t>
      </w:r>
      <w:r>
        <w:rPr>
          <w:rFonts w:ascii="Arial" w:cs="Arial" w:eastAsia="Arial" w:hAnsi="Arial"/>
          <w:sz w:val="17"/>
          <w:szCs w:val="17"/>
          <w:color w:val="auto"/>
        </w:rPr>
        <w:t>The Company shall seek to obtain from each regulatory commission or agency having jurisdiction over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such authority as may be required to grant Stock Awards and to issue and sell shares of Common Stock upon exercise of the Stock Awards;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that this undertaking shall not require the Company to register under the Securities Act the Plan, any Stock Award or any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issued or issuable pursuant to any such Stock Award. If, after reasonable efforts, the Company is unable to obtain from any such regulatory commission or agency the authority that counsel for the Company deems necessary for the lawful issuance and sale of Common Stock under the Plan, the Company shall be relieved from any liability for failure to issue and sell Common Stock upon exercise of such Stock Awards unless and until such authority is obtained. A Participant shall not be eligible for the grant of a Stock Award or the subsequent issuance of Common Stock pursuant to the Stock Award if such grant or issuance would be in violation of any applicable securities law.</w:t>
      </w:r>
    </w:p>
    <w:p>
      <w:pPr>
        <w:spacing w:after="0" w:line="171" w:lineRule="exact"/>
        <w:rPr>
          <w:rFonts w:ascii="Arial" w:cs="Arial" w:eastAsia="Arial" w:hAnsi="Arial"/>
          <w:sz w:val="17"/>
          <w:szCs w:val="17"/>
          <w:b w:val="1"/>
          <w:bCs w:val="1"/>
          <w:color w:val="auto"/>
        </w:rPr>
      </w:pPr>
    </w:p>
    <w:p>
      <w:pPr>
        <w:ind w:left="4" w:firstLine="436"/>
        <w:spacing w:after="0" w:line="261" w:lineRule="auto"/>
        <w:tabs>
          <w:tab w:leader="none" w:pos="689" w:val="left"/>
        </w:tabs>
        <w:numPr>
          <w:ilvl w:val="1"/>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Notify. </w:t>
      </w:r>
      <w:r>
        <w:rPr>
          <w:rFonts w:ascii="Arial" w:cs="Arial" w:eastAsia="Arial" w:hAnsi="Arial"/>
          <w:sz w:val="18"/>
          <w:szCs w:val="18"/>
          <w:color w:val="auto"/>
        </w:rPr>
        <w:t>The Company shall have no duty or obligation to any Participant to advise such holder as to the time or manner of</w:t>
      </w:r>
      <w:r>
        <w:rPr>
          <w:rFonts w:ascii="Arial" w:cs="Arial" w:eastAsia="Arial" w:hAnsi="Arial"/>
          <w:sz w:val="18"/>
          <w:szCs w:val="18"/>
          <w:b w:val="1"/>
          <w:bCs w:val="1"/>
          <w:color w:val="auto"/>
        </w:rPr>
        <w:t xml:space="preserve"> </w:t>
      </w:r>
      <w:r>
        <w:rPr>
          <w:rFonts w:ascii="Arial" w:cs="Arial" w:eastAsia="Arial" w:hAnsi="Arial"/>
          <w:sz w:val="18"/>
          <w:szCs w:val="18"/>
          <w:color w:val="auto"/>
        </w:rPr>
        <w:t>exercising such Stock Award. Furthermore, the Company shall have no duty or obligation to warn or otherwise advise such holder of a pending termination or expiration of a Stock Award or a possible period in which the Stock Award may not be exercised. The Company has no duty or obligation to minimize the tax consequences of a Stock Award to the holder of such Stock Award.</w:t>
      </w:r>
    </w:p>
    <w:p>
      <w:pPr>
        <w:spacing w:after="0" w:line="328" w:lineRule="exact"/>
        <w:rPr>
          <w:rFonts w:ascii="Arial" w:cs="Arial" w:eastAsia="Arial" w:hAnsi="Arial"/>
          <w:sz w:val="18"/>
          <w:szCs w:val="18"/>
          <w:b w:val="1"/>
          <w:bCs w:val="1"/>
          <w:color w:val="auto"/>
        </w:rPr>
      </w:pPr>
    </w:p>
    <w:p>
      <w:pPr>
        <w:ind w:left="424" w:hanging="424"/>
        <w:spacing w:after="0"/>
        <w:tabs>
          <w:tab w:leader="none" w:pos="424"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firstLine="436"/>
        <w:spacing w:after="0" w:line="282" w:lineRule="auto"/>
        <w:tabs>
          <w:tab w:leader="none" w:pos="699" w:val="left"/>
        </w:tabs>
        <w:numPr>
          <w:ilvl w:val="1"/>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Sales of Common Stock. </w:t>
      </w:r>
      <w:r>
        <w:rPr>
          <w:rFonts w:ascii="Arial" w:cs="Arial" w:eastAsia="Arial" w:hAnsi="Arial"/>
          <w:sz w:val="18"/>
          <w:szCs w:val="18"/>
          <w:color w:val="auto"/>
        </w:rPr>
        <w:t>Proceeds from the sale of shares of Common Stock pursuant to Stock Awards shall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funds of the Company.</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4" w:right="479" w:bottom="1440" w:gutter="0" w:footer="0" w:header="0"/>
        </w:sectPr>
      </w:pPr>
    </w:p>
    <w:bookmarkStart w:id="37" w:name="page38"/>
    <w:bookmarkEnd w:id="37"/>
    <w:p>
      <w:pPr>
        <w:ind w:left="-20" w:right="360" w:firstLine="436"/>
        <w:spacing w:after="0" w:line="314" w:lineRule="auto"/>
        <w:tabs>
          <w:tab w:leader="none" w:pos="685"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Corporate Action Constituting Grant of Stock Awards. </w:t>
      </w:r>
      <w:r>
        <w:rPr>
          <w:rFonts w:ascii="Arial" w:cs="Arial" w:eastAsia="Arial" w:hAnsi="Arial"/>
          <w:sz w:val="16"/>
          <w:szCs w:val="16"/>
          <w:color w:val="auto"/>
        </w:rPr>
        <w:t>Corporate action constituting a grant by the Company of a Stock Award to any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shall be deemed completed as of the date of such corporate action, unless otherwise determined by the Board, regardless of when the instrument, certificate, or letter evidencing the Stock Award is communicated to, or actually received or accepted by, the Participant.</w:t>
      </w:r>
    </w:p>
    <w:p>
      <w:pPr>
        <w:spacing w:after="0" w:line="141" w:lineRule="exact"/>
        <w:rPr>
          <w:rFonts w:ascii="Arial" w:cs="Arial" w:eastAsia="Arial" w:hAnsi="Arial"/>
          <w:sz w:val="16"/>
          <w:szCs w:val="16"/>
          <w:b w:val="1"/>
          <w:bCs w:val="1"/>
          <w:color w:val="auto"/>
        </w:rPr>
      </w:pPr>
    </w:p>
    <w:p>
      <w:pPr>
        <w:ind w:left="-20" w:right="40" w:firstLine="436"/>
        <w:spacing w:after="0" w:line="261" w:lineRule="auto"/>
        <w:tabs>
          <w:tab w:leader="none" w:pos="665"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 Rights. </w:t>
      </w:r>
      <w:r>
        <w:rPr>
          <w:rFonts w:ascii="Arial" w:cs="Arial" w:eastAsia="Arial" w:hAnsi="Arial"/>
          <w:sz w:val="18"/>
          <w:szCs w:val="18"/>
          <w:color w:val="auto"/>
        </w:rPr>
        <w:t>No Participant shall be deemed to be the holder of, or to have any of the rights of a holder with respect to, any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subject to such Stock Award unless and until (i) such Participant has satisfied all requirements for exercise of the Stock Award, or the issuance of shares of Common Stock thereunder, pursuant to its terms, and (ii) the issuance of the Common Stock pursuant to the Stock Award has been entered into the books and records of the Company.</w:t>
      </w:r>
    </w:p>
    <w:p>
      <w:pPr>
        <w:spacing w:after="0" w:line="179" w:lineRule="exact"/>
        <w:rPr>
          <w:rFonts w:ascii="Arial" w:cs="Arial" w:eastAsia="Arial" w:hAnsi="Arial"/>
          <w:sz w:val="18"/>
          <w:szCs w:val="18"/>
          <w:b w:val="1"/>
          <w:bCs w:val="1"/>
          <w:color w:val="auto"/>
        </w:rPr>
      </w:pPr>
    </w:p>
    <w:p>
      <w:pPr>
        <w:ind w:left="-20" w:right="20" w:firstLine="436"/>
        <w:spacing w:after="0" w:line="294" w:lineRule="auto"/>
        <w:tabs>
          <w:tab w:leader="none" w:pos="685"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Employment or Other Service Rights. </w:t>
      </w:r>
      <w:r>
        <w:rPr>
          <w:rFonts w:ascii="Arial" w:cs="Arial" w:eastAsia="Arial" w:hAnsi="Arial"/>
          <w:sz w:val="16"/>
          <w:szCs w:val="16"/>
          <w:color w:val="auto"/>
        </w:rPr>
        <w:t>Nothing in the Plan, any Stock Award Agreement or any other instrument executed thereunder or</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any Stock Award granted pursuant thereto shall confer upon any Participant any right to continue to serve the Company or an Affiliate in the capacity in effect at the time the Stock Award was granted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59" w:lineRule="exact"/>
        <w:rPr>
          <w:rFonts w:ascii="Arial" w:cs="Arial" w:eastAsia="Arial" w:hAnsi="Arial"/>
          <w:sz w:val="16"/>
          <w:szCs w:val="16"/>
          <w:b w:val="1"/>
          <w:bCs w:val="1"/>
          <w:color w:val="auto"/>
        </w:rPr>
      </w:pPr>
    </w:p>
    <w:p>
      <w:pPr>
        <w:ind w:left="-20" w:right="40" w:firstLine="436"/>
        <w:spacing w:after="0" w:line="258" w:lineRule="auto"/>
        <w:tabs>
          <w:tab w:leader="none" w:pos="665"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Incentive Stock Option $100,000 Limitation. </w:t>
      </w:r>
      <w:r>
        <w:rPr>
          <w:rFonts w:ascii="Arial" w:cs="Arial" w:eastAsia="Arial" w:hAnsi="Arial"/>
          <w:sz w:val="18"/>
          <w:szCs w:val="18"/>
          <w:color w:val="auto"/>
        </w:rPr>
        <w:t>To the extent that the aggregate Fair Market Value (determined at the time of grant)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with respect to which Incentive Stock Options are exercisable for the first time by any Optionholder during any calendar year (under all plans of the Company and any Affiliates) exceeds one hundred thousand dollars ($100,000), the Options or portions thereof that exceed such limit (according to the order in which they were granted) shall be treated as Nonstatutory Stock Options, notwithstanding any contrary provision of the applicable Option Agreement(s).</w:t>
      </w:r>
    </w:p>
    <w:p>
      <w:pPr>
        <w:spacing w:after="0" w:line="183" w:lineRule="exact"/>
        <w:rPr>
          <w:rFonts w:ascii="Arial" w:cs="Arial" w:eastAsia="Arial" w:hAnsi="Arial"/>
          <w:sz w:val="18"/>
          <w:szCs w:val="18"/>
          <w:b w:val="1"/>
          <w:bCs w:val="1"/>
          <w:color w:val="auto"/>
        </w:rPr>
      </w:pPr>
    </w:p>
    <w:p>
      <w:pPr>
        <w:ind w:left="-20" w:firstLine="436"/>
        <w:spacing w:after="0" w:line="270" w:lineRule="auto"/>
        <w:tabs>
          <w:tab w:leader="none" w:pos="645"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Investment Assurances. </w:t>
      </w:r>
      <w:r>
        <w:rPr>
          <w:rFonts w:ascii="Arial" w:cs="Arial" w:eastAsia="Arial" w:hAnsi="Arial"/>
          <w:sz w:val="17"/>
          <w:szCs w:val="17"/>
          <w:color w:val="auto"/>
        </w:rPr>
        <w:t>The Company may require a Participant, as a condition of exercising or acquiring Common Stock under any Stock</w:t>
      </w:r>
      <w:r>
        <w:rPr>
          <w:rFonts w:ascii="Arial" w:cs="Arial" w:eastAsia="Arial" w:hAnsi="Arial"/>
          <w:sz w:val="17"/>
          <w:szCs w:val="17"/>
          <w:b w:val="1"/>
          <w:bCs w:val="1"/>
          <w:color w:val="auto"/>
        </w:rPr>
        <w:t xml:space="preserve"> </w:t>
      </w:r>
      <w:r>
        <w:rPr>
          <w:rFonts w:ascii="Arial" w:cs="Arial" w:eastAsia="Arial" w:hAnsi="Arial"/>
          <w:sz w:val="17"/>
          <w:szCs w:val="17"/>
          <w:color w:val="auto"/>
        </w:rPr>
        <w:t>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shall be inoperative if (x) the issuance of the shares upon the exercise or acquisition of Common Stock under the Stock Award has been registered under a then currently effective registration statement under the Securities Act, or (y) as to any particular requirement, a determination is made by counsel for the Company that such requirement need not be met in the circumstances under the then applicable securities laws. The Company may, upon advice of</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60" w:top="270" w:right="479" w:bottom="1440" w:gutter="0" w:footer="0" w:header="0"/>
        </w:sectPr>
      </w:pPr>
    </w:p>
    <w:bookmarkStart w:id="38" w:name="page39"/>
    <w:bookmarkEnd w:id="38"/>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66" w:lineRule="exact"/>
        <w:rPr>
          <w:sz w:val="20"/>
          <w:szCs w:val="20"/>
          <w:color w:val="auto"/>
        </w:rPr>
      </w:pPr>
    </w:p>
    <w:p>
      <w:pPr>
        <w:ind w:right="20" w:firstLine="436"/>
        <w:spacing w:after="0" w:line="273" w:lineRule="auto"/>
        <w:tabs>
          <w:tab w:leader="none" w:pos="695"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Withholding Obligations. </w:t>
      </w:r>
      <w:r>
        <w:rPr>
          <w:rFonts w:ascii="Arial" w:cs="Arial" w:eastAsia="Arial" w:hAnsi="Arial"/>
          <w:sz w:val="17"/>
          <w:szCs w:val="17"/>
          <w:color w:val="auto"/>
        </w:rPr>
        <w:t>Unless prohibited by the terms of a Stock Award Agreement, the Company may, in its sole discretion, satisfy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federal, state or local tax withholding obligation relating to a Stock Award by any of the following means or by a combination of such means: (i) causing the Participant to tender a cash payment; (ii) withholding shares of Common Stock from the shares of Common Stock issued or otherwise issuable to the Participant in connection with the Stock Award;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shares of Common Stock are withheld with a value exceeding the minimum amount of tax required to be withheld by law (or such lesser amount as may be necessary to avoid classification of the Stock Award as a liability for financial accounting purposes); (iii) withholding payment from any amounts otherwise payable to the Participant; (iv) withholding cash from a Stock Award settled in cash; or (v) by such other method as may be set forth in the Stock Award Agreement.</w:t>
      </w:r>
    </w:p>
    <w:p>
      <w:pPr>
        <w:spacing w:after="0" w:line="171" w:lineRule="exact"/>
        <w:rPr>
          <w:rFonts w:ascii="Arial" w:cs="Arial" w:eastAsia="Arial" w:hAnsi="Arial"/>
          <w:sz w:val="17"/>
          <w:szCs w:val="17"/>
          <w:b w:val="1"/>
          <w:bCs w:val="1"/>
          <w:color w:val="auto"/>
        </w:rPr>
      </w:pPr>
    </w:p>
    <w:p>
      <w:pPr>
        <w:ind w:right="740" w:firstLine="436"/>
        <w:spacing w:after="0" w:line="282" w:lineRule="auto"/>
        <w:tabs>
          <w:tab w:leader="none" w:pos="705"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Electronic Delivery. </w:t>
      </w:r>
      <w:r>
        <w:rPr>
          <w:rFonts w:ascii="Arial" w:cs="Arial" w:eastAsia="Arial" w:hAnsi="Arial"/>
          <w:sz w:val="18"/>
          <w:szCs w:val="18"/>
          <w:color w:val="auto"/>
        </w:rPr>
        <w:t>Any reference herein to a “written” agreement or document shall include any agreement or document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or posted on the Company’s intranet.</w:t>
      </w:r>
    </w:p>
    <w:p>
      <w:pPr>
        <w:spacing w:after="0" w:line="161" w:lineRule="exact"/>
        <w:rPr>
          <w:rFonts w:ascii="Arial" w:cs="Arial" w:eastAsia="Arial" w:hAnsi="Arial"/>
          <w:sz w:val="18"/>
          <w:szCs w:val="18"/>
          <w:b w:val="1"/>
          <w:bCs w:val="1"/>
          <w:color w:val="auto"/>
        </w:rPr>
      </w:pPr>
    </w:p>
    <w:p>
      <w:pPr>
        <w:ind w:right="60" w:firstLine="436"/>
        <w:spacing w:after="0" w:line="273" w:lineRule="auto"/>
        <w:tabs>
          <w:tab w:leader="none" w:pos="655"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Deferrals. </w:t>
      </w:r>
      <w:r>
        <w:rPr>
          <w:rFonts w:ascii="Arial" w:cs="Arial" w:eastAsia="Arial" w:hAnsi="Arial"/>
          <w:sz w:val="17"/>
          <w:szCs w:val="17"/>
          <w:color w:val="auto"/>
        </w:rPr>
        <w:t>To the extent permitted by applicable law, the Board, in its sole discretion, may determine that the delivery of Common Stock or the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of cash, upon the exercise, vesting or settlement of all or a portion of any Stock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Stock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71" w:lineRule="exact"/>
        <w:rPr>
          <w:rFonts w:ascii="Arial" w:cs="Arial" w:eastAsia="Arial" w:hAnsi="Arial"/>
          <w:sz w:val="17"/>
          <w:szCs w:val="17"/>
          <w:b w:val="1"/>
          <w:bCs w:val="1"/>
          <w:color w:val="auto"/>
        </w:rPr>
      </w:pPr>
    </w:p>
    <w:p>
      <w:pPr>
        <w:ind w:firstLine="436"/>
        <w:spacing w:after="0" w:line="261" w:lineRule="auto"/>
        <w:tabs>
          <w:tab w:leader="none" w:pos="665"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Section 409A. </w:t>
      </w:r>
      <w:r>
        <w:rPr>
          <w:rFonts w:ascii="Arial" w:cs="Arial" w:eastAsia="Arial" w:hAnsi="Arial"/>
          <w:sz w:val="18"/>
          <w:szCs w:val="18"/>
          <w:color w:val="auto"/>
        </w:rPr>
        <w:t>To the extent that the Board determines that any Stock Award granted hereunder is subject to Section 409A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Code, the Stock Award Agreement evidencing such Stock Award shall incorporate the terms and conditions necessary to avoid the consequences specified in Section 409A(a)(1) of the Code. To the extent applicable, the Plan and Stock Award Agreements shall be interpreted in accordance with Section 409A of the Code.</w:t>
      </w:r>
    </w:p>
    <w:p>
      <w:pPr>
        <w:spacing w:after="0" w:line="179" w:lineRule="exact"/>
        <w:rPr>
          <w:rFonts w:ascii="Arial" w:cs="Arial" w:eastAsia="Arial" w:hAnsi="Arial"/>
          <w:sz w:val="18"/>
          <w:szCs w:val="18"/>
          <w:b w:val="1"/>
          <w:bCs w:val="1"/>
          <w:color w:val="auto"/>
        </w:rPr>
      </w:pPr>
    </w:p>
    <w:p>
      <w:pPr>
        <w:ind w:right="100" w:firstLine="436"/>
        <w:spacing w:after="0" w:line="256" w:lineRule="auto"/>
        <w:tabs>
          <w:tab w:leader="none" w:pos="705"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Exemption Provided by Rule 12h-1</w:t>
      </w:r>
      <w:r>
        <w:rPr>
          <w:rFonts w:ascii="Arial" w:cs="Arial" w:eastAsia="Arial" w:hAnsi="Arial"/>
          <w:sz w:val="18"/>
          <w:szCs w:val="18"/>
          <w:color w:val="auto"/>
        </w:rPr>
        <w:t>(</w:t>
      </w:r>
      <w:r>
        <w:rPr>
          <w:rFonts w:ascii="Arial" w:cs="Arial" w:eastAsia="Arial" w:hAnsi="Arial"/>
          <w:sz w:val="18"/>
          <w:szCs w:val="18"/>
          <w:b w:val="1"/>
          <w:bCs w:val="1"/>
          <w:color w:val="auto"/>
        </w:rPr>
        <w:t xml:space="preserve">f). </w:t>
      </w:r>
      <w:r>
        <w:rPr>
          <w:rFonts w:ascii="Arial" w:cs="Arial" w:eastAsia="Arial" w:hAnsi="Arial"/>
          <w:sz w:val="18"/>
          <w:szCs w:val="18"/>
          <w:color w:val="auto"/>
        </w:rPr>
        <w:t>If at the end of the Company’s most recently completed fiscal year: (i)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aggregate of the number of persons who hold outstanding compensatory employee stock options to purchase shares of Common Stock granted pursuant to the Plan or otherwise (such persons,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Holders of Options</w:t>
      </w:r>
      <w:r>
        <w:rPr>
          <w:rFonts w:ascii="Arial" w:cs="Arial" w:eastAsia="Arial" w:hAnsi="Arial"/>
          <w:sz w:val="18"/>
          <w:szCs w:val="18"/>
          <w:i w:val="1"/>
          <w:iCs w:val="1"/>
          <w:color w:val="auto"/>
        </w:rPr>
        <w:t>”)</w:t>
      </w:r>
      <w:r>
        <w:rPr>
          <w:rFonts w:ascii="Arial" w:cs="Arial" w:eastAsia="Arial" w:hAnsi="Arial"/>
          <w:sz w:val="18"/>
          <w:szCs w:val="18"/>
          <w:color w:val="auto"/>
        </w:rPr>
        <w:t xml:space="preserve"> equals or exceeds five hundred (500), and (ii) the Company’s assets exceed $10 million, then the following restrictions shall apply during any period during which the Company does not have a class of its securities registered under Section 12 of the Exchange Act and is not required to file reports under Section 15(d) of the Exchange Act: (A) the Options and, prior to exercise, the shares of Common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39" w:name="page40"/>
    <w:bookmarkEnd w:id="39"/>
    <w:p>
      <w:pPr>
        <w:ind w:left="4"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Stock to be issued on exercise of the Options may not be transferred until the Company is no longer relying on the exemption provided by Rule 12h-1(f) promulgated under the Exchange Act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Rule 12h-1(f)</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except: (1) as permitted by Rule 701(c) promulgated under the Securities Act, (2) to a guardian upon the disability of the Holder of Options, or (3) to an executor upon the death of the Holder of Options (collectively,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Permitted Transferees</w:t>
      </w:r>
      <w:r>
        <w:rPr>
          <w:rFonts w:ascii="Arial" w:cs="Arial" w:eastAsia="Arial" w:hAnsi="Arial"/>
          <w:sz w:val="16"/>
          <w:szCs w:val="16"/>
          <w:i w:val="1"/>
          <w:iCs w:val="1"/>
          <w:color w:val="auto"/>
        </w:rPr>
        <w:t>”);</w:t>
      </w:r>
      <w:r>
        <w:rPr>
          <w:rFonts w:ascii="Arial" w:cs="Arial" w:eastAsia="Arial" w:hAnsi="Arial"/>
          <w:sz w:val="16"/>
          <w:szCs w:val="16"/>
          <w:color w:val="auto"/>
        </w:rPr>
        <w:t xml:space="preserve"> provided, however, the following transfers are permitted: (i) transfers by the Holder of Options to the Company, and (ii) transfers in connection with a change of control or other acquisition involving the Company, if following such transaction, the Options no longer remain outstanding and the Company is no longer relying on the exemption provided by Rule 12h-1(f); provided further, that any Permitted Transferees may not further transfer the Options;</w:t>
      </w:r>
    </w:p>
    <w:p>
      <w:pPr>
        <w:spacing w:after="0" w:line="4" w:lineRule="exact"/>
        <w:rPr>
          <w:sz w:val="20"/>
          <w:szCs w:val="20"/>
          <w:color w:val="auto"/>
        </w:rPr>
      </w:pPr>
    </w:p>
    <w:p>
      <w:pPr>
        <w:ind w:left="4" w:hanging="4"/>
        <w:spacing w:after="0" w:line="287" w:lineRule="auto"/>
        <w:tabs>
          <w:tab w:leader="none" w:pos="289" w:val="left"/>
        </w:tabs>
        <w:numPr>
          <w:ilvl w:val="0"/>
          <w:numId w:val="53"/>
        </w:numPr>
        <w:rPr>
          <w:rFonts w:ascii="Arial" w:cs="Arial" w:eastAsia="Arial" w:hAnsi="Arial"/>
          <w:sz w:val="16"/>
          <w:szCs w:val="16"/>
          <w:color w:val="auto"/>
        </w:rPr>
      </w:pPr>
      <w:r>
        <w:rPr>
          <w:rFonts w:ascii="Arial" w:cs="Arial" w:eastAsia="Arial" w:hAnsi="Arial"/>
          <w:sz w:val="16"/>
          <w:szCs w:val="16"/>
          <w:color w:val="auto"/>
        </w:rPr>
        <w:t>except as otherwise provided in (A) above, the Options and shares of Common Stock to be issued on exercise of the Options are restricted as to any pledge, hypothecation, or other transfer, including any short position, any “put equivalent position” as defined by Rule 16a-1(h) promulgated under the Exchange Act, or any “call equivalent position” as defined by Rule 16a-1(b) promulgated under the Exchange Act by the Holder of Options prior to exercise of an Option until the Company is no longer relying on the exemption provided by Rule 12h-1(f); and (C) at any time that the Company is relying on the exemption provided by Rule 12h-1(f), the Company shall deliver to Holders of Options (whether by physical or electronic delivery or written notice of the availability of the information on an internet site) the information required by Rule 701(e)(3), (4), and (5) promulgated under the Securities Act every six (6) months, including financial statements that are not more than one hundred eighty (180) days old; provided, however, that the Company may condition the delivery of such information upon the Holder of Options’ agreement to maintain its confidentiality.</w:t>
      </w:r>
    </w:p>
    <w:p>
      <w:pPr>
        <w:spacing w:after="0" w:line="165" w:lineRule="exact"/>
        <w:rPr>
          <w:rFonts w:ascii="Arial" w:cs="Arial" w:eastAsia="Arial" w:hAnsi="Arial"/>
          <w:sz w:val="16"/>
          <w:szCs w:val="16"/>
          <w:color w:val="auto"/>
        </w:rPr>
      </w:pPr>
    </w:p>
    <w:p>
      <w:pPr>
        <w:ind w:left="4" w:right="140" w:firstLine="436"/>
        <w:spacing w:after="0" w:line="274" w:lineRule="auto"/>
        <w:tabs>
          <w:tab w:leader="none" w:pos="659" w:val="left"/>
        </w:tabs>
        <w:numPr>
          <w:ilvl w:val="1"/>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Repurchase Limitation. </w:t>
      </w:r>
      <w:r>
        <w:rPr>
          <w:rFonts w:ascii="Arial" w:cs="Arial" w:eastAsia="Arial" w:hAnsi="Arial"/>
          <w:sz w:val="17"/>
          <w:szCs w:val="17"/>
          <w:color w:val="auto"/>
        </w:rPr>
        <w:t>The terms of any repurchase right shall be specified in the Stock Award Agreement. The repurchase price for vested</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Common Stock shall be the Fair Market Value of the shares of Common Stock on the date of repurchase. The repurchase price for unvested shares of Common Stock shall be the lower of (i) the Fair Market Value of the shares of Common Stock on the date of repurchase or (ii) their original purchase price. However, the Company shall not exercise its repurchase right until at least six (6) months (or such longer or shorter period of time necessary to avoid classification of the Stock Award as a liability for financial accounting purposes) have elapsed following delivery of shares of Common Stock subject to the Stock Award, unless otherwise specifically provided by the Board.</w:t>
      </w:r>
    </w:p>
    <w:p>
      <w:pPr>
        <w:spacing w:after="0" w:line="322" w:lineRule="exact"/>
        <w:rPr>
          <w:sz w:val="20"/>
          <w:szCs w:val="20"/>
          <w:color w:val="auto"/>
        </w:rPr>
      </w:pPr>
    </w:p>
    <w:p>
      <w:pPr>
        <w:ind w:left="424" w:hanging="424"/>
        <w:spacing w:after="0"/>
        <w:tabs>
          <w:tab w:leader="none" w:pos="424"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DJUSTMENTS</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40" w:firstLine="436"/>
        <w:spacing w:after="0" w:line="303" w:lineRule="auto"/>
        <w:tabs>
          <w:tab w:leader="none" w:pos="699" w:val="left"/>
        </w:tabs>
        <w:numPr>
          <w:ilvl w:val="1"/>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Capitalization Adjustments. </w:t>
      </w:r>
      <w:r>
        <w:rPr>
          <w:rFonts w:ascii="Arial" w:cs="Arial" w:eastAsia="Arial" w:hAnsi="Arial"/>
          <w:sz w:val="16"/>
          <w:szCs w:val="16"/>
          <w:color w:val="auto"/>
        </w:rPr>
        <w:t>In the event of a Capitalization Adjustment, the Board shall appropriately and proportionately adjust: (i) the</w:t>
      </w:r>
      <w:r>
        <w:rPr>
          <w:rFonts w:ascii="Arial" w:cs="Arial" w:eastAsia="Arial" w:hAnsi="Arial"/>
          <w:sz w:val="16"/>
          <w:szCs w:val="16"/>
          <w:b w:val="1"/>
          <w:bCs w:val="1"/>
          <w:color w:val="auto"/>
        </w:rPr>
        <w:t xml:space="preserve"> </w:t>
      </w:r>
      <w:r>
        <w:rPr>
          <w:rFonts w:ascii="Arial" w:cs="Arial" w:eastAsia="Arial" w:hAnsi="Arial"/>
          <w:sz w:val="16"/>
          <w:szCs w:val="16"/>
          <w:color w:val="auto"/>
        </w:rPr>
        <w:t>class(es) and maximum number of securities subject to the Plan pursuant to Section 3, (ii) the class(es) and maximum number of securities that may be issued pursuant to the exercise of Incentive Stock Options pursuant to Section 3(c), and (iii) the class(es) and number of securities and price per share of stock subject to outstanding Stock Awards. The Board shall make such adjustments, and its determination shall be final, binding and conclusive.</w:t>
      </w:r>
    </w:p>
    <w:p>
      <w:pPr>
        <w:spacing w:after="0" w:line="150" w:lineRule="exact"/>
        <w:rPr>
          <w:rFonts w:ascii="Arial" w:cs="Arial" w:eastAsia="Arial" w:hAnsi="Arial"/>
          <w:sz w:val="16"/>
          <w:szCs w:val="16"/>
          <w:b w:val="1"/>
          <w:bCs w:val="1"/>
          <w:color w:val="auto"/>
        </w:rPr>
      </w:pPr>
    </w:p>
    <w:p>
      <w:pPr>
        <w:ind w:left="4" w:right="220" w:firstLine="436"/>
        <w:spacing w:after="0" w:line="266" w:lineRule="auto"/>
        <w:tabs>
          <w:tab w:leader="none" w:pos="709" w:val="left"/>
        </w:tabs>
        <w:numPr>
          <w:ilvl w:val="1"/>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Dissolution or Liquidation. </w:t>
      </w:r>
      <w:r>
        <w:rPr>
          <w:rFonts w:ascii="Arial" w:cs="Arial" w:eastAsia="Arial" w:hAnsi="Arial"/>
          <w:sz w:val="18"/>
          <w:szCs w:val="18"/>
          <w:color w:val="auto"/>
        </w:rPr>
        <w:t>Except as otherwise provided in the Stock Award Agreement, in the event of a dissolution or liquidation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all outstanding Stock Awards (other than Stock Awards consisting of vested and outstanding shares of Common Stock not subject to a forfeiture condition or the Company’s right of repurchase) shall terminate</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40" w:name="page41"/>
    <w:bookmarkEnd w:id="40"/>
    <w:p>
      <w:pPr>
        <w:ind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72" w:lineRule="exact"/>
        <w:rPr>
          <w:sz w:val="20"/>
          <w:szCs w:val="20"/>
          <w:color w:val="auto"/>
        </w:rPr>
      </w:pPr>
    </w:p>
    <w:p>
      <w:pPr>
        <w:ind w:right="80" w:firstLine="436"/>
        <w:spacing w:after="0" w:line="277" w:lineRule="auto"/>
        <w:tabs>
          <w:tab w:leader="none" w:pos="685"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Corporate Transaction. </w:t>
      </w:r>
      <w:r>
        <w:rPr>
          <w:rFonts w:ascii="Arial" w:cs="Arial" w:eastAsia="Arial" w:hAnsi="Arial"/>
          <w:sz w:val="17"/>
          <w:szCs w:val="17"/>
          <w:color w:val="auto"/>
        </w:rPr>
        <w:t>The following provisions shall apply to Stock Awards in the event of a Corporate Transaction unless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in the instrument evidencing the Stock Award or any other written agreement between the Company or any Affiliate and the holder of the Stock Award or unless otherwise expressly provided by the Board at the time of grant of a Stock Award. Except as otherwise stated in the Stock Award Agreement, in the event of a Corporate Transaction, then, notwithstanding any other provision of the Plan, the Board shall take one or more of the following actions with respect to Stock Awards, contingent upon the closing or completion of the Corporate Transaction:</w:t>
      </w:r>
    </w:p>
    <w:p>
      <w:pPr>
        <w:spacing w:after="0" w:line="63" w:lineRule="exact"/>
        <w:rPr>
          <w:rFonts w:ascii="Arial" w:cs="Arial" w:eastAsia="Arial" w:hAnsi="Arial"/>
          <w:sz w:val="17"/>
          <w:szCs w:val="17"/>
          <w:b w:val="1"/>
          <w:bCs w:val="1"/>
          <w:color w:val="auto"/>
        </w:rPr>
      </w:pPr>
    </w:p>
    <w:p>
      <w:pPr>
        <w:ind w:left="440" w:right="40" w:firstLine="419"/>
        <w:spacing w:after="0" w:line="263" w:lineRule="auto"/>
        <w:tabs>
          <w:tab w:leader="none" w:pos="1078" w:val="left"/>
        </w:tabs>
        <w:numPr>
          <w:ilvl w:val="1"/>
          <w:numId w:val="55"/>
        </w:numPr>
        <w:rPr>
          <w:rFonts w:ascii="Arial" w:cs="Arial" w:eastAsia="Arial" w:hAnsi="Arial"/>
          <w:sz w:val="18"/>
          <w:szCs w:val="18"/>
          <w:b w:val="1"/>
          <w:bCs w:val="1"/>
          <w:color w:val="auto"/>
        </w:rPr>
      </w:pPr>
      <w:r>
        <w:rPr>
          <w:rFonts w:ascii="Arial" w:cs="Arial" w:eastAsia="Arial" w:hAnsi="Arial"/>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Corporate Transaction);</w:t>
      </w:r>
    </w:p>
    <w:p>
      <w:pPr>
        <w:spacing w:after="0" w:line="75" w:lineRule="exact"/>
        <w:rPr>
          <w:rFonts w:ascii="Arial" w:cs="Arial" w:eastAsia="Arial" w:hAnsi="Arial"/>
          <w:sz w:val="18"/>
          <w:szCs w:val="18"/>
          <w:b w:val="1"/>
          <w:bCs w:val="1"/>
          <w:color w:val="auto"/>
        </w:rPr>
      </w:pPr>
    </w:p>
    <w:p>
      <w:pPr>
        <w:ind w:left="440" w:right="100" w:firstLine="419"/>
        <w:spacing w:after="0" w:line="342" w:lineRule="auto"/>
        <w:tabs>
          <w:tab w:leader="none" w:pos="1128" w:val="left"/>
        </w:tabs>
        <w:numPr>
          <w:ilvl w:val="1"/>
          <w:numId w:val="55"/>
        </w:numPr>
        <w:rPr>
          <w:rFonts w:ascii="Arial" w:cs="Arial" w:eastAsia="Arial" w:hAnsi="Arial"/>
          <w:sz w:val="16"/>
          <w:szCs w:val="16"/>
          <w:b w:val="1"/>
          <w:bCs w:val="1"/>
          <w:color w:val="auto"/>
        </w:rPr>
      </w:pPr>
      <w:r>
        <w:rPr>
          <w:rFonts w:ascii="Arial" w:cs="Arial" w:eastAsia="Arial" w:hAnsi="Arial"/>
          <w:sz w:val="16"/>
          <w:szCs w:val="16"/>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15" w:lineRule="exact"/>
        <w:rPr>
          <w:rFonts w:ascii="Arial" w:cs="Arial" w:eastAsia="Arial" w:hAnsi="Arial"/>
          <w:sz w:val="16"/>
          <w:szCs w:val="16"/>
          <w:b w:val="1"/>
          <w:bCs w:val="1"/>
          <w:color w:val="auto"/>
        </w:rPr>
      </w:pPr>
    </w:p>
    <w:p>
      <w:pPr>
        <w:jc w:val="both"/>
        <w:ind w:left="440" w:firstLine="419"/>
        <w:spacing w:after="0" w:line="259" w:lineRule="auto"/>
        <w:tabs>
          <w:tab w:leader="none" w:pos="1178" w:val="left"/>
        </w:tabs>
        <w:numPr>
          <w:ilvl w:val="1"/>
          <w:numId w:val="55"/>
        </w:numPr>
        <w:rPr>
          <w:rFonts w:ascii="Arial" w:cs="Arial" w:eastAsia="Arial" w:hAnsi="Arial"/>
          <w:sz w:val="18"/>
          <w:szCs w:val="18"/>
          <w:b w:val="1"/>
          <w:bCs w:val="1"/>
          <w:color w:val="auto"/>
        </w:rPr>
      </w:pPr>
      <w:r>
        <w:rPr>
          <w:rFonts w:ascii="Arial" w:cs="Arial" w:eastAsia="Arial" w:hAnsi="Arial"/>
          <w:sz w:val="18"/>
          <w:szCs w:val="18"/>
          <w:color w:val="auto"/>
        </w:rPr>
        <w:t>accelerate the vesting, in whole or in part, of the Stock Award (and, if applicable, the time at which the Stock Award may be exercised) to a date prior to the effective time of such Corporate Transaction as the Board shall determine (or, if the Board shall not determine such a date, to the date that is five (5) days prior to the effective date of the Corporate Transaction), with such Stock Award terminating if not exercised (if applicable) at or prior to the effective time of the Corporate Transaction;</w:t>
      </w:r>
    </w:p>
    <w:p>
      <w:pPr>
        <w:spacing w:after="0" w:line="78" w:lineRule="exact"/>
        <w:rPr>
          <w:rFonts w:ascii="Arial" w:cs="Arial" w:eastAsia="Arial" w:hAnsi="Arial"/>
          <w:sz w:val="18"/>
          <w:szCs w:val="18"/>
          <w:b w:val="1"/>
          <w:bCs w:val="1"/>
          <w:color w:val="auto"/>
        </w:rPr>
      </w:pPr>
    </w:p>
    <w:p>
      <w:pPr>
        <w:ind w:left="1160" w:hanging="301"/>
        <w:spacing w:after="0"/>
        <w:tabs>
          <w:tab w:leader="none" w:pos="1160" w:val="left"/>
        </w:tabs>
        <w:numPr>
          <w:ilvl w:val="1"/>
          <w:numId w:val="55"/>
        </w:numPr>
        <w:rPr>
          <w:rFonts w:ascii="Arial" w:cs="Arial" w:eastAsia="Arial" w:hAnsi="Arial"/>
          <w:sz w:val="18"/>
          <w:szCs w:val="18"/>
          <w:b w:val="1"/>
          <w:bCs w:val="1"/>
          <w:color w:val="auto"/>
        </w:rPr>
      </w:pPr>
      <w:r>
        <w:rPr>
          <w:rFonts w:ascii="Arial" w:cs="Arial" w:eastAsia="Arial" w:hAnsi="Arial"/>
          <w:sz w:val="18"/>
          <w:szCs w:val="18"/>
          <w:color w:val="auto"/>
        </w:rPr>
        <w:t>arrange for the lapse of any reacquisition or repurchase rights held by the Company with respect to the Stock Award;</w:t>
      </w:r>
    </w:p>
    <w:p>
      <w:pPr>
        <w:spacing w:after="0" w:line="117" w:lineRule="exact"/>
        <w:rPr>
          <w:rFonts w:ascii="Arial" w:cs="Arial" w:eastAsia="Arial" w:hAnsi="Arial"/>
          <w:sz w:val="18"/>
          <w:szCs w:val="18"/>
          <w:b w:val="1"/>
          <w:bCs w:val="1"/>
          <w:color w:val="auto"/>
        </w:rPr>
      </w:pPr>
    </w:p>
    <w:p>
      <w:pPr>
        <w:ind w:left="440" w:right="420" w:firstLine="419"/>
        <w:spacing w:after="0" w:line="342" w:lineRule="auto"/>
        <w:tabs>
          <w:tab w:leader="none" w:pos="1118" w:val="left"/>
        </w:tabs>
        <w:numPr>
          <w:ilvl w:val="1"/>
          <w:numId w:val="55"/>
        </w:numPr>
        <w:rPr>
          <w:rFonts w:ascii="Arial" w:cs="Arial" w:eastAsia="Arial" w:hAnsi="Arial"/>
          <w:sz w:val="16"/>
          <w:szCs w:val="16"/>
          <w:b w:val="1"/>
          <w:bCs w:val="1"/>
          <w:color w:val="auto"/>
        </w:rPr>
      </w:pPr>
      <w:r>
        <w:rPr>
          <w:rFonts w:ascii="Arial" w:cs="Arial" w:eastAsia="Arial" w:hAnsi="Arial"/>
          <w:sz w:val="16"/>
          <w:szCs w:val="16"/>
          <w:color w:val="auto"/>
        </w:rPr>
        <w:t>cancel or arrange for the cancellation of the Stock Award, to the extent not vested or not exercised prior to the effective time of the Corporate Transaction, in exchange for such cash consideration, if any, as the Board, in its sole discretion, may consider appropriate; and</w:t>
      </w:r>
    </w:p>
    <w:p>
      <w:pPr>
        <w:spacing w:after="0" w:line="15" w:lineRule="exact"/>
        <w:rPr>
          <w:rFonts w:ascii="Arial" w:cs="Arial" w:eastAsia="Arial" w:hAnsi="Arial"/>
          <w:sz w:val="16"/>
          <w:szCs w:val="16"/>
          <w:b w:val="1"/>
          <w:bCs w:val="1"/>
          <w:color w:val="auto"/>
        </w:rPr>
      </w:pPr>
    </w:p>
    <w:p>
      <w:pPr>
        <w:ind w:left="440" w:firstLine="419"/>
        <w:spacing w:after="0" w:line="263" w:lineRule="auto"/>
        <w:tabs>
          <w:tab w:leader="none" w:pos="1168" w:val="left"/>
        </w:tabs>
        <w:numPr>
          <w:ilvl w:val="1"/>
          <w:numId w:val="55"/>
        </w:numPr>
        <w:rPr>
          <w:rFonts w:ascii="Arial" w:cs="Arial" w:eastAsia="Arial" w:hAnsi="Arial"/>
          <w:sz w:val="18"/>
          <w:szCs w:val="18"/>
          <w:b w:val="1"/>
          <w:bCs w:val="1"/>
          <w:color w:val="auto"/>
        </w:rPr>
      </w:pPr>
      <w:r>
        <w:rPr>
          <w:rFonts w:ascii="Arial" w:cs="Arial" w:eastAsia="Arial" w:hAnsi="Arial"/>
          <w:sz w:val="18"/>
          <w:szCs w:val="18"/>
          <w:color w:val="auto"/>
        </w:rPr>
        <w:t>make a payment, in such form as may be determined by the Board equal to the excess, if any, of (A) the value of the property the holder of the Stock Award would have received upon the exercise of the Stock Award, over (B) any exercise price payable by such holder in connection with such exercise.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440" w:top="274" w:right="519" w:bottom="1440" w:gutter="0" w:footer="0" w:header="0"/>
        </w:sectPr>
      </w:pPr>
    </w:p>
    <w:bookmarkStart w:id="41" w:name="page42"/>
    <w:bookmarkEnd w:id="4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need not take the same action with respect to all Stock Awards or with respect to all Participants.</w:t>
      </w:r>
    </w:p>
    <w:p>
      <w:pPr>
        <w:spacing w:after="0" w:line="221" w:lineRule="exact"/>
        <w:rPr>
          <w:sz w:val="20"/>
          <w:szCs w:val="20"/>
          <w:color w:val="auto"/>
        </w:rPr>
      </w:pPr>
    </w:p>
    <w:p>
      <w:pPr>
        <w:jc w:val="both"/>
        <w:ind w:left="4" w:right="120" w:firstLine="436"/>
        <w:spacing w:after="0" w:line="289" w:lineRule="auto"/>
        <w:tabs>
          <w:tab w:leader="none" w:pos="709" w:val="left"/>
        </w:tabs>
        <w:numPr>
          <w:ilvl w:val="1"/>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Change in Control. </w:t>
      </w:r>
      <w:r>
        <w:rPr>
          <w:rFonts w:ascii="Arial" w:cs="Arial" w:eastAsia="Arial" w:hAnsi="Arial"/>
          <w:sz w:val="17"/>
          <w:szCs w:val="17"/>
          <w:color w:val="auto"/>
        </w:rPr>
        <w:t>A Stock Award may be subject to additional acceleration of vesting and exercisability upon or after a Change in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as may be provided in the Stock Award Agreement for such Stock Award or as may be provided in any other written agreement between the Company or any Affiliate and the Participant, but in the absence of such provision, no such acceleration shall occur.</w:t>
      </w:r>
    </w:p>
    <w:p>
      <w:pPr>
        <w:spacing w:after="0" w:line="306" w:lineRule="exact"/>
        <w:rPr>
          <w:rFonts w:ascii="Arial" w:cs="Arial" w:eastAsia="Arial" w:hAnsi="Arial"/>
          <w:sz w:val="17"/>
          <w:szCs w:val="17"/>
          <w:b w:val="1"/>
          <w:bCs w:val="1"/>
          <w:color w:val="auto"/>
        </w:rPr>
      </w:pPr>
    </w:p>
    <w:p>
      <w:pPr>
        <w:ind w:left="424" w:hanging="424"/>
        <w:spacing w:after="0"/>
        <w:tabs>
          <w:tab w:leader="none" w:pos="424"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ERMINATION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USPENSION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jc w:val="both"/>
        <w:ind w:left="4" w:right="80" w:firstLine="436"/>
        <w:spacing w:after="0" w:line="261" w:lineRule="auto"/>
        <w:tabs>
          <w:tab w:leader="none" w:pos="699" w:val="left"/>
        </w:tabs>
        <w:numPr>
          <w:ilvl w:val="1"/>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Term. </w:t>
      </w:r>
      <w:r>
        <w:rPr>
          <w:rFonts w:ascii="Arial" w:cs="Arial" w:eastAsia="Arial" w:hAnsi="Arial"/>
          <w:sz w:val="18"/>
          <w:szCs w:val="18"/>
          <w:color w:val="auto"/>
        </w:rPr>
        <w:t>The Board may suspend or terminate the Plan at any time. Unless sooner terminated by the Board pursuant to Section 2,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shall automatically terminate on the day before the tenth (10th) anniversary of the earlier of (i) the date the Plan is adopted by the Board, or (ii) the date the Plan is approved by the stockholders of the Company. No Stock Awards may be granted under the Plan while the Plan is suspended or after it is terminated.</w:t>
      </w:r>
    </w:p>
    <w:p>
      <w:pPr>
        <w:spacing w:after="0" w:line="179" w:lineRule="exact"/>
        <w:rPr>
          <w:rFonts w:ascii="Arial" w:cs="Arial" w:eastAsia="Arial" w:hAnsi="Arial"/>
          <w:sz w:val="18"/>
          <w:szCs w:val="18"/>
          <w:b w:val="1"/>
          <w:bCs w:val="1"/>
          <w:color w:val="auto"/>
        </w:rPr>
      </w:pPr>
    </w:p>
    <w:p>
      <w:pPr>
        <w:ind w:left="4" w:firstLine="436"/>
        <w:spacing w:after="0" w:line="282" w:lineRule="auto"/>
        <w:tabs>
          <w:tab w:leader="none" w:pos="709" w:val="left"/>
        </w:tabs>
        <w:numPr>
          <w:ilvl w:val="1"/>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Impairment of Rights. </w:t>
      </w:r>
      <w:r>
        <w:rPr>
          <w:rFonts w:ascii="Arial" w:cs="Arial" w:eastAsia="Arial" w:hAnsi="Arial"/>
          <w:sz w:val="18"/>
          <w:szCs w:val="18"/>
          <w:color w:val="auto"/>
        </w:rPr>
        <w:t>Suspension or termination of the Plan shall not impair rights and obligations under any Stock Award granted while</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is in effect except with the written consent of the affected Participant.</w:t>
      </w:r>
    </w:p>
    <w:p>
      <w:pPr>
        <w:spacing w:after="0" w:line="310" w:lineRule="exact"/>
        <w:rPr>
          <w:rFonts w:ascii="Arial" w:cs="Arial" w:eastAsia="Arial" w:hAnsi="Arial"/>
          <w:sz w:val="18"/>
          <w:szCs w:val="18"/>
          <w:b w:val="1"/>
          <w:bCs w:val="1"/>
          <w:color w:val="auto"/>
        </w:rPr>
      </w:pPr>
    </w:p>
    <w:p>
      <w:pPr>
        <w:ind w:left="424" w:hanging="424"/>
        <w:spacing w:after="0"/>
        <w:tabs>
          <w:tab w:leader="none" w:pos="424"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Plan shall become effective on the Effective Date.</w:t>
      </w:r>
    </w:p>
    <w:p>
      <w:pPr>
        <w:spacing w:after="0" w:line="370" w:lineRule="exact"/>
        <w:rPr>
          <w:sz w:val="20"/>
          <w:szCs w:val="20"/>
          <w:color w:val="auto"/>
        </w:rPr>
      </w:pPr>
    </w:p>
    <w:p>
      <w:pPr>
        <w:ind w:left="424" w:hanging="424"/>
        <w:spacing w:after="0"/>
        <w:tabs>
          <w:tab w:leader="none" w:pos="424"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HOICE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w:t>
      </w:r>
    </w:p>
    <w:p>
      <w:pPr>
        <w:spacing w:after="0" w:line="121"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The law of the State of California shall govern all questions concerning the construction, validity and interpretation of this Plan, without regard to that state’s conflict of laws rules.</w:t>
      </w:r>
    </w:p>
    <w:p>
      <w:pPr>
        <w:spacing w:after="0" w:line="315" w:lineRule="exact"/>
        <w:rPr>
          <w:sz w:val="20"/>
          <w:szCs w:val="20"/>
          <w:color w:val="auto"/>
        </w:rPr>
      </w:pPr>
    </w:p>
    <w:p>
      <w:pPr>
        <w:ind w:left="424" w:hanging="424"/>
        <w:spacing w:after="0"/>
        <w:tabs>
          <w:tab w:leader="none" w:pos="424"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the Plan, the following definitions shall apply to the capitalized terms indicated below:</w:t>
      </w:r>
    </w:p>
    <w:p>
      <w:pPr>
        <w:spacing w:after="0" w:line="121" w:lineRule="exact"/>
        <w:rPr>
          <w:rFonts w:ascii="Arial" w:cs="Arial" w:eastAsia="Arial" w:hAnsi="Arial"/>
          <w:sz w:val="18"/>
          <w:szCs w:val="18"/>
          <w:b w:val="1"/>
          <w:bCs w:val="1"/>
          <w:color w:val="auto"/>
        </w:rPr>
      </w:pPr>
    </w:p>
    <w:p>
      <w:pPr>
        <w:ind w:left="4" w:right="280" w:firstLine="436"/>
        <w:spacing w:after="0" w:line="263" w:lineRule="auto"/>
        <w:tabs>
          <w:tab w:leader="none" w:pos="699" w:val="left"/>
        </w:tabs>
        <w:numPr>
          <w:ilvl w:val="1"/>
          <w:numId w:val="5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“Affiliate” </w:t>
      </w:r>
      <w:r>
        <w:rPr>
          <w:rFonts w:ascii="Arial" w:cs="Arial" w:eastAsia="Arial" w:hAnsi="Arial"/>
          <w:sz w:val="18"/>
          <w:szCs w:val="18"/>
          <w:color w:val="auto"/>
        </w:rPr>
        <w:t>means, at the time of determination, any “parent” or “majority-owned subsidiary” of the Company, as such terms are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Rule 405. The Board shall have the authority to determine the time or times at which “parent” or “majority-owned subsidiary” status is determined within the foregoing definition.</w:t>
      </w:r>
    </w:p>
    <w:p>
      <w:pPr>
        <w:spacing w:after="0" w:line="183" w:lineRule="exact"/>
        <w:rPr>
          <w:rFonts w:ascii="Arial" w:cs="Arial" w:eastAsia="Arial" w:hAnsi="Arial"/>
          <w:sz w:val="18"/>
          <w:szCs w:val="18"/>
          <w:b w:val="1"/>
          <w:bCs w:val="1"/>
          <w:color w:val="auto"/>
        </w:rPr>
      </w:pPr>
    </w:p>
    <w:p>
      <w:pPr>
        <w:ind w:left="704" w:hanging="264"/>
        <w:spacing w:after="0"/>
        <w:tabs>
          <w:tab w:leader="none" w:pos="704" w:val="left"/>
        </w:tabs>
        <w:numPr>
          <w:ilvl w:val="1"/>
          <w:numId w:val="5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“Board” </w:t>
      </w:r>
      <w:r>
        <w:rPr>
          <w:rFonts w:ascii="Arial" w:cs="Arial" w:eastAsia="Arial" w:hAnsi="Arial"/>
          <w:sz w:val="18"/>
          <w:szCs w:val="18"/>
          <w:color w:val="auto"/>
        </w:rPr>
        <w:t>means the Board of Directors of the Company.</w:t>
      </w:r>
    </w:p>
    <w:p>
      <w:pPr>
        <w:spacing w:after="0" w:line="225" w:lineRule="exact"/>
        <w:rPr>
          <w:rFonts w:ascii="Arial" w:cs="Arial" w:eastAsia="Arial" w:hAnsi="Arial"/>
          <w:sz w:val="18"/>
          <w:szCs w:val="18"/>
          <w:b w:val="1"/>
          <w:bCs w:val="1"/>
          <w:color w:val="auto"/>
        </w:rPr>
      </w:pPr>
    </w:p>
    <w:p>
      <w:pPr>
        <w:ind w:left="4" w:right="220" w:firstLine="436"/>
        <w:spacing w:after="0" w:line="273" w:lineRule="auto"/>
        <w:tabs>
          <w:tab w:leader="none" w:pos="689" w:val="left"/>
        </w:tabs>
        <w:numPr>
          <w:ilvl w:val="1"/>
          <w:numId w:val="5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“Capitalization Adjustment” </w:t>
      </w:r>
      <w:r>
        <w:rPr>
          <w:rFonts w:ascii="Arial" w:cs="Arial" w:eastAsia="Arial" w:hAnsi="Arial"/>
          <w:sz w:val="17"/>
          <w:szCs w:val="17"/>
          <w:color w:val="auto"/>
        </w:rPr>
        <w:t>means any change that is made in, or other events that occur with respect to, the Common Stock subject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 or subject to any Stock Award after the Effective Date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any similar equity restructuring transaction, as that term is used in Statement of Financial Accounting Standards No. 123 (revised). Notwithstanding the foregoing, the conversion of any convertible securities of the Company shall not be treated as a Capitalization Adjustment.</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42" w:name="page43"/>
    <w:bookmarkEnd w:id="42"/>
    <w:p>
      <w:pPr>
        <w:ind w:right="40" w:firstLine="436"/>
        <w:spacing w:after="0" w:line="268" w:lineRule="auto"/>
        <w:tabs>
          <w:tab w:leader="none" w:pos="705"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“Cause” </w:t>
      </w:r>
      <w:r>
        <w:rPr>
          <w:rFonts w:ascii="Arial" w:cs="Arial" w:eastAsia="Arial" w:hAnsi="Arial"/>
          <w:sz w:val="17"/>
          <w:szCs w:val="17"/>
          <w:color w:val="auto"/>
        </w:rPr>
        <w:t>shall have the meaning ascribed to such term in any written agreement between the Participant and the Company defining such term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material act of dishonesty against the Company; (iii) such Participant’s intentional, material violation of any contract or agreement between the Participant and the Company or of any statutory duty owed to the Company; (iv) such Participant’s repeated and willful failure to satisfactorily perform such Participant’s job duties after 30 days written notice of such deficiency and an opportunity to cure (of at least 15 business days); (v) such Participant’s engaging or participating in any activity which is directly competitive with or injurious to the Company or which violates any material provisions of such Participant’s Proprietary Information and Inventions Agreement with the Company (if applicable) which remains uncured after 30 days written notice thereof; or (vi) such Participant’s gross misconduct. The determination that a termination of the Participant’s Continuous Service is either for Cause or without Cause shall be made by the Company in its sole discretion. Any determination by the Company that the Continuous Service of a Participant was terminated with or without Cause for the purposes of outstanding Stock Awards held by such Participant shall have no effect upon any determination of the rights or obligations of the Company or such Participant for any other purpose.</w:t>
      </w:r>
    </w:p>
    <w:p>
      <w:pPr>
        <w:spacing w:after="0" w:line="186" w:lineRule="exact"/>
        <w:rPr>
          <w:rFonts w:ascii="Arial" w:cs="Arial" w:eastAsia="Arial" w:hAnsi="Arial"/>
          <w:sz w:val="17"/>
          <w:szCs w:val="17"/>
          <w:b w:val="1"/>
          <w:bCs w:val="1"/>
          <w:color w:val="auto"/>
        </w:rPr>
      </w:pPr>
    </w:p>
    <w:p>
      <w:pPr>
        <w:ind w:left="680" w:hanging="244"/>
        <w:spacing w:after="0"/>
        <w:tabs>
          <w:tab w:leader="none" w:pos="680"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“Change in Control” </w:t>
      </w:r>
      <w:r>
        <w:rPr>
          <w:rFonts w:ascii="Arial" w:cs="Arial" w:eastAsia="Arial" w:hAnsi="Arial"/>
          <w:sz w:val="16"/>
          <w:szCs w:val="16"/>
          <w:color w:val="auto"/>
        </w:rPr>
        <w:t>means the occurrence, in a single transaction or in a series of related transactions, of any one or more of the following</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events:</w:t>
      </w:r>
    </w:p>
    <w:p>
      <w:pPr>
        <w:spacing w:after="0" w:line="103" w:lineRule="exact"/>
        <w:rPr>
          <w:sz w:val="20"/>
          <w:szCs w:val="20"/>
          <w:color w:val="auto"/>
        </w:rPr>
      </w:pPr>
    </w:p>
    <w:p>
      <w:pPr>
        <w:ind w:left="440" w:firstLine="419"/>
        <w:spacing w:after="0" w:line="269" w:lineRule="auto"/>
        <w:tabs>
          <w:tab w:leader="none" w:pos="1078" w:val="left"/>
        </w:tabs>
        <w:numPr>
          <w:ilvl w:val="0"/>
          <w:numId w:val="61"/>
        </w:numPr>
        <w:rPr>
          <w:rFonts w:ascii="Arial" w:cs="Arial" w:eastAsia="Arial" w:hAnsi="Arial"/>
          <w:sz w:val="17"/>
          <w:szCs w:val="17"/>
          <w:b w:val="1"/>
          <w:bCs w:val="1"/>
          <w:color w:val="auto"/>
        </w:rPr>
      </w:pPr>
      <w:r>
        <w:rPr>
          <w:rFonts w:ascii="Arial" w:cs="Arial" w:eastAsia="Arial" w:hAnsi="Arial"/>
          <w:sz w:val="17"/>
          <w:szCs w:val="17"/>
          <w:color w:val="auto"/>
        </w:rPr>
        <w:t xml:space="preserve">any Exchange Act Person becomes the Owner,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7"/>
          <w:szCs w:val="17"/>
          <w:i w:val="1"/>
          <w:iCs w:val="1"/>
          <w:color w:val="auto"/>
        </w:rPr>
        <w:t>“Subject Person”)</w:t>
      </w:r>
      <w:r>
        <w:rPr>
          <w:rFonts w:ascii="Arial" w:cs="Arial" w:eastAsia="Arial" w:hAnsi="Arial"/>
          <w:sz w:val="17"/>
          <w:szCs w:val="17"/>
          <w:color w:val="auto"/>
        </w:rPr>
        <w:t xml:space="preserve">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70" w:lineRule="exact"/>
        <w:rPr>
          <w:rFonts w:ascii="Arial" w:cs="Arial" w:eastAsia="Arial" w:hAnsi="Arial"/>
          <w:sz w:val="17"/>
          <w:szCs w:val="17"/>
          <w:b w:val="1"/>
          <w:bCs w:val="1"/>
          <w:color w:val="auto"/>
        </w:rPr>
      </w:pPr>
    </w:p>
    <w:p>
      <w:pPr>
        <w:ind w:left="440" w:right="260" w:firstLine="419"/>
        <w:spacing w:after="0" w:line="277" w:lineRule="auto"/>
        <w:tabs>
          <w:tab w:leader="none" w:pos="1128"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there is consummated a merger, consolidation or similar transaction involving (directly or indirectly) the Company and, immediately after the consummation of</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440" w:top="274" w:right="519" w:bottom="1440" w:gutter="0" w:footer="0" w:header="0"/>
        </w:sectPr>
      </w:pPr>
    </w:p>
    <w:bookmarkStart w:id="43" w:name="page44"/>
    <w:bookmarkEnd w:id="43"/>
    <w:p>
      <w:pPr>
        <w:ind w:left="440" w:right="1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merger, consolidation or similar transaction, the stockholders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68" w:lineRule="exact"/>
        <w:rPr>
          <w:sz w:val="20"/>
          <w:szCs w:val="20"/>
          <w:color w:val="auto"/>
        </w:rPr>
      </w:pPr>
    </w:p>
    <w:p>
      <w:pPr>
        <w:ind w:left="440" w:right="380" w:firstLine="419"/>
        <w:spacing w:after="0" w:line="342" w:lineRule="auto"/>
        <w:tabs>
          <w:tab w:leader="none" w:pos="1178" w:val="left"/>
        </w:tabs>
        <w:numPr>
          <w:ilvl w:val="0"/>
          <w:numId w:val="62"/>
        </w:numPr>
        <w:rPr>
          <w:rFonts w:ascii="Arial" w:cs="Arial" w:eastAsia="Arial" w:hAnsi="Arial"/>
          <w:sz w:val="16"/>
          <w:szCs w:val="16"/>
          <w:b w:val="1"/>
          <w:bCs w:val="1"/>
          <w:color w:val="auto"/>
        </w:rPr>
      </w:pPr>
      <w:r>
        <w:rPr>
          <w:rFonts w:ascii="Arial" w:cs="Arial" w:eastAsia="Arial" w:hAnsi="Arial"/>
          <w:sz w:val="16"/>
          <w:szCs w:val="16"/>
          <w:color w:val="auto"/>
        </w:rPr>
        <w:t>the stockholders of the Company approve or the Board approves a plan of complete dissolution or liquidation of the Company, or a complete dissolution or liquidation of the Company shall otherwise occur, except for a liquidation into a parent corporation; or</w:t>
      </w:r>
    </w:p>
    <w:p>
      <w:pPr>
        <w:spacing w:after="0" w:line="15" w:lineRule="exact"/>
        <w:rPr>
          <w:rFonts w:ascii="Arial" w:cs="Arial" w:eastAsia="Arial" w:hAnsi="Arial"/>
          <w:sz w:val="16"/>
          <w:szCs w:val="16"/>
          <w:b w:val="1"/>
          <w:bCs w:val="1"/>
          <w:color w:val="auto"/>
        </w:rPr>
      </w:pPr>
    </w:p>
    <w:p>
      <w:pPr>
        <w:ind w:left="440" w:right="440" w:firstLine="419"/>
        <w:spacing w:after="0" w:line="275" w:lineRule="auto"/>
        <w:tabs>
          <w:tab w:leader="none" w:pos="1168" w:val="left"/>
        </w:tabs>
        <w:numPr>
          <w:ilvl w:val="0"/>
          <w:numId w:val="62"/>
        </w:numPr>
        <w:rPr>
          <w:rFonts w:ascii="Arial" w:cs="Arial" w:eastAsia="Arial" w:hAnsi="Arial"/>
          <w:sz w:val="17"/>
          <w:szCs w:val="17"/>
          <w:b w:val="1"/>
          <w:bCs w:val="1"/>
          <w:color w:val="auto"/>
        </w:rPr>
      </w:pPr>
      <w:r>
        <w:rPr>
          <w:rFonts w:ascii="Arial" w:cs="Arial" w:eastAsia="Arial" w:hAnsi="Arial"/>
          <w:sz w:val="17"/>
          <w:szCs w:val="17"/>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w:t>
      </w:r>
    </w:p>
    <w:p>
      <w:pPr>
        <w:spacing w:after="0" w:line="176"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 xml:space="preserve">Notwithstanding the foregoing definition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Stock Awards subject to such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no definition of Change in Control or any analogous term is set forth in such an individual written agreement, the foregoing definition shall apply.</w:t>
      </w:r>
    </w:p>
    <w:p>
      <w:pPr>
        <w:spacing w:after="0" w:line="176" w:lineRule="exact"/>
        <w:rPr>
          <w:sz w:val="20"/>
          <w:szCs w:val="20"/>
          <w:color w:val="auto"/>
        </w:rPr>
      </w:pPr>
    </w:p>
    <w:p>
      <w:pPr>
        <w:ind w:left="660" w:hanging="224"/>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“Code” </w:t>
      </w:r>
      <w:r>
        <w:rPr>
          <w:rFonts w:ascii="Arial" w:cs="Arial" w:eastAsia="Arial" w:hAnsi="Arial"/>
          <w:sz w:val="18"/>
          <w:szCs w:val="18"/>
          <w:color w:val="auto"/>
        </w:rPr>
        <w:t>means the Internal Revenue Code of 1986, as amended, including any applicable regulations and guidance thereunder.</w:t>
      </w:r>
    </w:p>
    <w:p>
      <w:pPr>
        <w:spacing w:after="0" w:line="225" w:lineRule="exact"/>
        <w:rPr>
          <w:rFonts w:ascii="Arial" w:cs="Arial" w:eastAsia="Arial" w:hAnsi="Arial"/>
          <w:sz w:val="18"/>
          <w:szCs w:val="18"/>
          <w:b w:val="1"/>
          <w:bCs w:val="1"/>
          <w:color w:val="auto"/>
        </w:rPr>
      </w:pPr>
    </w:p>
    <w:p>
      <w:pPr>
        <w:ind w:right="640" w:firstLine="436"/>
        <w:spacing w:after="0" w:line="277" w:lineRule="auto"/>
        <w:tabs>
          <w:tab w:leader="none" w:pos="695"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“Committee” </w:t>
      </w:r>
      <w:r>
        <w:rPr>
          <w:rFonts w:ascii="Arial" w:cs="Arial" w:eastAsia="Arial" w:hAnsi="Arial"/>
          <w:sz w:val="18"/>
          <w:szCs w:val="18"/>
          <w:color w:val="auto"/>
        </w:rPr>
        <w:t>means a committee of one (1) or more Directors to whom authority has been delegated by the Board in accordance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2(c).</w:t>
      </w:r>
    </w:p>
    <w:p>
      <w:pPr>
        <w:spacing w:after="0" w:line="170" w:lineRule="exact"/>
        <w:rPr>
          <w:rFonts w:ascii="Arial" w:cs="Arial" w:eastAsia="Arial" w:hAnsi="Arial"/>
          <w:sz w:val="18"/>
          <w:szCs w:val="18"/>
          <w:b w:val="1"/>
          <w:bCs w:val="1"/>
          <w:color w:val="auto"/>
        </w:rPr>
      </w:pPr>
    </w:p>
    <w:p>
      <w:pPr>
        <w:ind w:left="700" w:hanging="264"/>
        <w:spacing w:after="0"/>
        <w:tabs>
          <w:tab w:leader="none" w:pos="7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means the common stock of the Company.</w:t>
      </w:r>
    </w:p>
    <w:p>
      <w:pPr>
        <w:spacing w:after="0" w:line="225" w:lineRule="exact"/>
        <w:rPr>
          <w:rFonts w:ascii="Arial" w:cs="Arial" w:eastAsia="Arial" w:hAnsi="Arial"/>
          <w:sz w:val="18"/>
          <w:szCs w:val="18"/>
          <w:b w:val="1"/>
          <w:bCs w:val="1"/>
          <w:color w:val="auto"/>
        </w:rPr>
      </w:pPr>
    </w:p>
    <w:p>
      <w:pPr>
        <w:ind w:left="660" w:hanging="224"/>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“Company” </w:t>
      </w:r>
      <w:r>
        <w:rPr>
          <w:rFonts w:ascii="Arial" w:cs="Arial" w:eastAsia="Arial" w:hAnsi="Arial"/>
          <w:sz w:val="18"/>
          <w:szCs w:val="18"/>
          <w:color w:val="auto"/>
        </w:rPr>
        <w:t>means Inception 2, Inc., a Delaware corporation.</w:t>
      </w:r>
    </w:p>
    <w:p>
      <w:pPr>
        <w:spacing w:after="0" w:line="225" w:lineRule="exact"/>
        <w:rPr>
          <w:rFonts w:ascii="Arial" w:cs="Arial" w:eastAsia="Arial" w:hAnsi="Arial"/>
          <w:sz w:val="18"/>
          <w:szCs w:val="18"/>
          <w:b w:val="1"/>
          <w:bCs w:val="1"/>
          <w:color w:val="auto"/>
        </w:rPr>
      </w:pPr>
    </w:p>
    <w:p>
      <w:pPr>
        <w:ind w:firstLine="436"/>
        <w:spacing w:after="0" w:line="296" w:lineRule="auto"/>
        <w:tabs>
          <w:tab w:leader="none" w:pos="665"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“Consultant” </w:t>
      </w:r>
      <w:r>
        <w:rPr>
          <w:rFonts w:ascii="Arial" w:cs="Arial" w:eastAsia="Arial" w:hAnsi="Arial"/>
          <w:sz w:val="16"/>
          <w:szCs w:val="16"/>
          <w:color w:val="auto"/>
        </w:rPr>
        <w:t>means any person, including an advisor, who (i) provides consulting or advisory services to the Company or to a parent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subsidiary of the Company either (a) directly, in an individual capacity, or (b) indirectly, through an entity of which such person is an employee, consultant, partner or member and which entity provides to the Company or to a parent or subsidiary of the Company consulting services involving such individual, or (ii) serving as a member of the board of directors of an Affiliate and is compensated for such services. However, service solely as a Director, or payment of a fee for such service, shall not cause a Director to be considered a “Consultant” for purposes of the Plan.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44" w:name="page45"/>
    <w:bookmarkEnd w:id="44"/>
    <w:p>
      <w:pPr>
        <w:ind w:left="-20" w:right="40" w:firstLine="436"/>
        <w:spacing w:after="0" w:line="287" w:lineRule="auto"/>
        <w:tabs>
          <w:tab w:leader="none" w:pos="685"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“Continuous Service” </w:t>
      </w:r>
      <w:r>
        <w:rPr>
          <w:rFonts w:ascii="Arial" w:cs="Arial" w:eastAsia="Arial" w:hAnsi="Arial"/>
          <w:sz w:val="16"/>
          <w:szCs w:val="16"/>
          <w:color w:val="auto"/>
        </w:rPr>
        <w:t>means that the Participant’s service with the Company or an Affiliate, whether as an Employee, Director or Consultant,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shall not terminate a Participant’s Continuous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if the Entity for which a Participant is rendering service ceases to qualify as an Affiliate, as determined by the Board in its sole discretion, such Participant’s Continuous Service shall be considered to have terminated on the date such Entity ceases to qualify as an Affiliate. For example, a change in status from an employee of the Company to a consultant of an Affiliate or to a Director shall not constitute an interruption of Continuous Service. To the extent permitted by law, the Board or the chief executive officer of the Company, in that party’s sole discretion, may determine whether Continuous Service shall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shall be treated as Continuous Service for purposes of vesting in a Stock Award only to such extent as may be provided in the Company’s leave of absence policy, in the written terms of any leave of absence agreement or policy applicable to the Participant, or as otherwise required by law.</w:t>
      </w:r>
    </w:p>
    <w:p>
      <w:pPr>
        <w:spacing w:after="0" w:line="167" w:lineRule="exact"/>
        <w:rPr>
          <w:rFonts w:ascii="Arial" w:cs="Arial" w:eastAsia="Arial" w:hAnsi="Arial"/>
          <w:sz w:val="16"/>
          <w:szCs w:val="16"/>
          <w:b w:val="1"/>
          <w:bCs w:val="1"/>
          <w:color w:val="auto"/>
        </w:rPr>
      </w:pPr>
    </w:p>
    <w:p>
      <w:pPr>
        <w:ind w:left="-20" w:right="700" w:firstLine="436"/>
        <w:spacing w:after="0" w:line="277" w:lineRule="auto"/>
        <w:tabs>
          <w:tab w:leader="none" w:pos="635"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“Corporate Transaction” </w:t>
      </w:r>
      <w:r>
        <w:rPr>
          <w:rFonts w:ascii="Arial" w:cs="Arial" w:eastAsia="Arial" w:hAnsi="Arial"/>
          <w:sz w:val="18"/>
          <w:szCs w:val="18"/>
          <w:color w:val="auto"/>
        </w:rPr>
        <w:t>means the occurrence, in a single transaction or in a series of related transactions, of any one or more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events:</w:t>
      </w:r>
    </w:p>
    <w:p>
      <w:pPr>
        <w:spacing w:after="0" w:line="62" w:lineRule="exact"/>
        <w:rPr>
          <w:rFonts w:ascii="Arial" w:cs="Arial" w:eastAsia="Arial" w:hAnsi="Arial"/>
          <w:sz w:val="18"/>
          <w:szCs w:val="18"/>
          <w:b w:val="1"/>
          <w:bCs w:val="1"/>
          <w:color w:val="auto"/>
        </w:rPr>
      </w:pPr>
    </w:p>
    <w:p>
      <w:pPr>
        <w:ind w:left="420" w:right="660" w:firstLine="419"/>
        <w:spacing w:after="0" w:line="277" w:lineRule="auto"/>
        <w:tabs>
          <w:tab w:leader="none" w:pos="1058"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the consummation of a sale or other disposition of all or substantially all, as determined by the Board in its sole discretion, of the consolidated assets of the Company and its Subsidiaries;</w:t>
      </w:r>
    </w:p>
    <w:p>
      <w:pPr>
        <w:spacing w:after="0" w:line="62" w:lineRule="exact"/>
        <w:rPr>
          <w:rFonts w:ascii="Arial" w:cs="Arial" w:eastAsia="Arial" w:hAnsi="Arial"/>
          <w:sz w:val="18"/>
          <w:szCs w:val="18"/>
          <w:b w:val="1"/>
          <w:bCs w:val="1"/>
          <w:color w:val="auto"/>
        </w:rPr>
      </w:pPr>
    </w:p>
    <w:p>
      <w:pPr>
        <w:ind w:left="1100" w:hanging="261"/>
        <w:spacing w:after="0"/>
        <w:tabs>
          <w:tab w:leader="none" w:pos="1100" w:val="left"/>
        </w:tabs>
        <w:numPr>
          <w:ilvl w:val="1"/>
          <w:numId w:val="64"/>
        </w:numPr>
        <w:rPr>
          <w:rFonts w:ascii="Arial" w:cs="Arial" w:eastAsia="Arial" w:hAnsi="Arial"/>
          <w:sz w:val="17"/>
          <w:szCs w:val="17"/>
          <w:b w:val="1"/>
          <w:bCs w:val="1"/>
          <w:color w:val="auto"/>
        </w:rPr>
      </w:pPr>
      <w:r>
        <w:rPr>
          <w:rFonts w:ascii="Arial" w:cs="Arial" w:eastAsia="Arial" w:hAnsi="Arial"/>
          <w:sz w:val="17"/>
          <w:szCs w:val="17"/>
          <w:color w:val="auto"/>
        </w:rPr>
        <w:t>the consummation of a sale or other disposition of at least ninety percent (90%) of the outstanding securities of the Company;</w:t>
      </w:r>
    </w:p>
    <w:p>
      <w:pPr>
        <w:spacing w:after="0" w:line="128" w:lineRule="exact"/>
        <w:rPr>
          <w:rFonts w:ascii="Arial" w:cs="Arial" w:eastAsia="Arial" w:hAnsi="Arial"/>
          <w:sz w:val="17"/>
          <w:szCs w:val="17"/>
          <w:b w:val="1"/>
          <w:bCs w:val="1"/>
          <w:color w:val="auto"/>
        </w:rPr>
      </w:pPr>
    </w:p>
    <w:p>
      <w:pPr>
        <w:ind w:left="1160" w:hanging="321"/>
        <w:spacing w:after="0"/>
        <w:tabs>
          <w:tab w:leader="none" w:pos="1160" w:val="left"/>
        </w:tabs>
        <w:numPr>
          <w:ilvl w:val="1"/>
          <w:numId w:val="64"/>
        </w:numPr>
        <w:rPr>
          <w:rFonts w:ascii="Arial" w:cs="Arial" w:eastAsia="Arial" w:hAnsi="Arial"/>
          <w:sz w:val="16"/>
          <w:szCs w:val="16"/>
          <w:b w:val="1"/>
          <w:bCs w:val="1"/>
          <w:color w:val="auto"/>
        </w:rPr>
      </w:pPr>
      <w:r>
        <w:rPr>
          <w:rFonts w:ascii="Arial" w:cs="Arial" w:eastAsia="Arial" w:hAnsi="Arial"/>
          <w:sz w:val="16"/>
          <w:szCs w:val="16"/>
          <w:color w:val="auto"/>
        </w:rPr>
        <w:t>the consummation of a merger, consolidation or similar transaction following which the Company is not the surviving corporation; or</w:t>
      </w:r>
    </w:p>
    <w:p>
      <w:pPr>
        <w:spacing w:after="0" w:line="140" w:lineRule="exact"/>
        <w:rPr>
          <w:rFonts w:ascii="Arial" w:cs="Arial" w:eastAsia="Arial" w:hAnsi="Arial"/>
          <w:sz w:val="16"/>
          <w:szCs w:val="16"/>
          <w:b w:val="1"/>
          <w:bCs w:val="1"/>
          <w:color w:val="auto"/>
        </w:rPr>
      </w:pPr>
    </w:p>
    <w:p>
      <w:pPr>
        <w:ind w:left="420" w:firstLine="419"/>
        <w:spacing w:after="0" w:line="311" w:lineRule="auto"/>
        <w:tabs>
          <w:tab w:leader="none" w:pos="1148" w:val="left"/>
        </w:tabs>
        <w:numPr>
          <w:ilvl w:val="1"/>
          <w:numId w:val="64"/>
        </w:numPr>
        <w:rPr>
          <w:rFonts w:ascii="Arial" w:cs="Arial" w:eastAsia="Arial" w:hAnsi="Arial"/>
          <w:sz w:val="16"/>
          <w:szCs w:val="16"/>
          <w:b w:val="1"/>
          <w:bCs w:val="1"/>
          <w:color w:val="auto"/>
        </w:rPr>
      </w:pPr>
      <w:r>
        <w:rPr>
          <w:rFonts w:ascii="Arial" w:cs="Arial" w:eastAsia="Arial" w:hAnsi="Arial"/>
          <w:sz w:val="16"/>
          <w:szCs w:val="16"/>
          <w:color w:val="auto"/>
        </w:rPr>
        <w:t>the consummation of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48" w:lineRule="exact"/>
        <w:rPr>
          <w:rFonts w:ascii="Arial" w:cs="Arial" w:eastAsia="Arial" w:hAnsi="Arial"/>
          <w:sz w:val="16"/>
          <w:szCs w:val="16"/>
          <w:b w:val="1"/>
          <w:bCs w:val="1"/>
          <w:color w:val="auto"/>
        </w:rPr>
      </w:pPr>
    </w:p>
    <w:p>
      <w:pPr>
        <w:ind w:left="740" w:hanging="324"/>
        <w:spacing w:after="0"/>
        <w:tabs>
          <w:tab w:leader="none" w:pos="7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“Director” </w:t>
      </w:r>
      <w:r>
        <w:rPr>
          <w:rFonts w:ascii="Arial" w:cs="Arial" w:eastAsia="Arial" w:hAnsi="Arial"/>
          <w:sz w:val="18"/>
          <w:szCs w:val="18"/>
          <w:color w:val="auto"/>
        </w:rPr>
        <w:t>means a member of the Board.</w:t>
      </w:r>
    </w:p>
    <w:p>
      <w:pPr>
        <w:spacing w:after="0" w:line="225" w:lineRule="exact"/>
        <w:rPr>
          <w:rFonts w:ascii="Arial" w:cs="Arial" w:eastAsia="Arial" w:hAnsi="Arial"/>
          <w:sz w:val="18"/>
          <w:szCs w:val="18"/>
          <w:b w:val="1"/>
          <w:bCs w:val="1"/>
          <w:color w:val="auto"/>
        </w:rPr>
      </w:pPr>
    </w:p>
    <w:p>
      <w:pPr>
        <w:ind w:left="-20" w:right="80" w:firstLine="436"/>
        <w:spacing w:after="0" w:line="259" w:lineRule="auto"/>
        <w:tabs>
          <w:tab w:leader="none" w:pos="685"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“Disability” </w:t>
      </w:r>
      <w:r>
        <w:rPr>
          <w:rFonts w:ascii="Arial" w:cs="Arial" w:eastAsia="Arial" w:hAnsi="Arial"/>
          <w:sz w:val="18"/>
          <w:szCs w:val="18"/>
          <w:color w:val="auto"/>
        </w:rPr>
        <w:t>means the inability of a Participant to engage in any substantially gainful activity by reason of any medically determinable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physical or mental impairment which can be expected to result in death or which has lasted or can be expected to last for a continuous period of not less than twelve (12) months as provided in Sections 22(e)(3) and 409A(a)(2)(c)(i) of the Code and shall be determined by the Board on the basis of such medical evidence as the Board deems warranted under the circumstances.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60" w:top="274" w:right="459" w:bottom="1440" w:gutter="0" w:footer="0" w:header="0"/>
        </w:sectPr>
      </w:pPr>
    </w:p>
    <w:bookmarkStart w:id="45" w:name="page46"/>
    <w:bookmarkEnd w:id="45"/>
    <w:p>
      <w:pPr>
        <w:ind w:right="400" w:firstLine="436"/>
        <w:spacing w:after="0" w:line="277" w:lineRule="auto"/>
        <w:tabs>
          <w:tab w:leader="none" w:pos="695"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“Effective Date” </w:t>
      </w:r>
      <w:r>
        <w:rPr>
          <w:rFonts w:ascii="Arial" w:cs="Arial" w:eastAsia="Arial" w:hAnsi="Arial"/>
          <w:sz w:val="18"/>
          <w:szCs w:val="18"/>
          <w:color w:val="auto"/>
        </w:rPr>
        <w:t>means the effective date of this Plan, which is the earlier of (i) the date that this Plan is first approved by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or (ii) the date this Plan is adopted by the Board.</w:t>
      </w:r>
    </w:p>
    <w:p>
      <w:pPr>
        <w:spacing w:after="0" w:line="170" w:lineRule="exact"/>
        <w:rPr>
          <w:rFonts w:ascii="Arial" w:cs="Arial" w:eastAsia="Arial" w:hAnsi="Arial"/>
          <w:sz w:val="18"/>
          <w:szCs w:val="18"/>
          <w:b w:val="1"/>
          <w:bCs w:val="1"/>
          <w:color w:val="auto"/>
        </w:rPr>
      </w:pPr>
    </w:p>
    <w:p>
      <w:pPr>
        <w:ind w:right="120" w:firstLine="436"/>
        <w:spacing w:after="0" w:line="277" w:lineRule="auto"/>
        <w:tabs>
          <w:tab w:leader="none" w:pos="705"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“Employee” </w:t>
      </w:r>
      <w:r>
        <w:rPr>
          <w:rFonts w:ascii="Arial" w:cs="Arial" w:eastAsia="Arial" w:hAnsi="Arial"/>
          <w:sz w:val="18"/>
          <w:szCs w:val="18"/>
          <w:color w:val="auto"/>
        </w:rPr>
        <w:t>means any person employed by the Company or an Affiliate. However, service solely as a Director, or payment of a fee for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shall not cause a Director to be considered an “Employee” for purposes of the Plan.</w:t>
      </w:r>
    </w:p>
    <w:p>
      <w:pPr>
        <w:spacing w:after="0" w:line="170" w:lineRule="exact"/>
        <w:rPr>
          <w:rFonts w:ascii="Arial" w:cs="Arial" w:eastAsia="Arial" w:hAnsi="Arial"/>
          <w:sz w:val="18"/>
          <w:szCs w:val="18"/>
          <w:b w:val="1"/>
          <w:bCs w:val="1"/>
          <w:color w:val="auto"/>
        </w:rPr>
      </w:pPr>
    </w:p>
    <w:p>
      <w:pPr>
        <w:ind w:left="700" w:hanging="264"/>
        <w:spacing w:after="0"/>
        <w:tabs>
          <w:tab w:leader="none" w:pos="7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“Entity” </w:t>
      </w:r>
      <w:r>
        <w:rPr>
          <w:rFonts w:ascii="Arial" w:cs="Arial" w:eastAsia="Arial" w:hAnsi="Arial"/>
          <w:sz w:val="18"/>
          <w:szCs w:val="18"/>
          <w:color w:val="auto"/>
        </w:rPr>
        <w:t>means a corporation, partnership, limited liability company or other entity.</w:t>
      </w:r>
    </w:p>
    <w:p>
      <w:pPr>
        <w:spacing w:after="0" w:line="225" w:lineRule="exact"/>
        <w:rPr>
          <w:rFonts w:ascii="Arial" w:cs="Arial" w:eastAsia="Arial" w:hAnsi="Arial"/>
          <w:sz w:val="18"/>
          <w:szCs w:val="18"/>
          <w:b w:val="1"/>
          <w:bCs w:val="1"/>
          <w:color w:val="auto"/>
        </w:rPr>
      </w:pPr>
    </w:p>
    <w:p>
      <w:pPr>
        <w:ind w:left="680" w:hanging="244"/>
        <w:spacing w:after="0"/>
        <w:tabs>
          <w:tab w:leader="none" w:pos="680"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“Exchange Act” </w:t>
      </w:r>
      <w:r>
        <w:rPr>
          <w:rFonts w:ascii="Arial" w:cs="Arial" w:eastAsia="Arial" w:hAnsi="Arial"/>
          <w:sz w:val="17"/>
          <w:szCs w:val="17"/>
          <w:color w:val="auto"/>
        </w:rPr>
        <w:t>means the Securities Exchange Act of 1934, as amended, and the rules and regulations promulgated thereunder.</w:t>
      </w:r>
    </w:p>
    <w:p>
      <w:pPr>
        <w:spacing w:after="0" w:line="236" w:lineRule="exact"/>
        <w:rPr>
          <w:rFonts w:ascii="Arial" w:cs="Arial" w:eastAsia="Arial" w:hAnsi="Arial"/>
          <w:sz w:val="17"/>
          <w:szCs w:val="17"/>
          <w:b w:val="1"/>
          <w:bCs w:val="1"/>
          <w:color w:val="auto"/>
        </w:rPr>
      </w:pPr>
    </w:p>
    <w:p>
      <w:pPr>
        <w:ind w:right="40" w:firstLine="436"/>
        <w:spacing w:after="0" w:line="254" w:lineRule="auto"/>
        <w:tabs>
          <w:tab w:leader="none" w:pos="675"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“Exchange Act Person” </w:t>
      </w:r>
      <w:r>
        <w:rPr>
          <w:rFonts w:ascii="Arial" w:cs="Arial" w:eastAsia="Arial" w:hAnsi="Arial"/>
          <w:sz w:val="18"/>
          <w:szCs w:val="18"/>
          <w:color w:val="auto"/>
        </w:rPr>
        <w:t>means any natural person, Entity or “group” (within the meaning of Section 13(d) or 14(d) of the Exchange 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that “Exchange Act Person” shall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191" w:lineRule="exact"/>
        <w:rPr>
          <w:rFonts w:ascii="Arial" w:cs="Arial" w:eastAsia="Arial" w:hAnsi="Arial"/>
          <w:sz w:val="18"/>
          <w:szCs w:val="18"/>
          <w:b w:val="1"/>
          <w:bCs w:val="1"/>
          <w:color w:val="auto"/>
        </w:rPr>
      </w:pPr>
    </w:p>
    <w:p>
      <w:pPr>
        <w:ind w:right="80" w:firstLine="436"/>
        <w:spacing w:after="0" w:line="277" w:lineRule="auto"/>
        <w:tabs>
          <w:tab w:leader="none" w:pos="665"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“Fair Market Value” </w:t>
      </w:r>
      <w:r>
        <w:rPr>
          <w:rFonts w:ascii="Arial" w:cs="Arial" w:eastAsia="Arial" w:hAnsi="Arial"/>
          <w:sz w:val="18"/>
          <w:szCs w:val="18"/>
          <w:color w:val="auto"/>
        </w:rPr>
        <w:t>means, as of any date, the value of the Common Stock determined by the Board in compliance with Section 409A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Code or, in the case of an Incentive Stock Option, in compliance with Section 422 of the Code.</w:t>
      </w:r>
    </w:p>
    <w:p>
      <w:pPr>
        <w:spacing w:after="0" w:line="170" w:lineRule="exact"/>
        <w:rPr>
          <w:rFonts w:ascii="Arial" w:cs="Arial" w:eastAsia="Arial" w:hAnsi="Arial"/>
          <w:sz w:val="18"/>
          <w:szCs w:val="18"/>
          <w:b w:val="1"/>
          <w:bCs w:val="1"/>
          <w:color w:val="auto"/>
        </w:rPr>
      </w:pPr>
    </w:p>
    <w:p>
      <w:pPr>
        <w:ind w:firstLine="436"/>
        <w:spacing w:after="0" w:line="277" w:lineRule="auto"/>
        <w:tabs>
          <w:tab w:leader="none" w:pos="705"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“Incentive Stock Option” </w:t>
      </w:r>
      <w:r>
        <w:rPr>
          <w:rFonts w:ascii="Arial" w:cs="Arial" w:eastAsia="Arial" w:hAnsi="Arial"/>
          <w:sz w:val="18"/>
          <w:szCs w:val="18"/>
          <w:color w:val="auto"/>
        </w:rPr>
        <w:t>means an option granted pursuant to Section 5 of the Plan that is intended to be, and qualifies as, an “incentive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within the meaning of Section 422 of the Code and the regulations promulgated thereunder.</w:t>
      </w:r>
    </w:p>
    <w:p>
      <w:pPr>
        <w:spacing w:after="0" w:line="170" w:lineRule="exact"/>
        <w:rPr>
          <w:rFonts w:ascii="Arial" w:cs="Arial" w:eastAsia="Arial" w:hAnsi="Arial"/>
          <w:sz w:val="18"/>
          <w:szCs w:val="18"/>
          <w:b w:val="1"/>
          <w:bCs w:val="1"/>
          <w:color w:val="auto"/>
        </w:rPr>
      </w:pPr>
    </w:p>
    <w:p>
      <w:pPr>
        <w:ind w:left="700" w:hanging="264"/>
        <w:spacing w:after="0"/>
        <w:tabs>
          <w:tab w:leader="none" w:pos="700"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“Nonstatutory Stock Option” </w:t>
      </w:r>
      <w:r>
        <w:rPr>
          <w:rFonts w:ascii="Arial" w:cs="Arial" w:eastAsia="Arial" w:hAnsi="Arial"/>
          <w:sz w:val="16"/>
          <w:szCs w:val="16"/>
          <w:color w:val="auto"/>
        </w:rPr>
        <w:t>means an option granted pursuant to Section 5 of the Plan that does not qualify as an Incentive Stock Option.</w:t>
      </w:r>
    </w:p>
    <w:p>
      <w:pPr>
        <w:spacing w:after="0" w:line="248" w:lineRule="exact"/>
        <w:rPr>
          <w:rFonts w:ascii="Arial" w:cs="Arial" w:eastAsia="Arial" w:hAnsi="Arial"/>
          <w:sz w:val="16"/>
          <w:szCs w:val="16"/>
          <w:b w:val="1"/>
          <w:bCs w:val="1"/>
          <w:color w:val="auto"/>
        </w:rPr>
      </w:pPr>
    </w:p>
    <w:p>
      <w:pPr>
        <w:ind w:left="740" w:hanging="304"/>
        <w:spacing w:after="0"/>
        <w:tabs>
          <w:tab w:leader="none" w:pos="7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“Officer” </w:t>
      </w:r>
      <w:r>
        <w:rPr>
          <w:rFonts w:ascii="Arial" w:cs="Arial" w:eastAsia="Arial" w:hAnsi="Arial"/>
          <w:sz w:val="18"/>
          <w:szCs w:val="18"/>
          <w:color w:val="auto"/>
        </w:rPr>
        <w:t>means any person designated by the Company as an officer.</w:t>
      </w:r>
    </w:p>
    <w:p>
      <w:pPr>
        <w:spacing w:after="0" w:line="225" w:lineRule="exact"/>
        <w:rPr>
          <w:rFonts w:ascii="Arial" w:cs="Arial" w:eastAsia="Arial" w:hAnsi="Arial"/>
          <w:sz w:val="18"/>
          <w:szCs w:val="18"/>
          <w:b w:val="1"/>
          <w:bCs w:val="1"/>
          <w:color w:val="auto"/>
        </w:rPr>
      </w:pPr>
    </w:p>
    <w:p>
      <w:pPr>
        <w:ind w:left="700" w:hanging="264"/>
        <w:spacing w:after="0"/>
        <w:tabs>
          <w:tab w:leader="none" w:pos="700"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“Option” </w:t>
      </w:r>
      <w:r>
        <w:rPr>
          <w:rFonts w:ascii="Arial" w:cs="Arial" w:eastAsia="Arial" w:hAnsi="Arial"/>
          <w:sz w:val="16"/>
          <w:szCs w:val="16"/>
          <w:color w:val="auto"/>
        </w:rPr>
        <w:t>means an Incentive Stock Option or a Nonstatutory Stock Option to purchase shares of Common Stock granted pursuant to the Plan.</w:t>
      </w:r>
    </w:p>
    <w:p>
      <w:pPr>
        <w:spacing w:after="0" w:line="248" w:lineRule="exact"/>
        <w:rPr>
          <w:rFonts w:ascii="Arial" w:cs="Arial" w:eastAsia="Arial" w:hAnsi="Arial"/>
          <w:sz w:val="16"/>
          <w:szCs w:val="16"/>
          <w:b w:val="1"/>
          <w:bCs w:val="1"/>
          <w:color w:val="auto"/>
        </w:rPr>
      </w:pPr>
    </w:p>
    <w:p>
      <w:pPr>
        <w:ind w:right="20" w:firstLine="436"/>
        <w:spacing w:after="0" w:line="277" w:lineRule="auto"/>
        <w:tabs>
          <w:tab w:leader="none" w:pos="695"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“Option Agreement” </w:t>
      </w:r>
      <w:r>
        <w:rPr>
          <w:rFonts w:ascii="Arial" w:cs="Arial" w:eastAsia="Arial" w:hAnsi="Arial"/>
          <w:sz w:val="18"/>
          <w:szCs w:val="18"/>
          <w:color w:val="auto"/>
        </w:rPr>
        <w:t>means a written agreement between the Company and an Optionholder evidencing the terms and conditions of an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 Each Option Agreement shall be subject to the terms and conditions of the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46" w:name="page47"/>
    <w:bookmarkEnd w:id="46"/>
    <w:p>
      <w:pPr>
        <w:ind w:right="800" w:firstLine="436"/>
        <w:spacing w:after="0" w:line="277" w:lineRule="auto"/>
        <w:tabs>
          <w:tab w:leader="none" w:pos="685"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“Optionholder” </w:t>
      </w:r>
      <w:r>
        <w:rPr>
          <w:rFonts w:ascii="Arial" w:cs="Arial" w:eastAsia="Arial" w:hAnsi="Arial"/>
          <w:sz w:val="18"/>
          <w:szCs w:val="18"/>
          <w:color w:val="auto"/>
        </w:rPr>
        <w:t>means a person to whom an Option is granted pursuant to the Plan or, if applicable, such other person who holds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Option.</w:t>
      </w:r>
    </w:p>
    <w:p>
      <w:pPr>
        <w:spacing w:after="0" w:line="170" w:lineRule="exact"/>
        <w:rPr>
          <w:sz w:val="20"/>
          <w:szCs w:val="20"/>
          <w:color w:val="auto"/>
        </w:rPr>
      </w:pPr>
    </w:p>
    <w:p>
      <w:pPr>
        <w:ind w:right="240" w:firstLine="436"/>
        <w:spacing w:after="0" w:line="277" w:lineRule="auto"/>
        <w:tabs>
          <w:tab w:leader="none" w:pos="785"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“Other Stock Award” </w:t>
      </w:r>
      <w:r>
        <w:rPr>
          <w:rFonts w:ascii="Arial" w:cs="Arial" w:eastAsia="Arial" w:hAnsi="Arial"/>
          <w:sz w:val="18"/>
          <w:szCs w:val="18"/>
          <w:color w:val="auto"/>
        </w:rPr>
        <w:t>means an award based in whole or in part by reference to the Common Stock which is granted pursuant to the terms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conditions of Section 6(c).</w:t>
      </w:r>
    </w:p>
    <w:p>
      <w:pPr>
        <w:spacing w:after="0" w:line="170" w:lineRule="exact"/>
        <w:rPr>
          <w:rFonts w:ascii="Arial" w:cs="Arial" w:eastAsia="Arial" w:hAnsi="Arial"/>
          <w:sz w:val="18"/>
          <w:szCs w:val="18"/>
          <w:b w:val="1"/>
          <w:bCs w:val="1"/>
          <w:color w:val="auto"/>
        </w:rPr>
      </w:pPr>
    </w:p>
    <w:p>
      <w:pPr>
        <w:ind w:right="260" w:firstLine="436"/>
        <w:spacing w:after="0" w:line="342" w:lineRule="auto"/>
        <w:tabs>
          <w:tab w:leader="none" w:pos="805"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“Other Stock Award Agreement” </w:t>
      </w:r>
      <w:r>
        <w:rPr>
          <w:rFonts w:ascii="Arial" w:cs="Arial" w:eastAsia="Arial" w:hAnsi="Arial"/>
          <w:sz w:val="16"/>
          <w:szCs w:val="16"/>
          <w:color w:val="auto"/>
        </w:rPr>
        <w:t>means a written agreement between the Company and a holder of an Other Stock Award evidencing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terms and conditions of an Other Stock Award grant. Each Other Stock Award Agreement shall be subject to the terms and conditions of the Plan.</w:t>
      </w:r>
    </w:p>
    <w:p>
      <w:pPr>
        <w:spacing w:after="0" w:line="123" w:lineRule="exact"/>
        <w:rPr>
          <w:rFonts w:ascii="Arial" w:cs="Arial" w:eastAsia="Arial" w:hAnsi="Arial"/>
          <w:sz w:val="16"/>
          <w:szCs w:val="16"/>
          <w:b w:val="1"/>
          <w:bCs w:val="1"/>
          <w:color w:val="auto"/>
        </w:rPr>
      </w:pPr>
    </w:p>
    <w:p>
      <w:pPr>
        <w:ind w:firstLine="436"/>
        <w:spacing w:after="0" w:line="286" w:lineRule="auto"/>
        <w:tabs>
          <w:tab w:leader="none" w:pos="765"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“Own,” “Owned,” “Owner,” “Ownership” </w:t>
      </w:r>
      <w:r>
        <w:rPr>
          <w:rFonts w:ascii="Arial" w:cs="Arial" w:eastAsia="Arial" w:hAnsi="Arial"/>
          <w:sz w:val="17"/>
          <w:szCs w:val="17"/>
          <w:color w:val="auto"/>
        </w:rPr>
        <w:t>A person or Entity shall be deemed to “Own,” to have “Owned,” to be the “Owner” of, or to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65" w:lineRule="exact"/>
        <w:rPr>
          <w:rFonts w:ascii="Arial" w:cs="Arial" w:eastAsia="Arial" w:hAnsi="Arial"/>
          <w:sz w:val="17"/>
          <w:szCs w:val="17"/>
          <w:b w:val="1"/>
          <w:bCs w:val="1"/>
          <w:color w:val="auto"/>
        </w:rPr>
      </w:pPr>
    </w:p>
    <w:p>
      <w:pPr>
        <w:ind w:right="500" w:firstLine="436"/>
        <w:spacing w:after="0" w:line="277" w:lineRule="auto"/>
        <w:tabs>
          <w:tab w:leader="none" w:pos="805"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“Participant” </w:t>
      </w:r>
      <w:r>
        <w:rPr>
          <w:rFonts w:ascii="Arial" w:cs="Arial" w:eastAsia="Arial" w:hAnsi="Arial"/>
          <w:sz w:val="18"/>
          <w:szCs w:val="18"/>
          <w:color w:val="auto"/>
        </w:rPr>
        <w:t>means a person to whom a Stock Award is granted pursuant to the Plan or, if applicable, such other person who holds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Stock Award.</w:t>
      </w:r>
    </w:p>
    <w:p>
      <w:pPr>
        <w:spacing w:after="0" w:line="170" w:lineRule="exact"/>
        <w:rPr>
          <w:rFonts w:ascii="Arial" w:cs="Arial" w:eastAsia="Arial" w:hAnsi="Arial"/>
          <w:sz w:val="18"/>
          <w:szCs w:val="18"/>
          <w:b w:val="1"/>
          <w:bCs w:val="1"/>
          <w:color w:val="auto"/>
        </w:rPr>
      </w:pPr>
    </w:p>
    <w:p>
      <w:pPr>
        <w:ind w:left="760" w:hanging="324"/>
        <w:spacing w:after="0"/>
        <w:tabs>
          <w:tab w:leader="none" w:pos="7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“Plan” </w:t>
      </w:r>
      <w:r>
        <w:rPr>
          <w:rFonts w:ascii="Arial" w:cs="Arial" w:eastAsia="Arial" w:hAnsi="Arial"/>
          <w:sz w:val="18"/>
          <w:szCs w:val="18"/>
          <w:color w:val="auto"/>
        </w:rPr>
        <w:t>means this Inception 2, Inc. 2011 Equity Incentive Plan.</w:t>
      </w:r>
    </w:p>
    <w:p>
      <w:pPr>
        <w:spacing w:after="0" w:line="225" w:lineRule="exact"/>
        <w:rPr>
          <w:rFonts w:ascii="Arial" w:cs="Arial" w:eastAsia="Arial" w:hAnsi="Arial"/>
          <w:sz w:val="18"/>
          <w:szCs w:val="18"/>
          <w:b w:val="1"/>
          <w:bCs w:val="1"/>
          <w:color w:val="auto"/>
        </w:rPr>
      </w:pPr>
    </w:p>
    <w:p>
      <w:pPr>
        <w:ind w:left="720" w:hanging="284"/>
        <w:spacing w:after="0"/>
        <w:tabs>
          <w:tab w:leader="none" w:pos="720"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“Restricted Stock Award” </w:t>
      </w:r>
      <w:r>
        <w:rPr>
          <w:rFonts w:ascii="Arial" w:cs="Arial" w:eastAsia="Arial" w:hAnsi="Arial"/>
          <w:sz w:val="16"/>
          <w:szCs w:val="16"/>
          <w:color w:val="auto"/>
        </w:rPr>
        <w:t>means an award of shares of Common Stock which is granted pursuant to the terms and conditions of Section 6(a).</w:t>
      </w:r>
    </w:p>
    <w:p>
      <w:pPr>
        <w:spacing w:after="0" w:line="248" w:lineRule="exact"/>
        <w:rPr>
          <w:rFonts w:ascii="Arial" w:cs="Arial" w:eastAsia="Arial" w:hAnsi="Arial"/>
          <w:sz w:val="16"/>
          <w:szCs w:val="16"/>
          <w:b w:val="1"/>
          <w:bCs w:val="1"/>
          <w:color w:val="auto"/>
        </w:rPr>
      </w:pPr>
    </w:p>
    <w:p>
      <w:pPr>
        <w:ind w:firstLine="436"/>
        <w:spacing w:after="0" w:line="263" w:lineRule="auto"/>
        <w:tabs>
          <w:tab w:leader="none" w:pos="785"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“Restricted Stock Award Agreement” </w:t>
      </w:r>
      <w:r>
        <w:rPr>
          <w:rFonts w:ascii="Arial" w:cs="Arial" w:eastAsia="Arial" w:hAnsi="Arial"/>
          <w:sz w:val="18"/>
          <w:szCs w:val="18"/>
          <w:color w:val="auto"/>
        </w:rPr>
        <w:t>means a written agreement between the Company and a holder of a Restricted Stock Award evidencing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terms and conditions of a Restricted Stock Award grant. Each Restricted Stock Award Agreement shall be subject to the terms and conditions of the Plan.</w:t>
      </w:r>
    </w:p>
    <w:p>
      <w:pPr>
        <w:spacing w:after="0" w:line="183" w:lineRule="exact"/>
        <w:rPr>
          <w:rFonts w:ascii="Arial" w:cs="Arial" w:eastAsia="Arial" w:hAnsi="Arial"/>
          <w:sz w:val="18"/>
          <w:szCs w:val="18"/>
          <w:b w:val="1"/>
          <w:bCs w:val="1"/>
          <w:color w:val="auto"/>
        </w:rPr>
      </w:pPr>
    </w:p>
    <w:p>
      <w:pPr>
        <w:ind w:right="220" w:firstLine="436"/>
        <w:spacing w:after="0" w:line="277" w:lineRule="auto"/>
        <w:tabs>
          <w:tab w:leader="none" w:pos="805"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“Restricted Stock Unit Award” </w:t>
      </w:r>
      <w:r>
        <w:rPr>
          <w:rFonts w:ascii="Arial" w:cs="Arial" w:eastAsia="Arial" w:hAnsi="Arial"/>
          <w:sz w:val="18"/>
          <w:szCs w:val="18"/>
          <w:color w:val="auto"/>
        </w:rPr>
        <w:t>means a right to receive shares of Common Stock which is granted pursuant to the terms and conditions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6(b).</w:t>
      </w:r>
    </w:p>
    <w:p>
      <w:pPr>
        <w:spacing w:after="0" w:line="170" w:lineRule="exact"/>
        <w:rPr>
          <w:rFonts w:ascii="Arial" w:cs="Arial" w:eastAsia="Arial" w:hAnsi="Arial"/>
          <w:sz w:val="18"/>
          <w:szCs w:val="18"/>
          <w:b w:val="1"/>
          <w:bCs w:val="1"/>
          <w:color w:val="auto"/>
        </w:rPr>
      </w:pPr>
    </w:p>
    <w:p>
      <w:pPr>
        <w:ind w:right="100" w:firstLine="436"/>
        <w:spacing w:after="0" w:line="263" w:lineRule="auto"/>
        <w:tabs>
          <w:tab w:leader="none" w:pos="705"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“Restricted Stock Unit Award Agreement” </w:t>
      </w:r>
      <w:r>
        <w:rPr>
          <w:rFonts w:ascii="Arial" w:cs="Arial" w:eastAsia="Arial" w:hAnsi="Arial"/>
          <w:sz w:val="18"/>
          <w:szCs w:val="18"/>
          <w:color w:val="auto"/>
        </w:rPr>
        <w:t>means a written agreement between the Company and a holder of a Restricted Stock Unit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evidencing the terms and conditions of a Restricted Stock Unit Award grant. Each Restricted Stock Unit Award Agreement shall be subject to the terms and conditions of the Plan.</w:t>
      </w:r>
    </w:p>
    <w:p>
      <w:pPr>
        <w:spacing w:after="0" w:line="183" w:lineRule="exact"/>
        <w:rPr>
          <w:rFonts w:ascii="Arial" w:cs="Arial" w:eastAsia="Arial" w:hAnsi="Arial"/>
          <w:sz w:val="18"/>
          <w:szCs w:val="18"/>
          <w:b w:val="1"/>
          <w:bCs w:val="1"/>
          <w:color w:val="auto"/>
        </w:rPr>
      </w:pPr>
    </w:p>
    <w:p>
      <w:pPr>
        <w:ind w:left="720" w:hanging="284"/>
        <w:spacing w:after="0"/>
        <w:tabs>
          <w:tab w:leader="none" w:pos="7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“Rule 405” </w:t>
      </w:r>
      <w:r>
        <w:rPr>
          <w:rFonts w:ascii="Arial" w:cs="Arial" w:eastAsia="Arial" w:hAnsi="Arial"/>
          <w:sz w:val="18"/>
          <w:szCs w:val="18"/>
          <w:color w:val="auto"/>
        </w:rPr>
        <w:t>means Rule 405 promulgated under the Securities Act.</w:t>
      </w:r>
    </w:p>
    <w:p>
      <w:pPr>
        <w:spacing w:after="0" w:line="225" w:lineRule="exact"/>
        <w:rPr>
          <w:rFonts w:ascii="Arial" w:cs="Arial" w:eastAsia="Arial" w:hAnsi="Arial"/>
          <w:sz w:val="18"/>
          <w:szCs w:val="18"/>
          <w:b w:val="1"/>
          <w:bCs w:val="1"/>
          <w:color w:val="auto"/>
        </w:rPr>
      </w:pPr>
    </w:p>
    <w:p>
      <w:pPr>
        <w:ind w:left="800" w:hanging="364"/>
        <w:spacing w:after="0"/>
        <w:tabs>
          <w:tab w:leader="none" w:pos="8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“Rule 701” </w:t>
      </w:r>
      <w:r>
        <w:rPr>
          <w:rFonts w:ascii="Arial" w:cs="Arial" w:eastAsia="Arial" w:hAnsi="Arial"/>
          <w:sz w:val="18"/>
          <w:szCs w:val="18"/>
          <w:color w:val="auto"/>
        </w:rPr>
        <w:t>means Rule 701 promulgated under the Securities Act.</w:t>
      </w:r>
    </w:p>
    <w:p>
      <w:pPr>
        <w:spacing w:after="0" w:line="225" w:lineRule="exact"/>
        <w:rPr>
          <w:rFonts w:ascii="Arial" w:cs="Arial" w:eastAsia="Arial" w:hAnsi="Arial"/>
          <w:sz w:val="18"/>
          <w:szCs w:val="18"/>
          <w:b w:val="1"/>
          <w:bCs w:val="1"/>
          <w:color w:val="auto"/>
        </w:rPr>
      </w:pPr>
    </w:p>
    <w:p>
      <w:pPr>
        <w:ind w:left="700" w:hanging="264"/>
        <w:spacing w:after="0"/>
        <w:tabs>
          <w:tab w:leader="none" w:pos="7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“Securities Act” </w:t>
      </w:r>
      <w:r>
        <w:rPr>
          <w:rFonts w:ascii="Arial" w:cs="Arial" w:eastAsia="Arial" w:hAnsi="Arial"/>
          <w:sz w:val="18"/>
          <w:szCs w:val="18"/>
          <w:color w:val="auto"/>
        </w:rPr>
        <w:t>means the Securities Act of 1933, as amended.</w:t>
      </w:r>
    </w:p>
    <w:p>
      <w:pPr>
        <w:spacing w:after="0" w:line="225" w:lineRule="exact"/>
        <w:rPr>
          <w:rFonts w:ascii="Arial" w:cs="Arial" w:eastAsia="Arial" w:hAnsi="Arial"/>
          <w:sz w:val="18"/>
          <w:szCs w:val="18"/>
          <w:b w:val="1"/>
          <w:bCs w:val="1"/>
          <w:color w:val="auto"/>
        </w:rPr>
      </w:pPr>
    </w:p>
    <w:p>
      <w:pPr>
        <w:ind w:firstLine="436"/>
        <w:spacing w:after="0" w:line="277" w:lineRule="auto"/>
        <w:tabs>
          <w:tab w:leader="none" w:pos="905"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“Stock Appreciation Right”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“SAR” </w:t>
      </w:r>
      <w:r>
        <w:rPr>
          <w:rFonts w:ascii="Arial" w:cs="Arial" w:eastAsia="Arial" w:hAnsi="Arial"/>
          <w:sz w:val="18"/>
          <w:szCs w:val="18"/>
          <w:color w:val="auto"/>
        </w:rPr>
        <w:t>means a right to receive the appreciation on Common Stock that is granted pursuant to the terms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of Section 5.</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47" w:name="page48"/>
    <w:bookmarkEnd w:id="47"/>
    <w:p>
      <w:pPr>
        <w:ind w:left="-20" w:right="240" w:firstLine="436"/>
        <w:spacing w:after="0" w:line="263" w:lineRule="auto"/>
        <w:tabs>
          <w:tab w:leader="none" w:pos="785"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“Stock Appreciation Right Agreement” </w:t>
      </w:r>
      <w:r>
        <w:rPr>
          <w:rFonts w:ascii="Arial" w:cs="Arial" w:eastAsia="Arial" w:hAnsi="Arial"/>
          <w:sz w:val="18"/>
          <w:szCs w:val="18"/>
          <w:color w:val="auto"/>
        </w:rPr>
        <w:t>means a written agreement between the Company and a holder of a Stock Appreciation Right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evidencing the terms and conditions of a Stock Appreciation Right grant. Each Stock Appreciation Right Agreement shall be subject to the terms and conditions of the Plan.</w:t>
      </w:r>
    </w:p>
    <w:p>
      <w:pPr>
        <w:spacing w:after="0" w:line="183" w:lineRule="exact"/>
        <w:rPr>
          <w:rFonts w:ascii="Arial" w:cs="Arial" w:eastAsia="Arial" w:hAnsi="Arial"/>
          <w:sz w:val="18"/>
          <w:szCs w:val="18"/>
          <w:b w:val="1"/>
          <w:bCs w:val="1"/>
          <w:color w:val="auto"/>
        </w:rPr>
      </w:pPr>
    </w:p>
    <w:p>
      <w:pPr>
        <w:ind w:left="-20" w:firstLine="436"/>
        <w:spacing w:after="0" w:line="308" w:lineRule="auto"/>
        <w:tabs>
          <w:tab w:leader="none" w:pos="765"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“Stock Award” </w:t>
      </w:r>
      <w:r>
        <w:rPr>
          <w:rFonts w:ascii="Arial" w:cs="Arial" w:eastAsia="Arial" w:hAnsi="Arial"/>
          <w:sz w:val="17"/>
          <w:szCs w:val="17"/>
          <w:color w:val="auto"/>
        </w:rPr>
        <w:t>means any right to receive Common Stock granted under the Plan, including an Incentive Stock Option, a Nonstatutory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 a Restricted Stock Award, a Restricted Stock Unit Award, a Stock Appreciation Right or any Other Stock Award.</w:t>
      </w:r>
    </w:p>
    <w:p>
      <w:pPr>
        <w:spacing w:after="0" w:line="146" w:lineRule="exact"/>
        <w:rPr>
          <w:rFonts w:ascii="Arial" w:cs="Arial" w:eastAsia="Arial" w:hAnsi="Arial"/>
          <w:sz w:val="17"/>
          <w:szCs w:val="17"/>
          <w:b w:val="1"/>
          <w:bCs w:val="1"/>
          <w:color w:val="auto"/>
        </w:rPr>
      </w:pPr>
    </w:p>
    <w:p>
      <w:pPr>
        <w:ind w:left="-20" w:right="360" w:firstLine="436"/>
        <w:spacing w:after="0" w:line="277" w:lineRule="auto"/>
        <w:tabs>
          <w:tab w:leader="none" w:pos="785"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“Stock Award Agreement” </w:t>
      </w:r>
      <w:r>
        <w:rPr>
          <w:rFonts w:ascii="Arial" w:cs="Arial" w:eastAsia="Arial" w:hAnsi="Arial"/>
          <w:sz w:val="18"/>
          <w:szCs w:val="18"/>
          <w:color w:val="auto"/>
        </w:rPr>
        <w:t>means a written agreement between the Company and a Participant evidencing the terms and conditions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Award grant. Each Stock Award Agreement shall be subject to the terms and conditions of the Plan.</w:t>
      </w:r>
    </w:p>
    <w:p>
      <w:pPr>
        <w:spacing w:after="0" w:line="170" w:lineRule="exact"/>
        <w:rPr>
          <w:rFonts w:ascii="Arial" w:cs="Arial" w:eastAsia="Arial" w:hAnsi="Arial"/>
          <w:sz w:val="18"/>
          <w:szCs w:val="18"/>
          <w:b w:val="1"/>
          <w:bCs w:val="1"/>
          <w:color w:val="auto"/>
        </w:rPr>
      </w:pPr>
    </w:p>
    <w:p>
      <w:pPr>
        <w:ind w:left="-20" w:right="140" w:firstLine="436"/>
        <w:spacing w:after="0" w:line="275" w:lineRule="auto"/>
        <w:tabs>
          <w:tab w:leader="none" w:pos="785"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“Subsidiary” </w:t>
      </w:r>
      <w:r>
        <w:rPr>
          <w:rFonts w:ascii="Arial" w:cs="Arial" w:eastAsia="Arial" w:hAnsi="Arial"/>
          <w:sz w:val="17"/>
          <w:szCs w:val="17"/>
          <w:color w:val="auto"/>
        </w:rPr>
        <w:t>means, with respect to the Company, (i) any corporation of which more than fifty percent (50%) of the outstanding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w:t>
      </w:r>
    </w:p>
    <w:p>
      <w:pPr>
        <w:spacing w:after="0" w:line="176" w:lineRule="exact"/>
        <w:rPr>
          <w:rFonts w:ascii="Arial" w:cs="Arial" w:eastAsia="Arial" w:hAnsi="Arial"/>
          <w:sz w:val="17"/>
          <w:szCs w:val="17"/>
          <w:b w:val="1"/>
          <w:bCs w:val="1"/>
          <w:color w:val="auto"/>
        </w:rPr>
      </w:pPr>
    </w:p>
    <w:p>
      <w:pPr>
        <w:ind w:left="-20" w:right="80" w:firstLine="436"/>
        <w:spacing w:after="0" w:line="277" w:lineRule="auto"/>
        <w:tabs>
          <w:tab w:leader="none" w:pos="745"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“Ten Percent Stockholder” </w:t>
      </w:r>
      <w:r>
        <w:rPr>
          <w:rFonts w:ascii="Arial" w:cs="Arial" w:eastAsia="Arial" w:hAnsi="Arial"/>
          <w:sz w:val="18"/>
          <w:szCs w:val="18"/>
          <w:color w:val="auto"/>
        </w:rPr>
        <w:t>means a person who Owns (or is deemed to Own pursuant to Section 424(d) of the Code) stock possessing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ten percent (10%) of the total combined voting power of all classes of stock of the Company or any Affiliate.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60" w:top="274" w:right="47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(Form S-8) pertaining to the Tempest Therapeutics, Inc. 2017 Equity Incentive Plan and Inception 2, Inc. 2011 Equity Incentive Plan of our report dated March 29, 2021, with respect to the consolidated financial statements of Millendo Therapeutics, Inc. included in its Annual Report (Form 10-K) for the year ended December 31, 2020,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6, 2021</w:t>
      </w:r>
    </w:p>
    <w:p>
      <w:pPr>
        <w:sectPr>
          <w:pgSz w:w="11900" w:h="16838" w:orient="portrait"/>
          <w:cols w:equalWidth="0" w:num="1">
            <w:col w:w="11020"/>
          </w:cols>
          <w:pgMar w:left="440" w:top="121" w:right="4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consent to the incorporation by reference in this Registration Statement on Form S-8 of our report dated March 10, 2021, relating to the financial statements of Tempest Therapeutics, Inc. appearing in Registration Statement No. 333-255198 on Form S-4 of Millendo Therapeutics, Inc.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6,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1)"/>
      <w:numFmt w:val="decimal"/>
      <w:start w:val="1"/>
    </w:lvl>
  </w:abstractNum>
  <w:abstractNum w:abstractNumId="1">
    <w:nsid w:val="5577F8E1"/>
    <w:multiLevelType w:val="hybridMultilevel"/>
    <w:lvl w:ilvl="0">
      <w:lvlJc w:val="left"/>
      <w:lvlText w:val="(%1)"/>
      <w:numFmt w:val="decimal"/>
      <w:start w:val="1"/>
    </w:lvl>
  </w:abstractNum>
  <w:abstractNum w:abstractNumId="2">
    <w:nsid w:val="440BADFC"/>
    <w:multiLevelType w:val="hybridMultilevel"/>
    <w:lvl w:ilvl="0">
      <w:lvlJc w:val="left"/>
      <w:lvlText w:val="(%1)"/>
      <w:numFmt w:val="lowerRoman"/>
      <w:start w:val="2"/>
    </w:lvl>
  </w:abstractNum>
  <w:abstractNum w:abstractNumId="3">
    <w:nsid w:val="507236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3804823E"/>
    <w:multiLevelType w:val="hybridMultilevel"/>
    <w:lvl w:ilvl="0">
      <w:lvlJc w:val="left"/>
      <w:lvlText w:val="%1"/>
      <w:numFmt w:val="lowerLetter"/>
      <w:start w:val="1"/>
    </w:lvl>
    <w:lvl w:ilvl="1">
      <w:lvlJc w:val="left"/>
      <w:lvlText w:val="(%2)"/>
      <w:numFmt w:val="decimal"/>
      <w:start w:val="2"/>
    </w:lvl>
  </w:abstractNum>
  <w:abstractNum w:abstractNumId="5">
    <w:nsid w:val="77465F01"/>
    <w:multiLevelType w:val="hybridMultilevel"/>
    <w:lvl w:ilvl="0">
      <w:lvlJc w:val="left"/>
      <w:lvlText w:val="(%1)"/>
      <w:numFmt w:val="lowerLetter"/>
      <w:start w:val="2"/>
    </w:lvl>
    <w:lvl w:ilvl="1">
      <w:lvlJc w:val="left"/>
      <w:lvlText w:val="%2"/>
      <w:numFmt w:val="decimal"/>
      <w:start w:val="1"/>
    </w:lvl>
  </w:abstractNum>
  <w:abstractNum w:abstractNumId="6">
    <w:nsid w:val="7724C67E"/>
    <w:multiLevelType w:val="hybridMultilevel"/>
    <w:lvl w:ilvl="0">
      <w:lvlJc w:val="left"/>
      <w:lvlText w:val="%1."/>
      <w:numFmt w:val="decimal"/>
      <w:start w:val="1"/>
    </w:lvl>
    <w:lvl w:ilvl="1">
      <w:lvlJc w:val="left"/>
      <w:lvlText w:val="•"/>
      <w:numFmt w:val="bullet"/>
      <w:start w:val="1"/>
    </w:lvl>
  </w:abstractNum>
  <w:abstractNum w:abstractNumId="7">
    <w:nsid w:val="5C482A97"/>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8">
    <w:nsid w:val="2463B9EA"/>
    <w:multiLevelType w:val="hybridMultilevel"/>
    <w:lvl w:ilvl="0">
      <w:lvlJc w:val="left"/>
      <w:lvlText w:val="%1"/>
      <w:numFmt w:val="upperLetter"/>
      <w:start w:val="1"/>
    </w:lvl>
    <w:lvl w:ilvl="1">
      <w:lvlJc w:val="left"/>
      <w:lvlText w:val="(%2)"/>
      <w:numFmt w:val="lowerRoman"/>
      <w:start w:val="2"/>
    </w:lvl>
  </w:abstractNum>
  <w:abstractNum w:abstractNumId="9">
    <w:nsid w:val="5E884ADC"/>
    <w:multiLevelType w:val="hybridMultilevel"/>
    <w:lvl w:ilvl="0">
      <w:lvlJc w:val="left"/>
      <w:lvlText w:val="(%1)"/>
      <w:numFmt w:val="upperLetter"/>
      <w:start w:val="1"/>
    </w:lvl>
    <w:lvl w:ilvl="1">
      <w:lvlJc w:val="left"/>
      <w:lvlText w:val="%2"/>
      <w:numFmt w:val="lowerRoman"/>
      <w:start w:val="1"/>
    </w:lvl>
  </w:abstractNum>
  <w:abstractNum w:abstractNumId="10">
    <w:nsid w:val="51EAD36B"/>
    <w:multiLevelType w:val="hybridMultilevel"/>
    <w:lvl w:ilvl="0">
      <w:lvlJc w:val="left"/>
      <w:lvlText w:val="(%1)"/>
      <w:numFmt w:val="lowerLetter"/>
      <w:start w:val="7"/>
    </w:lvl>
  </w:abstractNum>
  <w:abstractNum w:abstractNumId="11">
    <w:nsid w:val="2D517796"/>
    <w:multiLevelType w:val="hybridMultilevel"/>
    <w:lvl w:ilvl="0">
      <w:lvlJc w:val="left"/>
      <w:lvlText w:val="(%1)"/>
      <w:numFmt w:val="lowerLetter"/>
      <w:start w:val="17"/>
    </w:lvl>
    <w:lvl w:ilvl="1">
      <w:lvlJc w:val="left"/>
      <w:lvlText w:val="(%2)"/>
      <w:numFmt w:val="lowerRoman"/>
      <w:start w:val="1"/>
    </w:lvl>
  </w:abstractNum>
  <w:abstractNum w:abstractNumId="12">
    <w:nsid w:val="580BD78F"/>
    <w:multiLevelType w:val="hybridMultilevel"/>
    <w:lvl w:ilvl="0">
      <w:lvlJc w:val="left"/>
      <w:lvlText w:val="(%1)"/>
      <w:numFmt w:val="lowerLetter"/>
      <w:start w:val="26"/>
    </w:lvl>
  </w:abstractNum>
  <w:abstractNum w:abstractNumId="13">
    <w:nsid w:val="153EA438"/>
    <w:multiLevelType w:val="hybridMultilevel"/>
    <w:lvl w:ilvl="0">
      <w:lvlJc w:val="left"/>
      <w:lvlText w:val="%1"/>
      <w:numFmt w:val="decimal"/>
      <w:start w:val="1"/>
    </w:lvl>
    <w:lvl w:ilvl="1">
      <w:lvlJc w:val="left"/>
      <w:lvlText w:val="(%2)"/>
      <w:numFmt w:val="lowerLetter"/>
      <w:start w:val="27"/>
    </w:lvl>
  </w:abstractNum>
  <w:abstractNum w:abstractNumId="14">
    <w:nsid w:val="3855585C"/>
    <w:multiLevelType w:val="hybridMultilevel"/>
    <w:lvl w:ilvl="0">
      <w:lvlJc w:val="left"/>
      <w:lvlText w:val="%1."/>
      <w:numFmt w:val="decimal"/>
      <w:start w:val="3"/>
    </w:lvl>
    <w:lvl w:ilvl="1">
      <w:lvlJc w:val="left"/>
      <w:lvlText w:val="(%2)"/>
      <w:numFmt w:val="lowerLetter"/>
      <w:start w:val="1"/>
    </w:lvl>
  </w:abstractNum>
  <w:abstractNum w:abstractNumId="15">
    <w:nsid w:val="70A64E2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6">
    <w:nsid w:val="6A2342E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7">
    <w:nsid w:val="2A487CB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18">
    <w:nsid w:val="1D4ED43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9">
    <w:nsid w:val="725A06F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0">
    <w:nsid w:val="2CD89A32"/>
    <w:multiLevelType w:val="hybridMultilevel"/>
    <w:lvl w:ilvl="0">
      <w:lvlJc w:val="left"/>
      <w:lvlText w:val="(%1)"/>
      <w:numFmt w:val="lowerLetter"/>
      <w:start w:val="4"/>
    </w:lvl>
    <w:lvl w:ilvl="1">
      <w:lvlJc w:val="left"/>
      <w:lvlText w:val="(%2)"/>
      <w:numFmt w:val="lowerRoman"/>
      <w:start w:val="1"/>
    </w:lvl>
  </w:abstractNum>
  <w:abstractNum w:abstractNumId="21">
    <w:nsid w:val="57E4CCAF"/>
    <w:multiLevelType w:val="hybridMultilevel"/>
    <w:lvl w:ilvl="0">
      <w:lvlJc w:val="left"/>
      <w:lvlText w:val="(%1)"/>
      <w:numFmt w:val="lowerRoman"/>
      <w:start w:val="2"/>
    </w:lvl>
  </w:abstractNum>
  <w:abstractNum w:abstractNumId="22">
    <w:nsid w:val="7A6D8D3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3">
    <w:nsid w:val="4B588F54"/>
    <w:multiLevelType w:val="hybridMultilevel"/>
    <w:lvl w:ilvl="0">
      <w:lvlJc w:val="left"/>
      <w:lvlText w:val="%1."/>
      <w:numFmt w:val="decimal"/>
      <w:start w:val="8"/>
    </w:lvl>
    <w:lvl w:ilvl="1">
      <w:lvlJc w:val="left"/>
      <w:lvlText w:val="(%2)"/>
      <w:numFmt w:val="lowerLetter"/>
      <w:start w:val="1"/>
    </w:lvl>
  </w:abstractNum>
  <w:abstractNum w:abstractNumId="24">
    <w:nsid w:val="542289EC"/>
    <w:multiLevelType w:val="hybridMultilevel"/>
    <w:lvl w:ilvl="0">
      <w:lvlJc w:val="left"/>
      <w:lvlText w:val="%1"/>
      <w:numFmt w:val="decimal"/>
      <w:start w:val="1"/>
    </w:lvl>
    <w:lvl w:ilvl="1">
      <w:lvlJc w:val="left"/>
      <w:lvlText w:val="(%2)"/>
      <w:numFmt w:val="lowerLetter"/>
      <w:start w:val="2"/>
    </w:lvl>
  </w:abstractNum>
  <w:abstractNum w:abstractNumId="25">
    <w:nsid w:val="6DE91B18"/>
    <w:multiLevelType w:val="hybridMultilevel"/>
    <w:lvl w:ilvl="0">
      <w:lvlJc w:val="left"/>
      <w:lvlText w:val="%1."/>
      <w:numFmt w:val="decimal"/>
      <w:start w:val="10"/>
    </w:lvl>
    <w:lvl w:ilvl="1">
      <w:lvlJc w:val="left"/>
      <w:lvlText w:val="%2"/>
      <w:numFmt w:val="lowerLetter"/>
      <w:start w:val="1"/>
    </w:lvl>
  </w:abstractNum>
  <w:abstractNum w:abstractNumId="26">
    <w:nsid w:val="38437FDB"/>
    <w:multiLevelType w:val="hybridMultilevel"/>
    <w:lvl w:ilvl="0">
      <w:lvlJc w:val="left"/>
      <w:lvlText w:val="%1."/>
      <w:numFmt w:val="decimal"/>
      <w:start w:val="12"/>
    </w:lvl>
    <w:lvl w:ilvl="1">
      <w:lvlJc w:val="left"/>
      <w:lvlText w:val="(%2)"/>
      <w:numFmt w:val="lowerLetter"/>
      <w:start w:val="1"/>
    </w:lvl>
  </w:abstractNum>
  <w:abstractNum w:abstractNumId="27">
    <w:nsid w:val="7644A45C"/>
    <w:multiLevelType w:val="hybridMultilevel"/>
    <w:lvl w:ilvl="0">
      <w:lvlJc w:val="left"/>
      <w:lvlText w:val="(%1)"/>
      <w:numFmt w:val="lowerLetter"/>
      <w:start w:val="61"/>
    </w:lvl>
    <w:lvl w:ilvl="1">
      <w:lvlJc w:val="left"/>
      <w:lvlText w:val="%2."/>
      <w:numFmt w:val="decimal"/>
      <w:start w:val="14"/>
    </w:lvl>
    <w:lvl w:ilvl="2">
      <w:lvlJc w:val="left"/>
      <w:lvlText w:val="(%3)"/>
      <w:numFmt w:val="lowerLetter"/>
      <w:start w:val="1"/>
    </w:lvl>
  </w:abstractNum>
  <w:abstractNum w:abstractNumId="28">
    <w:nsid w:val="32FFF902"/>
    <w:multiLevelType w:val="hybridMultilevel"/>
    <w:lvl w:ilvl="0">
      <w:lvlJc w:val="left"/>
      <w:lvlText w:val="%1."/>
      <w:numFmt w:val="decimal"/>
      <w:start w:val="16"/>
    </w:lvl>
    <w:lvl w:ilvl="1">
      <w:lvlJc w:val="left"/>
      <w:lvlText w:val="(%2)"/>
      <w:numFmt w:val="lowerLetter"/>
      <w:start w:val="1"/>
    </w:lvl>
  </w:abstractNum>
  <w:abstractNum w:abstractNumId="29">
    <w:nsid w:val="684A481A"/>
    <w:multiLevelType w:val="hybridMultilevel"/>
    <w:lvl w:ilvl="0">
      <w:lvlJc w:val="left"/>
      <w:lvlText w:val="%1."/>
      <w:numFmt w:val="decimal"/>
      <w:start w:val="21"/>
    </w:lvl>
  </w:abstractNum>
  <w:abstractNum w:abstractNumId="30">
    <w:nsid w:val="579478F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1">
    <w:nsid w:val="749ABB43"/>
    <w:multiLevelType w:val="hybridMultilevel"/>
    <w:lvl w:ilvl="0">
      <w:lvlJc w:val="left"/>
      <w:lvlText w:val="%1"/>
      <w:numFmt w:val="upperLetter"/>
      <w:start w:val="1"/>
    </w:lvl>
    <w:lvl w:ilvl="1">
      <w:lvlJc w:val="left"/>
      <w:lvlText w:val="(%2)"/>
      <w:numFmt w:val="lowerRoman"/>
      <w:start w:val="3"/>
    </w:lvl>
  </w:abstractNum>
  <w:abstractNum w:abstractNumId="32">
    <w:nsid w:val="3DC240FB"/>
    <w:multiLevelType w:val="hybridMultilevel"/>
    <w:lvl w:ilvl="0">
      <w:lvlJc w:val="left"/>
      <w:lvlText w:val="(%1)"/>
      <w:numFmt w:val="upperLetter"/>
      <w:start w:val="2"/>
    </w:lvl>
    <w:lvl w:ilvl="1">
      <w:lvlJc w:val="left"/>
      <w:lvlText w:val="%2"/>
      <w:numFmt w:val="lowerRoman"/>
      <w:start w:val="1"/>
    </w:lvl>
  </w:abstractNum>
  <w:abstractNum w:abstractNumId="33">
    <w:nsid w:val="1BA026FA"/>
    <w:multiLevelType w:val="hybridMultilevel"/>
    <w:lvl w:ilvl="0">
      <w:lvlJc w:val="left"/>
      <w:lvlText w:val="(%1)"/>
      <w:numFmt w:val="upperLetter"/>
      <w:start w:val="4"/>
    </w:lvl>
    <w:lvl w:ilvl="1">
      <w:lvlJc w:val="left"/>
      <w:lvlText w:val="(%2)"/>
      <w:numFmt w:val="lowerRoman"/>
      <w:start w:val="7"/>
    </w:lvl>
  </w:abstractNum>
  <w:abstractNum w:abstractNumId="34">
    <w:nsid w:val="79A1DEAA"/>
    <w:multiLevelType w:val="hybridMultilevel"/>
    <w:lvl w:ilvl="0">
      <w:lvlJc w:val="left"/>
      <w:lvlText w:val="%1"/>
      <w:numFmt w:val="decimal"/>
      <w:start w:val="1"/>
    </w:lvl>
    <w:lvl w:ilvl="1">
      <w:lvlJc w:val="left"/>
      <w:lvlText w:val="(%2)"/>
      <w:numFmt w:val="lowerRoman"/>
      <w:start w:val="10"/>
    </w:lvl>
  </w:abstractNum>
  <w:abstractNum w:abstractNumId="35">
    <w:nsid w:val="75C6C33A"/>
    <w:multiLevelType w:val="hybridMultilevel"/>
    <w:lvl w:ilvl="0">
      <w:lvlJc w:val="left"/>
      <w:lvlText w:val="(%1)"/>
      <w:numFmt w:val="decimal"/>
      <w:start w:val="5"/>
    </w:lvl>
    <w:lvl w:ilvl="1">
      <w:lvlJc w:val="left"/>
      <w:lvlText w:val="%2"/>
      <w:numFmt w:val="lowerRoman"/>
      <w:start w:val="1"/>
    </w:lvl>
  </w:abstractNum>
  <w:abstractNum w:abstractNumId="36">
    <w:nsid w:val="12E685FB"/>
    <w:multiLevelType w:val="hybridMultilevel"/>
    <w:lvl w:ilvl="0">
      <w:lvlJc w:val="left"/>
      <w:lvlText w:val="%1"/>
      <w:numFmt w:val="lowerLetter"/>
      <w:start w:val="1"/>
    </w:lvl>
    <w:lvl w:ilvl="1">
      <w:lvlJc w:val="left"/>
      <w:lvlText w:val="(%2)"/>
      <w:numFmt w:val="lowerLetter"/>
      <w:start w:val="3"/>
    </w:lvl>
  </w:abstractNum>
  <w:abstractNum w:abstractNumId="37">
    <w:nsid w:val="70C6A529"/>
    <w:multiLevelType w:val="hybridMultilevel"/>
    <w:lvl w:ilvl="0">
      <w:lvlJc w:val="left"/>
      <w:lvlText w:val="(%1)"/>
      <w:numFmt w:val="lowerLetter"/>
      <w:start w:val="9"/>
    </w:lvl>
    <w:lvl w:ilvl="1">
      <w:lvlJc w:val="left"/>
      <w:lvlText w:val="(%2)"/>
      <w:numFmt w:val="lowerLetter"/>
      <w:start w:val="5"/>
    </w:lvl>
  </w:abstractNum>
  <w:abstractNum w:abstractNumId="38">
    <w:nsid w:val="520EEDD1"/>
    <w:multiLevelType w:val="hybridMultilevel"/>
    <w:lvl w:ilvl="0">
      <w:lvlJc w:val="left"/>
      <w:lvlText w:val="%1."/>
      <w:numFmt w:val="decimal"/>
      <w:start w:val="3"/>
    </w:lvl>
    <w:lvl w:ilvl="1">
      <w:lvlJc w:val="left"/>
      <w:lvlText w:val="(%2)"/>
      <w:numFmt w:val="lowerLetter"/>
      <w:start w:val="1"/>
    </w:lvl>
  </w:abstractNum>
  <w:abstractNum w:abstractNumId="39">
    <w:nsid w:val="374A3FE6"/>
    <w:multiLevelType w:val="hybridMultilevel"/>
    <w:lvl w:ilvl="0">
      <w:lvlJc w:val="left"/>
      <w:lvlText w:val="(%1)"/>
      <w:numFmt w:val="lowerLetter"/>
      <w:start w:val="2"/>
    </w:lvl>
  </w:abstractNum>
  <w:abstractNum w:abstractNumId="40">
    <w:nsid w:val="4F4EF005"/>
    <w:multiLevelType w:val="hybridMultilevel"/>
    <w:lvl w:ilvl="0">
      <w:lvlJc w:val="left"/>
      <w:lvlText w:val="%1."/>
      <w:numFmt w:val="decimal"/>
      <w:start w:val="5"/>
    </w:lvl>
  </w:abstractNum>
  <w:abstractNum w:abstractNumId="41">
    <w:nsid w:val="23F9C13C"/>
    <w:multiLevelType w:val="hybridMultilevel"/>
    <w:lvl w:ilvl="0">
      <w:lvlJc w:val="left"/>
      <w:lvlText w:val="(%1)"/>
      <w:numFmt w:val="lowerLetter"/>
      <w:start w:val="1"/>
    </w:lvl>
  </w:abstractNum>
  <w:abstractNum w:abstractNumId="42">
    <w:nsid w:val="649BB77C"/>
    <w:multiLevelType w:val="hybridMultilevel"/>
    <w:lvl w:ilvl="0">
      <w:lvlJc w:val="left"/>
      <w:lvlText w:val="(%1)"/>
      <w:numFmt w:val="lowerLetter"/>
      <w:start w:val="3"/>
    </w:lvl>
    <w:lvl w:ilvl="1">
      <w:lvlJc w:val="left"/>
      <w:lvlText w:val="(%2)"/>
      <w:numFmt w:val="lowerRoman"/>
      <w:start w:val="1"/>
    </w:lvl>
  </w:abstractNum>
  <w:abstractNum w:abstractNumId="43">
    <w:nsid w:val="275AC794"/>
    <w:multiLevelType w:val="hybridMultilevel"/>
    <w:lvl w:ilvl="0">
      <w:lvlJc w:val="left"/>
      <w:lvlText w:val="(%1)"/>
      <w:numFmt w:val="lowerLetter"/>
      <w:start w:val="5"/>
    </w:lvl>
    <w:lvl w:ilvl="1">
      <w:lvlJc w:val="left"/>
      <w:lvlText w:val="(%2)"/>
      <w:numFmt w:val="lowerRoman"/>
      <w:start w:val="1"/>
    </w:lvl>
  </w:abstractNum>
  <w:abstractNum w:abstractNumId="44">
    <w:nsid w:val="39386575"/>
    <w:multiLevelType w:val="hybridMultilevel"/>
    <w:lvl w:ilvl="0">
      <w:lvlJc w:val="left"/>
      <w:lvlText w:val="(%1)"/>
      <w:numFmt w:val="decimal"/>
      <w:start w:val="30"/>
    </w:lvl>
    <w:lvl w:ilvl="1">
      <w:lvlJc w:val="left"/>
      <w:lvlText w:val="(%2)"/>
      <w:numFmt w:val="lowerLetter"/>
      <w:start w:val="8"/>
    </w:lvl>
  </w:abstractNum>
  <w:abstractNum w:abstractNumId="45">
    <w:nsid w:val="1CF10FD8"/>
    <w:multiLevelType w:val="hybridMultilevel"/>
    <w:lvl w:ilvl="0">
      <w:lvlJc w:val="left"/>
      <w:lvlText w:val="(%1)"/>
      <w:numFmt w:val="lowerLetter"/>
      <w:start w:val="11"/>
    </w:lvl>
  </w:abstractNum>
  <w:abstractNum w:abstractNumId="46">
    <w:nsid w:val="180115B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7">
    <w:nsid w:val="235BA861"/>
    <w:multiLevelType w:val="hybridMultilevel"/>
    <w:lvl w:ilvl="0">
      <w:lvlJc w:val="left"/>
      <w:lvlText w:val="(%1)"/>
      <w:numFmt w:val="lowerLetter"/>
      <w:start w:val="2"/>
    </w:lvl>
    <w:lvl w:ilvl="1">
      <w:lvlJc w:val="left"/>
      <w:lvlText w:val="(%2)"/>
      <w:numFmt w:val="lowerRoman"/>
      <w:start w:val="1"/>
    </w:lvl>
  </w:abstractNum>
  <w:abstractNum w:abstractNumId="48">
    <w:nsid w:val="47398C89"/>
    <w:multiLevelType w:val="hybridMultilevel"/>
    <w:lvl w:ilvl="0">
      <w:lvlJc w:val="left"/>
      <w:lvlText w:val="%1"/>
      <w:numFmt w:val="decimal"/>
      <w:start w:val="1"/>
    </w:lvl>
    <w:lvl w:ilvl="1">
      <w:lvlJc w:val="left"/>
      <w:lvlText w:val="(%2)"/>
      <w:numFmt w:val="lowerLetter"/>
      <w:start w:val="3"/>
    </w:lvl>
  </w:abstractNum>
  <w:abstractNum w:abstractNumId="49">
    <w:nsid w:val="354FE9F9"/>
    <w:multiLevelType w:val="hybridMultilevel"/>
    <w:lvl w:ilvl="0">
      <w:lvlJc w:val="left"/>
      <w:lvlText w:val="%1."/>
      <w:numFmt w:val="decimal"/>
      <w:start w:val="7"/>
    </w:lvl>
    <w:lvl w:ilvl="1">
      <w:lvlJc w:val="left"/>
      <w:lvlText w:val="(%2)"/>
      <w:numFmt w:val="lowerLetter"/>
      <w:start w:val="1"/>
    </w:lvl>
  </w:abstractNum>
  <w:abstractNum w:abstractNumId="50">
    <w:nsid w:val="15B5AF5C"/>
    <w:multiLevelType w:val="hybridMultilevel"/>
    <w:lvl w:ilvl="0">
      <w:lvlJc w:val="left"/>
      <w:lvlText w:val="(%1)"/>
      <w:numFmt w:val="lowerLetter"/>
      <w:start w:val="2"/>
    </w:lvl>
  </w:abstractNum>
  <w:abstractNum w:abstractNumId="51">
    <w:nsid w:val="741226BB"/>
    <w:multiLevelType w:val="hybridMultilevel"/>
    <w:lvl w:ilvl="0">
      <w:lvlJc w:val="left"/>
      <w:lvlText w:val="(%1)"/>
      <w:numFmt w:val="lowerLetter"/>
      <w:start w:val="7"/>
    </w:lvl>
  </w:abstractNum>
  <w:abstractNum w:abstractNumId="52">
    <w:nsid w:val="D34B6A8"/>
    <w:multiLevelType w:val="hybridMultilevel"/>
    <w:lvl w:ilvl="0">
      <w:lvlJc w:val="left"/>
      <w:lvlText w:val="(%1)"/>
      <w:numFmt w:val="upperLetter"/>
      <w:start w:val="2"/>
    </w:lvl>
    <w:lvl w:ilvl="1">
      <w:lvlJc w:val="left"/>
      <w:lvlText w:val="(%2)"/>
      <w:numFmt w:val="lowerLetter"/>
      <w:start w:val="12"/>
    </w:lvl>
  </w:abstractNum>
  <w:abstractNum w:abstractNumId="53">
    <w:nsid w:val="10233C99"/>
    <w:multiLevelType w:val="hybridMultilevel"/>
    <w:lvl w:ilvl="0">
      <w:lvlJc w:val="left"/>
      <w:lvlText w:val="%1."/>
      <w:numFmt w:val="decimal"/>
      <w:start w:val="9"/>
    </w:lvl>
    <w:lvl w:ilvl="1">
      <w:lvlJc w:val="left"/>
      <w:lvlText w:val="(%2)"/>
      <w:numFmt w:val="lowerLetter"/>
      <w:start w:val="1"/>
    </w:lvl>
  </w:abstractNum>
  <w:abstractNum w:abstractNumId="54">
    <w:nsid w:val="3F6AB60F"/>
    <w:multiLevelType w:val="hybridMultilevel"/>
    <w:lvl w:ilvl="0">
      <w:lvlJc w:val="left"/>
      <w:lvlText w:val="(%1)"/>
      <w:numFmt w:val="lowerLetter"/>
      <w:start w:val="3"/>
    </w:lvl>
    <w:lvl w:ilvl="1">
      <w:lvlJc w:val="left"/>
      <w:lvlText w:val="(%2)"/>
      <w:numFmt w:val="lowerRoman"/>
      <w:start w:val="1"/>
    </w:lvl>
  </w:abstractNum>
  <w:abstractNum w:abstractNumId="55">
    <w:nsid w:val="61574095"/>
    <w:multiLevelType w:val="hybridMultilevel"/>
    <w:lvl w:ilvl="0">
      <w:lvlJc w:val="left"/>
      <w:lvlText w:val="%1"/>
      <w:numFmt w:val="decimal"/>
      <w:start w:val="1"/>
    </w:lvl>
    <w:lvl w:ilvl="1">
      <w:lvlJc w:val="left"/>
      <w:lvlText w:val="(%2)"/>
      <w:numFmt w:val="lowerLetter"/>
      <w:start w:val="4"/>
    </w:lvl>
  </w:abstractNum>
  <w:abstractNum w:abstractNumId="56">
    <w:nsid w:val="7E0C57B1"/>
    <w:multiLevelType w:val="hybridMultilevel"/>
    <w:lvl w:ilvl="0">
      <w:lvlJc w:val="left"/>
      <w:lvlText w:val="%1."/>
      <w:numFmt w:val="decimal"/>
      <w:start w:val="10"/>
    </w:lvl>
    <w:lvl w:ilvl="1">
      <w:lvlJc w:val="left"/>
      <w:lvlText w:val="(%2)"/>
      <w:numFmt w:val="lowerLetter"/>
      <w:start w:val="1"/>
    </w:lvl>
  </w:abstractNum>
  <w:abstractNum w:abstractNumId="57">
    <w:nsid w:val="77AE35EB"/>
    <w:multiLevelType w:val="hybridMultilevel"/>
    <w:lvl w:ilvl="0">
      <w:lvlJc w:val="left"/>
      <w:lvlText w:val="%1."/>
      <w:numFmt w:val="decimal"/>
      <w:start w:val="12"/>
    </w:lvl>
  </w:abstractNum>
  <w:abstractNum w:abstractNumId="58">
    <w:nsid w:val="579BE4F1"/>
    <w:multiLevelType w:val="hybridMultilevel"/>
    <w:lvl w:ilvl="0">
      <w:lvlJc w:val="left"/>
      <w:lvlText w:val="%1."/>
      <w:numFmt w:val="decimal"/>
      <w:start w:val="13"/>
    </w:lvl>
    <w:lvl w:ilvl="1">
      <w:lvlJc w:val="left"/>
      <w:lvlText w:val="(%2)"/>
      <w:numFmt w:val="lowerLetter"/>
      <w:start w:val="1"/>
    </w:lvl>
  </w:abstractNum>
  <w:abstractNum w:abstractNumId="59">
    <w:nsid w:val="310C50B3"/>
    <w:multiLevelType w:val="hybridMultilevel"/>
    <w:lvl w:ilvl="0">
      <w:lvlJc w:val="left"/>
      <w:lvlText w:val="(%1)"/>
      <w:numFmt w:val="lowerLetter"/>
      <w:start w:val="4"/>
    </w:lvl>
  </w:abstractNum>
  <w:abstractNum w:abstractNumId="60">
    <w:nsid w:val="5FF87E05"/>
    <w:multiLevelType w:val="hybridMultilevel"/>
    <w:lvl w:ilvl="0">
      <w:lvlJc w:val="left"/>
      <w:lvlText w:val="(%1)"/>
      <w:numFmt w:val="lowerRoman"/>
      <w:start w:val="1"/>
    </w:lvl>
  </w:abstractNum>
  <w:abstractNum w:abstractNumId="61">
    <w:nsid w:val="2F305DEF"/>
    <w:multiLevelType w:val="hybridMultilevel"/>
    <w:lvl w:ilvl="0">
      <w:lvlJc w:val="left"/>
      <w:lvlText w:val="(%1)"/>
      <w:numFmt w:val="lowerRoman"/>
      <w:start w:val="3"/>
    </w:lvl>
  </w:abstractNum>
  <w:abstractNum w:abstractNumId="62">
    <w:nsid w:val="25A70BF7"/>
    <w:multiLevelType w:val="hybridMultilevel"/>
    <w:lvl w:ilvl="0">
      <w:lvlJc w:val="left"/>
      <w:lvlText w:val="(%1)"/>
      <w:numFmt w:val="lowerLetter"/>
      <w:start w:val="6"/>
    </w:lvl>
  </w:abstractNum>
  <w:abstractNum w:abstractNumId="63">
    <w:nsid w:val="1DBABF00"/>
    <w:multiLevelType w:val="hybridMultilevel"/>
    <w:lvl w:ilvl="0">
      <w:lvlJc w:val="left"/>
      <w:lvlText w:val="(%1)"/>
      <w:numFmt w:val="lowerLetter"/>
      <w:start w:val="11"/>
    </w:lvl>
    <w:lvl w:ilvl="1">
      <w:lvlJc w:val="left"/>
      <w:lvlText w:val="(%2)"/>
      <w:numFmt w:val="lowerRoman"/>
      <w:start w:val="1"/>
    </w:lvl>
  </w:abstractNum>
  <w:abstractNum w:abstractNumId="64">
    <w:nsid w:val="4AD084E9"/>
    <w:multiLevelType w:val="hybridMultilevel"/>
    <w:lvl w:ilvl="0">
      <w:lvlJc w:val="left"/>
      <w:lvlText w:val="(%1)"/>
      <w:numFmt w:val="lowerLetter"/>
      <w:start w:val="15"/>
    </w:lvl>
  </w:abstractNum>
  <w:abstractNum w:abstractNumId="65">
    <w:nsid w:val="1F48EAA1"/>
    <w:multiLevelType w:val="hybridMultilevel"/>
    <w:lvl w:ilvl="0">
      <w:lvlJc w:val="left"/>
      <w:lvlText w:val="(%1)"/>
      <w:numFmt w:val="lowerLetter"/>
      <w:start w:val="26"/>
    </w:lvl>
  </w:abstractNum>
  <w:abstractNum w:abstractNumId="66">
    <w:nsid w:val="1381823A"/>
    <w:multiLevelType w:val="hybridMultilevel"/>
    <w:lvl w:ilvl="0">
      <w:lvlJc w:val="left"/>
      <w:lvlText w:val="(%1)"/>
      <w:numFmt w:val="lowerLetter"/>
      <w:start w:val="27"/>
    </w:lvl>
  </w:abstractNum>
  <w:abstractNum w:abstractNumId="67">
    <w:nsid w:val="5DB70AE5"/>
    <w:multiLevelType w:val="hybridMultilevel"/>
    <w:lvl w:ilvl="0">
      <w:lvlJc w:val="left"/>
      <w:lvlText w:val="(%1)"/>
      <w:numFmt w:val="lowerLetter"/>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jpeg"/><Relationship Id="rId35" Type="http://schemas.openxmlformats.org/officeDocument/2006/relationships/image" Target="media/image18.png"/><Relationship Id="rId36" Type="http://schemas.openxmlformats.org/officeDocument/2006/relationships/image" Target="media/image19.jpe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19" Type="http://schemas.openxmlformats.org/officeDocument/2006/relationships/hyperlink" Target="http://www.sec.gov/ix?doc=/Archives/edgar/data/1544227/000154422721000018/mlnd-20201231.htm" TargetMode="External"/><Relationship Id="rId20" Type="http://schemas.openxmlformats.org/officeDocument/2006/relationships/hyperlink" Target="http://www.sec.gov/ix?doc=/Archives/edgar/data/1544227/000154422721000026/mlnd-20201231.htm" TargetMode="External"/><Relationship Id="rId21" Type="http://schemas.openxmlformats.org/officeDocument/2006/relationships/hyperlink" Target="http://www.sec.gov/ix?doc=/Archives/edgar/data/1544227/000154422721000029/mlnd-20210331.htm" TargetMode="External"/><Relationship Id="rId22" Type="http://schemas.openxmlformats.org/officeDocument/2006/relationships/hyperlink" Target="http://www.sec.gov/Archives/edgar/data/1544227/000119312521196512/d154766d8k.htm" TargetMode="External"/><Relationship Id="rId23" Type="http://schemas.openxmlformats.org/officeDocument/2006/relationships/hyperlink" Target="http://www.sec.gov/Archives/edgar/data/1544227/000119312521206427/d12343d8ka.htm" TargetMode="External"/><Relationship Id="rId24" Type="http://schemas.openxmlformats.org/officeDocument/2006/relationships/hyperlink" Target="http://www.sec.gov/Archives/edgar/data/1544227/000154422720000004/mlnd-20191231xex46.htm" TargetMode="External"/><Relationship Id="rId27" Type="http://schemas.openxmlformats.org/officeDocument/2006/relationships/hyperlink" Target="http://www.sec.gov/Archives/edgar/data/1544227/000155837019005038/mlnd-20190331ex31b53fa83.htm" TargetMode="External"/><Relationship Id="rId28" Type="http://schemas.openxmlformats.org/officeDocument/2006/relationships/hyperlink" Target="http://www.sec.gov/Archives/edgar/data/0001544227/000119312521201157/d196630dex31.htm" TargetMode="External"/><Relationship Id="rId29" Type="http://schemas.openxmlformats.org/officeDocument/2006/relationships/hyperlink" Target="http://www.sec.gov/Archives/edgar/data/0001544227/000119312521201157/d196630dex32.htm" TargetMode="External"/><Relationship Id="rId30" Type="http://schemas.openxmlformats.org/officeDocument/2006/relationships/hyperlink" Target="http://www.sec.gov/Archives/edgar/data/1544227/000110465918050995/a18-18482_1ex3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2021-07-07T05:07:14Z</dcterms:created>
  <dcterms:modified xsi:type="dcterms:W3CDTF">2021-07-07T05:07:14Z</dcterms:modified>
</cp:coreProperties>
</file>