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26,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Tempest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444" w:type="dxa"/>
        <w:tblCellMar>
          <w:top w:w="0" w:type="dxa"/>
          <w:left w:w="0" w:type="dxa"/>
          <w:bottom w:w="0" w:type="dxa"/>
          <w:right w:w="0" w:type="dxa"/>
        </w:tblCellMar>
      </w:tblPr>
      <w:tr>
        <w:trPr>
          <w:trHeight w:val="212"/>
        </w:trPr>
        <w:tc>
          <w:tcPr>
            <w:tcW w:w="3820" w:type="dxa"/>
            <w:vAlign w:val="bottom"/>
          </w:tcPr>
          <w:p>
            <w:pPr>
              <w:jc w:val="center"/>
              <w:ind w:right="899"/>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tcPr>
          <w:p>
            <w:pPr>
              <w:ind w:left="960"/>
              <w:spacing w:after="0"/>
              <w:rPr>
                <w:sz w:val="20"/>
                <w:szCs w:val="20"/>
                <w:color w:val="auto"/>
              </w:rPr>
            </w:pPr>
            <w:r>
              <w:rPr>
                <w:rFonts w:ascii="Arial" w:cs="Arial" w:eastAsia="Arial" w:hAnsi="Arial"/>
                <w:sz w:val="18"/>
                <w:szCs w:val="18"/>
                <w:b w:val="1"/>
                <w:bCs w:val="1"/>
                <w:color w:val="auto"/>
              </w:rPr>
              <w:t>001-35890</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45-1472564</w:t>
            </w:r>
          </w:p>
        </w:tc>
      </w:tr>
      <w:tr>
        <w:trPr>
          <w:trHeight w:val="148"/>
        </w:trPr>
        <w:tc>
          <w:tcPr>
            <w:tcW w:w="3820" w:type="dxa"/>
            <w:vAlign w:val="bottom"/>
          </w:tcPr>
          <w:p>
            <w:pPr>
              <w:jc w:val="center"/>
              <w:ind w:right="8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100" w:type="dxa"/>
            <w:vAlign w:val="bottom"/>
          </w:tcPr>
          <w:p>
            <w:pPr>
              <w:ind w:left="96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820" w:type="dxa"/>
            <w:vAlign w:val="bottom"/>
          </w:tcPr>
          <w:p>
            <w:pPr>
              <w:jc w:val="center"/>
              <w:ind w:right="879"/>
              <w:spacing w:after="0"/>
              <w:rPr>
                <w:sz w:val="20"/>
                <w:szCs w:val="20"/>
                <w:color w:val="auto"/>
              </w:rPr>
            </w:pPr>
            <w:r>
              <w:rPr>
                <w:rFonts w:ascii="Arial" w:cs="Arial" w:eastAsia="Arial" w:hAnsi="Arial"/>
                <w:sz w:val="14"/>
                <w:szCs w:val="14"/>
                <w:b w:val="1"/>
                <w:bCs w:val="1"/>
                <w:color w:val="auto"/>
                <w:w w:val="94"/>
              </w:rPr>
              <w:t>of Incorporation)</w:t>
            </w:r>
          </w:p>
        </w:tc>
        <w:tc>
          <w:tcPr>
            <w:tcW w:w="3100" w:type="dxa"/>
            <w:vAlign w:val="bottom"/>
          </w:tcPr>
          <w:p>
            <w:pPr>
              <w:ind w:left="94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820" w:type="dxa"/>
            <w:vAlign w:val="bottom"/>
          </w:tcPr>
          <w:p>
            <w:pPr>
              <w:jc w:val="center"/>
              <w:ind w:right="879"/>
              <w:spacing w:after="0"/>
              <w:rPr>
                <w:sz w:val="20"/>
                <w:szCs w:val="20"/>
                <w:color w:val="auto"/>
              </w:rPr>
            </w:pPr>
            <w:r>
              <w:rPr>
                <w:rFonts w:ascii="Arial" w:cs="Arial" w:eastAsia="Arial" w:hAnsi="Arial"/>
                <w:sz w:val="18"/>
                <w:szCs w:val="18"/>
                <w:b w:val="1"/>
                <w:bCs w:val="1"/>
                <w:color w:val="auto"/>
                <w:w w:val="91"/>
              </w:rPr>
              <w:t>2000 Sierra Point Parkway, Suite 400</w:t>
            </w:r>
          </w:p>
        </w:tc>
        <w:tc>
          <w:tcPr>
            <w:tcW w:w="31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2"/>
        </w:trPr>
        <w:tc>
          <w:tcPr>
            <w:tcW w:w="3820" w:type="dxa"/>
            <w:vAlign w:val="bottom"/>
          </w:tcPr>
          <w:p>
            <w:pPr>
              <w:jc w:val="center"/>
              <w:ind w:right="879"/>
              <w:spacing w:after="0"/>
              <w:rPr>
                <w:sz w:val="20"/>
                <w:szCs w:val="20"/>
                <w:color w:val="auto"/>
              </w:rPr>
            </w:pPr>
            <w:r>
              <w:rPr>
                <w:rFonts w:ascii="Arial" w:cs="Arial" w:eastAsia="Arial" w:hAnsi="Arial"/>
                <w:sz w:val="18"/>
                <w:szCs w:val="18"/>
                <w:b w:val="1"/>
                <w:bCs w:val="1"/>
                <w:color w:val="auto"/>
                <w:w w:val="92"/>
              </w:rPr>
              <w:t>Brisbane, California</w:t>
            </w:r>
          </w:p>
        </w:tc>
        <w:tc>
          <w:tcPr>
            <w:tcW w:w="310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94005</w:t>
            </w:r>
          </w:p>
        </w:tc>
      </w:tr>
      <w:tr>
        <w:trPr>
          <w:trHeight w:val="186"/>
        </w:trPr>
        <w:tc>
          <w:tcPr>
            <w:tcW w:w="3820" w:type="dxa"/>
            <w:vAlign w:val="bottom"/>
          </w:tcPr>
          <w:p>
            <w:pPr>
              <w:jc w:val="center"/>
              <w:ind w:right="8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(415) 798-8589</w:t>
      </w:r>
    </w:p>
    <w:p>
      <w:pPr>
        <w:spacing w:after="0" w:line="194"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 w:right="48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TPST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3"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October 26, 2023, Tempest Therapeutics, Inc., a Delaware corporation (the “Company”), received a formal notification from The Nasdaq Stock Market LLC (“Nasdaq”) confirming that the Company has regained compliance with Nasdaq Listing Rule 5450(a)(1), which requires listed companies maintain a closing bid price of at least $1.00 per share.</w:t>
      </w:r>
    </w:p>
    <w:p>
      <w:pPr>
        <w:sectPr>
          <w:pgSz w:w="11900" w:h="16838" w:orient="portrait"/>
          <w:cols w:equalWidth="0" w:num="1">
            <w:col w:w="10860"/>
          </w:cols>
          <w:pgMar w:left="440" w:top="297" w:right="5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b w:val="1"/>
                <w:bCs w:val="1"/>
                <w:color w:val="auto"/>
              </w:rPr>
              <w:t>TEMPEST THERAPEUTICS,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October 30, 2023</w:t>
            </w:r>
          </w:p>
        </w:tc>
        <w:tc>
          <w:tcPr>
            <w:tcW w:w="2400" w:type="dxa"/>
            <w:vAlign w:val="bottom"/>
          </w:tcPr>
          <w:p>
            <w:pPr>
              <w:ind w:left="176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Brady</w:t>
            </w:r>
          </w:p>
        </w:tc>
      </w:tr>
      <w:tr>
        <w:trPr>
          <w:trHeight w:val="209"/>
        </w:trPr>
        <w:tc>
          <w:tcPr>
            <w:tcW w:w="3540" w:type="dxa"/>
            <w:vAlign w:val="bottom"/>
          </w:tcPr>
          <w:p>
            <w:pPr>
              <w:spacing w:after="0"/>
              <w:rPr>
                <w:sz w:val="18"/>
                <w:szCs w:val="18"/>
                <w:color w:val="auto"/>
              </w:rPr>
            </w:pPr>
          </w:p>
        </w:tc>
        <w:tc>
          <w:tcPr>
            <w:tcW w:w="2400" w:type="dxa"/>
            <w:vAlign w:val="bottom"/>
          </w:tcPr>
          <w:p>
            <w:pPr>
              <w:ind w:left="1760"/>
              <w:spacing w:after="0"/>
              <w:rPr>
                <w:sz w:val="20"/>
                <w:szCs w:val="20"/>
                <w:color w:val="auto"/>
              </w:rPr>
            </w:pPr>
            <w:r>
              <w:rPr>
                <w:rFonts w:ascii="Arial" w:cs="Arial" w:eastAsia="Arial" w:hAnsi="Arial"/>
                <w:sz w:val="18"/>
                <w:szCs w:val="18"/>
                <w:color w:val="auto"/>
              </w:rPr>
              <w:t>Name:</w:t>
            </w:r>
          </w:p>
        </w:tc>
        <w:tc>
          <w:tcPr>
            <w:tcW w:w="5080" w:type="dxa"/>
            <w:vAlign w:val="bottom"/>
          </w:tcPr>
          <w:p>
            <w:pPr>
              <w:spacing w:after="0"/>
              <w:rPr>
                <w:sz w:val="20"/>
                <w:szCs w:val="20"/>
                <w:color w:val="auto"/>
              </w:rPr>
            </w:pPr>
            <w:r>
              <w:rPr>
                <w:rFonts w:ascii="Arial" w:cs="Arial" w:eastAsia="Arial" w:hAnsi="Arial"/>
                <w:sz w:val="18"/>
                <w:szCs w:val="18"/>
                <w:color w:val="auto"/>
              </w:rPr>
              <w:t>Stephen Brady</w:t>
            </w:r>
          </w:p>
        </w:tc>
      </w:tr>
      <w:tr>
        <w:trPr>
          <w:trHeight w:val="230"/>
        </w:trPr>
        <w:tc>
          <w:tcPr>
            <w:tcW w:w="3540" w:type="dxa"/>
            <w:vAlign w:val="bottom"/>
          </w:tcPr>
          <w:p>
            <w:pPr>
              <w:spacing w:after="0"/>
              <w:rPr>
                <w:sz w:val="20"/>
                <w:szCs w:val="20"/>
                <w:color w:val="auto"/>
              </w:rPr>
            </w:pPr>
          </w:p>
        </w:tc>
        <w:tc>
          <w:tcPr>
            <w:tcW w:w="2400" w:type="dxa"/>
            <w:vAlign w:val="bottom"/>
          </w:tcPr>
          <w:p>
            <w:pPr>
              <w:ind w:left="1760"/>
              <w:spacing w:after="0"/>
              <w:rPr>
                <w:sz w:val="20"/>
                <w:szCs w:val="20"/>
                <w:color w:val="auto"/>
              </w:rPr>
            </w:pPr>
            <w:r>
              <w:rPr>
                <w:rFonts w:ascii="Arial" w:cs="Arial" w:eastAsia="Arial" w:hAnsi="Arial"/>
                <w:sz w:val="18"/>
                <w:szCs w:val="18"/>
                <w:color w:val="auto"/>
              </w:rPr>
              <w:t>Title:</w:t>
            </w:r>
          </w:p>
        </w:tc>
        <w:tc>
          <w:tcPr>
            <w:tcW w:w="50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2023-10-30T05:18:18Z</dcterms:created>
  <dcterms:modified xsi:type="dcterms:W3CDTF">2023-10-30T05:18:18Z</dcterms:modified>
</cp:coreProperties>
</file>