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PMingLiU" w:cs="PMingLiU" w:eastAsia="PMingLiU" w:hAnsi="PMingLiU"/>
          <w:sz w:val="24"/>
          <w:szCs w:val="24"/>
          <w:color w:val="auto"/>
        </w:rPr>
        <w:t/>
      </w:r>
    </w:p>
    <w:p>
      <w:pPr>
        <w:spacing w:after="0" w:line="200" w:lineRule="exact"/>
        <w:rPr>
          <w:sz w:val="24"/>
          <w:szCs w:val="24"/>
          <w:color w:val="auto"/>
        </w:rPr>
      </w:pPr>
    </w:p>
    <w:p>
      <w:pPr>
        <w:spacing w:after="0" w:line="232" w:lineRule="exact"/>
        <w:rPr>
          <w:sz w:val="24"/>
          <w:szCs w:val="24"/>
          <w:color w:val="auto"/>
        </w:rPr>
      </w:pPr>
    </w:p>
    <w:p>
      <w:pPr>
        <w:ind w:left="4680"/>
        <w:spacing w:after="0"/>
        <w:rPr>
          <w:sz w:val="20"/>
          <w:szCs w:val="20"/>
          <w:color w:val="auto"/>
        </w:rPr>
      </w:pPr>
      <w:r>
        <w:rPr>
          <w:rFonts w:ascii="PMingLiU" w:cs="PMingLiU" w:eastAsia="PMingLiU" w:hAnsi="PMingLiU"/>
          <w:sz w:val="24"/>
          <w:szCs w:val="24"/>
          <w:color w:val="auto"/>
        </w:rPr>
        <w:t/>
      </w:r>
    </w:p>
    <w:p>
      <w:pPr>
        <w:spacing w:after="0" w:line="10" w:lineRule="exact"/>
        <w:rPr>
          <w:sz w:val="24"/>
          <w:szCs w:val="24"/>
          <w:color w:val="auto"/>
        </w:rPr>
      </w:pPr>
    </w:p>
    <w:p>
      <w:pPr>
        <w:ind w:left="4680"/>
        <w:spacing w:after="0"/>
        <w:rPr>
          <w:sz w:val="20"/>
          <w:szCs w:val="20"/>
          <w:color w:val="auto"/>
        </w:rPr>
      </w:pPr>
      <w:r>
        <w:rPr>
          <w:rFonts w:ascii="PMingLiU" w:cs="PMingLiU" w:eastAsia="PMingLiU" w:hAnsi="PMingLiU"/>
          <w:sz w:val="24"/>
          <w:szCs w:val="24"/>
          <w:color w:val="auto"/>
        </w:rPr>
        <w:t/>
      </w:r>
    </w:p>
    <w:p>
      <w:pPr>
        <w:ind w:left="4680"/>
        <w:spacing w:after="0" w:line="228" w:lineRule="auto"/>
        <w:rPr>
          <w:sz w:val="20"/>
          <w:szCs w:val="20"/>
          <w:color w:val="auto"/>
        </w:rPr>
      </w:pPr>
      <w:r>
        <w:rPr>
          <w:rFonts w:ascii="PMingLiU" w:cs="PMingLiU" w:eastAsia="PMingLiU" w:hAnsi="PMingLiU"/>
          <w:sz w:val="24"/>
          <w:szCs w:val="24"/>
          <w:color w:val="auto"/>
        </w:rPr>
        <w:t/>
      </w:r>
    </w:p>
    <w:p>
      <w:pPr>
        <w:ind w:left="4680"/>
        <w:spacing w:after="0" w:line="238" w:lineRule="auto"/>
        <w:rPr>
          <w:sz w:val="20"/>
          <w:szCs w:val="20"/>
          <w:color w:val="auto"/>
        </w:rPr>
      </w:pPr>
      <w:r>
        <w:rPr>
          <w:rFonts w:ascii="PMingLiU" w:cs="PMingLiU" w:eastAsia="PMingLiU" w:hAnsi="PMingLiU"/>
          <w:sz w:val="24"/>
          <w:szCs w:val="24"/>
          <w:color w:val="auto"/>
        </w:rPr>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1809750</wp:posOffset>
            </wp:positionH>
            <wp:positionV relativeFrom="paragraph">
              <wp:posOffset>-8255</wp:posOffset>
            </wp:positionV>
            <wp:extent cx="2314575" cy="2105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2105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right"/>
        <w:ind w:right="2800"/>
        <w:spacing w:after="0"/>
        <w:rPr>
          <w:sz w:val="20"/>
          <w:szCs w:val="20"/>
          <w:color w:val="auto"/>
        </w:rPr>
      </w:pPr>
      <w:r>
        <w:rPr>
          <w:rFonts w:ascii="PMingLiU" w:cs="PMingLiU" w:eastAsia="PMingLiU" w:hAnsi="PMingLiU"/>
          <w:sz w:val="24"/>
          <w:szCs w:val="24"/>
          <w:color w:val="auto"/>
        </w:rPr>
        <w:t/>
      </w:r>
    </w:p>
    <w:p>
      <w:pPr>
        <w:ind w:left="4680"/>
        <w:spacing w:after="0" w:line="228" w:lineRule="auto"/>
        <w:rPr>
          <w:sz w:val="20"/>
          <w:szCs w:val="20"/>
          <w:color w:val="auto"/>
        </w:rPr>
      </w:pPr>
      <w:r>
        <w:rPr>
          <w:rFonts w:ascii="PMingLiU" w:cs="PMingLiU" w:eastAsia="PMingLiU" w:hAnsi="PMingLiU"/>
          <w:sz w:val="24"/>
          <w:szCs w:val="24"/>
          <w:color w:val="auto"/>
        </w:rPr>
        <w:t/>
      </w:r>
    </w:p>
    <w:p>
      <w:pPr>
        <w:ind w:left="4680"/>
        <w:spacing w:after="0" w:line="238" w:lineRule="auto"/>
        <w:rPr>
          <w:sz w:val="20"/>
          <w:szCs w:val="20"/>
          <w:color w:val="auto"/>
        </w:rPr>
      </w:pPr>
      <w:r>
        <w:rPr>
          <w:rFonts w:ascii="PMingLiU" w:cs="PMingLiU" w:eastAsia="PMingLiU" w:hAnsi="PMingLiU"/>
          <w:sz w:val="24"/>
          <w:szCs w:val="24"/>
          <w:color w:val="auto"/>
        </w:rPr>
        <w:t/>
      </w:r>
    </w:p>
    <w:p>
      <w:pPr>
        <w:jc w:val="center"/>
        <w:ind w:right="-179"/>
        <w:spacing w:after="0" w:line="230" w:lineRule="auto"/>
        <w:rPr>
          <w:sz w:val="20"/>
          <w:szCs w:val="20"/>
          <w:color w:val="auto"/>
        </w:rPr>
      </w:pPr>
      <w:r>
        <w:rPr>
          <w:rFonts w:ascii="PMingLiU" w:cs="PMingLiU" w:eastAsia="PMingLiU" w:hAnsi="PMingLiU"/>
          <w:sz w:val="36"/>
          <w:szCs w:val="36"/>
          <w:b w:val="1"/>
          <w:bCs w:val="1"/>
          <w:color w:val="auto"/>
        </w:rPr>
        <w:t> </w:t>
      </w:r>
    </w:p>
    <w:p>
      <w:pPr>
        <w:jc w:val="center"/>
        <w:ind w:right="-79"/>
        <w:spacing w:after="0" w:line="229" w:lineRule="auto"/>
        <w:rPr>
          <w:sz w:val="20"/>
          <w:szCs w:val="20"/>
          <w:color w:val="auto"/>
        </w:rPr>
      </w:pPr>
      <w:r>
        <w:rPr>
          <w:rFonts w:ascii="PMingLiU" w:cs="PMingLiU" w:eastAsia="PMingLiU" w:hAnsi="PMingLiU"/>
          <w:sz w:val="36"/>
          <w:szCs w:val="36"/>
          <w:b w:val="1"/>
          <w:bCs w:val="1"/>
          <w:color w:val="auto"/>
        </w:rPr>
        <w:t/>
      </w:r>
    </w:p>
    <w:p>
      <w:pPr>
        <w:jc w:val="center"/>
        <w:ind w:right="-79"/>
        <w:spacing w:after="0" w:line="225" w:lineRule="auto"/>
        <w:rPr>
          <w:sz w:val="20"/>
          <w:szCs w:val="20"/>
          <w:color w:val="auto"/>
        </w:rPr>
      </w:pPr>
      <w:r>
        <w:rPr>
          <w:rFonts w:ascii="PMingLiU" w:cs="PMingLiU" w:eastAsia="PMingLiU" w:hAnsi="PMingLiU"/>
          <w:sz w:val="36"/>
          <w:szCs w:val="36"/>
          <w:b w:val="1"/>
          <w:bCs w:val="1"/>
          <w:color w:val="auto"/>
        </w:rPr>
        <w:t/>
      </w:r>
    </w:p>
    <w:p>
      <w:pPr>
        <w:ind w:left="4680"/>
        <w:spacing w:after="0" w:line="233"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3"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9"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2" w:lineRule="auto"/>
        <w:rPr>
          <w:sz w:val="20"/>
          <w:szCs w:val="20"/>
          <w:color w:val="auto"/>
        </w:rPr>
      </w:pPr>
      <w:r>
        <w:rPr>
          <w:rFonts w:ascii="PMingLiU" w:cs="PMingLiU" w:eastAsia="PMingLiU" w:hAnsi="PMingLiU"/>
          <w:sz w:val="24"/>
          <w:szCs w:val="24"/>
          <w:b w:val="1"/>
          <w:bCs w:val="1"/>
          <w:color w:val="auto"/>
        </w:rPr>
        <w:t/>
      </w:r>
    </w:p>
    <w:p>
      <w:pPr>
        <w:ind w:left="4680"/>
        <w:spacing w:after="0" w:line="228" w:lineRule="auto"/>
        <w:rPr>
          <w:sz w:val="20"/>
          <w:szCs w:val="20"/>
          <w:color w:val="auto"/>
        </w:rPr>
      </w:pPr>
      <w:r>
        <w:rPr>
          <w:rFonts w:ascii="PMingLiU" w:cs="PMingLiU" w:eastAsia="PMingLiU" w:hAnsi="PMingLiU"/>
          <w:sz w:val="24"/>
          <w:szCs w:val="24"/>
          <w:b w:val="1"/>
          <w:bCs w:val="1"/>
          <w:color w:val="auto"/>
        </w:rPr>
        <w:t/>
      </w:r>
    </w:p>
    <w:p>
      <w:pPr>
        <w:ind w:left="4680"/>
        <w:spacing w:after="0" w:line="233" w:lineRule="auto"/>
        <w:rPr>
          <w:sz w:val="20"/>
          <w:szCs w:val="20"/>
          <w:color w:val="auto"/>
        </w:rPr>
      </w:pPr>
      <w:r>
        <w:rPr>
          <w:rFonts w:ascii="PMingLiU" w:cs="PMingLiU" w:eastAsia="PMingLiU" w:hAnsi="PMingLiU"/>
          <w:sz w:val="24"/>
          <w:szCs w:val="24"/>
          <w:b w:val="1"/>
          <w:bCs w:val="1"/>
          <w:color w:val="auto"/>
        </w:rPr>
        <w:t/>
      </w:r>
    </w:p>
    <w:p>
      <w:pPr>
        <w:spacing w:after="0" w:line="228" w:lineRule="auto"/>
        <w:rPr>
          <w:sz w:val="20"/>
          <w:szCs w:val="20"/>
          <w:color w:val="auto"/>
        </w:rPr>
      </w:pPr>
      <w:r>
        <w:rPr>
          <w:rFonts w:ascii="PMingLiU" w:cs="PMingLiU" w:eastAsia="PMingLiU" w:hAnsi="PMingLiU"/>
          <w:sz w:val="24"/>
          <w:szCs w:val="24"/>
          <w:b w:val="1"/>
          <w:bCs w:val="1"/>
          <w:color w:val="auto"/>
        </w:rPr>
        <w:t/>
      </w:r>
    </w:p>
    <w:p>
      <w:pPr>
        <w:jc w:val="center"/>
        <w:ind w:right="-59"/>
        <w:spacing w:after="0" w:line="232" w:lineRule="auto"/>
        <w:rPr>
          <w:sz w:val="20"/>
          <w:szCs w:val="20"/>
          <w:color w:val="auto"/>
        </w:rPr>
      </w:pPr>
      <w:r>
        <w:rPr>
          <w:rFonts w:ascii="PMingLiU" w:cs="PMingLiU" w:eastAsia="PMingLiU" w:hAnsi="PMingLiU"/>
          <w:sz w:val="24"/>
          <w:szCs w:val="24"/>
          <w:b w:val="1"/>
          <w:bCs w:val="1"/>
          <w:color w:val="auto"/>
        </w:rPr>
        <w:t/>
      </w:r>
    </w:p>
    <w:p>
      <w:pPr>
        <w:jc w:val="center"/>
        <w:spacing w:after="0"/>
        <w:rPr>
          <w:sz w:val="20"/>
          <w:szCs w:val="20"/>
          <w:color w:val="auto"/>
        </w:rPr>
      </w:pPr>
      <w:r>
        <w:rPr>
          <w:rFonts w:ascii="PMingLiU" w:cs="PMingLiU" w:eastAsia="PMingLiU" w:hAnsi="PMingLiU"/>
          <w:sz w:val="24"/>
          <w:szCs w:val="24"/>
          <w:b w:val="1"/>
          <w:bCs w:val="1"/>
          <w:color w:val="auto"/>
        </w:rPr>
        <w:t> </w:t>
      </w:r>
    </w:p>
    <w:p>
      <w:pPr>
        <w:sectPr>
          <w:pgSz w:w="12240" w:h="15840" w:orient="portrait"/>
          <w:cols w:equalWidth="0" w:num="1">
            <w:col w:w="9360"/>
          </w:cols>
          <w:pgMar w:left="1440" w:top="692" w:right="1440" w:bottom="384" w:gutter="0" w:footer="0" w:header="0"/>
        </w:sect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PMingLiU" w:cs="PMingLiU" w:eastAsia="PMingLiU" w:hAnsi="PMingLiU"/>
          <w:sz w:val="6"/>
          <w:szCs w:val="6"/>
          <w:color w:val="auto"/>
        </w:rPr>
        <w:t/>
      </w:r>
    </w:p>
    <w:p>
      <w:pPr>
        <w:sectPr>
          <w:pgSz w:w="12240" w:h="15840" w:orient="portrait"/>
          <w:cols w:equalWidth="0" w:num="1">
            <w:col w:w="9360"/>
          </w:cols>
          <w:pgMar w:left="1440" w:top="692" w:right="1440" w:bottom="384"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630555</wp:posOffset>
                </wp:positionH>
                <wp:positionV relativeFrom="page">
                  <wp:posOffset>655955</wp:posOffset>
                </wp:positionV>
                <wp:extent cx="651065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5pt,51.65pt" to="562.3pt,51.6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630555</wp:posOffset>
                </wp:positionH>
                <wp:positionV relativeFrom="page">
                  <wp:posOffset>681355</wp:posOffset>
                </wp:positionV>
                <wp:extent cx="65106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5pt,53.65pt" to="562.3pt,53.65pt" o:allowincell="f" strokecolor="#000000" strokeweight="1pt">
                <w10:wrap anchorx="page" anchory="page"/>
              </v:line>
            </w:pict>
          </mc:Fallback>
        </mc:AlternateContent>
        <w:t>UNITED STATES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_______________________________________________________________________________________________________________________________</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_______________________________________________________________________________________________________________________________</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8" w:lineRule="exact"/>
        <w:rPr>
          <w:sz w:val="20"/>
          <w:szCs w:val="20"/>
          <w:color w:val="auto"/>
        </w:rPr>
      </w:pPr>
    </w:p>
    <w:p>
      <w:pPr>
        <w:ind w:left="340" w:hanging="293"/>
        <w:spacing w:after="0"/>
        <w:tabs>
          <w:tab w:leader="none" w:pos="340" w:val="left"/>
        </w:tabs>
        <w:numPr>
          <w:ilvl w:val="0"/>
          <w:numId w:val="1"/>
        </w:numPr>
        <w:rPr>
          <w:rFonts w:ascii="Segoe UI" w:cs="Segoe UI" w:eastAsia="Segoe UI" w:hAnsi="Segoe UI"/>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 w:lineRule="exact"/>
        <w:rPr>
          <w:rFonts w:ascii="Segoe UI" w:cs="Segoe UI" w:eastAsia="Segoe UI" w:hAnsi="Segoe UI"/>
          <w:sz w:val="20"/>
          <w:szCs w:val="20"/>
          <w:color w:val="auto"/>
        </w:rPr>
      </w:pPr>
    </w:p>
    <w:p>
      <w:pPr>
        <w:ind w:left="3420"/>
        <w:spacing w:after="0"/>
        <w:rPr>
          <w:rFonts w:ascii="Segoe UI" w:cs="Segoe UI" w:eastAsia="Segoe UI" w:hAnsi="Segoe UI"/>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-110490</wp:posOffset>
            </wp:positionV>
            <wp:extent cx="57150" cy="101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57150" cy="101600"/>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001-35890</w:t>
      </w:r>
    </w:p>
    <w:p>
      <w:pPr>
        <w:spacing w:after="0" w:line="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Tempest Therapeutics, Inc.</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w:t>
      </w:r>
    </w:p>
    <w:p>
      <w:pPr>
        <w:spacing w:after="0" w:line="96" w:lineRule="exact"/>
        <w:rPr>
          <w:sz w:val="20"/>
          <w:szCs w:val="20"/>
          <w:color w:val="auto"/>
        </w:rPr>
      </w:pPr>
    </w:p>
    <w:tbl>
      <w:tblPr>
        <w:tblLayout w:type="fixed"/>
        <w:tblInd w:w="1240" w:type="dxa"/>
        <w:tblCellMar>
          <w:top w:w="0" w:type="dxa"/>
          <w:left w:w="0" w:type="dxa"/>
          <w:bottom w:w="0" w:type="dxa"/>
          <w:right w:w="0" w:type="dxa"/>
        </w:tblCellMar>
      </w:tblPr>
      <w:tr>
        <w:trPr>
          <w:trHeight w:val="221"/>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45-1472564</w:t>
            </w:r>
          </w:p>
        </w:tc>
      </w:tr>
      <w:tr>
        <w:trPr>
          <w:trHeight w:val="252"/>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840" w:type="dxa"/>
            <w:vAlign w:val="bottom"/>
          </w:tcPr>
          <w:p>
            <w:pPr>
              <w:jc w:val="center"/>
              <w:ind w:left="152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21"/>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840" w:type="dxa"/>
            <w:vAlign w:val="bottom"/>
          </w:tcPr>
          <w:p>
            <w:pPr>
              <w:jc w:val="center"/>
              <w:ind w:left="152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52"/>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tc>
        <w:tc>
          <w:tcPr>
            <w:tcW w:w="2840" w:type="dxa"/>
            <w:vAlign w:val="bottom"/>
          </w:tcPr>
          <w:p>
            <w:pPr>
              <w:spacing w:after="0"/>
              <w:rPr>
                <w:sz w:val="21"/>
                <w:szCs w:val="21"/>
                <w:color w:val="auto"/>
              </w:rPr>
            </w:pPr>
          </w:p>
        </w:tc>
      </w:tr>
      <w:tr>
        <w:trPr>
          <w:trHeight w:val="221"/>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rPr>
              <w:t>Brisbane, California</w:t>
            </w:r>
          </w:p>
        </w:tc>
        <w:tc>
          <w:tcPr>
            <w:tcW w:w="284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89"/>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840" w:type="dxa"/>
            <w:vAlign w:val="bottom"/>
          </w:tcPr>
          <w:p>
            <w:pPr>
              <w:jc w:val="center"/>
              <w:ind w:left="15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jc w:val="center"/>
              <w:ind w:right="403"/>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20" w:type="dxa"/>
            <w:vAlign w:val="bottom"/>
            <w:gridSpan w:val="2"/>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85"/>
        </w:trPr>
        <w:tc>
          <w:tcPr>
            <w:tcW w:w="3860" w:type="dxa"/>
            <w:vAlign w:val="bottom"/>
          </w:tcPr>
          <w:p>
            <w:pPr>
              <w:jc w:val="center"/>
              <w:ind w:right="403"/>
              <w:spacing w:after="0"/>
              <w:rPr>
                <w:sz w:val="20"/>
                <w:szCs w:val="20"/>
                <w:color w:val="auto"/>
              </w:rPr>
            </w:pPr>
            <w:r>
              <w:rPr>
                <w:rFonts w:ascii="Times New Roman" w:cs="Times New Roman" w:eastAsia="Times New Roman" w:hAnsi="Times New Roman"/>
                <w:sz w:val="16"/>
                <w:szCs w:val="16"/>
                <w:color w:val="auto"/>
                <w:w w:val="99"/>
              </w:rPr>
              <w:t>Common Stock, $0.001 par value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TPST</w:t>
            </w:r>
          </w:p>
        </w:tc>
        <w:tc>
          <w:tcPr>
            <w:tcW w:w="1160" w:type="dxa"/>
            <w:vAlign w:val="bottom"/>
          </w:tcPr>
          <w:p>
            <w:pPr>
              <w:spacing w:after="0"/>
              <w:rPr>
                <w:sz w:val="24"/>
                <w:szCs w:val="24"/>
                <w:color w:val="auto"/>
              </w:rPr>
            </w:pPr>
          </w:p>
        </w:tc>
        <w:tc>
          <w:tcPr>
            <w:tcW w:w="2560" w:type="dxa"/>
            <w:vAlign w:val="bottom"/>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81"/>
        </w:trPr>
        <w:tc>
          <w:tcPr>
            <w:tcW w:w="3860" w:type="dxa"/>
            <w:vAlign w:val="bottom"/>
          </w:tcPr>
          <w:p>
            <w:pPr>
              <w:jc w:val="center"/>
              <w:ind w:right="403"/>
              <w:spacing w:after="0"/>
              <w:rPr>
                <w:sz w:val="20"/>
                <w:szCs w:val="20"/>
                <w:color w:val="auto"/>
              </w:rPr>
            </w:pPr>
            <w:r>
              <w:rPr>
                <w:rFonts w:ascii="Times New Roman" w:cs="Times New Roman" w:eastAsia="Times New Roman" w:hAnsi="Times New Roman"/>
                <w:sz w:val="16"/>
                <w:szCs w:val="16"/>
                <w:color w:val="auto"/>
              </w:rPr>
              <w:t>Series A Junior Participating Preferred Purchase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Pr>
          <w:p>
            <w:pPr>
              <w:spacing w:after="0"/>
              <w:rPr>
                <w:sz w:val="24"/>
                <w:szCs w:val="24"/>
                <w:color w:val="auto"/>
              </w:rPr>
            </w:pPr>
          </w:p>
        </w:tc>
        <w:tc>
          <w:tcPr>
            <w:tcW w:w="2560" w:type="dxa"/>
            <w:vAlign w:val="bottom"/>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3"/>
        </w:trPr>
        <w:tc>
          <w:tcPr>
            <w:tcW w:w="3860" w:type="dxa"/>
            <w:vAlign w:val="bottom"/>
          </w:tcPr>
          <w:p>
            <w:pPr>
              <w:jc w:val="center"/>
              <w:ind w:right="403"/>
              <w:spacing w:after="0"/>
              <w:rPr>
                <w:sz w:val="20"/>
                <w:szCs w:val="20"/>
                <w:color w:val="auto"/>
              </w:rPr>
            </w:pPr>
            <w:r>
              <w:rPr>
                <w:rFonts w:ascii="Times New Roman" w:cs="Times New Roman" w:eastAsia="Times New Roman" w:hAnsi="Times New Roman"/>
                <w:sz w:val="16"/>
                <w:szCs w:val="16"/>
                <w:color w:val="auto"/>
              </w:rPr>
              <w:t>Rights</w:t>
            </w: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8"/>
        </w:trPr>
        <w:tc>
          <w:tcPr>
            <w:tcW w:w="7520" w:type="dxa"/>
            <w:vAlign w:val="bottom"/>
            <w:gridSpan w:val="3"/>
          </w:tcPr>
          <w:p>
            <w:pPr>
              <w:jc w:val="center"/>
              <w:ind w:left="264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2560" w:type="dxa"/>
            <w:vAlign w:val="bottom"/>
          </w:tcPr>
          <w:p>
            <w:pPr>
              <w:spacing w:after="0"/>
              <w:rPr>
                <w:sz w:val="24"/>
                <w:szCs w:val="24"/>
                <w:color w:val="auto"/>
              </w:rPr>
            </w:pPr>
          </w:p>
        </w:tc>
      </w:tr>
      <w:tr>
        <w:trPr>
          <w:trHeight w:val="169"/>
        </w:trPr>
        <w:tc>
          <w:tcPr>
            <w:tcW w:w="10080" w:type="dxa"/>
            <w:vAlign w:val="bottom"/>
            <w:gridSpan w:val="4"/>
          </w:tcPr>
          <w:p>
            <w:pPr>
              <w:jc w:val="center"/>
              <w:ind w:left="103"/>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_________________________________________________________________________________________________________________</w:t>
            </w:r>
          </w:p>
        </w:tc>
      </w:tr>
      <w:tr>
        <w:trPr>
          <w:trHeight w:val="338"/>
        </w:trPr>
        <w:tc>
          <w:tcPr>
            <w:tcW w:w="10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tc>
      </w:tr>
      <w:tr>
        <w:trPr>
          <w:trHeight w:val="336"/>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2560" w:type="dxa"/>
            <w:vAlign w:val="bottom"/>
          </w:tcPr>
          <w:p>
            <w:pPr>
              <w:ind w:left="60"/>
              <w:spacing w:after="0"/>
              <w:rPr>
                <w:sz w:val="20"/>
                <w:szCs w:val="20"/>
                <w:color w:val="auto"/>
              </w:rPr>
            </w:pPr>
            <w:r>
              <w:rPr>
                <w:rFonts w:ascii="Segoe UI" w:cs="Segoe UI" w:eastAsia="Segoe UI" w:hAnsi="Segoe UI"/>
                <w:sz w:val="16"/>
                <w:szCs w:val="16"/>
                <w:color w:val="auto"/>
              </w:rPr>
              <w:t xml:space="preserve">ն </w:t>
            </w:r>
            <w:r>
              <w:rPr>
                <w:rFonts w:ascii="Times New Roman" w:cs="Times New Roman" w:eastAsia="Times New Roman" w:hAnsi="Times New Roman"/>
                <w:sz w:val="16"/>
                <w:szCs w:val="16"/>
                <w:color w:val="auto"/>
              </w:rPr>
              <w:t>No</w:t>
            </w:r>
            <w:r>
              <w:rPr>
                <w:rFonts w:ascii="Segoe UI" w:cs="Segoe UI" w:eastAsia="Segoe UI" w:hAnsi="Segoe UI"/>
                <w:sz w:val="16"/>
                <w:szCs w:val="16"/>
                <w:color w:val="auto"/>
              </w:rPr>
              <w:t xml:space="preserve"> շ</w:t>
            </w:r>
          </w:p>
        </w:tc>
      </w:tr>
    </w:tbl>
    <w:p>
      <w:pPr>
        <w:spacing w:after="0" w:line="7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324"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spacing w:after="0"/>
              <w:rPr>
                <w:sz w:val="18"/>
                <w:szCs w:val="18"/>
                <w:color w:val="auto"/>
              </w:rPr>
            </w:pPr>
          </w:p>
        </w:tc>
        <w:tc>
          <w:tcPr>
            <w:tcW w:w="450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spacing w:after="0"/>
              <w:rPr>
                <w:sz w:val="18"/>
                <w:szCs w:val="18"/>
                <w:color w:val="auto"/>
              </w:rPr>
            </w:pPr>
          </w:p>
        </w:tc>
      </w:tr>
      <w:tr>
        <w:trPr>
          <w:trHeight w:val="33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520"/>
              <w:spacing w:after="0"/>
              <w:rPr>
                <w:sz w:val="20"/>
                <w:szCs w:val="20"/>
                <w:color w:val="auto"/>
              </w:rPr>
            </w:pPr>
            <w:r>
              <w:rPr>
                <w:rFonts w:ascii="Segoe UI" w:cs="Segoe UI" w:eastAsia="Segoe UI" w:hAnsi="Segoe UI"/>
                <w:sz w:val="16"/>
                <w:szCs w:val="16"/>
                <w:color w:val="auto"/>
              </w:rPr>
              <w:t>շ</w:t>
            </w:r>
          </w:p>
        </w:tc>
        <w:tc>
          <w:tcPr>
            <w:tcW w:w="450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rPr>
                <w:sz w:val="20"/>
                <w:szCs w:val="20"/>
                <w:color w:val="auto"/>
              </w:rPr>
            </w:pPr>
            <w:r>
              <w:rPr>
                <w:rFonts w:ascii="Segoe UI" w:cs="Segoe UI" w:eastAsia="Segoe UI" w:hAnsi="Segoe UI"/>
                <w:sz w:val="16"/>
                <w:szCs w:val="16"/>
                <w:color w:val="auto"/>
              </w:rPr>
              <w:t>շ</w:t>
            </w:r>
          </w:p>
        </w:tc>
      </w:tr>
      <w:tr>
        <w:trPr>
          <w:trHeight w:val="273"/>
        </w:trPr>
        <w:tc>
          <w:tcPr>
            <w:tcW w:w="19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50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-497205</wp:posOffset>
            </wp:positionV>
            <wp:extent cx="47625" cy="83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47625" cy="83185"/>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-497205</wp:posOffset>
            </wp:positionV>
            <wp:extent cx="47625" cy="83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47625" cy="83185"/>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-111760</wp:posOffset>
            </wp:positionV>
            <wp:extent cx="47625" cy="83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47625" cy="83185"/>
                    </a:xfrm>
                    <a:prstGeom prst="rect">
                      <a:avLst/>
                    </a:prstGeom>
                    <a:noFill/>
                  </pic:spPr>
                </pic:pic>
              </a:graphicData>
            </a:graphic>
          </wp:anchor>
        </w:drawing>
      </w:r>
    </w:p>
    <w:p>
      <w:pPr>
        <w:sectPr>
          <w:pgSz w:w="12240" w:h="15840" w:orient="portrait"/>
          <w:cols w:equalWidth="0" w:num="1">
            <w:col w:w="10240"/>
          </w:cols>
          <w:pgMar w:left="1000" w:top="1207" w:right="1000" w:bottom="892" w:gutter="0" w:footer="0" w:header="0"/>
        </w:sectPr>
      </w:pPr>
    </w:p>
    <w:bookmarkStart w:id="3" w:name="page4"/>
    <w:bookmarkEnd w:id="3"/>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6"/>
          <w:szCs w:val="16"/>
          <w:color w:val="auto"/>
        </w:rPr>
        <w:t></w:t>
      </w:r>
    </w:p>
    <w:p>
      <w:pPr>
        <w:spacing w:after="0" w:line="4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3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PMingLiU" w:cs="PMingLiU" w:eastAsia="PMingLiU" w:hAnsi="PMingLiU"/>
          <w:sz w:val="16"/>
          <w:szCs w:val="16"/>
          <w:color w:val="auto"/>
        </w:rPr>
        <w:t></w:t>
      </w:r>
    </w:p>
    <w:p>
      <w:pPr>
        <w:spacing w:after="0" w:line="35" w:lineRule="exact"/>
        <w:rPr>
          <w:sz w:val="20"/>
          <w:szCs w:val="20"/>
          <w:color w:val="auto"/>
        </w:rPr>
      </w:pPr>
    </w:p>
    <w:p>
      <w:pPr>
        <w:spacing w:after="0"/>
        <w:tabs>
          <w:tab w:leader="none" w:pos="6740" w:val="left"/>
          <w:tab w:leader="none" w:pos="73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շ</w:t>
      </w:r>
    </w:p>
    <w:p>
      <w:pPr>
        <w:spacing w:after="0" w:line="1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of the registrant held by non-affiliates as of June 28, 2024 (the last business day of the registrant’s most recently completed second fiscal quarter), based on a closing price of $2.19 per share of the registrant’s common stock as reported on The Nasdaq Stock Market LLC on June 28, 2024, was approximately $53.6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21, 2025, the registrant had 45,483,384 shares of common stock, $0.001 par value per share, outstanding.</w:t>
      </w:r>
    </w:p>
    <w:p>
      <w:pPr>
        <w:spacing w:after="0" w:line="25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43" w:lineRule="exact"/>
        <w:rPr>
          <w:sz w:val="20"/>
          <w:szCs w:val="20"/>
          <w:color w:val="auto"/>
        </w:rPr>
      </w:pPr>
    </w:p>
    <w:p>
      <w:pPr>
        <w:jc w:val="both"/>
        <w:ind w:right="140"/>
        <w:spacing w:after="0" w:line="294"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40005</wp:posOffset>
                </wp:positionV>
                <wp:extent cx="65100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15pt" to="512.3pt,3.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65405</wp:posOffset>
                </wp:positionV>
                <wp:extent cx="651002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5.15pt" to="512.3pt,5.15pt" o:allowincell="f" strokecolor="#000000" strokeweight="1pt"/>
            </w:pict>
          </mc:Fallback>
        </mc:AlternateContent>
      </w:r>
    </w:p>
    <w:p>
      <w:pPr>
        <w:sectPr>
          <w:pgSz w:w="12240" w:h="15840" w:orient="portrait"/>
          <w:cols w:equalWidth="0" w:num="1">
            <w:col w:w="10240"/>
          </w:cols>
          <w:pgMar w:left="1000" w:top="980" w:right="1000" w:bottom="1440" w:gutter="0" w:footer="0" w:header="0"/>
        </w:sectPr>
      </w:pPr>
    </w:p>
    <w:bookmarkStart w:id="4" w:name="page5"/>
    <w:bookmarkEnd w:id="4"/>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7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9"/>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9400" w:type="dxa"/>
            <w:vAlign w:val="bottom"/>
            <w:gridSpan w:val="2"/>
            <w:vMerge w:val="continue"/>
          </w:tcPr>
          <w:p>
            <w:pPr>
              <w:spacing w:after="0"/>
              <w:rPr>
                <w:sz w:val="23"/>
                <w:szCs w:val="2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491"/>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Business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Risk Factors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Cybersecurity</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Properties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Legal Proceedings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Mine Safety Disclosures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510"/>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515151"/>
              </w:rPr>
              <w:t>PART II</w:t>
            </w:r>
          </w:p>
        </w:tc>
        <w:tc>
          <w:tcPr>
            <w:tcW w:w="8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Securities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[Reserved]</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Controls and Procedures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Information</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510"/>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Compensation</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Matters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510"/>
        </w:trPr>
        <w:tc>
          <w:tcPr>
            <w:tcW w:w="1040" w:type="dxa"/>
            <w:vAlign w:val="bottom"/>
          </w:tcPr>
          <w:p>
            <w:pPr>
              <w:spacing w:after="0"/>
              <w:rPr>
                <w:sz w:val="20"/>
                <w:szCs w:val="20"/>
                <w:color w:val="auto"/>
              </w:rPr>
            </w:pPr>
            <w:r>
              <w:rPr>
                <w:rFonts w:ascii="Times New Roman" w:cs="Times New Roman" w:eastAsia="Times New Roman" w:hAnsi="Times New Roman"/>
                <w:sz w:val="20"/>
                <w:szCs w:val="20"/>
                <w:b w:val="1"/>
                <w:bCs w:val="1"/>
                <w:color w:val="515151"/>
              </w:rPr>
              <w:t>PART IV</w:t>
            </w:r>
          </w:p>
        </w:tc>
        <w:tc>
          <w:tcPr>
            <w:tcW w:w="83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10-K Summary</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8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2240" w:h="15840" w:orient="portrait"/>
          <w:cols w:equalWidth="0" w:num="1">
            <w:col w:w="10140"/>
          </w:cols>
          <w:pgMar w:left="1100" w:top="1018" w:right="100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9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This Annual Report on Form 10-K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123" w:lineRule="exact"/>
        <w:rPr>
          <w:sz w:val="20"/>
          <w:szCs w:val="20"/>
          <w:color w:val="auto"/>
        </w:rPr>
      </w:pPr>
    </w:p>
    <w:p>
      <w:pPr>
        <w:ind w:left="1080" w:hanging="366"/>
        <w:spacing w:after="0"/>
        <w:tabs>
          <w:tab w:leader="none" w:pos="10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our expected future growth and our ability to manage such growth;</w:t>
      </w:r>
    </w:p>
    <w:p>
      <w:pPr>
        <w:spacing w:after="0" w:line="286" w:lineRule="exact"/>
        <w:rPr>
          <w:rFonts w:ascii="Times New Roman" w:cs="Times New Roman" w:eastAsia="Times New Roman" w:hAnsi="Times New Roman"/>
          <w:sz w:val="20"/>
          <w:szCs w:val="20"/>
          <w:b w:val="1"/>
          <w:bCs w:val="1"/>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obtain regulatory approval for and commercialize TPST-1495 and amezalpat and any future product candidates;</w:t>
      </w:r>
    </w:p>
    <w:p>
      <w:pPr>
        <w:spacing w:after="0" w:line="169"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w:t>
      </w:r>
    </w:p>
    <w:p>
      <w:pPr>
        <w:spacing w:after="0" w:line="286" w:lineRule="exact"/>
        <w:rPr>
          <w:rFonts w:ascii="Times New Roman" w:cs="Times New Roman" w:eastAsia="Times New Roman" w:hAnsi="Times New Roman"/>
          <w:sz w:val="20"/>
          <w:szCs w:val="20"/>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w:t>
      </w:r>
    </w:p>
    <w:p>
      <w:pPr>
        <w:spacing w:after="0" w:line="169"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regulatory approval, efficacy and commercialization of competing products;</w:t>
      </w:r>
    </w:p>
    <w:p>
      <w:pPr>
        <w:spacing w:after="0" w:line="286" w:lineRule="exact"/>
        <w:rPr>
          <w:rFonts w:ascii="Times New Roman" w:cs="Times New Roman" w:eastAsia="Times New Roman" w:hAnsi="Times New Roman"/>
          <w:sz w:val="20"/>
          <w:szCs w:val="20"/>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sales and marketing capabilities or enter into agreements with third parties to market and sell our product candidates;</w:t>
      </w:r>
    </w:p>
    <w:p>
      <w:pPr>
        <w:spacing w:after="0" w:line="169" w:lineRule="exact"/>
        <w:rPr>
          <w:rFonts w:ascii="Times New Roman" w:cs="Times New Roman" w:eastAsia="Times New Roman" w:hAnsi="Times New Roman"/>
          <w:sz w:val="20"/>
          <w:szCs w:val="20"/>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regulatory approval for our product candidates or future product candidates in the United States and in any foreign countries in which we make seek to do business;</w:t>
      </w:r>
    </w:p>
    <w:p>
      <w:pPr>
        <w:spacing w:after="0" w:line="169" w:lineRule="exact"/>
        <w:rPr>
          <w:rFonts w:ascii="Times New Roman" w:cs="Times New Roman" w:eastAsia="Times New Roman" w:hAnsi="Times New Roman"/>
          <w:sz w:val="20"/>
          <w:szCs w:val="20"/>
          <w:color w:val="auto"/>
        </w:rPr>
      </w:pPr>
    </w:p>
    <w:p>
      <w:pPr>
        <w:ind w:left="1080" w:hanging="366"/>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hire our board of directors, senior management, or operational personnel;</w:t>
      </w:r>
    </w:p>
    <w:p>
      <w:pPr>
        <w:spacing w:after="0" w:line="286" w:lineRule="exact"/>
        <w:rPr>
          <w:rFonts w:ascii="Times New Roman" w:cs="Times New Roman" w:eastAsia="Times New Roman" w:hAnsi="Times New Roman"/>
          <w:sz w:val="20"/>
          <w:szCs w:val="20"/>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maintain our corporate infrastructure, including our ability to design and maintain an effective system of internal controls;</w:t>
      </w:r>
    </w:p>
    <w:p>
      <w:pPr>
        <w:spacing w:after="0" w:line="169" w:lineRule="exact"/>
        <w:rPr>
          <w:rFonts w:ascii="Times New Roman" w:cs="Times New Roman" w:eastAsia="Times New Roman" w:hAnsi="Times New Roman"/>
          <w:sz w:val="20"/>
          <w:szCs w:val="20"/>
          <w:color w:val="auto"/>
        </w:rPr>
      </w:pPr>
    </w:p>
    <w:p>
      <w:pPr>
        <w:jc w:val="both"/>
        <w:ind w:left="1080" w:right="360" w:hanging="366"/>
        <w:spacing w:after="0" w:line="306"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remain in compliance with our obligations under our term loan with Oxford Finance LLC, or to obtain a waiver from Oxford for any failure to comply with the covenants contained in such term loan agreement;</w:t>
      </w:r>
    </w:p>
    <w:p>
      <w:pPr>
        <w:spacing w:after="0" w:line="188" w:lineRule="exact"/>
        <w:rPr>
          <w:rFonts w:ascii="Times New Roman" w:cs="Times New Roman" w:eastAsia="Times New Roman" w:hAnsi="Times New Roman"/>
          <w:sz w:val="20"/>
          <w:szCs w:val="20"/>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political, and market conditions and overall fluctuations in the financial markets in the United States and abroad, including as a result of bank failures, public health crises or geopolitical tensions;</w:t>
      </w:r>
    </w:p>
    <w:p>
      <w:pPr>
        <w:spacing w:after="0" w:line="169" w:lineRule="exact"/>
        <w:rPr>
          <w:rFonts w:ascii="Times New Roman" w:cs="Times New Roman" w:eastAsia="Times New Roman" w:hAnsi="Times New Roman"/>
          <w:sz w:val="20"/>
          <w:szCs w:val="20"/>
          <w:color w:val="auto"/>
        </w:rPr>
      </w:pPr>
    </w:p>
    <w:p>
      <w:pPr>
        <w:ind w:left="1080" w:right="360" w:hanging="366"/>
        <w:spacing w:after="0" w:line="325"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 regarding the period during which we will qualify as a smaller reporting company under the federal securities laws; and</w:t>
      </w:r>
    </w:p>
    <w:p>
      <w:pPr>
        <w:spacing w:after="0" w:line="169" w:lineRule="exact"/>
        <w:rPr>
          <w:rFonts w:ascii="Times New Roman" w:cs="Times New Roman" w:eastAsia="Times New Roman" w:hAnsi="Times New Roman"/>
          <w:sz w:val="20"/>
          <w:szCs w:val="20"/>
          <w:color w:val="auto"/>
        </w:rPr>
      </w:pPr>
    </w:p>
    <w:p>
      <w:pPr>
        <w:jc w:val="both"/>
        <w:ind w:left="1080" w:right="340" w:hanging="366"/>
        <w:spacing w:after="0" w:line="306" w:lineRule="auto"/>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ectPr>
          <w:pgSz w:w="12240" w:h="15840" w:orient="portrait"/>
          <w:cols w:equalWidth="0" w:num="1">
            <w:col w:w="10240"/>
          </w:cols>
          <w:pgMar w:left="1000" w:top="926" w:right="1000" w:bottom="175"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40"/>
          </w:cols>
          <w:pgMar w:left="1000" w:top="926" w:right="1000" w:bottom="175" w:gutter="0" w:footer="0" w:header="0"/>
          <w:type w:val="continuous"/>
        </w:sectPr>
      </w:pPr>
    </w:p>
    <w:bookmarkStart w:id="7" w:name="page8"/>
    <w:bookmarkEnd w:id="7"/>
    <w:p>
      <w:pPr>
        <w:jc w:val="both"/>
        <w:spacing w:after="0" w:line="291" w:lineRule="auto"/>
        <w:rPr>
          <w:sz w:val="20"/>
          <w:szCs w:val="20"/>
          <w:color w:val="auto"/>
        </w:rPr>
      </w:pPr>
      <w:r>
        <w:rPr>
          <w:rFonts w:ascii="Times New Roman" w:cs="Times New Roman" w:eastAsia="Times New Roman" w:hAnsi="Times New Roman"/>
          <w:sz w:val="20"/>
          <w:szCs w:val="20"/>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used herein, the words “Tempest,” “we,” “us,” “our,” and "company" refer to Tempest Therapeutics, Inc. and its direct and indirect subsidiaries, as applicable.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40"/>
          </w:cols>
          <w:pgMar w:left="1000" w:top="930" w:right="1000" w:bottom="175"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32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are a clinical-stage biotechnology company moving towards late-stage development with a diverse portfolio of targeted and immune-mediated product candidates with the potential to be first-in-class to treat a wide range of cancers. Our novel programs range from early research to the lead program, amezalpat (previously known as TPST-1120), that is poised to begin a pivotal study in first-line hepatocellular carcinoma (“HCC”). In addition to amezalpat, our second clinical-stage therapeutic product candidate is TPST-1495, which we expect will enter Phase 2 development in 2025. We believe both amezalpat and TPST-1495 are the first clinical-stage molecules designed to inhibit their respective targets.</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Amezalpat (TPST-1120)</w:t>
      </w:r>
    </w:p>
    <w:p>
      <w:pPr>
        <w:spacing w:after="0" w:line="29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 xml:space="preserve">Amezalpat is an oral, small molecule, selective antagonist of peroxisome proliferator-activated receptor alpha </w:t>
      </w:r>
      <w:r>
        <w:rPr>
          <w:rFonts w:ascii="PMingLiU" w:cs="PMingLiU" w:eastAsia="PMingLiU" w:hAnsi="PMingLiU"/>
          <w:sz w:val="20"/>
          <w:szCs w:val="20"/>
          <w:color w:val="auto"/>
        </w:rPr>
        <w:t>³33$5 ´</w:t>
      </w:r>
      <w:r>
        <w:rPr>
          <w:rFonts w:ascii="Times New Roman" w:cs="Times New Roman" w:eastAsia="Times New Roman" w:hAnsi="Times New Roman"/>
          <w:sz w:val="20"/>
          <w:szCs w:val="20"/>
          <w:color w:val="auto"/>
        </w:rPr>
        <w:t xml:space="preserve"> being developed for the treatment of first-line unresectable or metastatic HCC.</w:t>
      </w:r>
    </w:p>
    <w:p>
      <w:pPr>
        <w:spacing w:after="0" w:line="17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In June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catenin mutated disease, consistent with amezalpat’s proposed mechanism of action targeting both tumor cells directly and the patient’s immune system.</w:t>
      </w:r>
    </w:p>
    <w:p>
      <w:pPr>
        <w:spacing w:after="0" w:line="2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These designations provide potential regulatory benefits, including increased engagement with the FDA, eligibility for accelerated approval and priority review, and, for ODD, potential market exclusivity upon approval. We continue to advance amezalpat’s clinical development in alignment with both the FDA and the European Medicines Agency (“EMA”) and are actively preparing for the initiation of our pivotal Phase 3 study.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TPST-1495</w:t>
      </w:r>
    </w:p>
    <w:p>
      <w:pPr>
        <w:spacing w:after="0" w:line="2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Our second clinical program, TPST-1495, is a novel, small-molecule dual antagonist of the EP2 and EP4 receptors of prostaglandin E2 (“PGE2”), a pathway implicated in multiple cancers. Our development strategy for TPST-1495 includes evaluation in Familial Adenomatous Polyposis (“FAP”), a rare genetic disorder that significantly increases the risk of gastrointestinal cancers and for which there are no approved systemic therapies. Given that prostaglandin signaling is also</w:t>
      </w:r>
    </w:p>
    <w:p>
      <w:pPr>
        <w:sectPr>
          <w:pgSz w:w="12240" w:h="15840" w:orient="portrait"/>
          <w:cols w:equalWidth="0" w:num="1">
            <w:col w:w="10240"/>
          </w:cols>
          <w:pgMar w:left="1000" w:top="926" w:right="1000" w:bottom="175"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40"/>
          </w:cols>
          <w:pgMar w:left="1000" w:top="926" w:right="1000" w:bottom="175" w:gutter="0" w:footer="0" w:header="0"/>
          <w:type w:val="continuous"/>
        </w:sectPr>
      </w:pPr>
    </w:p>
    <w:bookmarkStart w:id="9" w:name="page10"/>
    <w:bookmarkEnd w:id="9"/>
    <w:p>
      <w:pPr>
        <w:jc w:val="both"/>
        <w:ind w:left="6" w:hanging="3"/>
        <w:spacing w:after="0" w:line="326" w:lineRule="auto"/>
        <w:rPr>
          <w:sz w:val="20"/>
          <w:szCs w:val="20"/>
          <w:color w:val="auto"/>
        </w:rPr>
      </w:pPr>
      <w:r>
        <w:rPr>
          <w:rFonts w:ascii="Times New Roman" w:cs="Times New Roman" w:eastAsia="Times New Roman" w:hAnsi="Times New Roman"/>
          <w:sz w:val="20"/>
          <w:szCs w:val="20"/>
          <w:color w:val="auto"/>
        </w:rPr>
        <w:t>implicated in FAP and based on positive preclinical data in a relevant mouse model, we believe there is strong mechanistic support for this approach.</w:t>
      </w:r>
    </w:p>
    <w:p>
      <w:pPr>
        <w:spacing w:after="0" w:line="167" w:lineRule="exact"/>
        <w:rPr>
          <w:sz w:val="20"/>
          <w:szCs w:val="20"/>
          <w:color w:val="auto"/>
        </w:rPr>
      </w:pPr>
    </w:p>
    <w:p>
      <w:pPr>
        <w:jc w:val="both"/>
        <w:ind w:left="6" w:firstLine="5"/>
        <w:spacing w:after="0" w:line="297" w:lineRule="auto"/>
        <w:rPr>
          <w:sz w:val="20"/>
          <w:szCs w:val="20"/>
          <w:color w:val="auto"/>
        </w:rPr>
      </w:pPr>
      <w:r>
        <w:rPr>
          <w:rFonts w:ascii="Times New Roman" w:cs="Times New Roman" w:eastAsia="Times New Roman" w:hAnsi="Times New Roman"/>
          <w:sz w:val="20"/>
          <w:szCs w:val="20"/>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2025.</w:t>
      </w:r>
    </w:p>
    <w:p>
      <w:pPr>
        <w:spacing w:after="0" w:line="197" w:lineRule="exact"/>
        <w:rPr>
          <w:sz w:val="20"/>
          <w:szCs w:val="20"/>
          <w:color w:val="auto"/>
        </w:rPr>
      </w:pPr>
    </w:p>
    <w:p>
      <w:pPr>
        <w:jc w:val="both"/>
        <w:ind w:left="6" w:firstLine="3"/>
        <w:spacing w:after="0" w:line="297" w:lineRule="auto"/>
        <w:rPr>
          <w:sz w:val="20"/>
          <w:szCs w:val="20"/>
          <w:color w:val="auto"/>
        </w:rPr>
      </w:pPr>
      <w:r>
        <w:rPr>
          <w:rFonts w:ascii="Times New Roman" w:cs="Times New Roman" w:eastAsia="Times New Roman" w:hAnsi="Times New Roman"/>
          <w:sz w:val="20"/>
          <w:szCs w:val="20"/>
          <w:color w:val="auto"/>
        </w:rPr>
        <w:t>Beyond these clinical programs, we plan to continue to leverage our drug development and company-building experience along with academic relationships to identify promising new targets that have the potential to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w:t>
      </w:r>
    </w:p>
    <w:p>
      <w:pPr>
        <w:spacing w:after="0" w:line="2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326" w:lineRule="exact"/>
        <w:rPr>
          <w:sz w:val="20"/>
          <w:szCs w:val="20"/>
          <w:color w:val="auto"/>
        </w:rPr>
      </w:pPr>
    </w:p>
    <w:p>
      <w:pPr>
        <w:jc w:val="both"/>
        <w:ind w:left="6"/>
        <w:spacing w:after="0" w:line="325" w:lineRule="auto"/>
        <w:rPr>
          <w:sz w:val="20"/>
          <w:szCs w:val="20"/>
          <w:color w:val="auto"/>
        </w:rPr>
      </w:pPr>
      <w:r>
        <w:rPr>
          <w:rFonts w:ascii="Times New Roman" w:cs="Times New Roman" w:eastAsia="Times New Roman" w:hAnsi="Times New Roman"/>
          <w:sz w:val="20"/>
          <w:szCs w:val="20"/>
          <w:color w:val="auto"/>
        </w:rPr>
        <w:t>Our product development pipeline consists of the following orally available therapies, which if approved by the FDA, we believe will be first in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142875</wp:posOffset>
            </wp:positionV>
            <wp:extent cx="6505575" cy="2419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505575" cy="241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 Timing is an estimate based on current projections and status of programs. For amezalpat, Phase 3 timelines are subject to funding.</w:t>
      </w:r>
    </w:p>
    <w:p>
      <w:pPr>
        <w:spacing w:after="0" w:line="2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2. A per-protocol planned analysis at 70% of events, prior to full data analysis.</w:t>
      </w:r>
    </w:p>
    <w:p>
      <w:pPr>
        <w:spacing w:after="0" w:line="240" w:lineRule="exact"/>
        <w:rPr>
          <w:sz w:val="20"/>
          <w:szCs w:val="20"/>
          <w:color w:val="auto"/>
        </w:rPr>
      </w:pPr>
    </w:p>
    <w:p>
      <w:pPr>
        <w:ind w:left="186" w:hanging="186"/>
        <w:spacing w:after="0"/>
        <w:tabs>
          <w:tab w:leader="none" w:pos="1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Dependent on additional funding.</w:t>
      </w:r>
    </w:p>
    <w:p>
      <w:pPr>
        <w:spacing w:after="0" w:line="239" w:lineRule="exact"/>
        <w:rPr>
          <w:rFonts w:ascii="Times New Roman" w:cs="Times New Roman" w:eastAsia="Times New Roman" w:hAnsi="Times New Roman"/>
          <w:sz w:val="18"/>
          <w:szCs w:val="18"/>
          <w:color w:val="auto"/>
        </w:rPr>
      </w:pPr>
    </w:p>
    <w:p>
      <w:pPr>
        <w:ind w:left="186" w:hanging="184"/>
        <w:spacing w:after="0"/>
        <w:tabs>
          <w:tab w:leader="none" w:pos="1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operationalized by the Cancer Prevention Network of NCI.</w:t>
      </w:r>
    </w:p>
    <w:p>
      <w:pPr>
        <w:spacing w:after="0" w:line="2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325" w:lineRule="exact"/>
        <w:rPr>
          <w:sz w:val="20"/>
          <w:szCs w:val="20"/>
          <w:color w:val="auto"/>
        </w:rPr>
      </w:pPr>
    </w:p>
    <w:p>
      <w:pPr>
        <w:ind w:left="6"/>
        <w:spacing w:after="0" w:line="357" w:lineRule="auto"/>
        <w:rPr>
          <w:sz w:val="20"/>
          <w:szCs w:val="20"/>
          <w:color w:val="auto"/>
        </w:rPr>
      </w:pPr>
      <w:r>
        <w:rPr>
          <w:rFonts w:ascii="Times New Roman" w:cs="Times New Roman" w:eastAsia="Times New Roman" w:hAnsi="Times New Roman"/>
          <w:sz w:val="19"/>
          <w:szCs w:val="19"/>
          <w:color w:val="auto"/>
        </w:rPr>
        <w:t>Our team has come together to build an integrated company to deliver meaningful therapies to cancer patients by leveraging our collective capabilities and experience. We expect to build value for our stockholders with the following over-arching strategy:</w:t>
      </w:r>
    </w:p>
    <w:p>
      <w:pPr>
        <w:spacing w:after="0" w:line="143" w:lineRule="exact"/>
        <w:rPr>
          <w:sz w:val="20"/>
          <w:szCs w:val="20"/>
          <w:color w:val="auto"/>
        </w:rPr>
      </w:pPr>
    </w:p>
    <w:p>
      <w:pPr>
        <w:jc w:val="both"/>
        <w:ind w:left="726" w:hanging="4"/>
        <w:spacing w:after="0" w:line="288" w:lineRule="auto"/>
        <w:rPr>
          <w:sz w:val="20"/>
          <w:szCs w:val="20"/>
          <w:color w:val="auto"/>
        </w:rPr>
      </w:pPr>
      <w:r>
        <w:rPr>
          <w:rFonts w:ascii="Times New Roman" w:cs="Times New Roman" w:eastAsia="Times New Roman" w:hAnsi="Times New Roman"/>
          <w:sz w:val="20"/>
          <w:szCs w:val="20"/>
          <w:color w:val="auto"/>
        </w:rPr>
        <w:t>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w:t>
      </w:r>
    </w:p>
    <w:p>
      <w:pPr>
        <w:sectPr>
          <w:pgSz w:w="12240" w:h="15840" w:orient="portrait"/>
          <w:cols w:equalWidth="0" w:num="1">
            <w:col w:w="10246"/>
          </w:cols>
          <w:pgMar w:left="994" w:top="929" w:right="1000" w:bottom="222" w:gutter="0" w:footer="0" w:header="0"/>
        </w:sectPr>
      </w:pPr>
    </w:p>
    <w:p>
      <w:pPr>
        <w:spacing w:after="0" w:line="40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10246"/>
          </w:cols>
          <w:pgMar w:left="994" w:top="929" w:right="1000" w:bottom="222" w:gutter="0" w:footer="0" w:header="0"/>
          <w:type w:val="continuous"/>
        </w:sectPr>
      </w:pPr>
    </w:p>
    <w:bookmarkStart w:id="10" w:name="page11"/>
    <w:bookmarkEnd w:id="10"/>
    <w:p>
      <w:pPr>
        <w:ind w:left="720"/>
        <w:spacing w:after="0" w:line="306" w:lineRule="auto"/>
        <w:rPr>
          <w:sz w:val="20"/>
          <w:szCs w:val="20"/>
          <w:color w:val="auto"/>
        </w:rPr>
      </w:pPr>
      <w:r>
        <w:rPr>
          <w:rFonts w:ascii="Times New Roman" w:cs="Times New Roman" w:eastAsia="Times New Roman" w:hAnsi="Times New Roman"/>
          <w:sz w:val="20"/>
          <w:szCs w:val="20"/>
          <w:color w:val="auto"/>
        </w:rPr>
        <w:t>the FDA on the pivotal Phase 3 clinical trial design. We are also evaluating further development in RCC and CCA based on the Phase 1 data presented at ASCO 2022.</w:t>
      </w:r>
    </w:p>
    <w:p>
      <w:pPr>
        <w:spacing w:after="0" w:line="205" w:lineRule="exact"/>
        <w:rPr>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Explore TPST-1495 in a Phase 2 study in patients with FAP with CP-CTNet in 2025.</w:t>
      </w:r>
    </w:p>
    <w:p>
      <w:pPr>
        <w:spacing w:after="0" w:line="303" w:lineRule="exact"/>
        <w:rPr>
          <w:rFonts w:ascii="Times New Roman" w:cs="Times New Roman" w:eastAsia="Times New Roman" w:hAnsi="Times New Roman"/>
          <w:sz w:val="20"/>
          <w:szCs w:val="20"/>
          <w:color w:val="auto"/>
        </w:rPr>
      </w:pPr>
    </w:p>
    <w:p>
      <w:pPr>
        <w:jc w:val="both"/>
        <w:ind w:left="720" w:hanging="366"/>
        <w:spacing w:after="0" w:line="275"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our pipeline by identifying novel oncology targets and in-licensing opportunities. Although we believe we have a robust pipeline, we continue to evaluate and pursue novel targets and product candidates for acquisition and in-licensing to supplement our internal research efforts and further build our pipeline of targeted molecules for oncology. Through our team’s focus and expertise in oncology and immunology, as well as established relationships with oncology and immunology thought leaders, we believe we are positioning the company as a partner of choice for innovative oncology drug candidate development. Continued advances in the biological understanding of diseases should provide opportunities to further expand our portfolio with preclinical and/or clinical product candidates.</w:t>
      </w:r>
    </w:p>
    <w:p>
      <w:pPr>
        <w:spacing w:after="0" w:line="217" w:lineRule="exact"/>
        <w:rPr>
          <w:rFonts w:ascii="Times New Roman" w:cs="Times New Roman" w:eastAsia="Times New Roman" w:hAnsi="Times New Roman"/>
          <w:sz w:val="20"/>
          <w:szCs w:val="20"/>
          <w:color w:val="auto"/>
        </w:rPr>
      </w:pPr>
    </w:p>
    <w:p>
      <w:pPr>
        <w:jc w:val="both"/>
        <w:ind w:left="720" w:hanging="366"/>
        <w:spacing w:after="0" w:line="27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 We intend to become a fully integrated biopharmaceutical company and build a targeted sales force in the United States to support the commercialization of our drug candidates, if approved.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Programs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Amezalpat: 33$5Į Transcription Factor Antagonist</w:t>
      </w:r>
    </w:p>
    <w:p>
      <w:pPr>
        <w:spacing w:after="0" w:line="3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Amezalpat, a potentially first-in-class oral small molecule antagonist of 33$5Į  has completed a Phase 1a/b trial, and is currently being studied in an ongoing randomized Phase 1b/2 trial. The Phase 1a/b trial was a multicenter, open-label, dose-escalation, that evaluated amezalpat as both a monotherapy and combination therapy with nivolumab in patients with advanced solid tumors. Results from both the monotherapy and combination arms were presented in an oral presentation at the ASCO conference in 2022. The ongoing Phase 1b/2 trial is a randomized, multicenter, global study in collaboration with Roche that is evaluating amezalpat in combination with atezolizumab (TECENTRIQ®) and bevacizumab (Avastin®) in previously untreated patients with advanced HCC, compared to atezolizumab and bevacizumab alone, which is a standard of care for that indication and patient population. As of an updated February 14, 2024 data cutoff date, the ongoing global randomized Phase 1b/2 trial continued to show positive outcomes in patients with advanced or metastatic HCC who received the amezalpat combination therapy as compared to the control arm, including a survival benefit in both the overall population and key subpopulations.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Tumors evolve to promote their own survival by alternating energy sources, promoting angiogenesis and evading immune recognition. 33$5Į is a transcription factor that is activated through binding of long-chain fatty acid ligands, which in turn regulates the expression of genes that control glucose and lipid homeostasis, inflammation, proliferation, differentiation and cell death. Included among these regulated genes are those that enable fatty acid oxidation (“FAO”), and ȕ 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public database reveal a metabolic gene expression profile characterized by increased 33$5Į  FAO genes and lipogenesis associated with increased metastatic potential and reduced survival enrichment among multiple cancers, including HCC, CCA, breast carcinoma, colorectal adenocarcinoma, RCC, lung adenocarcinoma and prostate adenocarcinoma. Amezalpat is designed to block the pathways that support tumor cell proliferation, angiogenesis and immune suppression, resulting in reduced disease and patient benefit.</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930" w:right="1000" w:bottom="175"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633730</wp:posOffset>
            </wp:positionH>
            <wp:positionV relativeFrom="page">
              <wp:posOffset>603250</wp:posOffset>
            </wp:positionV>
            <wp:extent cx="6505575" cy="2705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505575" cy="270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 of Amezalpat Preclinical Results</w:t>
      </w:r>
    </w:p>
    <w:p>
      <w:pPr>
        <w:spacing w:after="0" w:line="296" w:lineRule="exact"/>
        <w:rPr>
          <w:sz w:val="20"/>
          <w:szCs w:val="20"/>
          <w:color w:val="auto"/>
        </w:rPr>
      </w:pPr>
    </w:p>
    <w:p>
      <w:pPr>
        <w:jc w:val="both"/>
        <w:ind w:firstLine="3"/>
        <w:spacing w:after="0" w:line="275" w:lineRule="auto"/>
        <w:rPr>
          <w:sz w:val="20"/>
          <w:szCs w:val="20"/>
          <w:color w:val="auto"/>
        </w:rPr>
      </w:pPr>
      <w:r>
        <w:rPr>
          <w:rFonts w:ascii="Times New Roman" w:cs="Times New Roman" w:eastAsia="Times New Roman" w:hAnsi="Times New Roman"/>
          <w:sz w:val="20"/>
          <w:szCs w:val="20"/>
          <w:color w:val="auto"/>
        </w:rPr>
        <w:t>We have conducted pre-clinical pharmacology studies along with pharmacokinetics (“PK”), and toxicology studies with amezalpat to support its ongoing evaluation for the treatment of patients with advanced solid tumors. The combined results of the preclinical studies that we have performed indicate that amezalpat has a dual anti-tumor mechanism of action that involves both directly inhibiting tumor proliferation and targeting suppressive immune response pathways to promote effective tumor-specific immunity. Our preclinical results support the large body of published literature that the 33$5Į target genes play an integral role in tumor growth, angiogenesis and evasion of immune recognition, and provide the scientific rationale for targeting this pathway with amezalpat.</w:t>
      </w:r>
    </w:p>
    <w:p>
      <w:pPr>
        <w:spacing w:after="0" w:line="225" w:lineRule="exact"/>
        <w:rPr>
          <w:sz w:val="20"/>
          <w:szCs w:val="20"/>
          <w:color w:val="auto"/>
        </w:rPr>
      </w:pPr>
    </w:p>
    <w:p>
      <w:pPr>
        <w:ind w:firstLine="5"/>
        <w:spacing w:after="0" w:line="272" w:lineRule="auto"/>
        <w:rPr>
          <w:sz w:val="20"/>
          <w:szCs w:val="20"/>
          <w:color w:val="auto"/>
        </w:rPr>
      </w:pPr>
      <w:r>
        <w:rPr>
          <w:rFonts w:ascii="Times New Roman" w:cs="Times New Roman" w:eastAsia="Times New Roman" w:hAnsi="Times New Roman"/>
          <w:sz w:val="20"/>
          <w:szCs w:val="20"/>
          <w:color w:val="auto"/>
        </w:rPr>
        <w:t>Immune checkpoint blockade enhances anti-tumor immunity by restoring the activity of cytotoxic T (Teff) cells. Emerging experimental results suggest that inhibiting FAO with a 33$5Į antagonist may target resistance mechanisms to both anti-PD-L1/PD-1 and anti-VEGF therapies, supporting the combination of amezalpat with either or both therapies. We have conducted preclinical studies showing that while both amezalpat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resistant to tumor growth when rechallenged with autologous MC38 tumor cells, demonstrating that amezalpat in combination with anti-PD-1 induced lasting tumor-specific immune memory. In addition, activating mutations in the Wnt/B-catenin pathway represent the most frequently dysregulated pathway in HCC. Such mutations render a tumor cell dependent upon FAO for its energy source, and in preclinical studies, Tempest has shown reduction and long-term durable cures in mice bearing Wnt/B-catenin activated HCC tumors treated with amezalpat and an immune checkpoint inhibitor. The promise of these pre-clinical results have been observed in the clinic, where we observed increased clinical benefit in our Phase 1b/2 study in HCC patients who had mutation in this pathway.</w:t>
      </w:r>
    </w:p>
    <w:p>
      <w:pPr>
        <w:sectPr>
          <w:pgSz w:w="12240" w:h="15840" w:orient="portrait"/>
          <w:cols w:equalWidth="0" w:num="1">
            <w:col w:w="10240"/>
          </w:cols>
          <w:pgMar w:left="1000" w:top="1440" w:right="100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240"/>
          </w:cols>
          <w:pgMar w:left="1000" w:top="1440" w:right="1000" w:bottom="22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Efficacy in Syngeneic ȕ Catenin-driven Hepatocellular Carcinoma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6505575" cy="3886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505575" cy="388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Tumor resistance to anti-angiogenic drugs is also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amezalpat with tyrosine kinase inhibitor-(“TKI-”), based anti-angiogenesis therapy confers potent anti-tumor activity.</w:t>
      </w: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preclinical data for amezalpat are consistent with the data observed from our Phase 1 trial presented at ASCO in 2022. Taken together, we believe the hypothesis behind the amezalpat program, the preclinical data, and the Phase 1 data support the design of, and data observed from, the ongoing study of amezalpat in first-line HCC in combination with standard of care as well as the potential evaluation of amezalpat in combination with other therapeutic agents, such as a tyrosine kinase inhibitor (“TKI”), in FAO-reliant malignancies such as HCC and RCC.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amezalpat Clinical Trials</w:t>
      </w:r>
    </w:p>
    <w:p>
      <w:pPr>
        <w:spacing w:after="0" w:line="319" w:lineRule="exact"/>
        <w:rPr>
          <w:sz w:val="20"/>
          <w:szCs w:val="20"/>
          <w:color w:val="auto"/>
        </w:rPr>
      </w:pPr>
    </w:p>
    <w:p>
      <w:pPr>
        <w:jc w:val="both"/>
        <w:ind w:firstLine="3"/>
        <w:spacing w:after="0" w:line="292" w:lineRule="auto"/>
        <w:rPr>
          <w:sz w:val="20"/>
          <w:szCs w:val="20"/>
          <w:color w:val="auto"/>
        </w:rPr>
      </w:pPr>
      <w:r>
        <w:rPr>
          <w:rFonts w:ascii="Times New Roman" w:cs="Times New Roman" w:eastAsia="Times New Roman" w:hAnsi="Times New Roman"/>
          <w:sz w:val="20"/>
          <w:szCs w:val="20"/>
          <w:color w:val="auto"/>
        </w:rPr>
        <w:t xml:space="preserve">We completed a Phase 1a/b study of amezalpat and a randomized Phase 1b/2 clinical study is ongoing. We have released positive data from both studies, and we believe the continued positive data announced in 2024 supports the advancement of amezalpat to a pivotal Phase 3 trial in first-line HCC. The Phase 1a/b trial evaluated both monotherapy and combination therapy with the anti-PD-1 agent nivolumab in patients with advanced solid tumors that our </w:t>
      </w:r>
      <w:r>
        <w:rPr>
          <w:rFonts w:ascii="PMingLiU" w:cs="PMingLiU" w:eastAsia="PMingLiU" w:hAnsi="PMingLiU"/>
          <w:sz w:val="20"/>
          <w:szCs w:val="20"/>
          <w:color w:val="auto"/>
        </w:rPr>
        <w:t>33$5</w:t>
      </w:r>
      <w:r>
        <w:rPr>
          <w:rFonts w:ascii="Times New Roman" w:cs="Times New Roman" w:eastAsia="Times New Roman" w:hAnsi="Times New Roman"/>
          <w:sz w:val="20"/>
          <w:szCs w:val="20"/>
          <w:color w:val="auto"/>
        </w:rPr>
        <w:t>Į</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dependent transcriptome analysis of diverse human cancers revealed favor the usage of FAO. Results from both the monotherapy and the combination arms were presented in an oral presentation at the ASCO conference in 2022.</w:t>
      </w:r>
    </w:p>
    <w:p>
      <w:pPr>
        <w:spacing w:after="0" w:line="237" w:lineRule="exact"/>
        <w:rPr>
          <w:sz w:val="20"/>
          <w:szCs w:val="20"/>
          <w:color w:val="auto"/>
        </w:rPr>
      </w:pPr>
    </w:p>
    <w:p>
      <w:pPr>
        <w:jc w:val="both"/>
        <w:ind w:firstLine="2"/>
        <w:spacing w:after="0" w:line="293" w:lineRule="auto"/>
        <w:rPr>
          <w:sz w:val="20"/>
          <w:szCs w:val="20"/>
          <w:color w:val="auto"/>
        </w:rPr>
      </w:pPr>
      <w:r>
        <w:rPr>
          <w:rFonts w:ascii="Times New Roman" w:cs="Times New Roman" w:eastAsia="Times New Roman" w:hAnsi="Times New Roman"/>
          <w:sz w:val="20"/>
          <w:szCs w:val="20"/>
          <w:color w:val="auto"/>
        </w:rPr>
        <w:t xml:space="preserve">Amezalpat demonstrated monotherapy clinical benefit in patients with late-line, treatment-refractory cancers where objective responses (RECIST v1.1) would not be expected, including pancreatic, CCA, and colorectal cancers (“CRC”). Results showed that 53% (10/19) of patients experienced clinical benefit in the form of disease control, including tumor shrinkage in 21% of the patients. One subject with late line CCA had a 15% tumor shrinkage and was on study for over nine months of treatment, while also demonstrating on-target inhibition of expression of </w:t>
      </w:r>
      <w:r>
        <w:rPr>
          <w:rFonts w:ascii="PMingLiU" w:cs="PMingLiU" w:eastAsia="PMingLiU" w:hAnsi="PMingLiU"/>
          <w:sz w:val="20"/>
          <w:szCs w:val="20"/>
          <w:color w:val="auto"/>
        </w:rPr>
        <w:t>33$5</w:t>
      </w:r>
      <w:r>
        <w:rPr>
          <w:rFonts w:ascii="Times New Roman" w:cs="Times New Roman" w:eastAsia="Times New Roman" w:hAnsi="Times New Roman"/>
          <w:sz w:val="20"/>
          <w:szCs w:val="20"/>
          <w:color w:val="auto"/>
        </w:rPr>
        <w:t>Į target genes on pharmacodynamic (“PD”) assessment.</w:t>
      </w:r>
    </w:p>
    <w:p>
      <w:pPr>
        <w:sectPr>
          <w:pgSz w:w="12240" w:h="15840" w:orient="portrait"/>
          <w:cols w:equalWidth="0" w:num="1">
            <w:col w:w="10240"/>
          </w:cols>
          <w:pgMar w:left="1000" w:top="930" w:right="1000" w:bottom="221"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10240"/>
          </w:cols>
          <w:pgMar w:left="1000" w:top="930" w:right="1000" w:bottom="221" w:gutter="0" w:footer="0" w:header="0"/>
          <w:type w:val="continuous"/>
        </w:sectPr>
      </w:pPr>
    </w:p>
    <w:bookmarkStart w:id="13" w:name="page14"/>
    <w:bookmarkEnd w:id="13"/>
    <w:p>
      <w:pPr>
        <w:jc w:val="both"/>
        <w:ind w:firstLine="5"/>
        <w:spacing w:after="0" w:line="273" w:lineRule="auto"/>
        <w:rPr>
          <w:sz w:val="20"/>
          <w:szCs w:val="20"/>
          <w:color w:val="auto"/>
        </w:rPr>
      </w:pPr>
      <w:r>
        <w:rPr>
          <w:rFonts w:ascii="Times New Roman" w:cs="Times New Roman" w:eastAsia="Times New Roman" w:hAnsi="Times New Roman"/>
          <w:sz w:val="20"/>
          <w:szCs w:val="20"/>
          <w:color w:val="auto"/>
        </w:rPr>
        <w:t>In the combination therapy portion of the trial, 15 evaluable patients with heavily pretreated RCC, HCC and CCA were treated with oral twice-daily amezalpat and the anti-PD-1 therapy, nivolumab. All the HCC and RCC patients had received an approved anti-PD-1 therapy in at least one prior line of therapy and discontinued that treatment due to disease progression. We observed objective responses (RECIST v1.1) in two patients with late-line RCC who had previously progressed on anti-PD-1 therapy without having achieved an objective response (ORR 50%, n=2/4, in evaluable RCC patients), and we observed mixed response in a third RCC IO-refractory patient with significant reduction (&gt;30%) in the target lesion, but the appearance of new disease precluded designation as a RECIST PR. A third RECIST response was observed in a patient with late-line, heavily pre-treated CCA, a tumor type generally not responsive to anti-PD-1 therapy alone. All the RECIST responses were observed at the two highest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166370</wp:posOffset>
            </wp:positionV>
            <wp:extent cx="5553075" cy="2219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553075"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Notably, one RCC patient who achieved a response after treatment with amezalpat and nivolumab had previously been treated with nivolumab in combination with ipilimumab without experiencing an objective response and progressed on treatment, followed by further progression of cancer on both cabozantinib and everolimus. The initial RECIST PR was seen at the first on-study assessment at eight weeks and included a response in all target lesions as well as complete radiographic resolution of multiple sites of metastatic disease (see CT scan below) and has been confirmed at subsequent assessments beyond 12 months.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Partial Response in Late-Line RCC Patient Treated with amezalpat</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6505575" cy="258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50557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Randomized Data in HCC</w:t>
      </w:r>
    </w:p>
    <w:p>
      <w:pPr>
        <w:sectPr>
          <w:pgSz w:w="12240" w:h="15840" w:orient="portrait"/>
          <w:cols w:equalWidth="0" w:num="1">
            <w:col w:w="10240"/>
          </w:cols>
          <w:pgMar w:left="1000" w:top="929" w:right="1000" w:bottom="222"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240"/>
          </w:cols>
          <w:pgMar w:left="1000" w:top="929" w:right="1000" w:bottom="222" w:gutter="0" w:footer="0" w:header="0"/>
          <w:type w:val="continuous"/>
        </w:sectPr>
      </w:pPr>
    </w:p>
    <w:bookmarkStart w:id="14" w:name="page15"/>
    <w:bookmarkEnd w:id="14"/>
    <w:p>
      <w:pPr>
        <w:jc w:val="both"/>
        <w:ind w:firstLine="2"/>
        <w:spacing w:after="0" w:line="294" w:lineRule="auto"/>
        <w:rPr>
          <w:sz w:val="20"/>
          <w:szCs w:val="20"/>
          <w:color w:val="auto"/>
        </w:rPr>
      </w:pPr>
      <w:r>
        <w:rPr>
          <w:rFonts w:ascii="Times New Roman" w:cs="Times New Roman" w:eastAsia="Times New Roman" w:hAnsi="Times New Roman"/>
          <w:sz w:val="20"/>
          <w:szCs w:val="20"/>
          <w:color w:val="auto"/>
        </w:rPr>
        <w:t>As of an updated February 14, 2024 data cutoff date, the ongoing global randomized Phase 1b/2 trial of amezalpat, combined with the standard-of-care first-line regimen of atezolizumab and bevacizumab continued to show positive results in patients with advanced or metastatic HCC. The study is comparing the amezalpat arm to standard of care alone, and enrolled 40 patients randomized to the amezalpat arm and 30 patients randomized to the control arm. With 10 additional months of follow-up since the April 2023 primary analysis, the median OS in the amezalpat arm reached 21 months, representing a 6-month improvement over the 15-month OS in the control arm. Importantly, the HR remained stable, demonstrating a sustained reduction in the relative risk of death compared to the control arm.</w:t>
      </w:r>
    </w:p>
    <w:p>
      <w:pPr>
        <w:spacing w:after="0" w:line="236" w:lineRule="exact"/>
        <w:rPr>
          <w:sz w:val="20"/>
          <w:szCs w:val="20"/>
          <w:color w:val="auto"/>
        </w:rPr>
      </w:pPr>
    </w:p>
    <w:p>
      <w:pPr>
        <w:jc w:val="both"/>
        <w:ind w:firstLine="2"/>
        <w:spacing w:after="0" w:line="307" w:lineRule="auto"/>
        <w:rPr>
          <w:sz w:val="20"/>
          <w:szCs w:val="20"/>
          <w:color w:val="auto"/>
        </w:rPr>
      </w:pPr>
      <w:r>
        <w:rPr>
          <w:rFonts w:ascii="Times New Roman" w:cs="Times New Roman" w:eastAsia="Times New Roman" w:hAnsi="Times New Roman"/>
          <w:sz w:val="20"/>
          <w:szCs w:val="20"/>
          <w:color w:val="auto"/>
        </w:rPr>
        <w:t>At the data cutoff date, 50% (20/40) of patients in the amezalpat arm remained in survival follow-up versus 30% (9/30) in the control arm. We believe this reinforces the meaningful clinical benefit observed in this population, with OS serving as the primary endpoint for regulatory approval globally for first-line HCC.</w:t>
      </w:r>
    </w:p>
    <w:p>
      <w:pPr>
        <w:spacing w:after="0" w:line="22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confirmed ORR for the amezalpat arm remained consistent at 30%, compared to 13.3% in the control arm. Notably, one patient in the amezalpat arm who had previously achieved a PR as of April 2023 converted to CR by February 2024, with at least an 80% reduction in tumor burden. This patient, despite having a PD-L1 score &lt;1% and an immune desert phenotype, achieved a CR with the addition of amezalpat, highlighting its potential efficacy in hard-to-treat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281940</wp:posOffset>
            </wp:positionV>
            <wp:extent cx="6505575" cy="2171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50557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Data not provided by Roche</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Additionally in biomarker subpopulation analyses, patients with b-catenin activating mutations (21% of the study population) showed an increased confirmed ORR of 43% and a disease control rate (“DCR”) of 100% in the amezalpat arm. The triplet regimen with amezalpat remained active across PD-L1 negative tumors, with a confirmed ORR of 27% in the amezalpat arm, compared to a reduced ORR of 7% for the control arm.</w:t>
      </w:r>
    </w:p>
    <w:p>
      <w:pPr>
        <w:sectPr>
          <w:pgSz w:w="12240" w:h="15840" w:orient="portrait"/>
          <w:cols w:equalWidth="0" w:num="1">
            <w:col w:w="10240"/>
          </w:cols>
          <w:pgMar w:left="1000" w:top="1205" w:right="100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240"/>
          </w:cols>
          <w:pgMar w:left="1000" w:top="1205" w:right="1000" w:bottom="222"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633730</wp:posOffset>
            </wp:positionH>
            <wp:positionV relativeFrom="page">
              <wp:posOffset>603250</wp:posOffset>
            </wp:positionV>
            <wp:extent cx="6505575" cy="6925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505575" cy="692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Early in the development of amezalpat, given the expression profile and attributes of 33$5Į</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 xml:space="preserve"> we selected HCC, RCC and CCA as cancers of interest and checkpoint inhibitors and anti-angiogenic therapeutics as potential companion therapies with the goal to maximize the opportunity to bring meaningful benefit to patients with these cancers. Based on the pre-clinical and clinical data released to date, we believe that the emerging clinical benefit profile of amezalpat for patients shows alignment with these predictions, and we look forward to the potential benefit amezalpat could bring to patients with these cancers.</w:t>
      </w:r>
    </w:p>
    <w:p>
      <w:pPr>
        <w:spacing w:after="0" w:line="201" w:lineRule="exact"/>
        <w:rPr>
          <w:sz w:val="20"/>
          <w:szCs w:val="20"/>
          <w:color w:val="auto"/>
        </w:rPr>
      </w:pPr>
    </w:p>
    <w:p>
      <w:pPr>
        <w:jc w:val="both"/>
        <w:ind w:firstLine="3"/>
        <w:spacing w:after="0" w:line="307" w:lineRule="auto"/>
        <w:rPr>
          <w:sz w:val="20"/>
          <w:szCs w:val="20"/>
          <w:color w:val="auto"/>
        </w:rPr>
      </w:pPr>
      <w:r>
        <w:rPr>
          <w:rFonts w:ascii="Times New Roman" w:cs="Times New Roman" w:eastAsia="Times New Roman" w:hAnsi="Times New Roman"/>
          <w:sz w:val="20"/>
          <w:szCs w:val="20"/>
          <w:color w:val="auto"/>
        </w:rPr>
        <w:t>We own worldwide rights to amezalpat, and have filed and been issued patents, including composition of matter, pharmaceutical compositions, and related methods of use, which are expected to expire between December 2033 and November 2043, without giving effect to any patent term extensions.</w:t>
      </w:r>
    </w:p>
    <w:p>
      <w:pPr>
        <w:sectPr>
          <w:pgSz w:w="12240" w:h="15840" w:orient="portrait"/>
          <w:cols w:equalWidth="0" w:num="1">
            <w:col w:w="10240"/>
          </w:cols>
          <w:pgMar w:left="1000" w:top="1440" w:right="1000" w:bottom="187"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10240"/>
          </w:cols>
          <w:pgMar w:left="1000" w:top="1440" w:right="1000" w:bottom="187"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TPST-1495: Dual EP2/EP4 Prostaglandin Receptor Antagonist</w:t>
      </w:r>
    </w:p>
    <w:p>
      <w:pPr>
        <w:spacing w:after="0" w:line="29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Our second clinical product candidate is TPST-1495, a potentially first-in-class, oral, small molecule dual antagonist of the prostaglandin E2 (“PGE2”), receptors, EP2 and EP4. TPST-1495 is engineered to inhibit only these receptors while sparing the homologous - but differentially active - EP1 and EP3 receptors.</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There is extensive literature demonstrating that PGE2 both enhances tumor proliferation and inhibits anti-cancer immune function; it is known from the scientific literature that many tumors express elevated levels of the cyclooxygenase enzymes that produce PGE2. 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Recent studies have also shown that increased expression of COX-2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 as well as for combining TPST-1495 with immune checkpoint inhibitor monoclonal antibodies.</w:t>
      </w:r>
    </w:p>
    <w:p>
      <w:pPr>
        <w:spacing w:after="0" w:line="227" w:lineRule="exact"/>
        <w:rPr>
          <w:sz w:val="20"/>
          <w:szCs w:val="20"/>
          <w:color w:val="auto"/>
        </w:rPr>
      </w:pPr>
    </w:p>
    <w:p>
      <w:pPr>
        <w:jc w:val="both"/>
        <w:ind w:right="20" w:firstLine="3"/>
        <w:spacing w:after="0" w:line="288" w:lineRule="auto"/>
        <w:rPr>
          <w:sz w:val="20"/>
          <w:szCs w:val="20"/>
          <w:color w:val="auto"/>
        </w:rPr>
      </w:pPr>
      <w:r>
        <w:rPr>
          <w:rFonts w:ascii="Times New Roman" w:cs="Times New Roman" w:eastAsia="Times New Roman" w:hAnsi="Times New Roman"/>
          <w:sz w:val="20"/>
          <w:szCs w:val="20"/>
          <w:color w:val="auto"/>
        </w:rPr>
        <w:t>We conducted preclinical studies to evaluate TPST-1495, including its ability to reverse PGE2-mediated suppression of primary human monocyte to dendritic cell differentiation and activation in vitro, as well as comparisons to other agents designed to operate in the same pathway such as a single EP4 antagonist and, as described, COX2.</w:t>
      </w:r>
    </w:p>
    <w:p>
      <w:pPr>
        <w:spacing w:after="0" w:line="203" w:lineRule="exact"/>
        <w:rPr>
          <w:sz w:val="20"/>
          <w:szCs w:val="20"/>
          <w:color w:val="auto"/>
        </w:rPr>
      </w:pPr>
    </w:p>
    <w:p>
      <w:pPr>
        <w:jc w:val="both"/>
        <w:ind w:right="20" w:firstLine="3"/>
        <w:spacing w:after="0" w:line="307" w:lineRule="auto"/>
        <w:rPr>
          <w:sz w:val="20"/>
          <w:szCs w:val="20"/>
          <w:color w:val="auto"/>
        </w:rPr>
      </w:pPr>
      <w:r>
        <w:rPr>
          <w:rFonts w:ascii="Times New Roman" w:cs="Times New Roman" w:eastAsia="Times New Roman" w:hAnsi="Times New Roman"/>
          <w:sz w:val="20"/>
          <w:szCs w:val="20"/>
          <w:color w:val="auto"/>
        </w:rPr>
        <w:t>We have also conducted preclinical studies to evaluate TPST-1495 in a spontaneous APCMin/+ mouse model of FAP that demonstrated a significant survival advantage in comparison to other inhibitors in the prostaglandin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505575" cy="3076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6505575" cy="307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Francica et al., Cancer Res Commun; 3(8) August 2023 https://doi.org/10.1158/2767-9764.CRC-23-0249</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Ongoing TPST-1495 Clinical Trials</w:t>
      </w:r>
    </w:p>
    <w:p>
      <w:pPr>
        <w:spacing w:after="0" w:line="265" w:lineRule="exact"/>
        <w:rPr>
          <w:sz w:val="20"/>
          <w:szCs w:val="20"/>
          <w:color w:val="auto"/>
        </w:rPr>
      </w:pPr>
    </w:p>
    <w:p>
      <w:pPr>
        <w:ind w:right="40"/>
        <w:spacing w:after="0" w:line="320" w:lineRule="auto"/>
        <w:rPr>
          <w:sz w:val="20"/>
          <w:szCs w:val="20"/>
          <w:color w:val="auto"/>
        </w:rPr>
      </w:pPr>
      <w:r>
        <w:rPr>
          <w:rFonts w:ascii="Times New Roman" w:cs="Times New Roman" w:eastAsia="Times New Roman" w:hAnsi="Times New Roman"/>
          <w:sz w:val="19"/>
          <w:szCs w:val="19"/>
          <w:color w:val="auto"/>
        </w:rPr>
        <w:t>TPST-1495 was evaluated in a first-in-human, Phase 1, multicenter, open-label, schedule and dose optimization trial in subjects with late-stage solid tumor cancers that are deemed incurable. Study objectives include evaluation of safety, tolerability, PK, PD, and preliminary anti-tumor activity of TPST-1495 as monotherapy and in combination with the checkpoint inhibitor, pembrolizumab. TPST-1495 has been evaluated on a once daily (“QD”) or twice daily (“BID”) schedule and with continuous</w:t>
      </w:r>
    </w:p>
    <w:p>
      <w:pPr>
        <w:sectPr>
          <w:pgSz w:w="12240" w:h="15840" w:orient="portrait"/>
          <w:cols w:equalWidth="0" w:num="1">
            <w:col w:w="10260"/>
          </w:cols>
          <w:pgMar w:left="1000" w:top="1195" w:right="980" w:bottom="175" w:gutter="0" w:footer="0" w:header="0"/>
        </w:sectPr>
      </w:pP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1195" w:right="980" w:bottom="175" w:gutter="0" w:footer="0" w:header="0"/>
          <w:type w:val="continuous"/>
        </w:sectPr>
      </w:pPr>
    </w:p>
    <w:bookmarkStart w:id="17" w:name="page18"/>
    <w:bookmarkEnd w:id="17"/>
    <w:p>
      <w:pPr>
        <w:ind w:right="140"/>
        <w:spacing w:after="0" w:line="295" w:lineRule="auto"/>
        <w:rPr>
          <w:sz w:val="20"/>
          <w:szCs w:val="20"/>
          <w:color w:val="auto"/>
        </w:rPr>
      </w:pPr>
      <w:r>
        <w:rPr>
          <w:rFonts w:ascii="Times New Roman" w:cs="Times New Roman" w:eastAsia="Times New Roman" w:hAnsi="Times New Roman"/>
          <w:sz w:val="20"/>
          <w:szCs w:val="20"/>
          <w:color w:val="auto"/>
        </w:rPr>
        <w:t>or intermittent administration as monotherapy and in combination with pembrolizumab. Results from the Phase 1 study were presented at ASCO 2023. The data showed that in a diverse and treatment-refractory patient population, treatment with TPST-1495 as a monotherapy and in combination with pembrolizumab resulted in tumor shrinkage and prolonged stable disease in certain patients with a monotherapy safety profile on the recommended QD schedule that was tolerable, with predominantly Grade 1-2 treatment related adverse events (“TRAEs”). For the combination with pembrolizumab, Grade 1-3 TRAEs were reported.</w:t>
      </w:r>
    </w:p>
    <w:p>
      <w:pPr>
        <w:spacing w:after="0" w:line="20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Our preclinical results in the APC</w:t>
      </w:r>
      <w:r>
        <w:rPr>
          <w:rFonts w:ascii="Times New Roman" w:cs="Times New Roman" w:eastAsia="Times New Roman" w:hAnsi="Times New Roman"/>
          <w:sz w:val="25"/>
          <w:szCs w:val="25"/>
          <w:color w:val="auto"/>
          <w:vertAlign w:val="superscript"/>
        </w:rPr>
        <w:t>Min/+</w:t>
      </w:r>
      <w:r>
        <w:rPr>
          <w:rFonts w:ascii="Times New Roman" w:cs="Times New Roman" w:eastAsia="Times New Roman" w:hAnsi="Times New Roman"/>
          <w:sz w:val="20"/>
          <w:szCs w:val="20"/>
          <w:color w:val="auto"/>
        </w:rPr>
        <w:t xml:space="preserve"> lead us to consider the application of TPST-1495 in familial adenomatous polyposis syndrome (“FAP”). FAP is a hereditary condition characterized by the development of numerous polyps in the colon and rectum. These polyps have the potential to become cancerous if left untreated. FAP is caused by mutations in the APC gene, which normally helps regulate cell growth and division in the intestinal lining. Individuals with FAP have a significantly increased risk of developing colorectal cancer at a young age, often before the age of 40. Additionally, FAP can lead to the development of polyps in other parts of the gastrointestinal tract, as well as other non-gastrointestinal tumors. Management of FAP typically involves regular surveillance with colonoscopies and surgical intervention to remove the polyps and reduce the risk of cancer. Currently, there are no systemic therapies approved to treat FAP. We are working with CP-CTNet on an NCI-funded Phase 2 study, which we expect will begin this year.</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As of December 31, 2024, we own worldwide rights to TPST-1495, and our issued United States patents covering TPST-1495 as compositions of matter, pharmaceutical compositions and related methods of use, are expected to expire between April 2038 and April 2039, without giving effect to any patent term adjustments or patent term extensions for regulatory delay.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Discovery Research</w:t>
      </w:r>
    </w:p>
    <w:p>
      <w:pPr>
        <w:spacing w:after="0" w:line="27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Our Discovery Research team is dedicated to identifying and validating novel therapeutic targets in oncology. We are not bound to a single technology platform, which allows us the scientific freedom to pursue targets and modalities that we believe have the highest probability to benefit patients. Rigorous medicinal chemistry and a broad set of preclinical validation studies are conducted to further evaluate lead compounds and inform decision-making for advancement into clinical development. Collaboration with academic institutions, contract research organizations (“CROs”), and strategic partners provides opportunity to enrich our pipeline, as well, enhancing our ability to deliver innovative medicines to address unmet medical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Roche Collaboration Agreement</w:t>
      </w:r>
    </w:p>
    <w:p>
      <w:pPr>
        <w:spacing w:after="0" w:line="28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February 2021, we entered into a collaboration agreement with F. Hoffmann-La Roche Ltd. (“Roche”) to accelerate the development of amezalpat into a global, first-line, randomized study. The companies are evaluating amezalpat in a Phase 1b/2 clinical study in combination with the standard-of-care first-line regimen of atezolizumab and bevacizumab in patients with advanced or metastatic HCC, not previously treated with systemic therapy. Pursuant to the terms of the agreement, Roche is managing the study operations for the trial, and we retain global development and commercialization rights to amezalpat. Pursuant to the agreement, Roche provides us with notice of the amount of amezalpat required and the delivery timeline, and we supply the amezalpat. All rights to invention and discoveries relating solely to amezalpat or biomarkers solely related to amezalpat made during any study will be our exclusive property. All data generated in the performance of any study under the collaboration agreement will be the property of Roche, but we are entitled to use the data for any lawful purpose.</w:t>
      </w:r>
    </w:p>
    <w:p>
      <w:pPr>
        <w:spacing w:after="0" w:line="20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agreement applies on a study-by-study basis until the last treatment of the last patient in a study receiving amezalpat in accordance with the protocol for such study or until the termination of this collaboration agreement by either party. Each party has the right to terminate the collaboration agreement upon 60 days prior written notice to the other party. Upon any termination of the agreement, neither we nor Roche will be entitled to any compensation, damages or other payment. If any individual study supplement is terminated, Roche must return all unused amezalpat to us free of charge or destroy such product at our request.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Roche Master Clinical Supply Agreement</w:t>
      </w:r>
    </w:p>
    <w:p>
      <w:pPr>
        <w:sectPr>
          <w:pgSz w:w="12240" w:h="15840" w:orient="portrait"/>
          <w:cols w:equalWidth="0" w:num="1">
            <w:col w:w="10240"/>
          </w:cols>
          <w:pgMar w:left="1000" w:top="930" w:right="1000" w:bottom="175"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40"/>
          </w:cols>
          <w:pgMar w:left="1000" w:top="930" w:right="1000" w:bottom="175" w:gutter="0" w:footer="0" w:header="0"/>
          <w:type w:val="continuous"/>
        </w:sectPr>
      </w:pPr>
    </w:p>
    <w:bookmarkStart w:id="18" w:name="page19"/>
    <w:bookmarkEnd w:id="18"/>
    <w:p>
      <w:pPr>
        <w:jc w:val="both"/>
        <w:spacing w:after="0" w:line="293" w:lineRule="auto"/>
        <w:rPr>
          <w:sz w:val="20"/>
          <w:szCs w:val="20"/>
          <w:color w:val="auto"/>
        </w:rPr>
      </w:pPr>
      <w:r>
        <w:rPr>
          <w:rFonts w:ascii="Times New Roman" w:cs="Times New Roman" w:eastAsia="Times New Roman" w:hAnsi="Times New Roman"/>
          <w:sz w:val="20"/>
          <w:szCs w:val="20"/>
          <w:color w:val="auto"/>
        </w:rPr>
        <w:t>In October 2024, we entered into a master clinical supply agreement (“Roche Supply Agreement”) with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 In October 2024, we entered into a CSA Supplement for Roche to supply atezolizumab to us, free of charge, for use in our planned Phase 3 trial.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7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one of our product candidates will be approved.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7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202"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comply with these regulations and are assessed through regular monitoring and formal audits.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7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20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If amezalpat, TPST-1495, or any future product candidates are approved for the treatment of tumors, they may compete with other products used to treat such diseases. There are a variety of treatments used for cancerous tumors that include</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1206" w:right="980" w:bottom="175" w:gutter="0" w:footer="0" w:header="0"/>
        </w:sectPr>
      </w:pPr>
    </w:p>
    <w:bookmarkStart w:id="19" w:name="page20"/>
    <w:bookmarkEnd w:id="19"/>
    <w:p>
      <w:pPr>
        <w:jc w:val="both"/>
        <w:spacing w:after="0" w:line="300" w:lineRule="auto"/>
        <w:rPr>
          <w:sz w:val="20"/>
          <w:szCs w:val="20"/>
          <w:color w:val="auto"/>
        </w:rPr>
      </w:pPr>
      <w:r>
        <w:rPr>
          <w:rFonts w:ascii="Times New Roman" w:cs="Times New Roman" w:eastAsia="Times New Roman" w:hAnsi="Times New Roman"/>
          <w:sz w:val="20"/>
          <w:szCs w:val="20"/>
          <w:color w:val="auto"/>
        </w:rPr>
        <w:t>chemotherapy drugs, small molecules, monoclonal antibodies, antibody-drug conjugates, bi-specific antibodies, cell therapies, oncolytic viruses and vaccines, as well as other approaches. In addition, there are several competitors in clinical development for the treatment of HCC, RCC, cholangiocarcinoma, and other indications that we may be targeting with amezalpat and TPST-1495, including companies such as Ono, Adlai Nortye, Merck, Roche, Exelixis, and AstraZeneca.</w:t>
      </w:r>
    </w:p>
    <w:p>
      <w:pPr>
        <w:spacing w:after="0" w:line="19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Amezalpat, our small molecule designed to be a selective antagonist of 33$5Į  is the first 33$5Į antagonist in the clinic. We are not aware of other companies developing such an antagonist. For TPST-1495, our small molecule designed to be a dual antagonist of the EP2 and EP4 receptor, we are aware of other clinical-stage EP-4-only antagonists being developed by Adlai Nortye and Ono.</w:t>
      </w:r>
    </w:p>
    <w:p>
      <w:pPr>
        <w:spacing w:after="0" w:line="23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our programs are likely to be their efficacy, safety, convenience and availability of reimbursement. In addition, our ability to compete may be affected in many cases by insurers or other third-party payors seeking to encourage the use of generic drugs.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24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December 31, 2024, our patent portfolio consisted of issued patents and pending patent applications that we own or in-licensed related to amezalpat, TPST-1495 and various other compounds and programs, such as our earlier-stage research programs. In total, as of the same date, we owned or in-licensed nine issued United States patents, eleven pending United States patent applications, four pending Patent Cooperation Treaty (PCT) applications, and in various markets outside of the United States, including Europe, China and Japan: 55 issued patents and 13 pending patent applications.</w:t>
      </w:r>
    </w:p>
    <w:p>
      <w:pPr>
        <w:spacing w:after="0" w:line="23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With respect to amezalpat, as of December 31, 2024, we own issued patents and pending patent applications in the United States, Europe, China, Japan, and other markets outside of the United States as well as one pending PCT application. The issued United States patents covering amezalpat as compositions of matter, pharmaceutical compositions, and related methods of use are expected to expire in December 2033, absent any patent term adjustments or patent term extensions for regulatory</w:t>
      </w:r>
    </w:p>
    <w:p>
      <w:pPr>
        <w:sectPr>
          <w:pgSz w:w="12240" w:h="15840" w:orient="portrait"/>
          <w:cols w:equalWidth="0" w:num="1">
            <w:col w:w="10240"/>
          </w:cols>
          <w:pgMar w:left="1000" w:top="930" w:right="1000" w:bottom="175" w:gutter="0" w:footer="0" w:header="0"/>
        </w:sectPr>
      </w:pP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40"/>
          </w:cols>
          <w:pgMar w:left="1000" w:top="930" w:right="1000" w:bottom="175" w:gutter="0" w:footer="0" w:header="0"/>
          <w:type w:val="continuous"/>
        </w:sectPr>
      </w:pPr>
    </w:p>
    <w:bookmarkStart w:id="20" w:name="page21"/>
    <w:bookmarkEnd w:id="20"/>
    <w:p>
      <w:pPr>
        <w:jc w:val="both"/>
        <w:spacing w:after="0" w:line="325" w:lineRule="auto"/>
        <w:rPr>
          <w:sz w:val="20"/>
          <w:szCs w:val="20"/>
          <w:color w:val="auto"/>
        </w:rPr>
      </w:pPr>
      <w:r>
        <w:rPr>
          <w:rFonts w:ascii="Times New Roman" w:cs="Times New Roman" w:eastAsia="Times New Roman" w:hAnsi="Times New Roman"/>
          <w:sz w:val="20"/>
          <w:szCs w:val="20"/>
          <w:color w:val="auto"/>
        </w:rPr>
        <w:t>delay. Any additional patents that may issue from these pending patent applications are expected to expire between December 2033 and May 2045, absent any patent term adjustments or patent term extensions for regulatory delay.</w:t>
      </w:r>
    </w:p>
    <w:p>
      <w:pPr>
        <w:spacing w:after="0" w:line="2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With respect to TPST-1495, as of December 31, 2024, we own issued patents and pending patent applications in the United States, Europe, China, Japan, and other markets outside of the United States as well as one pending PCT application. The issued United State patents covering TPST-1495 as compositions of matter, pharmaceutical compositions, and related methods of use are expected to expire between April 2038 and April 2039, absent any patent term adjustments or patent term extensions for regulatory delay. Any additional patents that may issue from these pending patent applications are expected to expire between April 2038 and June 2045, absent any patent term adjustments or patent term extensions for regulatory delay.</w:t>
      </w:r>
    </w:p>
    <w:p>
      <w:pPr>
        <w:spacing w:after="0" w:line="2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As of December 31, 2024, our patent portfolio also included pending patent applications in the United States and Europe that are exclusively licensed to us by the University of California at Berkeley. The licensed patent applications do not cover any of our current product candidates.</w:t>
      </w:r>
    </w:p>
    <w:p>
      <w:pPr>
        <w:spacing w:after="0" w:line="22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We also possess substantial know-how and trade secrets relating to the development and commercialization of our product candidates, including related manufacturing processes and technology.</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23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3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spacing w:after="0" w:line="2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w:t>
      </w:r>
    </w:p>
    <w:p>
      <w:pPr>
        <w:sectPr>
          <w:pgSz w:w="12240" w:h="15840" w:orient="portrait"/>
          <w:cols w:equalWidth="0" w:num="1">
            <w:col w:w="10240"/>
          </w:cols>
          <w:pgMar w:left="1000" w:top="930" w:right="1000" w:bottom="175"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40"/>
          </w:cols>
          <w:pgMar w:left="1000" w:top="930" w:right="1000" w:bottom="175" w:gutter="0" w:footer="0" w:header="0"/>
          <w:type w:val="continuous"/>
        </w:sectPr>
      </w:pPr>
    </w:p>
    <w:bookmarkStart w:id="21" w:name="page22"/>
    <w:bookmarkEnd w:id="21"/>
    <w:p>
      <w:pPr>
        <w:jc w:val="both"/>
        <w:spacing w:after="0" w:line="273" w:lineRule="auto"/>
        <w:rPr>
          <w:sz w:val="20"/>
          <w:szCs w:val="20"/>
          <w:color w:val="auto"/>
        </w:rPr>
      </w:pPr>
      <w:r>
        <w:rPr>
          <w:rFonts w:ascii="Times New Roman" w:cs="Times New Roman" w:eastAsia="Times New Roman" w:hAnsi="Times New Roman"/>
          <w:sz w:val="20"/>
          <w:szCs w:val="20"/>
          <w:color w:val="auto"/>
        </w:rPr>
        <w:t>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79"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Approval Process</w:t>
      </w:r>
    </w:p>
    <w:p>
      <w:pPr>
        <w:spacing w:after="0" w:line="27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In the United States, pharmaceutical products are subject to extensive regulation by the FDA, the Federal Food, Drug, and Cosmetic Act (“FFDCA”),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a New Drug Applications (“NDA”) warning or untitled letters, product recalls, product seizures, total or partial suspension of production or distribution, injunctions, fines, civil penalties and criminal prosecution.</w:t>
      </w:r>
    </w:p>
    <w:p>
      <w:pPr>
        <w:spacing w:after="0" w:line="22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Our investigational medicines and any future investigational medicines must be approved by the FDA pursuant to an NDA before they may be legally marketed in the United States. The process generally involves the following:</w:t>
      </w:r>
    </w:p>
    <w:p>
      <w:pPr>
        <w:spacing w:after="0" w:line="205" w:lineRule="exact"/>
        <w:rPr>
          <w:sz w:val="20"/>
          <w:szCs w:val="20"/>
          <w:color w:val="auto"/>
        </w:rPr>
      </w:pPr>
    </w:p>
    <w:p>
      <w:pPr>
        <w:ind w:left="720" w:right="20" w:hanging="366"/>
        <w:spacing w:after="0" w:line="30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extensive preclinical laboratory and animal studies in accordance with applicable regulations, including studies conducted in accordance with Good Laboratory Practice (“GLP”) requirements;</w:t>
      </w:r>
    </w:p>
    <w:p>
      <w:pPr>
        <w:spacing w:after="0" w:line="186"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267" w:lineRule="exact"/>
        <w:rPr>
          <w:rFonts w:ascii="Times New Roman" w:cs="Times New Roman" w:eastAsia="Times New Roman" w:hAnsi="Times New Roman"/>
          <w:sz w:val="20"/>
          <w:szCs w:val="20"/>
          <w:color w:val="auto"/>
        </w:rPr>
      </w:pPr>
    </w:p>
    <w:p>
      <w:pPr>
        <w:ind w:left="720" w:right="20" w:hanging="366"/>
        <w:spacing w:after="0" w:line="32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Institutional Review Board (“IRB”) or independent ethics committee at each clinical trial site before each clinical trial may be commenced;</w:t>
      </w:r>
    </w:p>
    <w:p>
      <w:pPr>
        <w:spacing w:after="0" w:line="169" w:lineRule="exact"/>
        <w:rPr>
          <w:rFonts w:ascii="Times New Roman" w:cs="Times New Roman" w:eastAsia="Times New Roman" w:hAnsi="Times New Roman"/>
          <w:sz w:val="20"/>
          <w:szCs w:val="20"/>
          <w:color w:val="auto"/>
        </w:rPr>
      </w:pPr>
    </w:p>
    <w:p>
      <w:pPr>
        <w:jc w:val="both"/>
        <w:ind w:left="720" w:right="20" w:hanging="366"/>
        <w:spacing w:after="0" w:line="30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Investigational New Drug (“IND”) regulations, Good Clinical Practice (“GCP”) requirements and other clinical trial-related regulations to establish the safety and efficacy of the investigational product for each proposed indication;</w:t>
      </w:r>
    </w:p>
    <w:p>
      <w:pPr>
        <w:spacing w:after="0" w:line="18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NDA;</w:t>
      </w:r>
    </w:p>
    <w:p>
      <w:pPr>
        <w:spacing w:after="0" w:line="286"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any user fees for FDA review of an NDA;</w:t>
      </w:r>
    </w:p>
    <w:p>
      <w:pPr>
        <w:spacing w:after="0" w:line="286"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an NDA to accept the filing for review;</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930" w:right="980" w:bottom="175" w:gutter="0" w:footer="0" w:header="0"/>
          <w:type w:val="continuous"/>
        </w:sectPr>
      </w:pPr>
    </w:p>
    <w:bookmarkStart w:id="22" w:name="page23"/>
    <w:bookmarkEnd w:id="22"/>
    <w:p>
      <w:pPr>
        <w:jc w:val="both"/>
        <w:ind w:left="720" w:hanging="366"/>
        <w:spacing w:after="0" w:line="30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drug, or components thereof, will be produced to assess compliance with Good Manufacturing Practices (“cGMP”) requirements to assure that the facilities, methods and controls are adequate to preserve the drug’s identity, strength, quality and purity;</w:t>
      </w:r>
    </w:p>
    <w:p>
      <w:pPr>
        <w:spacing w:after="0" w:line="194"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any potential FDA audits of the clinical trial sites that generated the data in support of the NDA to assure compliance with GCPs and integrity of the clinical data;</w:t>
      </w:r>
    </w:p>
    <w:p>
      <w:pPr>
        <w:spacing w:after="0" w:line="169"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an NDA, including consideration of the views of any FDA advisory committee; and</w:t>
      </w:r>
    </w:p>
    <w:p>
      <w:pPr>
        <w:spacing w:after="0" w:line="286"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any post-approval requirements, including risk evaluation and mitigation strategy (“REMS”), where applicable, and post-approval studies required by the FDA as a condition of approval.</w:t>
      </w:r>
    </w:p>
    <w:p>
      <w:pPr>
        <w:spacing w:after="0" w:line="20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27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Before testing any drug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GLP.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2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new drug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an IND.</w:t>
      </w:r>
    </w:p>
    <w:p>
      <w:pPr>
        <w:spacing w:after="0" w:line="20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23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w:t>
      </w:r>
    </w:p>
    <w:p>
      <w:pPr>
        <w:sectPr>
          <w:pgSz w:w="12240" w:h="15840" w:orient="portrait"/>
          <w:cols w:equalWidth="0" w:num="1">
            <w:col w:w="10240"/>
          </w:cols>
          <w:pgMar w:left="1000" w:top="930" w:right="1000" w:bottom="175"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40"/>
          </w:cols>
          <w:pgMar w:left="1000" w:top="930" w:right="1000" w:bottom="175" w:gutter="0" w:footer="0" w:header="0"/>
          <w:type w:val="continuous"/>
        </w:sectPr>
      </w:pPr>
    </w:p>
    <w:bookmarkStart w:id="23" w:name="page24"/>
    <w:bookmarkEnd w:id="23"/>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registration. Disclosure of the results of these clinical trials can be delayed in certain circumstances for up to two years after the date of completion of the trial.</w:t>
      </w:r>
    </w:p>
    <w:p>
      <w:pPr>
        <w:spacing w:after="0" w:line="20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trials are generally conducted in three sequential phases, known as Phase 1, Phase 2 and Phase 3:</w:t>
      </w:r>
    </w:p>
    <w:p>
      <w:pPr>
        <w:spacing w:after="0" w:line="286" w:lineRule="exact"/>
        <w:rPr>
          <w:sz w:val="20"/>
          <w:szCs w:val="20"/>
          <w:color w:val="auto"/>
        </w:rPr>
      </w:pPr>
    </w:p>
    <w:p>
      <w:pPr>
        <w:jc w:val="both"/>
        <w:ind w:left="720" w:hanging="366"/>
        <w:spacing w:after="0" w:line="30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194" w:lineRule="exact"/>
        <w:rPr>
          <w:rFonts w:ascii="Times New Roman" w:cs="Times New Roman" w:eastAsia="Times New Roman" w:hAnsi="Times New Roman"/>
          <w:sz w:val="20"/>
          <w:szCs w:val="20"/>
          <w:color w:val="auto"/>
        </w:rPr>
      </w:pPr>
    </w:p>
    <w:p>
      <w:pPr>
        <w:jc w:val="both"/>
        <w:ind w:left="720" w:right="20" w:hanging="366"/>
        <w:spacing w:after="0" w:line="30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194" w:lineRule="exact"/>
        <w:rPr>
          <w:rFonts w:ascii="Times New Roman" w:cs="Times New Roman" w:eastAsia="Times New Roman" w:hAnsi="Times New Roman"/>
          <w:sz w:val="20"/>
          <w:szCs w:val="20"/>
          <w:color w:val="auto"/>
        </w:rPr>
      </w:pPr>
    </w:p>
    <w:p>
      <w:pPr>
        <w:jc w:val="both"/>
        <w:ind w:left="720" w:right="20" w:hanging="366"/>
        <w:spacing w:after="0" w:line="30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19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9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20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202"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w:t>
      </w:r>
    </w:p>
    <w:p>
      <w:pPr>
        <w:sectPr>
          <w:pgSz w:w="12240" w:h="15840" w:orient="portrait"/>
          <w:cols w:equalWidth="0" w:num="1">
            <w:col w:w="10260"/>
          </w:cols>
          <w:pgMar w:left="1000" w:top="930" w:right="980" w:bottom="175" w:gutter="0" w:footer="0" w:header="0"/>
        </w:sectPr>
      </w:pP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930" w:right="980" w:bottom="175" w:gutter="0" w:footer="0" w:header="0"/>
          <w:type w:val="continuous"/>
        </w:sectPr>
      </w:pPr>
    </w:p>
    <w:bookmarkStart w:id="24" w:name="page25"/>
    <w:bookmarkEnd w:id="24"/>
    <w:p>
      <w:pPr>
        <w:jc w:val="both"/>
        <w:spacing w:after="0" w:line="300" w:lineRule="auto"/>
        <w:rPr>
          <w:sz w:val="20"/>
          <w:szCs w:val="20"/>
          <w:color w:val="auto"/>
        </w:rPr>
      </w:pPr>
      <w:r>
        <w:rPr>
          <w:rFonts w:ascii="Times New Roman" w:cs="Times New Roman" w:eastAsia="Times New Roman" w:hAnsi="Times New Roman"/>
          <w:sz w:val="20"/>
          <w:szCs w:val="20"/>
          <w:color w:val="auto"/>
        </w:rPr>
        <w:t>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Review Process</w:t>
      </w:r>
    </w:p>
    <w:p>
      <w:pPr>
        <w:spacing w:after="0" w:line="27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After completion of the required clinical testing, an NDA is prepared and submitted to the FDA. FDA approval of an NDA is required before marketing of the product may begin in the U.S. An NDA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cost of preparing and submitting an NDA is substantial. Under the Prescription Drug User Fee Act (“PDUFA”),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 annual program fee.</w:t>
      </w:r>
    </w:p>
    <w:p>
      <w:pPr>
        <w:spacing w:after="0" w:line="2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the FDA begins an in-depth review of an NDA. The FDA has agreed to certain performance goals in the review of an NDA. Most applications for standard review drug products are reviewed within ten to twelve months; most applications for priority review drugs are reviewed in six to eight months. Priority review can be applied to drugs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for an NDA, and the review process can be extended by FDA requests for additional information or clarification.</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spacing w:after="0" w:line="19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After the FDA evaluates an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an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NDA does not satisfy the criteria for approval.</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40"/>
          </w:cols>
          <w:pgMar w:left="1000" w:top="930" w:right="1000" w:bottom="175" w:gutter="0" w:footer="0" w:header="0"/>
          <w:type w:val="continuous"/>
        </w:sectPr>
      </w:pPr>
    </w:p>
    <w:bookmarkStart w:id="25" w:name="page26"/>
    <w:bookmarkEnd w:id="25"/>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As a potential condition of an NDA approval, the FDA may require a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20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27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9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28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FDA is authorized to designate certain products for expedited review if they are intended to address an unmet medical need in the treatment of a serious or life-threatening disease or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Track Designation</w:t>
      </w:r>
    </w:p>
    <w:p>
      <w:pPr>
        <w:spacing w:after="0" w:line="27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w:t>
      </w:r>
    </w:p>
    <w:p>
      <w:pPr>
        <w:sectPr>
          <w:pgSz w:w="12240" w:h="15840" w:orient="portrait"/>
          <w:cols w:equalWidth="0" w:num="1">
            <w:col w:w="10260"/>
          </w:cols>
          <w:pgMar w:left="1000" w:top="930" w:right="980" w:bottom="175" w:gutter="0" w:footer="0" w:header="0"/>
        </w:sect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930" w:right="980" w:bottom="175" w:gutter="0" w:footer="0" w:header="0"/>
          <w:type w:val="continuous"/>
        </w:sectPr>
      </w:pPr>
    </w:p>
    <w:bookmarkStart w:id="26" w:name="page27"/>
    <w:bookmarkEnd w:id="26"/>
    <w:p>
      <w:pPr>
        <w:jc w:val="both"/>
        <w:spacing w:after="0" w:line="325" w:lineRule="auto"/>
        <w:rPr>
          <w:sz w:val="20"/>
          <w:szCs w:val="20"/>
          <w:color w:val="auto"/>
        </w:rPr>
      </w:pPr>
      <w:r>
        <w:rPr>
          <w:rFonts w:ascii="Times New Roman" w:cs="Times New Roman" w:eastAsia="Times New Roman" w:hAnsi="Times New Roman"/>
          <w:sz w:val="20"/>
          <w:szCs w:val="20"/>
          <w:color w:val="auto"/>
        </w:rPr>
        <w:t>NDA filing, the FDA will determine whether to grant priority review designation. Additionally, fast track designation may be withdrawn if the FDA believes that the designation is no longer supported by data emerging in the clinical trial process.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Breakthrough Therapy Designation</w:t>
      </w:r>
    </w:p>
    <w:p>
      <w:pPr>
        <w:spacing w:after="0" w:line="2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Priority Review</w:t>
      </w:r>
    </w:p>
    <w:p>
      <w:pPr>
        <w:spacing w:after="0" w:line="28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Accelerated Approval</w:t>
      </w:r>
    </w:p>
    <w:p>
      <w:pPr>
        <w:spacing w:after="0" w:line="2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Information</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40"/>
          </w:cols>
          <w:pgMar w:left="1000" w:top="930" w:right="1000" w:bottom="175" w:gutter="0" w:footer="0" w:header="0"/>
          <w:type w:val="continuous"/>
        </w:sectPr>
      </w:pPr>
    </w:p>
    <w:bookmarkStart w:id="27" w:name="page28"/>
    <w:bookmarkEnd w:id="27"/>
    <w:p>
      <w:pPr>
        <w:jc w:val="both"/>
        <w:spacing w:after="0" w:line="297" w:lineRule="auto"/>
        <w:rPr>
          <w:sz w:val="20"/>
          <w:szCs w:val="20"/>
          <w:color w:val="auto"/>
        </w:rPr>
      </w:pPr>
      <w:r>
        <w:rPr>
          <w:rFonts w:ascii="Times New Roman" w:cs="Times New Roman" w:eastAsia="Times New Roman" w:hAnsi="Times New Roman"/>
          <w:sz w:val="20"/>
          <w:szCs w:val="20"/>
          <w:color w:val="auto"/>
        </w:rPr>
        <w:t>Under the Pediatric Research Equity Act (“PREA”), an NDA or supplements to an NDA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7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200" w:lineRule="exact"/>
        <w:rPr>
          <w:sz w:val="20"/>
          <w:szCs w:val="20"/>
          <w:color w:val="auto"/>
        </w:rPr>
      </w:pPr>
    </w:p>
    <w:p>
      <w:pPr>
        <w:ind w:left="720" w:hanging="366"/>
        <w:spacing w:after="0" w:line="325"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suspension of the approval, complete withdrawal of the product from the market or a product recall;</w:t>
      </w:r>
    </w:p>
    <w:p>
      <w:pPr>
        <w:spacing w:after="0" w:line="169"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or other enforcement-related letters or holds on post-approval clinical studies;</w:t>
      </w:r>
    </w:p>
    <w:p>
      <w:pPr>
        <w:spacing w:after="0" w:line="286" w:lineRule="exact"/>
        <w:rPr>
          <w:rFonts w:ascii="Times New Roman" w:cs="Times New Roman" w:eastAsia="Times New Roman" w:hAnsi="Times New Roman"/>
          <w:sz w:val="20"/>
          <w:szCs w:val="20"/>
          <w:color w:val="auto"/>
        </w:rPr>
      </w:pPr>
    </w:p>
    <w:p>
      <w:pPr>
        <w:ind w:left="720" w:hanging="366"/>
        <w:spacing w:after="0" w:line="325"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NDAs or supplements to approved NDAs, or suspension or revocation of product license approvals;</w:t>
      </w:r>
    </w:p>
    <w:p>
      <w:pPr>
        <w:spacing w:after="0" w:line="169"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286"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Hatch-Waxman Act Orange Book Listing</w:t>
      </w:r>
    </w:p>
    <w:p>
      <w:pPr>
        <w:sectPr>
          <w:pgSz w:w="12240" w:h="15840" w:orient="portrait"/>
          <w:cols w:equalWidth="0" w:num="1">
            <w:col w:w="10240"/>
          </w:cols>
          <w:pgMar w:left="1000" w:top="930" w:right="1000" w:bottom="175"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40"/>
          </w:cols>
          <w:pgMar w:left="1000" w:top="930" w:right="1000" w:bottom="175" w:gutter="0" w:footer="0" w:header="0"/>
          <w:type w:val="continuous"/>
        </w:sectPr>
      </w:pPr>
    </w:p>
    <w:bookmarkStart w:id="28" w:name="page29"/>
    <w:bookmarkEnd w:id="28"/>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9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20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Exclusivity</w:t>
      </w:r>
    </w:p>
    <w:p>
      <w:pPr>
        <w:spacing w:after="0" w:line="27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Upon an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200"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9"/>
          <w:szCs w:val="19"/>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w:t>
      </w:r>
    </w:p>
    <w:p>
      <w:pPr>
        <w:sectPr>
          <w:pgSz w:w="12240" w:h="15840" w:orient="portrait"/>
          <w:cols w:equalWidth="0" w:num="1">
            <w:col w:w="10260"/>
          </w:cols>
          <w:pgMar w:left="1000" w:top="930" w:right="980" w:bottom="175" w:gutter="0" w:footer="0" w:header="0"/>
        </w:sect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930" w:right="980" w:bottom="175" w:gutter="0" w:footer="0" w:header="0"/>
          <w:type w:val="continuous"/>
        </w:sectPr>
      </w:pPr>
    </w:p>
    <w:bookmarkStart w:id="29" w:name="page30"/>
    <w:bookmarkEnd w:id="29"/>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approval prior to expiration of the three-year exclusivity if the applicant seeks, and the FDA permits, the omission of such exclusivity-protected information from the ANDA package insert.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w:t>
      </w:r>
    </w:p>
    <w:p>
      <w:pPr>
        <w:spacing w:after="0" w:line="2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an NDA approval, owners of relevant drug patents may apply for the extension. The allowable patent term extension is calculated as half of the drug’s testing phase (the time between an IND application and an NDA submission) and all of the review phase (the time between an NDA submission and approval) up to a maximum of five years. The time can be reduced for any time the FDA determines that the applicant did not pursue approval with due diligence.</w:t>
      </w:r>
    </w:p>
    <w:p>
      <w:pPr>
        <w:spacing w:after="0" w:line="20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9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Pricing, and Reimbursement</w:t>
      </w:r>
    </w:p>
    <w:p>
      <w:pPr>
        <w:spacing w:after="0" w:line="2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9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20"/>
          <w:szCs w:val="20"/>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930" w:right="980" w:bottom="175" w:gutter="0" w:footer="0" w:header="0"/>
          <w:type w:val="continuous"/>
        </w:sectPr>
      </w:pPr>
    </w:p>
    <w:bookmarkStart w:id="30" w:name="page31"/>
    <w:bookmarkEnd w:id="30"/>
    <w:p>
      <w:pPr>
        <w:jc w:val="both"/>
        <w:spacing w:after="0" w:line="295"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27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2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ectPr>
          <w:pgSz w:w="12240" w:h="15840" w:orient="portrait"/>
          <w:cols w:equalWidth="0" w:num="1">
            <w:col w:w="10240"/>
          </w:cols>
          <w:pgMar w:left="1000" w:top="930" w:right="1000" w:bottom="175"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40"/>
          </w:cols>
          <w:pgMar w:left="1000" w:top="930" w:right="1000" w:bottom="175" w:gutter="0" w:footer="0" w:header="0"/>
          <w:type w:val="continuous"/>
        </w:sectPr>
      </w:pPr>
    </w:p>
    <w:bookmarkStart w:id="31" w:name="page32"/>
    <w:bookmarkEnd w:id="31"/>
    <w:p>
      <w:pPr>
        <w:jc w:val="both"/>
        <w:spacing w:after="0" w:line="294" w:lineRule="auto"/>
        <w:rPr>
          <w:sz w:val="20"/>
          <w:szCs w:val="20"/>
          <w:color w:val="auto"/>
        </w:rPr>
      </w:pPr>
      <w:r>
        <w:rPr>
          <w:rFonts w:ascii="Times New Roman" w:cs="Times New Roman" w:eastAsia="Times New Roman" w:hAnsi="Times New Roman"/>
          <w:sz w:val="20"/>
          <w:szCs w:val="20"/>
          <w:color w:val="auto"/>
        </w:rPr>
        <w:t>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20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and medical representatives. Compliance with these laws is difficult and time consuming, and companies that do not comply with these state laws face civil penalties.</w:t>
      </w: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Healthcare Reform</w:t>
      </w:r>
    </w:p>
    <w:p>
      <w:pPr>
        <w:spacing w:after="0" w:line="2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There have been judicial, executive brand, and Congressional challenges and amendments to certain aspects of the ACA, For example,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However, it is possible that the ACA will be subject to judicial or Congressional challenges in the future. It is unclear how such challenges will impact the</w:t>
      </w:r>
    </w:p>
    <w:p>
      <w:pPr>
        <w:sectPr>
          <w:pgSz w:w="12240" w:h="15840" w:orient="portrait"/>
          <w:cols w:equalWidth="0" w:num="1">
            <w:col w:w="10240"/>
          </w:cols>
          <w:pgMar w:left="1000" w:top="930" w:right="1000" w:bottom="175"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40"/>
          </w:cols>
          <w:pgMar w:left="1000" w:top="930" w:right="1000" w:bottom="175" w:gutter="0" w:footer="0" w:header="0"/>
          <w:type w:val="continuous"/>
        </w:sectPr>
      </w:pPr>
    </w:p>
    <w:bookmarkStart w:id="32" w:name="page33"/>
    <w:bookmarkEnd w:id="32"/>
    <w:p>
      <w:pPr>
        <w:jc w:val="both"/>
        <w:spacing w:after="0" w:line="306" w:lineRule="auto"/>
        <w:rPr>
          <w:sz w:val="20"/>
          <w:szCs w:val="20"/>
          <w:color w:val="auto"/>
        </w:rPr>
      </w:pPr>
      <w:r>
        <w:rPr>
          <w:rFonts w:ascii="Times New Roman" w:cs="Times New Roman" w:eastAsia="Times New Roman" w:hAnsi="Times New Roman"/>
          <w:sz w:val="20"/>
          <w:szCs w:val="20"/>
          <w:color w:val="auto"/>
        </w:rPr>
        <w:t>ACA. Tempest cannot predict the ultimate content, timing or effect of any healthcare reform legislation or the impact of potential legislation on its business.</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to reduce healthcare expenditures. On August 2, 2011, the Budget Control Act of 2011, was enacted which, among other things, included aggregate reductions of Medicare payments to providers of 2% per fiscal year. These reductions went into effect on April 1, 2013 and, due to subsequent legislative amendments to the statute will remain in effect through 2032, unless additional Congressional action is taken.</w:t>
      </w:r>
    </w:p>
    <w:p>
      <w:pPr>
        <w:spacing w:after="0" w:line="1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IRA, among other things, (i) directs HHS to negotiate the price of certain high-expenditure, single-source drugs covered under Medicare that have been on the market for at least seven years, and subject drug manufacturers to civil monetary penalties and a potential excise tax by offering a price that is not equal to or less than the negotiated “maximum fair price” for such drugs and biologics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Further,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21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w:t>
      </w:r>
    </w:p>
    <w:p>
      <w:pPr>
        <w:sectPr>
          <w:pgSz w:w="12240" w:h="15840" w:orient="portrait"/>
          <w:cols w:equalWidth="0" w:num="1">
            <w:col w:w="10240"/>
          </w:cols>
          <w:pgMar w:left="1000" w:top="930" w:right="1000" w:bottom="175"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40"/>
          </w:cols>
          <w:pgMar w:left="1000" w:top="930" w:right="1000" w:bottom="175" w:gutter="0" w:footer="0" w:header="0"/>
          <w:type w:val="continuous"/>
        </w:sectPr>
      </w:pPr>
    </w:p>
    <w:bookmarkStart w:id="33" w:name="page34"/>
    <w:bookmarkEnd w:id="33"/>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obtaining FDA authorization under an FDA expanded access program; however, manufacturers are not obligated to provide investigational new drug products under the current federal right to try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31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0"/>
          <w:szCs w:val="20"/>
          <w:color w:val="auto"/>
        </w:rPr>
        <w:t>As of December 31, 2024, we had 25 employees, including 24 full-time employees and 18 holding Ph.D., M.D., JD, LL.M., MBA and/or M.S. degrees. Our employees have established internal expertise in chemistry, biochemistry, molecular biology, immunology, pharmacology, toxicology, pre-clinical development, regulatory and quality, translational medicine,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spacing w:after="0" w:line="23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24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 ethnicity. People of color and those who are part of underrepresented groups in the biotech industry are encouraged to apply for open positions.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9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We were incorporated in Delaware in April 2011. Our corporate headquarters are located at 2000 Sierra Point Parkway, Suite 400, Brisbane, California 94005, and our telephone number is (415) 798-8589.</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30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Our internet website address is www.tempesttx.com.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8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930" w:right="980" w:bottom="17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i w:val="1"/>
          <w:iCs w:val="1"/>
          <w:color w:val="auto"/>
        </w:rPr>
        <w:t>Our business involves significant risks, some of which are described below. You should carefully consider the risks described below, together with all of the other information contained in this Annual Report,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Selected Risks Associated with Our Business</w:t>
      </w:r>
    </w:p>
    <w:p>
      <w:pPr>
        <w:spacing w:after="0" w:line="29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203" w:lineRule="exact"/>
        <w:rPr>
          <w:sz w:val="20"/>
          <w:szCs w:val="20"/>
          <w:color w:val="auto"/>
        </w:rPr>
      </w:pPr>
    </w:p>
    <w:p>
      <w:pPr>
        <w:ind w:left="980" w:right="120" w:hanging="497"/>
        <w:spacing w:after="0" w:line="258"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will require substantial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201" w:lineRule="exact"/>
        <w:rPr>
          <w:rFonts w:ascii="Arial" w:cs="Arial" w:eastAsia="Arial" w:hAnsi="Arial"/>
          <w:sz w:val="20"/>
          <w:szCs w:val="20"/>
          <w:color w:val="auto"/>
        </w:rPr>
      </w:pPr>
    </w:p>
    <w:p>
      <w:pPr>
        <w:ind w:left="980" w:right="220" w:hanging="497"/>
        <w:spacing w:after="0" w:line="252"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207"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Raising additional capital may cause dilution to our stockholders, restrict our operations or require us to relinquish proprietary rights.</w:t>
      </w:r>
    </w:p>
    <w:p>
      <w:pPr>
        <w:spacing w:after="0" w:line="184" w:lineRule="exact"/>
        <w:rPr>
          <w:rFonts w:ascii="Arial" w:cs="Arial" w:eastAsia="Arial" w:hAnsi="Arial"/>
          <w:sz w:val="20"/>
          <w:szCs w:val="20"/>
          <w:color w:val="auto"/>
        </w:rPr>
      </w:pPr>
    </w:p>
    <w:p>
      <w:pPr>
        <w:jc w:val="both"/>
        <w:ind w:left="980" w:right="20" w:hanging="497"/>
        <w:spacing w:after="0" w:line="30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of the Loan Agreement with Oxford Finance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201"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expect to expand our development and regulatory capabilities, and as a result, we may encounter difficulties in managing our growth, which could disrupt our operations.</w:t>
      </w:r>
    </w:p>
    <w:p>
      <w:pPr>
        <w:spacing w:after="0" w:line="184" w:lineRule="exact"/>
        <w:rPr>
          <w:rFonts w:ascii="Arial" w:cs="Arial" w:eastAsia="Arial" w:hAnsi="Arial"/>
          <w:sz w:val="20"/>
          <w:szCs w:val="20"/>
          <w:color w:val="auto"/>
        </w:rPr>
      </w:pPr>
    </w:p>
    <w:p>
      <w:pPr>
        <w:jc w:val="both"/>
        <w:ind w:left="980" w:right="320" w:hanging="497"/>
        <w:spacing w:after="0" w:line="30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201" w:lineRule="exact"/>
        <w:rPr>
          <w:rFonts w:ascii="Arial" w:cs="Arial" w:eastAsia="Arial" w:hAnsi="Arial"/>
          <w:sz w:val="20"/>
          <w:szCs w:val="20"/>
          <w:color w:val="auto"/>
        </w:rPr>
      </w:pPr>
    </w:p>
    <w:p>
      <w:pPr>
        <w:jc w:val="both"/>
        <w:ind w:left="980" w:right="520" w:hanging="497"/>
        <w:spacing w:after="0" w:line="354" w:lineRule="auto"/>
        <w:tabs>
          <w:tab w:leader="none" w:pos="98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0" w:lineRule="exact"/>
        <w:rPr>
          <w:rFonts w:ascii="Arial" w:cs="Arial" w:eastAsia="Arial" w:hAnsi="Arial"/>
          <w:sz w:val="19"/>
          <w:szCs w:val="19"/>
          <w:color w:val="auto"/>
        </w:rPr>
      </w:pPr>
    </w:p>
    <w:p>
      <w:pPr>
        <w:ind w:left="980" w:right="520" w:hanging="497"/>
        <w:spacing w:after="0" w:line="324"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successful in our efforts to expand our pipeline of product candidates and develop marketable products.</w:t>
      </w:r>
    </w:p>
    <w:p>
      <w:pPr>
        <w:spacing w:after="0" w:line="184" w:lineRule="exact"/>
        <w:rPr>
          <w:rFonts w:ascii="Arial" w:cs="Arial" w:eastAsia="Arial" w:hAnsi="Arial"/>
          <w:sz w:val="20"/>
          <w:szCs w:val="20"/>
          <w:color w:val="auto"/>
        </w:rPr>
      </w:pPr>
    </w:p>
    <w:p>
      <w:pPr>
        <w:ind w:left="980" w:right="300" w:hanging="497"/>
        <w:spacing w:after="0" w:line="30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201" w:lineRule="exact"/>
        <w:rPr>
          <w:rFonts w:ascii="Arial" w:cs="Arial" w:eastAsia="Arial" w:hAnsi="Arial"/>
          <w:sz w:val="20"/>
          <w:szCs w:val="20"/>
          <w:color w:val="auto"/>
        </w:rPr>
      </w:pPr>
    </w:p>
    <w:p>
      <w:pPr>
        <w:ind w:left="980" w:right="100" w:hanging="497"/>
        <w:spacing w:after="0" w:line="324"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may rely on third parties to manufacture our clinical product supplies, and we may have to rely on third parties to produce and process our product candidates, if approved.</w:t>
      </w:r>
    </w:p>
    <w:p>
      <w:pPr>
        <w:sectPr>
          <w:pgSz w:w="12240" w:h="15840" w:orient="portrait"/>
          <w:cols w:equalWidth="0" w:num="1">
            <w:col w:w="10260"/>
          </w:cols>
          <w:pgMar w:left="1000" w:top="926" w:right="98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926" w:right="980" w:bottom="175" w:gutter="0" w:footer="0" w:header="0"/>
          <w:type w:val="continuous"/>
        </w:sectPr>
      </w:pPr>
    </w:p>
    <w:bookmarkStart w:id="35" w:name="page36"/>
    <w:bookmarkEnd w:id="35"/>
    <w:p>
      <w:pPr>
        <w:ind w:left="980" w:right="260" w:hanging="497"/>
        <w:spacing w:after="0" w:line="300"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207" w:lineRule="exact"/>
        <w:rPr>
          <w:rFonts w:ascii="Arial" w:cs="Arial" w:eastAsia="Arial" w:hAnsi="Arial"/>
          <w:sz w:val="20"/>
          <w:szCs w:val="20"/>
          <w:color w:val="auto"/>
        </w:rPr>
      </w:pPr>
    </w:p>
    <w:p>
      <w:pPr>
        <w:ind w:left="980" w:right="20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establish sales and marketing capabilities or enter into agreements with third parties to market and sell our product candidates, we may be unable to generate any revenues.</w:t>
      </w:r>
    </w:p>
    <w:p>
      <w:pPr>
        <w:spacing w:after="0" w:line="184" w:lineRule="exact"/>
        <w:rPr>
          <w:rFonts w:ascii="Arial" w:cs="Arial" w:eastAsia="Arial" w:hAnsi="Arial"/>
          <w:sz w:val="20"/>
          <w:szCs w:val="20"/>
          <w:color w:val="auto"/>
        </w:rPr>
      </w:pPr>
    </w:p>
    <w:p>
      <w:pPr>
        <w:ind w:left="980" w:right="38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successful in finding strategic collaborators for continuing development of certain of our future product candidates or successfully commercializing or competing in the market for certain indications.</w:t>
      </w:r>
    </w:p>
    <w:p>
      <w:pPr>
        <w:spacing w:after="0" w:line="184" w:lineRule="exact"/>
        <w:rPr>
          <w:rFonts w:ascii="Arial" w:cs="Arial" w:eastAsia="Arial" w:hAnsi="Arial"/>
          <w:sz w:val="20"/>
          <w:szCs w:val="20"/>
          <w:color w:val="auto"/>
        </w:rPr>
      </w:pPr>
    </w:p>
    <w:p>
      <w:pPr>
        <w:ind w:left="980" w:right="6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FDA regulatory approval process is lengthy and time-consuming, and we may experience significant delays in the clinical development and regulatory approval of our product candidates.</w:t>
      </w:r>
    </w:p>
    <w:p>
      <w:pPr>
        <w:spacing w:after="0" w:line="184" w:lineRule="exact"/>
        <w:rPr>
          <w:rFonts w:ascii="Arial" w:cs="Arial" w:eastAsia="Arial" w:hAnsi="Arial"/>
          <w:sz w:val="20"/>
          <w:szCs w:val="20"/>
          <w:color w:val="auto"/>
        </w:rPr>
      </w:pPr>
    </w:p>
    <w:p>
      <w:pPr>
        <w:ind w:left="980" w:right="320" w:hanging="497"/>
        <w:spacing w:after="0" w:line="354" w:lineRule="auto"/>
        <w:tabs>
          <w:tab w:leader="none" w:pos="98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0" w:lineRule="exact"/>
        <w:rPr>
          <w:rFonts w:ascii="Arial" w:cs="Arial" w:eastAsia="Arial" w:hAnsi="Arial"/>
          <w:sz w:val="19"/>
          <w:szCs w:val="19"/>
          <w:color w:val="auto"/>
        </w:rPr>
      </w:pPr>
    </w:p>
    <w:p>
      <w:pPr>
        <w:ind w:left="980" w:right="38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owned and in-licensed patents and patent applications may not provide sufficient protection of our product candidates or result in any competitive advantage.</w:t>
      </w:r>
    </w:p>
    <w:p>
      <w:pPr>
        <w:spacing w:after="0" w:line="184" w:lineRule="exact"/>
        <w:rPr>
          <w:rFonts w:ascii="Arial" w:cs="Arial" w:eastAsia="Arial" w:hAnsi="Arial"/>
          <w:sz w:val="20"/>
          <w:szCs w:val="20"/>
          <w:color w:val="auto"/>
        </w:rPr>
      </w:pPr>
    </w:p>
    <w:p>
      <w:pPr>
        <w:ind w:left="980" w:right="88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trading price of the shares of our common stock has been and is likely to continue to be volatile, and purchasers of our common stock could incur substantial losses.</w:t>
      </w:r>
    </w:p>
    <w:p>
      <w:pPr>
        <w:spacing w:after="0" w:line="184" w:lineRule="exact"/>
        <w:rPr>
          <w:rFonts w:ascii="Arial" w:cs="Arial" w:eastAsia="Arial" w:hAnsi="Arial"/>
          <w:sz w:val="20"/>
          <w:szCs w:val="20"/>
          <w:color w:val="auto"/>
        </w:rPr>
      </w:pPr>
    </w:p>
    <w:p>
      <w:pPr>
        <w:ind w:left="980" w:right="56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Unstable market and economic conditions may have serious adverse consequences on our business, financial condition and share price.</w:t>
      </w:r>
    </w:p>
    <w:p>
      <w:pPr>
        <w:spacing w:after="0" w:line="184" w:lineRule="exact"/>
        <w:rPr>
          <w:rFonts w:ascii="Arial" w:cs="Arial" w:eastAsia="Arial" w:hAnsi="Arial"/>
          <w:sz w:val="20"/>
          <w:szCs w:val="20"/>
          <w:color w:val="auto"/>
        </w:rPr>
      </w:pPr>
    </w:p>
    <w:p>
      <w:pPr>
        <w:ind w:left="980" w:right="38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common stock is thinly traded and our stockholders may be unable to sell their shares quickly or at market price.</w:t>
      </w:r>
    </w:p>
    <w:p>
      <w:pPr>
        <w:spacing w:after="0" w:line="184" w:lineRule="exact"/>
        <w:rPr>
          <w:rFonts w:ascii="Arial" w:cs="Arial" w:eastAsia="Arial" w:hAnsi="Arial"/>
          <w:sz w:val="20"/>
          <w:szCs w:val="20"/>
          <w:color w:val="auto"/>
        </w:rPr>
      </w:pPr>
    </w:p>
    <w:p>
      <w:pPr>
        <w:ind w:left="980" w:right="120" w:hanging="497"/>
        <w:spacing w:after="0" w:line="32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maintain proper and effective internal controls, our ability to produce accurate financial statements on a timely basis could be impaired.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Our operations have consumed substantial amounts of cash since inception. We expect our expenses to continue to increase in connection with our ongoing activities, particularly as we conduct clinical trials of, and seek marketing approval for, our product candidates, including later stage clinical trials such as our potential pivotal Phase 3 trial in first-line HCC,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including our Phase 3 pivotal trial. Our future capital requirements will depend on many factors, including:</w:t>
      </w:r>
    </w:p>
    <w:p>
      <w:pPr>
        <w:spacing w:after="0" w:line="96" w:lineRule="exact"/>
        <w:rPr>
          <w:sz w:val="20"/>
          <w:szCs w:val="20"/>
          <w:color w:val="auto"/>
        </w:rPr>
      </w:pPr>
    </w:p>
    <w:p>
      <w:pPr>
        <w:ind w:left="980" w:right="900" w:hanging="497"/>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progress, costs and results of our ongoing preclinical studies and clinical trials of our product candidates;</w:t>
      </w:r>
    </w:p>
    <w:p>
      <w:pPr>
        <w:sectPr>
          <w:pgSz w:w="12240" w:h="15840" w:orient="portrait"/>
          <w:cols w:equalWidth="0" w:num="1">
            <w:col w:w="10240"/>
          </w:cols>
          <w:pgMar w:left="1000" w:top="944" w:right="1000" w:bottom="175"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40"/>
          </w:cols>
          <w:pgMar w:left="1000" w:top="944" w:right="1000" w:bottom="175" w:gutter="0" w:footer="0" w:header="0"/>
          <w:type w:val="continuous"/>
        </w:sectPr>
      </w:pPr>
    </w:p>
    <w:bookmarkStart w:id="36" w:name="page37"/>
    <w:bookmarkEnd w:id="36"/>
    <w:p>
      <w:pPr>
        <w:ind w:left="980" w:right="520" w:hanging="497"/>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results and costs of preclinical development, laboratory testing and clinical trials of other product candidates that we may pursue;</w:t>
      </w:r>
    </w:p>
    <w:p>
      <w:pPr>
        <w:spacing w:after="0" w:line="64" w:lineRule="exact"/>
        <w:rPr>
          <w:rFonts w:ascii="Arial" w:cs="Arial" w:eastAsia="Arial" w:hAnsi="Arial"/>
          <w:sz w:val="20"/>
          <w:szCs w:val="20"/>
          <w:color w:val="auto"/>
        </w:rPr>
      </w:pPr>
    </w:p>
    <w:p>
      <w:pPr>
        <w:ind w:left="980" w:hanging="497"/>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collaborations on favorable terms, if at all;</w:t>
      </w:r>
    </w:p>
    <w:p>
      <w:pPr>
        <w:spacing w:after="0" w:line="133" w:lineRule="exact"/>
        <w:rPr>
          <w:rFonts w:ascii="Arial" w:cs="Arial" w:eastAsia="Arial" w:hAnsi="Arial"/>
          <w:sz w:val="20"/>
          <w:szCs w:val="20"/>
          <w:color w:val="auto"/>
        </w:rPr>
      </w:pPr>
    </w:p>
    <w:p>
      <w:pPr>
        <w:ind w:left="980" w:hanging="497"/>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133" w:lineRule="exact"/>
        <w:rPr>
          <w:rFonts w:ascii="Arial" w:cs="Arial" w:eastAsia="Arial" w:hAnsi="Arial"/>
          <w:sz w:val="20"/>
          <w:szCs w:val="20"/>
          <w:color w:val="auto"/>
        </w:rPr>
      </w:pPr>
    </w:p>
    <w:p>
      <w:pPr>
        <w:ind w:left="980" w:right="200" w:hanging="497"/>
        <w:spacing w:after="0" w:line="304" w:lineRule="auto"/>
        <w:tabs>
          <w:tab w:leader="none" w:pos="98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future commercialization activities, including product manufacturing, marketing, sales, reimbursement and distribution, for any of our product candidates for which we may receive marketing approval;</w:t>
      </w:r>
    </w:p>
    <w:p>
      <w:pPr>
        <w:spacing w:after="0" w:line="39" w:lineRule="exact"/>
        <w:rPr>
          <w:rFonts w:ascii="Arial" w:cs="Arial" w:eastAsia="Arial" w:hAnsi="Arial"/>
          <w:sz w:val="19"/>
          <w:szCs w:val="19"/>
          <w:color w:val="auto"/>
        </w:rPr>
      </w:pPr>
    </w:p>
    <w:p>
      <w:pPr>
        <w:ind w:left="980" w:right="60" w:hanging="497"/>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revenue, if any, received from commercial sales of our product candidates for which we may receive marketing approval;</w:t>
      </w:r>
    </w:p>
    <w:p>
      <w:pPr>
        <w:spacing w:after="0" w:line="64" w:lineRule="exact"/>
        <w:rPr>
          <w:rFonts w:ascii="Arial" w:cs="Arial" w:eastAsia="Arial" w:hAnsi="Arial"/>
          <w:sz w:val="20"/>
          <w:szCs w:val="20"/>
          <w:color w:val="auto"/>
        </w:rPr>
      </w:pPr>
    </w:p>
    <w:p>
      <w:pPr>
        <w:ind w:left="980" w:hanging="497"/>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any milestone and royalty payments with respect to any approved product candidates;</w:t>
      </w:r>
    </w:p>
    <w:p>
      <w:pPr>
        <w:spacing w:after="0" w:line="133" w:lineRule="exact"/>
        <w:rPr>
          <w:rFonts w:ascii="Arial" w:cs="Arial" w:eastAsia="Arial" w:hAnsi="Arial"/>
          <w:sz w:val="20"/>
          <w:szCs w:val="20"/>
          <w:color w:val="auto"/>
        </w:rPr>
      </w:pPr>
    </w:p>
    <w:p>
      <w:pPr>
        <w:ind w:left="980" w:right="700" w:hanging="497"/>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w:t>
      </w:r>
    </w:p>
    <w:p>
      <w:pPr>
        <w:spacing w:after="0" w:line="64" w:lineRule="exact"/>
        <w:rPr>
          <w:rFonts w:ascii="Arial" w:cs="Arial" w:eastAsia="Arial" w:hAnsi="Arial"/>
          <w:sz w:val="20"/>
          <w:szCs w:val="20"/>
          <w:color w:val="auto"/>
        </w:rPr>
      </w:pPr>
    </w:p>
    <w:p>
      <w:pPr>
        <w:ind w:left="980" w:hanging="497"/>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operating as a public company; and</w:t>
      </w:r>
    </w:p>
    <w:p>
      <w:pPr>
        <w:spacing w:after="0" w:line="133" w:lineRule="exact"/>
        <w:rPr>
          <w:rFonts w:ascii="Arial" w:cs="Arial" w:eastAsia="Arial" w:hAnsi="Arial"/>
          <w:sz w:val="20"/>
          <w:szCs w:val="20"/>
          <w:color w:val="auto"/>
        </w:rPr>
      </w:pPr>
    </w:p>
    <w:p>
      <w:pPr>
        <w:ind w:left="980" w:hanging="497"/>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w:t>
      </w:r>
    </w:p>
    <w:p>
      <w:pPr>
        <w:spacing w:after="0" w:line="19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Adequate additional financing may not be available to us on acceptable terms, or at all. If we require additional capital at a time when investment in our industry or in the marketplace in general is limited, we might not be able to raise funding on favorable terms, if at all.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If we are unable to raise capital when needed or on acceptable terms, we could be forced to delay, reduce, or explore other strategic options for our research and development programs or other opportunities. If we do not obtain additional financing and are required to terminate our operations, our stockholders will lose their investment.</w:t>
      </w:r>
    </w:p>
    <w:p>
      <w:pPr>
        <w:spacing w:after="0" w:line="202" w:lineRule="exact"/>
        <w:rPr>
          <w:sz w:val="20"/>
          <w:szCs w:val="20"/>
          <w:color w:val="auto"/>
        </w:rPr>
      </w:pPr>
    </w:p>
    <w:p>
      <w:pPr>
        <w:ind w:right="74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proprietary rights.</w:t>
      </w:r>
    </w:p>
    <w:p>
      <w:pPr>
        <w:spacing w:after="0" w:line="16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June 2024, entered into a sales agreement with Jefferies LLC (“Jefferies”) for an at-the-market offering program (the “ATM Program”). Pursuant to the prospectus supplement we filed in February 2025, we may sell up to an aggregate of $14.5 million of our common stock under our ATM Program.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20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w:t>
      </w:r>
    </w:p>
    <w:p>
      <w:pPr>
        <w:sectPr>
          <w:pgSz w:w="12240" w:h="15840" w:orient="portrait"/>
          <w:cols w:equalWidth="0" w:num="1">
            <w:col w:w="10240"/>
          </w:cols>
          <w:pgMar w:left="1000" w:top="944" w:right="1000" w:bottom="175"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40"/>
          </w:cols>
          <w:pgMar w:left="1000" w:top="944" w:right="1000" w:bottom="175" w:gutter="0" w:footer="0" w:header="0"/>
          <w:type w:val="continuous"/>
        </w:sectPr>
      </w:pPr>
    </w:p>
    <w:bookmarkStart w:id="37" w:name="page38"/>
    <w:bookmarkEnd w:id="37"/>
    <w:p>
      <w:pPr>
        <w:ind w:right="480"/>
        <w:spacing w:after="0" w:line="325" w:lineRule="auto"/>
        <w:rPr>
          <w:sz w:val="20"/>
          <w:szCs w:val="20"/>
          <w:color w:val="auto"/>
        </w:rPr>
      </w:pPr>
      <w:r>
        <w:rPr>
          <w:rFonts w:ascii="Times New Roman" w:cs="Times New Roman" w:eastAsia="Times New Roman" w:hAnsi="Times New Roman"/>
          <w:sz w:val="20"/>
          <w:szCs w:val="20"/>
          <w:color w:val="auto"/>
        </w:rPr>
        <w:t>incur additional indebtedness, engage in mergers, acquisitions and asset sales, transact with affiliates, undergo a change in control, add or change business locations, or engage in businesses that are not related to its existing business.</w:t>
      </w:r>
    </w:p>
    <w:p>
      <w:pPr>
        <w:spacing w:after="0" w:line="169"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88" w:lineRule="exact"/>
        <w:rPr>
          <w:sz w:val="20"/>
          <w:szCs w:val="20"/>
          <w:color w:val="auto"/>
        </w:rPr>
      </w:pPr>
    </w:p>
    <w:p>
      <w:pPr>
        <w:jc w:val="both"/>
        <w:ind w:right="540"/>
        <w:spacing w:after="0" w:line="306" w:lineRule="auto"/>
        <w:rPr>
          <w:sz w:val="20"/>
          <w:szCs w:val="20"/>
          <w:color w:val="auto"/>
        </w:rPr>
      </w:pPr>
      <w:r>
        <w:rPr>
          <w:rFonts w:ascii="Times New Roman" w:cs="Times New Roman" w:eastAsia="Times New Roman" w:hAnsi="Times New Roman"/>
          <w:sz w:val="20"/>
          <w:szCs w:val="20"/>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raise capital may be limited by applicable laws and regulations.</w:t>
      </w:r>
    </w:p>
    <w:p>
      <w:pPr>
        <w:spacing w:after="0" w:line="28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$41.8 million and $29.5 million for the years ended December 31, 2024 and 2023, respectively. As of December 31, 2024, we had an accumulated deficit of $207.1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20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The terms of the Loan Agreement with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88" w:lineRule="exact"/>
        <w:rPr>
          <w:sz w:val="20"/>
          <w:szCs w:val="20"/>
          <w:color w:val="auto"/>
        </w:rPr>
      </w:pPr>
    </w:p>
    <w:p>
      <w:pPr>
        <w:ind w:right="60"/>
        <w:spacing w:after="0" w:line="320" w:lineRule="auto"/>
        <w:rPr>
          <w:sz w:val="20"/>
          <w:szCs w:val="20"/>
          <w:color w:val="auto"/>
        </w:rPr>
      </w:pPr>
      <w:r>
        <w:rPr>
          <w:rFonts w:ascii="Times New Roman" w:cs="Times New Roman" w:eastAsia="Times New Roman" w:hAnsi="Times New Roman"/>
          <w:sz w:val="19"/>
          <w:szCs w:val="19"/>
          <w:color w:val="auto"/>
        </w:rPr>
        <w:t>In January 2021, we entered into a Loan Agreement with Oxford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December 31, 2024, the balance of the loan payable (net of debt issuance costs) was $6.4 million and a total of $10.0 million in</w:t>
      </w:r>
    </w:p>
    <w:p>
      <w:pPr>
        <w:sectPr>
          <w:pgSz w:w="12240" w:h="15840" w:orient="portrait"/>
          <w:cols w:equalWidth="0" w:num="1">
            <w:col w:w="10240"/>
          </w:cols>
          <w:pgMar w:left="1000" w:top="930" w:right="1000" w:bottom="175"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40"/>
          </w:cols>
          <w:pgMar w:left="1000" w:top="930" w:right="1000" w:bottom="175" w:gutter="0" w:footer="0" w:header="0"/>
          <w:type w:val="continuous"/>
        </w:sectPr>
      </w:pPr>
    </w:p>
    <w:bookmarkStart w:id="38" w:name="page39"/>
    <w:bookmarkEnd w:id="38"/>
    <w:p>
      <w:pPr>
        <w:spacing w:after="0" w:line="295" w:lineRule="auto"/>
        <w:rPr>
          <w:sz w:val="20"/>
          <w:szCs w:val="20"/>
          <w:color w:val="auto"/>
        </w:rPr>
      </w:pPr>
      <w:r>
        <w:rPr>
          <w:rFonts w:ascii="Times New Roman" w:cs="Times New Roman" w:eastAsia="Times New Roman" w:hAnsi="Times New Roman"/>
          <w:sz w:val="20"/>
          <w:szCs w:val="20"/>
          <w:color w:val="auto"/>
        </w:rPr>
        <w:t>borrowing capacity remained available at the option of Oxford.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20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color w:val="auto"/>
        </w:rPr>
        <w:t>If we default under the Loan Agreement, Oxford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209" w:lineRule="exact"/>
        <w:rPr>
          <w:sz w:val="20"/>
          <w:szCs w:val="20"/>
          <w:color w:val="auto"/>
        </w:rPr>
      </w:pPr>
    </w:p>
    <w:p>
      <w:pPr>
        <w:ind w:right="16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Strategy</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and regulatory capabilities, and as a result, we may encounter difficulties in managing our growth, which could disrupt our operations.</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40"/>
          </w:cols>
          <w:pgMar w:left="1000" w:top="930" w:right="1000" w:bottom="175"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attract and retain highly skilled employees to succeed.</w:t>
      </w:r>
    </w:p>
    <w:p>
      <w:pPr>
        <w:spacing w:after="0" w:line="28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20"/>
          <w:szCs w:val="20"/>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26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9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Future acquisitions or strategic alliances could disrupt our business and harm our financial condition and results of operations.</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214" w:lineRule="exact"/>
        <w:rPr>
          <w:sz w:val="20"/>
          <w:szCs w:val="20"/>
          <w:color w:val="auto"/>
        </w:rPr>
      </w:pPr>
    </w:p>
    <w:p>
      <w:pPr>
        <w:ind w:left="980" w:right="760" w:hanging="497"/>
        <w:spacing w:after="0" w:line="324"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 time and focus from operating our business to addressing acquisition integration challenges;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coordination of research and development efforts;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of key employees from the acquired company;</w:t>
      </w:r>
    </w:p>
    <w:p>
      <w:pPr>
        <w:spacing w:after="0" w:line="299" w:lineRule="exact"/>
        <w:rPr>
          <w:rFonts w:ascii="Arial" w:cs="Arial" w:eastAsia="Arial" w:hAnsi="Arial"/>
          <w:sz w:val="20"/>
          <w:szCs w:val="20"/>
          <w:color w:val="auto"/>
        </w:rPr>
      </w:pPr>
    </w:p>
    <w:p>
      <w:pPr>
        <w:ind w:left="980" w:right="140" w:hanging="497"/>
        <w:spacing w:after="0" w:line="324"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relationships with strategic partners as a result of product acquisitions or strategic positioning resulting from the acquisition;</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cultural challenges associated with integrating employees from the acquired company into our organization;</w:t>
      </w:r>
    </w:p>
    <w:p>
      <w:pPr>
        <w:spacing w:after="0" w:line="299" w:lineRule="exact"/>
        <w:rPr>
          <w:rFonts w:ascii="Arial" w:cs="Arial" w:eastAsia="Arial" w:hAnsi="Arial"/>
          <w:sz w:val="20"/>
          <w:szCs w:val="20"/>
          <w:color w:val="auto"/>
        </w:rPr>
      </w:pPr>
    </w:p>
    <w:p>
      <w:pPr>
        <w:ind w:left="980" w:right="200" w:hanging="497"/>
        <w:spacing w:after="0" w:line="324"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need to implement or improve controls, procedures and policies at a business that prior to the acquisition may have lacked sufficiently effective controls, procedures and policies;</w:t>
      </w:r>
    </w:p>
    <w:p>
      <w:pPr>
        <w:spacing w:after="0" w:line="184" w:lineRule="exact"/>
        <w:rPr>
          <w:rFonts w:ascii="Arial" w:cs="Arial" w:eastAsia="Arial" w:hAnsi="Arial"/>
          <w:sz w:val="20"/>
          <w:szCs w:val="20"/>
          <w:color w:val="auto"/>
        </w:rPr>
      </w:pPr>
    </w:p>
    <w:p>
      <w:pPr>
        <w:ind w:left="980" w:right="160" w:hanging="497"/>
        <w:spacing w:after="0" w:line="324"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liability for activities of the acquired company before the acquisition, including intellectual property infringement claims, violation of laws, commercial disputes, tax liabilities and other known liabilities;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write-offs or charges; and</w:t>
      </w:r>
    </w:p>
    <w:p>
      <w:pPr>
        <w:sectPr>
          <w:pgSz w:w="12240" w:h="15840" w:orient="portrait"/>
          <w:cols w:equalWidth="0" w:num="1">
            <w:col w:w="10240"/>
          </w:cols>
          <w:pgMar w:left="1000" w:top="930" w:right="1000" w:bottom="175"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40"/>
          </w:cols>
          <w:pgMar w:left="1000" w:top="930" w:right="1000" w:bottom="175" w:gutter="0" w:footer="0" w:header="0"/>
          <w:type w:val="continuous"/>
        </w:sectPr>
      </w:pPr>
    </w:p>
    <w:bookmarkStart w:id="40" w:name="page41"/>
    <w:bookmarkEnd w:id="40"/>
    <w:p>
      <w:pPr>
        <w:ind w:left="980" w:right="220" w:hanging="497"/>
        <w:spacing w:after="0" w:line="324"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tax credit carryforwards may be subject to limitations.</w:t>
      </w:r>
    </w:p>
    <w:p>
      <w:pPr>
        <w:spacing w:after="0" w:line="28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 Development and Regulatory Approval</w:t>
      </w:r>
    </w:p>
    <w:p>
      <w:pPr>
        <w:spacing w:after="0" w:line="24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obtain regulatory approval for and commercialize TPST-1495, amezalpat, or any of our future product candidates, or if we experience significant delays in doing so, our business will be materially harmed.</w:t>
      </w:r>
    </w:p>
    <w:p>
      <w:pPr>
        <w:spacing w:after="0" w:line="1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We plan to invest a substantial amount of our efforts and financial resources in our current lead product candidates, TPST-1495, a dual EP2/EP4 prostaglandin (“PGE2”) receptor antagonist, and amezalpat, a peroxisome proliferator-activated receptor alpha </w:t>
      </w:r>
      <w:r>
        <w:rPr>
          <w:rFonts w:ascii="PMingLiU" w:cs="PMingLiU" w:eastAsia="PMingLiU" w:hAnsi="PMingLiU"/>
          <w:sz w:val="20"/>
          <w:szCs w:val="20"/>
          <w:color w:val="auto"/>
        </w:rPr>
        <w:t>³33$5 ´</w:t>
      </w:r>
      <w:r>
        <w:rPr>
          <w:rFonts w:ascii="Times New Roman" w:cs="Times New Roman" w:eastAsia="Times New Roman" w:hAnsi="Times New Roman"/>
          <w:sz w:val="20"/>
          <w:szCs w:val="20"/>
          <w:color w:val="auto"/>
        </w:rPr>
        <w:t xml:space="preserve"> antagonist for the treatment of various cancers. We have initiated Phase 1 clinical trials of TPST-1495 and amezalpat for the treatment of advanced solid tumors. We received positive feedback from the FDA on our potential pivotal Phase 3 trial design for amezalpat for HCC during the third quarter of 2024.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spacing w:after="0" w:line="20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amezalpat and any future product candidates must be authorized for marketing by the FDA, the Health Products and Food Branch of Health Canada (“HPFB”), the European Medicines Agency (“EMA”), and certain other</w:t>
      </w:r>
    </w:p>
    <w:p>
      <w:pPr>
        <w:sectPr>
          <w:pgSz w:w="12240" w:h="15840" w:orient="portrait"/>
          <w:cols w:equalWidth="0" w:num="1">
            <w:col w:w="10240"/>
          </w:cols>
          <w:pgMar w:left="1000" w:top="944" w:right="1000" w:bottom="175"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40"/>
          </w:cols>
          <w:pgMar w:left="1000" w:top="944" w:right="1000" w:bottom="175" w:gutter="0" w:footer="0" w:header="0"/>
          <w:type w:val="continuous"/>
        </w:sectPr>
      </w:pPr>
    </w:p>
    <w:bookmarkStart w:id="41" w:name="page42"/>
    <w:bookmarkEnd w:id="41"/>
    <w:p>
      <w:pPr>
        <w:spacing w:after="0" w:line="325" w:lineRule="auto"/>
        <w:rPr>
          <w:sz w:val="20"/>
          <w:szCs w:val="20"/>
          <w:color w:val="auto"/>
        </w:rPr>
      </w:pPr>
      <w:r>
        <w:rPr>
          <w:rFonts w:ascii="Times New Roman" w:cs="Times New Roman" w:eastAsia="Times New Roman" w:hAnsi="Times New Roman"/>
          <w:sz w:val="20"/>
          <w:szCs w:val="20"/>
          <w:color w:val="auto"/>
        </w:rPr>
        <w:t>foreign regulatory agencies before we may commercialize any of our product candidates in the United States, Canada, European Union, or other jurisdictions.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success of TPST-1495 and amezalpat and any future product candidates depends on multiple factors, including:</w:t>
      </w:r>
    </w:p>
    <w:p>
      <w:pPr>
        <w:spacing w:after="0" w:line="300" w:lineRule="exact"/>
        <w:rPr>
          <w:sz w:val="20"/>
          <w:szCs w:val="20"/>
          <w:color w:val="auto"/>
        </w:rPr>
      </w:pPr>
    </w:p>
    <w:p>
      <w:pPr>
        <w:ind w:left="980" w:right="60" w:hanging="497"/>
        <w:spacing w:after="0" w:line="30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201" w:lineRule="exact"/>
        <w:rPr>
          <w:rFonts w:ascii="Arial" w:cs="Arial" w:eastAsia="Arial" w:hAnsi="Arial"/>
          <w:sz w:val="20"/>
          <w:szCs w:val="20"/>
          <w:color w:val="auto"/>
        </w:rPr>
      </w:pPr>
    </w:p>
    <w:p>
      <w:pPr>
        <w:ind w:left="980" w:right="120" w:hanging="497"/>
        <w:spacing w:after="0" w:line="324"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effective Investigational New Drug applications or other regulatory applications, that allow commencement of our planned clinical trials or future clinical trials for our product candidates in relevant territories;</w:t>
      </w:r>
    </w:p>
    <w:p>
      <w:pPr>
        <w:spacing w:after="0" w:line="184" w:lineRule="exact"/>
        <w:rPr>
          <w:rFonts w:ascii="Arial" w:cs="Arial" w:eastAsia="Arial" w:hAnsi="Arial"/>
          <w:sz w:val="20"/>
          <w:szCs w:val="20"/>
          <w:color w:val="auto"/>
        </w:rPr>
      </w:pPr>
    </w:p>
    <w:p>
      <w:pPr>
        <w:ind w:left="980" w:right="140" w:hanging="497"/>
        <w:spacing w:after="0" w:line="324"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relationships with contract research organizations (“CROs”) and clinical sites for the clinical development of our product candidates, both in the United States and internationally;</w:t>
      </w:r>
    </w:p>
    <w:p>
      <w:pPr>
        <w:spacing w:after="0" w:line="184" w:lineRule="exact"/>
        <w:rPr>
          <w:rFonts w:ascii="Arial" w:cs="Arial" w:eastAsia="Arial" w:hAnsi="Arial"/>
          <w:sz w:val="20"/>
          <w:szCs w:val="20"/>
          <w:color w:val="auto"/>
        </w:rPr>
      </w:pPr>
    </w:p>
    <w:p>
      <w:pPr>
        <w:ind w:left="980" w:right="260" w:hanging="497"/>
        <w:spacing w:after="0" w:line="30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201"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positive results from our clinical programs that are supportive of safety and efficacy and provide an acceptable risk-benefit profile for our product candidates in the intended patient populations;</w:t>
      </w:r>
    </w:p>
    <w:p>
      <w:pPr>
        <w:spacing w:after="0" w:line="184" w:lineRule="exact"/>
        <w:rPr>
          <w:rFonts w:ascii="Arial" w:cs="Arial" w:eastAsia="Arial" w:hAnsi="Arial"/>
          <w:sz w:val="20"/>
          <w:szCs w:val="20"/>
          <w:color w:val="auto"/>
        </w:rPr>
      </w:pPr>
    </w:p>
    <w:p>
      <w:pPr>
        <w:ind w:left="980" w:right="340" w:hanging="497"/>
        <w:spacing w:after="0" w:line="324"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regulatory approvals from applicable regulatory authorities, including those necessary for pricing and reimbursement of our product candidates;</w:t>
      </w:r>
    </w:p>
    <w:p>
      <w:pPr>
        <w:spacing w:after="0" w:line="184" w:lineRule="exact"/>
        <w:rPr>
          <w:rFonts w:ascii="Arial" w:cs="Arial" w:eastAsia="Arial" w:hAnsi="Arial"/>
          <w:sz w:val="20"/>
          <w:szCs w:val="20"/>
          <w:color w:val="auto"/>
        </w:rPr>
      </w:pPr>
    </w:p>
    <w:p>
      <w:pPr>
        <w:ind w:left="980" w:right="440" w:hanging="497"/>
        <w:spacing w:after="0" w:line="324"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and maintenance of patent and trade secret protection and regulatory exclusivity for our product candidates;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launch of our product candidates, if and when approved, whether alone or in collaboration with others;</w:t>
      </w:r>
    </w:p>
    <w:p>
      <w:pPr>
        <w:spacing w:after="0" w:line="299" w:lineRule="exact"/>
        <w:rPr>
          <w:rFonts w:ascii="Arial" w:cs="Arial" w:eastAsia="Arial" w:hAnsi="Arial"/>
          <w:sz w:val="20"/>
          <w:szCs w:val="20"/>
          <w:color w:val="auto"/>
        </w:rPr>
      </w:pPr>
    </w:p>
    <w:p>
      <w:pPr>
        <w:ind w:left="980" w:right="500" w:hanging="497"/>
        <w:spacing w:after="0" w:line="324"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our product candidates, if and when approved, by patients, patient advocacy groups, third-party payors and the general medical community;</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compete with developers of other therapies available in the market;</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and maintenance of adequate reimbursement from third-party payors for our product candidates;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acquire or in-license additional product candidates;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prosecution, maintenance, enforcement and defense of intellectual property rights and claims;</w:t>
      </w:r>
    </w:p>
    <w:p>
      <w:pPr>
        <w:spacing w:after="0" w:line="299" w:lineRule="exact"/>
        <w:rPr>
          <w:rFonts w:ascii="Arial" w:cs="Arial" w:eastAsia="Arial" w:hAnsi="Arial"/>
          <w:sz w:val="20"/>
          <w:szCs w:val="20"/>
          <w:color w:val="auto"/>
        </w:rPr>
      </w:pPr>
    </w:p>
    <w:p>
      <w:pPr>
        <w:ind w:left="980" w:right="440" w:hanging="497"/>
        <w:spacing w:after="0" w:line="30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201" w:lineRule="exact"/>
        <w:rPr>
          <w:rFonts w:ascii="Arial" w:cs="Arial" w:eastAsia="Arial" w:hAnsi="Arial"/>
          <w:sz w:val="20"/>
          <w:szCs w:val="20"/>
          <w:color w:val="auto"/>
        </w:rPr>
      </w:pPr>
    </w:p>
    <w:p>
      <w:pPr>
        <w:ind w:left="980" w:hanging="497"/>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factors surrounding the approval process, such as government shutdowns; or</w:t>
      </w:r>
    </w:p>
    <w:p>
      <w:pPr>
        <w:spacing w:after="0" w:line="299" w:lineRule="exact"/>
        <w:rPr>
          <w:rFonts w:ascii="Arial" w:cs="Arial" w:eastAsia="Arial" w:hAnsi="Arial"/>
          <w:sz w:val="20"/>
          <w:szCs w:val="20"/>
          <w:color w:val="auto"/>
        </w:rPr>
      </w:pPr>
    </w:p>
    <w:p>
      <w:pPr>
        <w:ind w:left="980" w:right="160" w:hanging="497"/>
        <w:spacing w:after="0" w:line="30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such as the Russia-Ukraine war and the war in Israel, natural disasters including earthquakes, typhoons, floods and fires, and public health crises.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40"/>
          </w:cols>
          <w:pgMar w:left="1000" w:top="930" w:right="1000" w:bottom="175" w:gutter="0" w:footer="0" w:header="0"/>
          <w:type w:val="continuous"/>
        </w:sectPr>
      </w:pPr>
    </w:p>
    <w:bookmarkStart w:id="42" w:name="page43"/>
    <w:bookmarkEnd w:id="42"/>
    <w:p>
      <w:pPr>
        <w:jc w:val="both"/>
        <w:spacing w:after="0" w:line="306" w:lineRule="auto"/>
        <w:rPr>
          <w:sz w:val="20"/>
          <w:szCs w:val="20"/>
          <w:color w:val="auto"/>
        </w:rPr>
      </w:pPr>
      <w:r>
        <w:rPr>
          <w:rFonts w:ascii="Times New Roman" w:cs="Times New Roman" w:eastAsia="Times New Roman" w:hAnsi="Times New Roman"/>
          <w:sz w:val="20"/>
          <w:szCs w:val="20"/>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20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we encounter difficulties enrolling patients in our clinical trials, our clinical development activities could be delayed or otherwise adversely affected.</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203" w:lineRule="exact"/>
        <w:rPr>
          <w:sz w:val="20"/>
          <w:szCs w:val="20"/>
          <w:color w:val="auto"/>
        </w:rPr>
      </w:pPr>
    </w:p>
    <w:p>
      <w:pPr>
        <w:ind w:left="980" w:hanging="497"/>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patient eligibility criteria defined in the protocol;</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patient population required for analysis of the trial’s primary endpoints;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proximity of patients to study sites;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of the trial;</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ectPr>
          <w:pgSz w:w="12240" w:h="15840" w:orient="portrait"/>
          <w:cols w:equalWidth="0" w:num="1">
            <w:col w:w="10240"/>
          </w:cols>
          <w:pgMar w:left="1000" w:top="930" w:right="1000" w:bottom="175"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40"/>
          </w:cols>
          <w:pgMar w:left="1000" w:top="930" w:right="1000" w:bottom="175" w:gutter="0" w:footer="0" w:header="0"/>
          <w:type w:val="continuous"/>
        </w:sectPr>
      </w:pPr>
    </w:p>
    <w:bookmarkStart w:id="43" w:name="page44"/>
    <w:bookmarkEnd w:id="43"/>
    <w:p>
      <w:pPr>
        <w:ind w:left="980" w:hanging="497"/>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patient consents; and</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our clinical trials will drop out of the trials before the infusion of our product candidates or trial completion.</w:t>
      </w:r>
    </w:p>
    <w:p>
      <w:pPr>
        <w:spacing w:after="0" w:line="1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20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9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w:t>
      </w:r>
    </w:p>
    <w:p>
      <w:pPr>
        <w:sectPr>
          <w:pgSz w:w="12240" w:h="15840" w:orient="portrait"/>
          <w:cols w:equalWidth="0" w:num="1">
            <w:col w:w="10240"/>
          </w:cols>
          <w:pgMar w:left="1000" w:top="944" w:right="1000" w:bottom="175"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40"/>
          </w:cols>
          <w:pgMar w:left="1000" w:top="944" w:right="1000" w:bottom="175" w:gutter="0" w:footer="0" w:header="0"/>
          <w:type w:val="continuous"/>
        </w:sectPr>
      </w:pPr>
    </w:p>
    <w:bookmarkStart w:id="44" w:name="page45"/>
    <w:bookmarkEnd w:id="44"/>
    <w:p>
      <w:pPr>
        <w:jc w:val="both"/>
        <w:spacing w:after="0" w:line="270" w:lineRule="auto"/>
        <w:rPr>
          <w:sz w:val="20"/>
          <w:szCs w:val="20"/>
          <w:color w:val="auto"/>
        </w:rPr>
      </w:pPr>
      <w:r>
        <w:rPr>
          <w:rFonts w:ascii="Times New Roman" w:cs="Times New Roman" w:eastAsia="Times New Roman" w:hAnsi="Times New Roman"/>
          <w:sz w:val="20"/>
          <w:szCs w:val="20"/>
          <w:color w:val="auto"/>
        </w:rPr>
        <w:t>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8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20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Approval of TPST-1495 and amezalpat and any future product candidates may be delayed or refused for many reasons, including:</w:t>
      </w:r>
    </w:p>
    <w:p>
      <w:pPr>
        <w:spacing w:after="0" w:line="184" w:lineRule="exact"/>
        <w:rPr>
          <w:sz w:val="20"/>
          <w:szCs w:val="20"/>
          <w:color w:val="auto"/>
        </w:rPr>
      </w:pPr>
    </w:p>
    <w:p>
      <w:pPr>
        <w:ind w:left="980" w:hanging="497"/>
        <w:spacing w:after="0" w:line="324"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our product candidates are safe and effective for any of their proposed indications;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populations studied in clinical trials may not be sufficiently broad or representative to assure efficacy and safety in the populations for which we seek approval;</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our product candidates’ clinical and other benefits outweigh their safety risks;</w:t>
      </w:r>
    </w:p>
    <w:p>
      <w:pPr>
        <w:spacing w:after="0" w:line="184" w:lineRule="exact"/>
        <w:rPr>
          <w:rFonts w:ascii="Arial" w:cs="Arial" w:eastAsia="Arial" w:hAnsi="Arial"/>
          <w:sz w:val="20"/>
          <w:szCs w:val="20"/>
          <w:color w:val="auto"/>
        </w:rPr>
      </w:pPr>
    </w:p>
    <w:p>
      <w:pPr>
        <w:jc w:val="both"/>
        <w:ind w:left="980" w:hanging="497"/>
        <w:spacing w:after="0" w:line="30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201"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facilities of third-party manufacturers with which we contract or procure certain service or raw materials, may not be adequate to support approval of our product candidates; and</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40"/>
          </w:cols>
          <w:pgMar w:left="1000" w:top="930" w:right="1000" w:bottom="175" w:gutter="0" w:footer="0" w:header="0"/>
          <w:type w:val="continuous"/>
        </w:sectPr>
      </w:pPr>
    </w:p>
    <w:bookmarkStart w:id="45" w:name="page46"/>
    <w:bookmarkEnd w:id="45"/>
    <w:p>
      <w:pPr>
        <w:ind w:left="980" w:hanging="497"/>
        <w:spacing w:after="0" w:line="324"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2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20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33$5Į antagonist or similar mechanism of action could also generate data that could adversely affect the clinical, regulatory or commercial perception of TPST-1495 and amezalpat and any future product candidates.</w:t>
      </w:r>
    </w:p>
    <w:p>
      <w:pPr>
        <w:spacing w:after="0" w:line="2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9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Furthermore, if we or others later identify undesirable side effects caused by our product candidates, several potentially significant negative consequences could result, including:</w:t>
      </w:r>
    </w:p>
    <w:p>
      <w:pPr>
        <w:spacing w:after="0" w:line="184" w:lineRule="exact"/>
        <w:rPr>
          <w:sz w:val="20"/>
          <w:szCs w:val="20"/>
          <w:color w:val="auto"/>
        </w:rPr>
      </w:pPr>
    </w:p>
    <w:p>
      <w:pPr>
        <w:ind w:left="980" w:hanging="497"/>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suspend or withdraw approvals of such product candidate;</w:t>
      </w:r>
    </w:p>
    <w:p>
      <w:pPr>
        <w:sectPr>
          <w:pgSz w:w="12240" w:h="15840" w:orient="portrait"/>
          <w:cols w:equalWidth="0" w:num="1">
            <w:col w:w="10240"/>
          </w:cols>
          <w:pgMar w:left="1000" w:top="944" w:right="1000" w:bottom="175"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40"/>
          </w:cols>
          <w:pgMar w:left="1000" w:top="944" w:right="1000" w:bottom="175" w:gutter="0" w:footer="0" w:header="0"/>
          <w:type w:val="continuous"/>
        </w:sectPr>
      </w:pPr>
    </w:p>
    <w:bookmarkStart w:id="46" w:name="page47"/>
    <w:bookmarkEnd w:id="46"/>
    <w:p>
      <w:pPr>
        <w:ind w:left="980" w:hanging="497"/>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additional warnings in the product labeling;</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a product candidate is administered or conduct additional clinical trials;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these occurrences may harm our business, financial condition, results of operations and prospects significantly.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expand our pipeline of product candidates and develop marketable products.</w:t>
      </w:r>
    </w:p>
    <w:p>
      <w:pPr>
        <w:spacing w:after="0" w:line="28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2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ectPr>
          <w:pgSz w:w="12240" w:h="15840" w:orient="portrait"/>
          <w:cols w:equalWidth="0" w:num="1">
            <w:col w:w="10240"/>
          </w:cols>
          <w:pgMar w:left="1000" w:top="944"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40"/>
          </w:cols>
          <w:pgMar w:left="1000" w:top="944" w:right="1000" w:bottom="175" w:gutter="0" w:footer="0" w:header="0"/>
          <w:type w:val="continuous"/>
        </w:sectPr>
      </w:pPr>
    </w:p>
    <w:bookmarkStart w:id="47" w:name="page48"/>
    <w:bookmarkEnd w:id="47"/>
    <w:p>
      <w:pPr>
        <w:jc w:val="both"/>
        <w:spacing w:after="0" w:line="293" w:lineRule="auto"/>
        <w:rPr>
          <w:sz w:val="20"/>
          <w:szCs w:val="20"/>
          <w:color w:val="auto"/>
        </w:rPr>
      </w:pPr>
      <w:r>
        <w:rPr>
          <w:rFonts w:ascii="Times New Roman" w:cs="Times New Roman" w:eastAsia="Times New Roman" w:hAnsi="Times New Roman"/>
          <w:sz w:val="20"/>
          <w:szCs w:val="20"/>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20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203" w:lineRule="exact"/>
        <w:rPr>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such product candidates, manufacturers or manufacturing processes;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labeling or marketing of a product;</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product distribution or use;</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warning or untitled letters;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any approved product from the market;</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recall of product candidates;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permit the import or export of our product candidates;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40"/>
          </w:cols>
          <w:pgMar w:left="1000" w:top="930" w:right="1000" w:bottom="175" w:gutter="0" w:footer="0" w:header="0"/>
          <w:type w:val="continuous"/>
        </w:sectPr>
      </w:pPr>
    </w:p>
    <w:bookmarkStart w:id="48" w:name="page49"/>
    <w:bookmarkEnd w:id="48"/>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Our failure to obtain regulatory approval in international jurisdictions would prevent us from marketing our product candidates outside the United States.</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 and Manufacturing</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33$5Į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Even if a potential product displays a favorable efficacy and safety profile in preclinical studies and clinical trials, market acceptance of the product will not be fully known until after it is launched.</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ectPr>
          <w:pgSz w:w="12240" w:h="15840" w:orient="portrait"/>
          <w:cols w:equalWidth="0" w:num="1">
            <w:col w:w="10240"/>
          </w:cols>
          <w:pgMar w:left="1000" w:top="930" w:right="1000" w:bottom="175"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40"/>
          </w:cols>
          <w:pgMar w:left="1000" w:top="930" w:right="1000" w:bottom="175" w:gutter="0" w:footer="0" w:header="0"/>
          <w:type w:val="continuous"/>
        </w:sectPr>
      </w:pPr>
    </w:p>
    <w:bookmarkStart w:id="49" w:name="page50"/>
    <w:bookmarkEnd w:id="49"/>
    <w:p>
      <w:pPr>
        <w:jc w:val="both"/>
        <w:spacing w:after="0" w:line="292"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20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20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20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8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w:t>
      </w:r>
    </w:p>
    <w:p>
      <w:pPr>
        <w:sectPr>
          <w:pgSz w:w="12240" w:h="15840" w:orient="portrait"/>
          <w:cols w:equalWidth="0" w:num="1">
            <w:col w:w="10240"/>
          </w:cols>
          <w:pgMar w:left="1000" w:top="930" w:right="1000" w:bottom="175"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40"/>
          </w:cols>
          <w:pgMar w:left="1000" w:top="930" w:right="1000" w:bottom="175" w:gutter="0" w:footer="0" w:header="0"/>
          <w:type w:val="continuous"/>
        </w:sectPr>
      </w:pPr>
    </w:p>
    <w:bookmarkStart w:id="50" w:name="page51"/>
    <w:bookmarkEnd w:id="50"/>
    <w:p>
      <w:pPr>
        <w:jc w:val="both"/>
        <w:spacing w:after="0" w:line="293" w:lineRule="auto"/>
        <w:rPr>
          <w:sz w:val="20"/>
          <w:szCs w:val="20"/>
          <w:color w:val="auto"/>
        </w:rPr>
      </w:pPr>
      <w:r>
        <w:rPr>
          <w:rFonts w:ascii="Times New Roman" w:cs="Times New Roman" w:eastAsia="Times New Roman" w:hAnsi="Times New Roman"/>
          <w:sz w:val="20"/>
          <w:szCs w:val="20"/>
          <w:color w:val="auto"/>
        </w:rPr>
        <w:t>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21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spacing w:after="0" w:line="1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w:t>
      </w:r>
    </w:p>
    <w:p>
      <w:pPr>
        <w:sectPr>
          <w:pgSz w:w="12240" w:h="15840" w:orient="portrait"/>
          <w:cols w:equalWidth="0" w:num="1">
            <w:col w:w="10240"/>
          </w:cols>
          <w:pgMar w:left="1000" w:top="930" w:right="1000" w:bottom="175"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40"/>
          </w:cols>
          <w:pgMar w:left="1000" w:top="930" w:right="1000" w:bottom="175" w:gutter="0" w:footer="0" w:header="0"/>
          <w:type w:val="continuous"/>
        </w:sectPr>
      </w:pPr>
    </w:p>
    <w:bookmarkStart w:id="51" w:name="page52"/>
    <w:bookmarkEnd w:id="51"/>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20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We may rely on third parties to manufacture our clinical product supplies, and we may have to rely on third parties to produce and process our product candidates, if approved.</w:t>
      </w:r>
    </w:p>
    <w:p>
      <w:pPr>
        <w:spacing w:after="0" w:line="16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9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89" w:lineRule="exact"/>
        <w:rPr>
          <w:sz w:val="20"/>
          <w:szCs w:val="20"/>
          <w:color w:val="auto"/>
        </w:rPr>
      </w:pPr>
    </w:p>
    <w:p>
      <w:pPr>
        <w:jc w:val="both"/>
        <w:ind w:left="980" w:right="20" w:hanging="497"/>
        <w:spacing w:after="0" w:line="300"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87" w:lineRule="exact"/>
        <w:rPr>
          <w:rFonts w:ascii="Arial" w:cs="Arial" w:eastAsia="Arial" w:hAnsi="Arial"/>
          <w:sz w:val="20"/>
          <w:szCs w:val="20"/>
          <w:color w:val="auto"/>
        </w:rPr>
      </w:pPr>
    </w:p>
    <w:p>
      <w:pPr>
        <w:ind w:left="980" w:right="380" w:hanging="497"/>
        <w:spacing w:after="0" w:line="324"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might be unable to timely formulate and manufacture our product or produce the quantity and quality required to meet our clinical and commercial needs, if any.</w:t>
      </w:r>
    </w:p>
    <w:p>
      <w:pPr>
        <w:spacing w:after="0" w:line="64" w:lineRule="exact"/>
        <w:rPr>
          <w:rFonts w:ascii="Arial" w:cs="Arial" w:eastAsia="Arial" w:hAnsi="Arial"/>
          <w:sz w:val="20"/>
          <w:szCs w:val="20"/>
          <w:color w:val="auto"/>
        </w:rPr>
      </w:pPr>
    </w:p>
    <w:p>
      <w:pPr>
        <w:ind w:left="980" w:hanging="497"/>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Contract manufacturers may not be able to execute our manufacturing procedures appropriately.</w:t>
      </w:r>
    </w:p>
    <w:p>
      <w:pPr>
        <w:spacing w:after="0" w:line="179" w:lineRule="exact"/>
        <w:rPr>
          <w:rFonts w:ascii="Arial" w:cs="Arial" w:eastAsia="Arial" w:hAnsi="Arial"/>
          <w:sz w:val="20"/>
          <w:szCs w:val="20"/>
          <w:color w:val="auto"/>
        </w:rPr>
      </w:pPr>
    </w:p>
    <w:p>
      <w:pPr>
        <w:ind w:left="980" w:right="440" w:hanging="497"/>
        <w:spacing w:after="0" w:line="30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81" w:lineRule="exact"/>
        <w:rPr>
          <w:rFonts w:ascii="Arial" w:cs="Arial" w:eastAsia="Arial" w:hAnsi="Arial"/>
          <w:sz w:val="20"/>
          <w:szCs w:val="20"/>
          <w:color w:val="auto"/>
        </w:rPr>
      </w:pPr>
    </w:p>
    <w:p>
      <w:pPr>
        <w:ind w:left="980" w:right="400" w:hanging="497"/>
        <w:spacing w:after="0" w:line="300"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87" w:lineRule="exact"/>
        <w:rPr>
          <w:rFonts w:ascii="Arial" w:cs="Arial" w:eastAsia="Arial" w:hAnsi="Arial"/>
          <w:sz w:val="20"/>
          <w:szCs w:val="20"/>
          <w:color w:val="auto"/>
        </w:rPr>
      </w:pPr>
    </w:p>
    <w:p>
      <w:pPr>
        <w:ind w:left="980" w:right="340" w:hanging="497"/>
        <w:spacing w:after="0" w:line="324"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products.</w:t>
      </w:r>
    </w:p>
    <w:p>
      <w:pPr>
        <w:spacing w:after="0" w:line="64" w:lineRule="exact"/>
        <w:rPr>
          <w:rFonts w:ascii="Arial" w:cs="Arial" w:eastAsia="Arial" w:hAnsi="Arial"/>
          <w:sz w:val="20"/>
          <w:szCs w:val="20"/>
          <w:color w:val="auto"/>
        </w:rPr>
      </w:pPr>
    </w:p>
    <w:p>
      <w:pPr>
        <w:ind w:left="980" w:hanging="497"/>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28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9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930" w:right="980" w:bottom="175" w:gutter="0" w:footer="0" w:header="0"/>
          <w:type w:val="continuous"/>
        </w:sectPr>
      </w:pPr>
    </w:p>
    <w:bookmarkStart w:id="52" w:name="page53"/>
    <w:bookmarkEnd w:id="52"/>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for clinical trials, our ability to obtain marketing approval, or our ability to provide supply of our product candidates for patients, if approved, could be delayed or stopped.</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2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6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We currently do not have an organization for the sales, marketing and distribution of TPST-1495, amezalpat or any future product candidates, and the cost of establishing and maintaining such an organization may exceed the cost-effectiveness of</w:t>
      </w:r>
    </w:p>
    <w:p>
      <w:pPr>
        <w:sectPr>
          <w:pgSz w:w="12240" w:h="15840" w:orient="portrait"/>
          <w:cols w:equalWidth="0" w:num="1">
            <w:col w:w="10240"/>
          </w:cols>
          <w:pgMar w:left="1000" w:top="930" w:right="1000" w:bottom="175"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40"/>
          </w:cols>
          <w:pgMar w:left="1000" w:top="930" w:right="1000" w:bottom="175" w:gutter="0" w:footer="0" w:header="0"/>
          <w:type w:val="continuous"/>
        </w:sectPr>
      </w:pPr>
    </w:p>
    <w:bookmarkStart w:id="53" w:name="page54"/>
    <w:bookmarkEnd w:id="53"/>
    <w:p>
      <w:pPr>
        <w:jc w:val="both"/>
        <w:spacing w:after="0" w:line="294" w:lineRule="auto"/>
        <w:rPr>
          <w:sz w:val="20"/>
          <w:szCs w:val="20"/>
          <w:color w:val="auto"/>
        </w:rPr>
      </w:pPr>
      <w:r>
        <w:rPr>
          <w:rFonts w:ascii="Times New Roman" w:cs="Times New Roman" w:eastAsia="Times New Roman" w:hAnsi="Times New Roman"/>
          <w:sz w:val="20"/>
          <w:szCs w:val="20"/>
          <w:color w:val="auto"/>
        </w:rPr>
        <w:t>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spacing w:after="0" w:line="2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9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success of any potential collaboration arrangements will depend heavily on the efforts and activities of our collaborators. Collaborators generally have significant discretion in determining the efforts and resources that they will apply to these</w:t>
      </w:r>
    </w:p>
    <w:p>
      <w:pPr>
        <w:sectPr>
          <w:pgSz w:w="12240" w:h="15840" w:orient="portrait"/>
          <w:cols w:equalWidth="0" w:num="1">
            <w:col w:w="10240"/>
          </w:cols>
          <w:pgMar w:left="1000" w:top="930" w:right="1000" w:bottom="175"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40"/>
          </w:cols>
          <w:pgMar w:left="1000" w:top="930" w:right="1000" w:bottom="175" w:gutter="0" w:footer="0" w:header="0"/>
          <w:type w:val="continuous"/>
        </w:sectPr>
      </w:pPr>
    </w:p>
    <w:bookmarkStart w:id="54" w:name="page55"/>
    <w:bookmarkEnd w:id="54"/>
    <w:p>
      <w:pPr>
        <w:jc w:val="both"/>
        <w:spacing w:after="0" w:line="293" w:lineRule="auto"/>
        <w:rPr>
          <w:sz w:val="20"/>
          <w:szCs w:val="20"/>
          <w:color w:val="auto"/>
        </w:rPr>
      </w:pPr>
      <w:r>
        <w:rPr>
          <w:rFonts w:ascii="Times New Roman" w:cs="Times New Roman" w:eastAsia="Times New Roman" w:hAnsi="Times New Roman"/>
          <w:sz w:val="20"/>
          <w:szCs w:val="20"/>
          <w:color w:val="auto"/>
        </w:rPr>
        <w:t>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also experience delays in obtaining regulatory approvals, including but not limited to:</w:t>
      </w:r>
    </w:p>
    <w:p>
      <w:pPr>
        <w:spacing w:after="0" w:line="300" w:lineRule="exact"/>
        <w:rPr>
          <w:sz w:val="20"/>
          <w:szCs w:val="20"/>
          <w:color w:val="auto"/>
        </w:rPr>
      </w:pPr>
    </w:p>
    <w:p>
      <w:pPr>
        <w:ind w:left="980" w:hanging="497"/>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regulatory authorization to begin a trial, if applicable;</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redesigning our study protocols and need to conduct additional studies as may be required by a regulator;</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governmental or regulatory delays and changes in regulation or policy relating to the development and commercialization of our product candidate by the FDA or other comparable foreign regulatory authorities;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timing and cost of meeting regulatory requirements established by the FDA, and other comparable foreign regulatory authorities;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financial resources to commence and complete the planned trials;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negotiating the terms of any collaboration agreements we may choose to initiate or conclude;</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 the terms of which can be subject to extensive negotiation and may vary significantly among different CROs and trial sites;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third-party contractors, such as CROs, or investigators to comply with regulatory requirements, including GCPs;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deviating from trial protocol or dropping out of a trial;</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40"/>
          </w:cols>
          <w:pgMar w:left="1000" w:top="930" w:right="1000" w:bottom="175" w:gutter="0" w:footer="0" w:header="0"/>
          <w:type w:val="continuous"/>
        </w:sectPr>
      </w:pPr>
    </w:p>
    <w:bookmarkStart w:id="55" w:name="page56"/>
    <w:bookmarkEnd w:id="55"/>
    <w:p>
      <w:pPr>
        <w:jc w:val="both"/>
        <w:ind w:left="980" w:hanging="497"/>
        <w:spacing w:after="0" w:line="30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201"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recruit and enroll suitable patients to participate in a trial;</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having patients complete a trial or return for post-treatment follow-up;</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sites deviating from trial protocol or dropping out of a trial;</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any patient safety concerns that arise during the course of a trial;</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add new clinical trial sites; or</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varying interpretations of the data generated from our preclinical or clinical trials;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defending intellectual property disputes, including patent infringement actions brought by third parties;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establishing, expanding and scaling manufacturing capabilities;</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manufacture, or obtain from third parties, sufficient quantities of qualified materials under cGMP, for the completion in pre-clinical and clinical studies;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problems with biopharmaceutical product candidate storage, stability and distribution resulting in global supply chain disruptions;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establishing sales, marketing and distribution capabilities for any product candidate for which we may receive regulatory approval in regions where we choose to commercialize our products on our own; or</w:t>
      </w:r>
    </w:p>
    <w:p>
      <w:pPr>
        <w:spacing w:after="0" w:line="184" w:lineRule="exact"/>
        <w:rPr>
          <w:rFonts w:ascii="Arial" w:cs="Arial" w:eastAsia="Arial" w:hAnsi="Arial"/>
          <w:sz w:val="20"/>
          <w:szCs w:val="20"/>
          <w:color w:val="auto"/>
        </w:rPr>
      </w:pPr>
    </w:p>
    <w:p>
      <w:pPr>
        <w:jc w:val="both"/>
        <w:ind w:left="980" w:hanging="497"/>
        <w:spacing w:after="0" w:line="297"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spacing w:after="0" w:line="19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w:t>
      </w:r>
    </w:p>
    <w:p>
      <w:pPr>
        <w:sectPr>
          <w:pgSz w:w="12240" w:h="15840" w:orient="portrait"/>
          <w:cols w:equalWidth="0" w:num="1">
            <w:col w:w="10240"/>
          </w:cols>
          <w:pgMar w:left="1000" w:top="944" w:right="1000" w:bottom="17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40"/>
          </w:cols>
          <w:pgMar w:left="1000" w:top="944" w:right="1000" w:bottom="175" w:gutter="0" w:footer="0" w:header="0"/>
          <w:type w:val="continuous"/>
        </w:sectPr>
      </w:pPr>
    </w:p>
    <w:bookmarkStart w:id="56" w:name="page57"/>
    <w:bookmarkEnd w:id="56"/>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in completing our clinical trials will increase our costs, slow down our product development and approval process and jeopardize our ability to commence product sales and generate revenue.</w:t>
      </w:r>
    </w:p>
    <w:p>
      <w:pPr>
        <w:spacing w:after="0" w:line="169"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Many of the factors that cause, or lead to, a delay in the commencement or completion of clinical trials may ultimately lead to the denial of regulatory approval of our product candidates.</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9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We may seek Breakthrough Therapy or Fast Track designation for some of our product candidates. In February 2025, we announced that the FDA had granted Fast Track Designation to amezalpat for the treatment of HCC.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20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20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ectPr>
          <w:pgSz w:w="12240" w:h="15840" w:orient="portrait"/>
          <w:cols w:equalWidth="0" w:num="1">
            <w:col w:w="10260"/>
          </w:cols>
          <w:pgMar w:left="1000" w:top="930" w:right="980" w:bottom="175" w:gutter="0" w:footer="0" w:header="0"/>
        </w:sectPr>
      </w:pP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930" w:right="980" w:bottom="175" w:gutter="0" w:footer="0" w:header="0"/>
          <w:type w:val="continuous"/>
        </w:sectPr>
      </w:pPr>
    </w:p>
    <w:bookmarkStart w:id="57" w:name="page58"/>
    <w:bookmarkEnd w:id="57"/>
    <w:p>
      <w:pPr>
        <w:jc w:val="both"/>
        <w:spacing w:after="0" w:line="293" w:lineRule="auto"/>
        <w:rPr>
          <w:sz w:val="20"/>
          <w:szCs w:val="20"/>
          <w:color w:val="auto"/>
        </w:rPr>
      </w:pPr>
      <w:r>
        <w:rPr>
          <w:rFonts w:ascii="Times New Roman" w:cs="Times New Roman" w:eastAsia="Times New Roman" w:hAnsi="Times New Roman"/>
          <w:sz w:val="20"/>
          <w:szCs w:val="20"/>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January 2025, we received Orphan Drug Designation for amezalpat for the treatment of patients with HCC. We may continue to seek orphan drug designation for one or more of our current or future product candidates, including TPST-1495. 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2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40"/>
          </w:cols>
          <w:pgMar w:left="1000" w:top="930" w:right="1000" w:bottom="175" w:gutter="0" w:footer="0" w:header="0"/>
          <w:type w:val="continuous"/>
        </w:sectPr>
      </w:pPr>
    </w:p>
    <w:bookmarkStart w:id="58" w:name="page59"/>
    <w:bookmarkEnd w:id="58"/>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94"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6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pacing w:after="0" w:line="19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For example, on August 16, 2022, the Inflation Reduction Act of 2022 (“IRA”) was signed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second Trump administration will impact the ACA and our business. We are continuing to monitor any changes to the ACA that, in turn, may potentially impact our business in the future.</w:t>
      </w:r>
    </w:p>
    <w:p>
      <w:pPr>
        <w:spacing w:after="0" w:line="20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auto"/>
        </w:rPr>
        <w:t>Recently, the cost of prescription pharmaceuticals has been the subject of considerable discussion in the United States at both the federal and state levels. The heightened governmental scrutiny in the United States of pharmaceutical pricing practices in light of the rising cost of prescription drugs and biologics, also has resulted in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(1) directs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20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The current Trump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Further, amounts allocated to federal grants and contracts may be reduced or eliminated. These reductions may also impact the ability of relevant agencies to timely review and approve</w:t>
      </w:r>
    </w:p>
    <w:p>
      <w:pPr>
        <w:sectPr>
          <w:pgSz w:w="12240" w:h="15840" w:orient="portrait"/>
          <w:cols w:equalWidth="0" w:num="1">
            <w:col w:w="10260"/>
          </w:cols>
          <w:pgMar w:left="1000" w:top="930" w:right="980" w:bottom="175"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930" w:right="980" w:bottom="175" w:gutter="0" w:footer="0" w:header="0"/>
          <w:type w:val="continuous"/>
        </w:sectPr>
      </w:pPr>
    </w:p>
    <w:bookmarkStart w:id="59" w:name="page60"/>
    <w:bookmarkEnd w:id="59"/>
    <w:p>
      <w:pPr>
        <w:jc w:val="both"/>
        <w:spacing w:after="0" w:line="293" w:lineRule="auto"/>
        <w:rPr>
          <w:sz w:val="20"/>
          <w:szCs w:val="20"/>
          <w:color w:val="auto"/>
        </w:rPr>
      </w:pPr>
      <w:r>
        <w:rPr>
          <w:rFonts w:ascii="Times New Roman" w:cs="Times New Roman" w:eastAsia="Times New Roman" w:hAnsi="Times New Roman"/>
          <w:sz w:val="20"/>
          <w:szCs w:val="20"/>
          <w:color w:val="auto"/>
        </w:rPr>
        <w:t>research and development, manufacturing, and marketing activities, which may delay Tempest’s ability to develop, market and sell any products Tempest may develop.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expect that the ACA and the IRA,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9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40"/>
          </w:cols>
          <w:pgMar w:left="1000" w:top="930" w:right="1000" w:bottom="175" w:gutter="0" w:footer="0" w:header="0"/>
          <w:type w:val="continuous"/>
        </w:sectPr>
      </w:pPr>
    </w:p>
    <w:bookmarkStart w:id="60" w:name="page61"/>
    <w:bookmarkEnd w:id="60"/>
    <w:p>
      <w:pPr>
        <w:jc w:val="both"/>
        <w:spacing w:after="0" w:line="295" w:lineRule="auto"/>
        <w:rPr>
          <w:sz w:val="20"/>
          <w:szCs w:val="20"/>
          <w:color w:val="auto"/>
        </w:rPr>
      </w:pPr>
      <w:r>
        <w:rPr>
          <w:rFonts w:ascii="Times New Roman" w:cs="Times New Roman" w:eastAsia="Times New Roman" w:hAnsi="Times New Roman"/>
          <w:sz w:val="20"/>
          <w:szCs w:val="20"/>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HIPAA, which imposes specific requirements relating to the privacy, security, and transmission of protected health information.</w:t>
      </w:r>
    </w:p>
    <w:p>
      <w:pPr>
        <w:spacing w:after="0" w:line="20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20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spacing w:after="0" w:line="1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w:t>
      </w:r>
    </w:p>
    <w:p>
      <w:pPr>
        <w:sectPr>
          <w:pgSz w:w="12240" w:h="15840" w:orient="portrait"/>
          <w:cols w:equalWidth="0" w:num="1">
            <w:col w:w="10240"/>
          </w:cols>
          <w:pgMar w:left="1000" w:top="930" w:right="1000" w:bottom="175"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40"/>
          </w:cols>
          <w:pgMar w:left="1000" w:top="930" w:right="1000" w:bottom="175" w:gutter="0" w:footer="0" w:header="0"/>
          <w:type w:val="continuous"/>
        </w:sectPr>
      </w:pPr>
    </w:p>
    <w:bookmarkStart w:id="61" w:name="page62"/>
    <w:bookmarkEnd w:id="61"/>
    <w:p>
      <w:pPr>
        <w:jc w:val="both"/>
        <w:spacing w:after="0" w:line="325" w:lineRule="auto"/>
        <w:rPr>
          <w:sz w:val="20"/>
          <w:szCs w:val="20"/>
          <w:color w:val="auto"/>
        </w:rPr>
      </w:pPr>
      <w:r>
        <w:rPr>
          <w:rFonts w:ascii="Times New Roman" w:cs="Times New Roman" w:eastAsia="Times New Roman" w:hAnsi="Times New Roman"/>
          <w:sz w:val="20"/>
          <w:szCs w:val="20"/>
          <w:color w:val="auto"/>
        </w:rPr>
        <w:t>mechanisms are subject to legal challenges, and there is no assurance that we can satisfy or rely on these measures to lawfully transfer personal data to the United States.</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Regulators in the United States such as the Department of Justice are also increasingly scrutinizing certain personal data transfers and have proposed, and may enact, certain data export restrictions and localization requirements. For example, the “Preventing Access to U.S. Sensitive Personal Data and Government-Related Data by Countries of Concern or Covered Persons” rule (the “Rule”) finalized by the Department of Justice in late 2024 and enacting the Biden Administration’s executive order “Preventing Access to Americans’ Bulk Sensitive Personal Data and United States Government-Related Data by Countries of Concern,” will take effect on April 8, 2025. The Rule prohibits or restricts various categories of transactions involving bulk sensitive personal data between U.S. persons and countries of concern or covered persons. Companies subject to the Rule face the risk of non-compliance with restrictions on transferring bulk sensitive personal data to countries of concern, such as China, Russia, or Iran, or covered persons, which could lead to significant penalties, including civil and criminal charges, as well as reputational damage and operational disruptions.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2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 personal data; imprisonment of company officials; or other consequences that could adversely affect our business, financial condition and results of operations.</w:t>
      </w:r>
    </w:p>
    <w:p>
      <w:pPr>
        <w:spacing w:after="0" w:line="2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8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with whom we work, process proprietary, confidential, and sensitive data, including personal data (such as health-related data), intellectual property, trade secrets (collectively, sensitive information). Cyberattacks, malicious internet-based activity, online and offline fraud, and other similar activities threaten the</w:t>
      </w:r>
    </w:p>
    <w:p>
      <w:pPr>
        <w:sectPr>
          <w:pgSz w:w="12240" w:h="15840" w:orient="portrait"/>
          <w:cols w:equalWidth="0" w:num="1">
            <w:col w:w="10240"/>
          </w:cols>
          <w:pgMar w:left="1000" w:top="930" w:right="1000" w:bottom="175" w:gutter="0" w:footer="0" w:header="0"/>
        </w:sectPr>
      </w:pP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930" w:right="1000" w:bottom="175" w:gutter="0" w:footer="0" w:header="0"/>
          <w:type w:val="continuous"/>
        </w:sectPr>
      </w:pPr>
    </w:p>
    <w:bookmarkStart w:id="62" w:name="page63"/>
    <w:bookmarkEnd w:id="62"/>
    <w:p>
      <w:pPr>
        <w:jc w:val="both"/>
        <w:spacing w:after="0" w:line="292" w:lineRule="auto"/>
        <w:rPr>
          <w:sz w:val="20"/>
          <w:szCs w:val="20"/>
          <w:color w:val="auto"/>
        </w:rPr>
      </w:pPr>
      <w:r>
        <w:rPr>
          <w:rFonts w:ascii="Times New Roman" w:cs="Times New Roman" w:eastAsia="Times New Roman" w:hAnsi="Times New Roman"/>
          <w:sz w:val="20"/>
          <w:szCs w:val="20"/>
          <w:color w:val="auto"/>
        </w:rPr>
        <w:t>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 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2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20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w:t>
      </w:r>
    </w:p>
    <w:p>
      <w:pPr>
        <w:sectPr>
          <w:pgSz w:w="12240" w:h="15840" w:orient="portrait"/>
          <w:cols w:equalWidth="0" w:num="1">
            <w:col w:w="10240"/>
          </w:cols>
          <w:pgMar w:left="1000" w:top="930" w:right="1000" w:bottom="175"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40"/>
          </w:cols>
          <w:pgMar w:left="1000" w:top="930" w:right="1000" w:bottom="175" w:gutter="0" w:footer="0" w:header="0"/>
          <w:type w:val="continuous"/>
        </w:sectPr>
      </w:pPr>
    </w:p>
    <w:bookmarkStart w:id="63" w:name="page64"/>
    <w:bookmarkEnd w:id="63"/>
    <w:p>
      <w:pPr>
        <w:jc w:val="both"/>
        <w:spacing w:after="0" w:line="300" w:lineRule="auto"/>
        <w:rPr>
          <w:sz w:val="20"/>
          <w:szCs w:val="20"/>
          <w:color w:val="auto"/>
        </w:rPr>
      </w:pPr>
      <w:r>
        <w:rPr>
          <w:rFonts w:ascii="Times New Roman" w:cs="Times New Roman" w:eastAsia="Times New Roman" w:hAnsi="Times New Roman"/>
          <w:sz w:val="20"/>
          <w:szCs w:val="20"/>
          <w:color w:val="auto"/>
        </w:rPr>
        <w:t>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ectPr>
          <w:pgSz w:w="12240" w:h="15840" w:orient="portrait"/>
          <w:cols w:equalWidth="0" w:num="1">
            <w:col w:w="10240"/>
          </w:cols>
          <w:pgMar w:left="1000" w:top="930" w:right="1000" w:bottom="175"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40"/>
          </w:cols>
          <w:pgMar w:left="1000" w:top="930" w:right="1000" w:bottom="175" w:gutter="0" w:footer="0" w:header="0"/>
          <w:type w:val="continuous"/>
        </w:sectPr>
      </w:pPr>
    </w:p>
    <w:bookmarkStart w:id="64" w:name="page65"/>
    <w:bookmarkEnd w:id="64"/>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6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8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Restrictions under applicable U.S. federal and state healthcare laws and regulations include the following:</w:t>
      </w:r>
    </w:p>
    <w:p>
      <w:pPr>
        <w:spacing w:after="0" w:line="300" w:lineRule="exact"/>
        <w:rPr>
          <w:sz w:val="20"/>
          <w:szCs w:val="20"/>
          <w:color w:val="auto"/>
        </w:rPr>
      </w:pPr>
    </w:p>
    <w:p>
      <w:pPr>
        <w:jc w:val="both"/>
        <w:ind w:left="980" w:right="20" w:hanging="497"/>
        <w:spacing w:after="0" w:line="293"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215" w:lineRule="exact"/>
        <w:rPr>
          <w:rFonts w:ascii="Arial" w:cs="Arial" w:eastAsia="Arial" w:hAnsi="Arial"/>
          <w:sz w:val="20"/>
          <w:szCs w:val="20"/>
          <w:color w:val="auto"/>
        </w:rPr>
      </w:pPr>
    </w:p>
    <w:p>
      <w:pPr>
        <w:jc w:val="both"/>
        <w:ind w:left="980" w:right="20" w:hanging="497"/>
        <w:spacing w:after="0" w:line="295"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213" w:lineRule="exact"/>
        <w:rPr>
          <w:rFonts w:ascii="Arial" w:cs="Arial" w:eastAsia="Arial" w:hAnsi="Arial"/>
          <w:sz w:val="20"/>
          <w:szCs w:val="20"/>
          <w:color w:val="auto"/>
        </w:rPr>
      </w:pPr>
    </w:p>
    <w:p>
      <w:pPr>
        <w:jc w:val="both"/>
        <w:ind w:left="980" w:right="20" w:hanging="497"/>
        <w:spacing w:after="0" w:line="324"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Criminal Statute on False Statements Relating to Health Care Matters makes it a crime to knowingly and willfully falsify, conceal, or cover up a material fact, make any materially false, fictitious, or fraudulent</w:t>
      </w:r>
    </w:p>
    <w:p>
      <w:pPr>
        <w:sectPr>
          <w:pgSz w:w="12240" w:h="15840" w:orient="portrait"/>
          <w:cols w:equalWidth="0" w:num="1">
            <w:col w:w="10260"/>
          </w:cols>
          <w:pgMar w:left="1000" w:top="930" w:right="980" w:bottom="175" w:gutter="0" w:footer="0" w:header="0"/>
        </w:sectPr>
      </w:pP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930" w:right="980" w:bottom="175" w:gutter="0" w:footer="0" w:header="0"/>
          <w:type w:val="continuous"/>
        </w:sectPr>
      </w:pPr>
    </w:p>
    <w:bookmarkStart w:id="65" w:name="page66"/>
    <w:bookmarkEnd w:id="65"/>
    <w:p>
      <w:pPr>
        <w:jc w:val="both"/>
        <w:ind w:left="980"/>
        <w:spacing w:after="0" w:line="306" w:lineRule="auto"/>
        <w:rPr>
          <w:sz w:val="20"/>
          <w:szCs w:val="20"/>
          <w:color w:val="auto"/>
        </w:rPr>
      </w:pPr>
      <w:r>
        <w:rPr>
          <w:rFonts w:ascii="Times New Roman" w:cs="Times New Roman" w:eastAsia="Times New Roman" w:hAnsi="Times New Roman"/>
          <w:sz w:val="20"/>
          <w:szCs w:val="20"/>
          <w:color w:val="auto"/>
        </w:rPr>
        <w:t>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203" w:lineRule="exact"/>
        <w:rPr>
          <w:sz w:val="20"/>
          <w:szCs w:val="20"/>
          <w:color w:val="auto"/>
        </w:rPr>
      </w:pPr>
    </w:p>
    <w:p>
      <w:pPr>
        <w:jc w:val="both"/>
        <w:ind w:left="980" w:right="20" w:hanging="497"/>
        <w:spacing w:after="0" w:line="295"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213" w:lineRule="exact"/>
        <w:rPr>
          <w:rFonts w:ascii="Arial" w:cs="Arial" w:eastAsia="Arial" w:hAnsi="Arial"/>
          <w:sz w:val="20"/>
          <w:szCs w:val="20"/>
          <w:color w:val="auto"/>
        </w:rPr>
      </w:pPr>
    </w:p>
    <w:p>
      <w:pPr>
        <w:jc w:val="both"/>
        <w:ind w:left="980" w:right="20" w:hanging="497"/>
        <w:spacing w:after="0" w:line="300"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7" w:lineRule="exact"/>
        <w:rPr>
          <w:rFonts w:ascii="Arial" w:cs="Arial" w:eastAsia="Arial" w:hAnsi="Arial"/>
          <w:sz w:val="20"/>
          <w:szCs w:val="20"/>
          <w:color w:val="auto"/>
        </w:rPr>
      </w:pPr>
    </w:p>
    <w:p>
      <w:pPr>
        <w:jc w:val="both"/>
        <w:ind w:left="980" w:right="20" w:hanging="497"/>
        <w:spacing w:after="0" w:line="295"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213" w:lineRule="exact"/>
        <w:rPr>
          <w:rFonts w:ascii="Arial" w:cs="Arial" w:eastAsia="Arial" w:hAnsi="Arial"/>
          <w:sz w:val="20"/>
          <w:szCs w:val="20"/>
          <w:color w:val="auto"/>
        </w:rPr>
      </w:pPr>
    </w:p>
    <w:p>
      <w:pPr>
        <w:ind w:left="980" w:right="260" w:hanging="497"/>
        <w:spacing w:after="0" w:line="30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201" w:lineRule="exact"/>
        <w:rPr>
          <w:rFonts w:ascii="Arial" w:cs="Arial" w:eastAsia="Arial" w:hAnsi="Arial"/>
          <w:sz w:val="20"/>
          <w:szCs w:val="20"/>
          <w:color w:val="auto"/>
        </w:rPr>
      </w:pPr>
    </w:p>
    <w:p>
      <w:pPr>
        <w:jc w:val="both"/>
        <w:ind w:left="980" w:right="20" w:hanging="497"/>
        <w:spacing w:after="0" w:line="300"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207" w:lineRule="exact"/>
        <w:rPr>
          <w:rFonts w:ascii="Arial" w:cs="Arial" w:eastAsia="Arial" w:hAnsi="Arial"/>
          <w:sz w:val="20"/>
          <w:szCs w:val="20"/>
          <w:color w:val="auto"/>
        </w:rPr>
      </w:pPr>
    </w:p>
    <w:p>
      <w:pPr>
        <w:jc w:val="both"/>
        <w:ind w:left="980" w:hanging="497"/>
        <w:spacing w:after="0" w:line="291"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208"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harm our business.</w:t>
      </w:r>
    </w:p>
    <w:p>
      <w:pPr>
        <w:spacing w:after="0" w:line="169"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w:t>
      </w:r>
    </w:p>
    <w:p>
      <w:pPr>
        <w:sectPr>
          <w:pgSz w:w="12240" w:h="15840" w:orient="portrait"/>
          <w:cols w:equalWidth="0" w:num="1">
            <w:col w:w="10260"/>
          </w:cols>
          <w:pgMar w:left="1000" w:top="930" w:right="980" w:bottom="175" w:gutter="0" w:footer="0" w:header="0"/>
        </w:sect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930" w:right="980" w:bottom="175" w:gutter="0" w:footer="0" w:header="0"/>
          <w:type w:val="continuous"/>
        </w:sectPr>
      </w:pPr>
    </w:p>
    <w:bookmarkStart w:id="66" w:name="page67"/>
    <w:bookmarkEnd w:id="66"/>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7"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8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could materially adversely affect us.</w:t>
      </w:r>
    </w:p>
    <w:p>
      <w:pPr>
        <w:spacing w:after="0" w:line="28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9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patenting process is expensive and time-consuming, and we may not be able to file and prosecute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w:t>
      </w:r>
    </w:p>
    <w:p>
      <w:pPr>
        <w:sectPr>
          <w:pgSz w:w="12240" w:h="15840" w:orient="portrait"/>
          <w:cols w:equalWidth="0" w:num="1">
            <w:col w:w="10260"/>
          </w:cols>
          <w:pgMar w:left="1000" w:top="930" w:right="980" w:bottom="175" w:gutter="0" w:footer="0" w:header="0"/>
        </w:sectPr>
      </w:pP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930" w:right="980" w:bottom="175" w:gutter="0" w:footer="0" w:header="0"/>
          <w:type w:val="continuous"/>
        </w:sectPr>
      </w:pPr>
    </w:p>
    <w:bookmarkStart w:id="67" w:name="page68"/>
    <w:bookmarkEnd w:id="67"/>
    <w:p>
      <w:pPr>
        <w:jc w:val="both"/>
        <w:spacing w:after="0" w:line="291" w:lineRule="auto"/>
        <w:rPr>
          <w:sz w:val="20"/>
          <w:szCs w:val="20"/>
          <w:color w:val="auto"/>
        </w:rPr>
      </w:pPr>
      <w:r>
        <w:rPr>
          <w:rFonts w:ascii="Times New Roman" w:cs="Times New Roman" w:eastAsia="Times New Roman" w:hAnsi="Times New Roman"/>
          <w:sz w:val="20"/>
          <w:szCs w:val="20"/>
          <w:color w:val="auto"/>
        </w:rPr>
        <w:t>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20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20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20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209" w:lineRule="exact"/>
        <w:rPr>
          <w:sz w:val="20"/>
          <w:szCs w:val="20"/>
          <w:color w:val="auto"/>
        </w:rPr>
      </w:pPr>
    </w:p>
    <w:p>
      <w:pPr>
        <w:ind w:left="980" w:hanging="497"/>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licensing agreement;</w:t>
      </w:r>
    </w:p>
    <w:p>
      <w:pPr>
        <w:sectPr>
          <w:pgSz w:w="12240" w:h="15840" w:orient="portrait"/>
          <w:cols w:equalWidth="0" w:num="1">
            <w:col w:w="10240"/>
          </w:cols>
          <w:pgMar w:left="1000" w:top="930" w:right="1000" w:bottom="175"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40"/>
          </w:cols>
          <w:pgMar w:left="1000" w:top="930" w:right="1000" w:bottom="175" w:gutter="0" w:footer="0" w:header="0"/>
          <w:type w:val="continuous"/>
        </w:sectPr>
      </w:pPr>
    </w:p>
    <w:bookmarkStart w:id="68" w:name="page69"/>
    <w:bookmarkEnd w:id="68"/>
    <w:p>
      <w:pPr>
        <w:ind w:left="980" w:hanging="497"/>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diligence obligations with respect to the use of the licensed technology in relation to our development and commercialization of our product candidates and what activities satisfy those diligence obligations;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royalty, milestone or other payment obligations that may result from the advancement or commercial sale of any of our product candidates; and</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licensors and us.</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8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Our owned and in-licensed patents and patent applications may not provide sufficient protection of our product candidates or result in any competitive advantage.</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9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2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w:t>
      </w:r>
    </w:p>
    <w:p>
      <w:pPr>
        <w:sectPr>
          <w:pgSz w:w="12240" w:h="15840" w:orient="portrait"/>
          <w:cols w:equalWidth="0" w:num="1">
            <w:col w:w="10240"/>
          </w:cols>
          <w:pgMar w:left="1000" w:top="944" w:right="1000" w:bottom="175" w:gutter="0" w:footer="0" w:header="0"/>
        </w:sectPr>
      </w:pP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40"/>
          </w:cols>
          <w:pgMar w:left="1000" w:top="944" w:right="1000" w:bottom="175" w:gutter="0" w:footer="0" w:header="0"/>
          <w:type w:val="continuous"/>
        </w:sectPr>
      </w:pPr>
    </w:p>
    <w:bookmarkStart w:id="69" w:name="page70"/>
    <w:bookmarkEnd w:id="69"/>
    <w:p>
      <w:pPr>
        <w:jc w:val="both"/>
        <w:spacing w:after="0" w:line="289" w:lineRule="auto"/>
        <w:rPr>
          <w:sz w:val="20"/>
          <w:szCs w:val="20"/>
          <w:color w:val="auto"/>
        </w:rPr>
      </w:pPr>
      <w:r>
        <w:rPr>
          <w:rFonts w:ascii="Times New Roman" w:cs="Times New Roman" w:eastAsia="Times New Roman" w:hAnsi="Times New Roman"/>
          <w:sz w:val="20"/>
          <w:szCs w:val="20"/>
          <w:color w:val="auto"/>
        </w:rPr>
        <w:t>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2045,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21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84" w:lineRule="exact"/>
        <w:rPr>
          <w:sz w:val="20"/>
          <w:szCs w:val="20"/>
          <w:color w:val="auto"/>
        </w:rPr>
      </w:pPr>
    </w:p>
    <w:p>
      <w:pPr>
        <w:ind w:left="980" w:hanging="497"/>
        <w:spacing w:after="0" w:line="324"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or use compounds that are similar to the active compositions of our product candidates but that are not covered by the claims of our patents;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APIs in our current product candidates will eventually become commercially available in generic drug products, and no patent protection may be available with regard to formulation or method of use;</w:t>
      </w:r>
    </w:p>
    <w:p>
      <w:pPr>
        <w:spacing w:after="0" w:line="184" w:lineRule="exact"/>
        <w:rPr>
          <w:rFonts w:ascii="Arial" w:cs="Arial" w:eastAsia="Arial" w:hAnsi="Arial"/>
          <w:sz w:val="20"/>
          <w:szCs w:val="20"/>
          <w:color w:val="auto"/>
        </w:rPr>
      </w:pPr>
    </w:p>
    <w:p>
      <w:pPr>
        <w:jc w:val="both"/>
        <w:ind w:left="980" w:hanging="497"/>
        <w:spacing w:after="0" w:line="30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201"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current or future licensors, as the case may be, might not have been the first to file patent applications for certain inventions;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pending patent applications will not result in issued patents;</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there are prior public disclosures that could invalidate our owned or in-licensed patents, as the case may be, or parts of our owned or in-licensed patents;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others may circumvent our owned or in-licensed patents;</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there are unpublished applications or patent applications maintained in secrecy that may later issue with claims covering our product candidates or technology similar to ours;</w:t>
      </w:r>
    </w:p>
    <w:p>
      <w:pPr>
        <w:sectPr>
          <w:pgSz w:w="12240" w:h="15840" w:orient="portrait"/>
          <w:cols w:equalWidth="0" w:num="1">
            <w:col w:w="10240"/>
          </w:cols>
          <w:pgMar w:left="1000" w:top="930" w:right="1000" w:bottom="175"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40"/>
          </w:cols>
          <w:pgMar w:left="1000" w:top="930" w:right="1000" w:bottom="175" w:gutter="0" w:footer="0" w:header="0"/>
          <w:type w:val="continuous"/>
        </w:sectPr>
      </w:pPr>
    </w:p>
    <w:bookmarkStart w:id="70" w:name="page71"/>
    <w:bookmarkEnd w:id="70"/>
    <w:p>
      <w:pPr>
        <w:ind w:left="980" w:hanging="497"/>
        <w:spacing w:after="0" w:line="324"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laws of foreign countries may not protect our, or our current or future licensors’, as the case may be, proprietary rights to the same extent as the laws of the United States;</w:t>
      </w:r>
    </w:p>
    <w:p>
      <w:pPr>
        <w:spacing w:after="0" w:line="184"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claims of our owned or in-licensed issued patents or patent applications, if and when issued, may not adequately cover our product candidates;</w:t>
      </w:r>
    </w:p>
    <w:p>
      <w:pPr>
        <w:spacing w:after="0" w:line="184"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our owned or in-licensed issued patents may not provide us with any competitive advantages, may be narrowed in scope, or be held invalid or unenforceable as a result of legal challenges by third parties;</w:t>
      </w:r>
    </w:p>
    <w:p>
      <w:pPr>
        <w:spacing w:after="0" w:line="184" w:lineRule="exact"/>
        <w:rPr>
          <w:rFonts w:ascii="Arial" w:cs="Arial" w:eastAsia="Arial" w:hAnsi="Arial"/>
          <w:sz w:val="20"/>
          <w:szCs w:val="20"/>
          <w:color w:val="auto"/>
        </w:rPr>
      </w:pPr>
    </w:p>
    <w:p>
      <w:pPr>
        <w:jc w:val="both"/>
        <w:ind w:left="980" w:right="20" w:hanging="497"/>
        <w:spacing w:after="0" w:line="30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201" w:lineRule="exact"/>
        <w:rPr>
          <w:rFonts w:ascii="Arial" w:cs="Arial" w:eastAsia="Arial" w:hAnsi="Arial"/>
          <w:sz w:val="20"/>
          <w:szCs w:val="20"/>
          <w:color w:val="auto"/>
        </w:rPr>
      </w:pPr>
    </w:p>
    <w:p>
      <w:pPr>
        <w:jc w:val="both"/>
        <w:ind w:left="980" w:right="20" w:hanging="497"/>
        <w:spacing w:after="0" w:line="300"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207"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have engaged in scientific collaborations in the past and will continue to do so in the future and our collaborators may develop adjacent or competing products that are outside the scope of our patents;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additional proprietary technologies for which we can obtain patent protection;</w:t>
      </w:r>
    </w:p>
    <w:p>
      <w:pPr>
        <w:spacing w:after="0" w:line="299"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product candidates or diagnostic tests we develop may be covered by third parties’ patents or other exclusive rights; or</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8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Any of the foregoing could have a material adverse effect on our business, financial conditions, results of operations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strategy of obtaining rights to key technologies through in-licenses may not be successful.</w:t>
      </w:r>
    </w:p>
    <w:p>
      <w:pPr>
        <w:spacing w:after="0" w:line="286"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8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202"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w:t>
      </w:r>
    </w:p>
    <w:p>
      <w:pPr>
        <w:sectPr>
          <w:pgSz w:w="12240" w:h="15840" w:orient="portrait"/>
          <w:cols w:equalWidth="0" w:num="1">
            <w:col w:w="10260"/>
          </w:cols>
          <w:pgMar w:left="1000" w:top="944" w:right="980" w:bottom="175"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944" w:right="980" w:bottom="175" w:gutter="0" w:footer="0" w:header="0"/>
          <w:type w:val="continuous"/>
        </w:sectPr>
      </w:pPr>
    </w:p>
    <w:bookmarkStart w:id="71" w:name="page72"/>
    <w:bookmarkEnd w:id="71"/>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286"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21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20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20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may prevent, delay or otherwise interfere with our product discovery and development efforts.</w:t>
      </w:r>
    </w:p>
    <w:p>
      <w:pPr>
        <w:sectPr>
          <w:pgSz w:w="12240" w:h="15840" w:orient="portrait"/>
          <w:cols w:equalWidth="0" w:num="1">
            <w:col w:w="10260"/>
          </w:cols>
          <w:pgMar w:left="1000" w:top="930" w:right="980" w:bottom="175" w:gutter="0" w:footer="0" w:header="0"/>
        </w:sect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930" w:right="980" w:bottom="175" w:gutter="0" w:footer="0" w:header="0"/>
          <w:type w:val="continuous"/>
        </w:sectPr>
      </w:pPr>
    </w:p>
    <w:bookmarkStart w:id="72" w:name="page73"/>
    <w:bookmarkEnd w:id="72"/>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21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their intellectual property rights, we may face a number of issues, including, but not limited to:</w:t>
      </w:r>
    </w:p>
    <w:p>
      <w:pPr>
        <w:spacing w:after="0" w:line="184" w:lineRule="exact"/>
        <w:rPr>
          <w:sz w:val="20"/>
          <w:szCs w:val="20"/>
          <w:color w:val="auto"/>
        </w:rPr>
      </w:pPr>
    </w:p>
    <w:p>
      <w:pPr>
        <w:ind w:left="980" w:right="20" w:hanging="497"/>
        <w:spacing w:after="0" w:line="324"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infringement and other intellectual property claims that, regardless of merit, may be expensive and time-consuming to litigate and may divert our management’s attention from our core business;</w:t>
      </w:r>
    </w:p>
    <w:p>
      <w:pPr>
        <w:spacing w:after="0" w:line="184" w:lineRule="exact"/>
        <w:rPr>
          <w:rFonts w:ascii="Arial" w:cs="Arial" w:eastAsia="Arial" w:hAnsi="Arial"/>
          <w:sz w:val="20"/>
          <w:szCs w:val="20"/>
          <w:color w:val="auto"/>
        </w:rPr>
      </w:pPr>
    </w:p>
    <w:p>
      <w:pPr>
        <w:jc w:val="both"/>
        <w:ind w:left="980" w:hanging="497"/>
        <w:spacing w:after="0" w:line="30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201" w:lineRule="exact"/>
        <w:rPr>
          <w:rFonts w:ascii="Arial" w:cs="Arial" w:eastAsia="Arial" w:hAnsi="Arial"/>
          <w:sz w:val="20"/>
          <w:szCs w:val="20"/>
          <w:color w:val="auto"/>
        </w:rPr>
      </w:pPr>
    </w:p>
    <w:p>
      <w:pPr>
        <w:jc w:val="both"/>
        <w:ind w:left="980" w:hanging="497"/>
        <w:spacing w:after="0" w:line="30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201"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 candidates;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requirement that we redesign our product candidates or processes so they do not infringe, which may not be possible or may require substantial monetary expenditures and time; and</w:t>
      </w:r>
    </w:p>
    <w:p>
      <w:pPr>
        <w:spacing w:after="0" w:line="184" w:lineRule="exact"/>
        <w:rPr>
          <w:rFonts w:ascii="Arial" w:cs="Arial" w:eastAsia="Arial" w:hAnsi="Arial"/>
          <w:sz w:val="20"/>
          <w:szCs w:val="20"/>
          <w:color w:val="auto"/>
        </w:rPr>
      </w:pPr>
    </w:p>
    <w:p>
      <w:pPr>
        <w:jc w:val="both"/>
        <w:ind w:left="980" w:hanging="497"/>
        <w:spacing w:after="0" w:line="30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8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9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9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There may be third-party patents of which we are currently unaware of with claims to materials, formulations, methods of manufacture or methods for treatment related to the use or manufacture of our product candidates. Because patent applications</w:t>
      </w:r>
    </w:p>
    <w:p>
      <w:pPr>
        <w:sectPr>
          <w:pgSz w:w="12240" w:h="15840" w:orient="portrait"/>
          <w:cols w:equalWidth="0" w:num="1">
            <w:col w:w="10240"/>
          </w:cols>
          <w:pgMar w:left="1000" w:top="930" w:right="1000" w:bottom="175" w:gutter="0" w:footer="0" w:header="0"/>
        </w:sectPr>
      </w:pP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40"/>
          </w:cols>
          <w:pgMar w:left="1000" w:top="930" w:right="1000" w:bottom="175" w:gutter="0" w:footer="0" w:header="0"/>
          <w:type w:val="continuous"/>
        </w:sectPr>
      </w:pPr>
    </w:p>
    <w:bookmarkStart w:id="73" w:name="page74"/>
    <w:bookmarkEnd w:id="73"/>
    <w:p>
      <w:pPr>
        <w:jc w:val="both"/>
        <w:spacing w:after="0" w:line="306" w:lineRule="auto"/>
        <w:rPr>
          <w:sz w:val="20"/>
          <w:szCs w:val="20"/>
          <w:color w:val="auto"/>
        </w:rPr>
      </w:pPr>
      <w:r>
        <w:rPr>
          <w:rFonts w:ascii="Times New Roman" w:cs="Times New Roman" w:eastAsia="Times New Roman" w:hAnsi="Times New Roman"/>
          <w:sz w:val="20"/>
          <w:szCs w:val="20"/>
          <w:color w:val="auto"/>
        </w:rPr>
        <w:t>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that event, we would be unable to further develop and commercialize our product candidates, which could significantly harm our business.</w:t>
      </w:r>
    </w:p>
    <w:p>
      <w:pPr>
        <w:spacing w:after="0" w:line="16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w:t>
      </w:r>
    </w:p>
    <w:p>
      <w:pPr>
        <w:sectPr>
          <w:pgSz w:w="12240" w:h="15840" w:orient="portrait"/>
          <w:cols w:equalWidth="0" w:num="1">
            <w:col w:w="10240"/>
          </w:cols>
          <w:pgMar w:left="1000" w:top="930" w:right="1000" w:bottom="175" w:gutter="0" w:footer="0" w:header="0"/>
        </w:sectPr>
      </w:pP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40"/>
          </w:cols>
          <w:pgMar w:left="1000" w:top="930" w:right="1000" w:bottom="175" w:gutter="0" w:footer="0" w:header="0"/>
          <w:type w:val="continuous"/>
        </w:sectPr>
      </w:pPr>
    </w:p>
    <w:bookmarkStart w:id="74" w:name="page75"/>
    <w:bookmarkEnd w:id="74"/>
    <w:p>
      <w:pPr>
        <w:jc w:val="both"/>
        <w:spacing w:after="0" w:line="295" w:lineRule="auto"/>
        <w:rPr>
          <w:sz w:val="20"/>
          <w:szCs w:val="20"/>
          <w:color w:val="auto"/>
        </w:rPr>
      </w:pPr>
      <w:r>
        <w:rPr>
          <w:rFonts w:ascii="Times New Roman" w:cs="Times New Roman" w:eastAsia="Times New Roman" w:hAnsi="Times New Roman"/>
          <w:sz w:val="20"/>
          <w:szCs w:val="20"/>
          <w:color w:val="auto"/>
        </w:rPr>
        <w:t>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20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20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8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40"/>
          </w:cols>
          <w:pgMar w:left="1000" w:top="930" w:right="1000" w:bottom="175" w:gutter="0" w:footer="0" w:header="0"/>
          <w:type w:val="continuous"/>
        </w:sectPr>
      </w:pPr>
    </w:p>
    <w:bookmarkStart w:id="75" w:name="page76"/>
    <w:bookmarkEnd w:id="75"/>
    <w:p>
      <w:pPr>
        <w:jc w:val="both"/>
        <w:spacing w:after="0" w:line="291"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0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or consultants have wrongfully used or disclosed confidential information or misappropriated trade secrets.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w:t>
      </w:r>
    </w:p>
    <w:p>
      <w:pPr>
        <w:sectPr>
          <w:pgSz w:w="12240" w:h="15840" w:orient="portrait"/>
          <w:cols w:equalWidth="0" w:num="1">
            <w:col w:w="10240"/>
          </w:cols>
          <w:pgMar w:left="1000" w:top="930" w:right="1000" w:bottom="175"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40"/>
          </w:cols>
          <w:pgMar w:left="1000" w:top="930" w:right="1000" w:bottom="175" w:gutter="0" w:footer="0" w:header="0"/>
          <w:type w:val="continuous"/>
        </w:sectPr>
      </w:pPr>
    </w:p>
    <w:bookmarkStart w:id="76" w:name="page77"/>
    <w:bookmarkEnd w:id="76"/>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9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202"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69"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8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20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ectPr>
          <w:pgSz w:w="12240" w:h="15840" w:orient="portrait"/>
          <w:cols w:equalWidth="0" w:num="1">
            <w:col w:w="10260"/>
          </w:cols>
          <w:pgMar w:left="1000" w:top="930" w:right="980" w:bottom="175" w:gutter="0" w:footer="0" w:header="0"/>
        </w:sectPr>
      </w:pP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60"/>
          </w:cols>
          <w:pgMar w:left="1000" w:top="930" w:right="980" w:bottom="175" w:gutter="0" w:footer="0" w:header="0"/>
          <w:type w:val="continuous"/>
        </w:sectPr>
      </w:pPr>
    </w:p>
    <w:bookmarkStart w:id="77" w:name="page78"/>
    <w:bookmarkEnd w:id="77"/>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204"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6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9"/>
          <w:szCs w:val="19"/>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9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for any product candidates we may develop, our business may be materially harmed.</w:t>
      </w:r>
    </w:p>
    <w:p>
      <w:pPr>
        <w:spacing w:after="0" w:line="16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w:t>
      </w:r>
    </w:p>
    <w:p>
      <w:pPr>
        <w:sectPr>
          <w:pgSz w:w="12240" w:h="15840" w:orient="portrait"/>
          <w:cols w:equalWidth="0" w:num="1">
            <w:col w:w="10260"/>
          </w:cols>
          <w:pgMar w:left="1000" w:top="930" w:right="980" w:bottom="175"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930" w:right="980" w:bottom="175" w:gutter="0" w:footer="0" w:header="0"/>
          <w:type w:val="continuous"/>
        </w:sectPr>
      </w:pPr>
    </w:p>
    <w:bookmarkStart w:id="78" w:name="page79"/>
    <w:bookmarkEnd w:id="78"/>
    <w:p>
      <w:pPr>
        <w:jc w:val="both"/>
        <w:spacing w:after="0" w:line="292" w:lineRule="auto"/>
        <w:rPr>
          <w:sz w:val="20"/>
          <w:szCs w:val="20"/>
          <w:color w:val="auto"/>
        </w:rPr>
      </w:pPr>
      <w:r>
        <w:rPr>
          <w:rFonts w:ascii="Times New Roman" w:cs="Times New Roman" w:eastAsia="Times New Roman" w:hAnsi="Times New Roman"/>
          <w:sz w:val="20"/>
          <w:szCs w:val="20"/>
          <w:color w:val="auto"/>
        </w:rPr>
        <w:t>applicable deadlines, the failure to apply prior to expiration of relevant patents, or any other failure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20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march-in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rights, certain reporting requirements and a preference for U.S.-based companies. Compliance with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regulations may limit our exclusive rights and limit our ability to contract with non-U.S. manufacturers.</w:t>
      </w:r>
    </w:p>
    <w:p>
      <w:pPr>
        <w:spacing w:after="0" w:line="18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 and Other General Matters</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the shares of our common stock has been and is likely to continue to be volatile, and purchasers of our common stock could incur substantial losses.</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market price of our common stock has been and is likely to continue to be volatile. For example, during 2024, the closing price of our common stock on The Nasdaq Capital Market ranged from $0.70 per share to $5.44 per share. Some of the factors that may cause the market price of our common stock to fluctuate include:</w:t>
      </w:r>
    </w:p>
    <w:p>
      <w:pPr>
        <w:sectPr>
          <w:pgSz w:w="12240" w:h="15840" w:orient="portrait"/>
          <w:cols w:equalWidth="0" w:num="1">
            <w:col w:w="10240"/>
          </w:cols>
          <w:pgMar w:left="1000" w:top="930" w:right="1000" w:bottom="175"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40"/>
          </w:cols>
          <w:pgMar w:left="1000" w:top="930" w:right="1000" w:bottom="175" w:gutter="0" w:footer="0" w:header="0"/>
          <w:type w:val="continuous"/>
        </w:sectPr>
      </w:pPr>
    </w:p>
    <w:bookmarkStart w:id="79" w:name="page80"/>
    <w:bookmarkEnd w:id="79"/>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and preclinical studies of our product candidates, or those of our competitors or our existing or future collaborators;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or exceed financial and development projections we may provide to the public;</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or exceed the financial and development projections of the investment community;</w:t>
      </w:r>
    </w:p>
    <w:p>
      <w:pPr>
        <w:spacing w:after="0" w:line="299"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collaborations, joint ventures or capital commitments by us or our competitors;</w:t>
      </w:r>
    </w:p>
    <w:p>
      <w:pPr>
        <w:spacing w:after="0" w:line="184"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actions taken by regulatory agencies with respect to our product candidates, clinical studies, manufacturing process or sales and marketing terms;</w:t>
      </w:r>
    </w:p>
    <w:p>
      <w:pPr>
        <w:spacing w:after="0" w:line="184"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299"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if securities or industry analysts do not publish research or reports about our business, or if they issue adverse or misleading opinions regarding our business and stock;</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sales of securities by us or our securityholders in the future;</w:t>
      </w:r>
    </w:p>
    <w:p>
      <w:pPr>
        <w:spacing w:after="0" w:line="299"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raise an adequate amount of capital to fund our operations and continued development of our product candidates;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299" w:lineRule="exact"/>
        <w:rPr>
          <w:rFonts w:ascii="Arial" w:cs="Arial" w:eastAsia="Arial" w:hAnsi="Arial"/>
          <w:sz w:val="20"/>
          <w:szCs w:val="20"/>
          <w:color w:val="auto"/>
        </w:rPr>
      </w:pPr>
    </w:p>
    <w:p>
      <w:pPr>
        <w:ind w:left="980" w:right="2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competitors of new commercial products, clinical progress or lack thereof, significant contracts, commercial relationships or capital commitments;</w:t>
      </w:r>
    </w:p>
    <w:p>
      <w:pPr>
        <w:spacing w:after="0" w:line="184"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relating to precision medicine product candidates, including with respect to other products in such markets;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introduction of technological innovations or new therapies that compete with our products and services;</w:t>
      </w:r>
    </w:p>
    <w:p>
      <w:pPr>
        <w:spacing w:after="0" w:line="299" w:lineRule="exact"/>
        <w:rPr>
          <w:rFonts w:ascii="Arial" w:cs="Arial" w:eastAsia="Arial" w:hAnsi="Arial"/>
          <w:sz w:val="20"/>
          <w:szCs w:val="20"/>
          <w:color w:val="auto"/>
        </w:rPr>
      </w:pPr>
    </w:p>
    <w:p>
      <w:pPr>
        <w:jc w:val="both"/>
        <w:ind w:left="980" w:right="20" w:hanging="497"/>
        <w:spacing w:after="0" w:line="306"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201" w:lineRule="exact"/>
        <w:rPr>
          <w:rFonts w:ascii="Arial" w:cs="Arial" w:eastAsia="Arial" w:hAnsi="Arial"/>
          <w:sz w:val="20"/>
          <w:szCs w:val="20"/>
          <w:color w:val="auto"/>
        </w:rPr>
      </w:pPr>
    </w:p>
    <w:p>
      <w:pPr>
        <w:ind w:left="980" w:hanging="497"/>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285"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ectPr>
          <w:pgSz w:w="12240" w:h="15840" w:orient="portrait"/>
          <w:cols w:equalWidth="0" w:num="1">
            <w:col w:w="10260"/>
          </w:cols>
          <w:pgMar w:left="1000" w:top="944"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944" w:right="980" w:bottom="175" w:gutter="0" w:footer="0" w:header="0"/>
          <w:type w:val="continuous"/>
        </w:sectPr>
      </w:pPr>
    </w:p>
    <w:bookmarkStart w:id="80" w:name="page81"/>
    <w:bookmarkEnd w:id="80"/>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9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Unstable market and economic conditions may have serious adverse consequences on our business, financial condition and share price.</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geopolitical tensions, like the Russia-Ukraine war and the war in Israel,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common stock is thinly traded and our stockholders may be unable to sell their shares quickly or at market price.</w:t>
      </w:r>
    </w:p>
    <w:p>
      <w:pPr>
        <w:spacing w:after="0" w:line="28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20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the reduced reporting requirements applicable to smaller reporting companies may make our common stock less attractive to investors.</w:t>
      </w:r>
    </w:p>
    <w:p>
      <w:pPr>
        <w:spacing w:after="0" w:line="16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Status as a Public Company and Other General Matters</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930" w:right="980" w:bottom="175" w:gutter="0" w:footer="0" w:header="0"/>
          <w:type w:val="continuous"/>
        </w:sectPr>
      </w:pPr>
    </w:p>
    <w:bookmarkStart w:id="81" w:name="page82"/>
    <w:bookmarkEnd w:id="81"/>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in September 2023, we received a notice from Nasdaq notifying us that for the previous 30 consecutive business days, the bid price of our common stock had closed below $1.00 per share, the minimum closing bid price required by the continued listing requirements of Nasdaq Listing Rule 5550(a)(2). We were able to achieve compliance within the 180 calendar day compliance period, but there can be no assurance that we will remain in compliance with the requirements for listing our common stock on Nasdaq. 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 Also,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24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controls, our ability to produce accurate financial statements on a timely basis could be impaired.</w:t>
      </w: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23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2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2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w:t>
      </w:r>
    </w:p>
    <w:p>
      <w:pPr>
        <w:sectPr>
          <w:pgSz w:w="12240" w:h="15840" w:orient="portrait"/>
          <w:cols w:equalWidth="0" w:num="1">
            <w:col w:w="10240"/>
          </w:cols>
          <w:pgMar w:left="1000" w:top="930" w:right="1000" w:bottom="175"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40"/>
          </w:cols>
          <w:pgMar w:left="1000" w:top="930" w:right="1000" w:bottom="175" w:gutter="0" w:footer="0" w:header="0"/>
          <w:type w:val="continuous"/>
        </w:sectPr>
      </w:pPr>
    </w:p>
    <w:bookmarkStart w:id="82" w:name="page83"/>
    <w:bookmarkEnd w:id="8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8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6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214" w:lineRule="exact"/>
        <w:rPr>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any product candidates that we may develop;</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time and costs to defend the related litigation;</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termination of our collaboration relationships or disputes with our collaborators;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voluntary product recalls, withdrawals or labeling restrictions; and</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 candidates that we may develop.</w:t>
      </w:r>
    </w:p>
    <w:p>
      <w:pPr>
        <w:sectPr>
          <w:pgSz w:w="12240" w:h="15840" w:orient="portrait"/>
          <w:cols w:equalWidth="0" w:num="1">
            <w:col w:w="10260"/>
          </w:cols>
          <w:pgMar w:left="1000" w:top="930"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930" w:right="980" w:bottom="175" w:gutter="0" w:footer="0" w:header="0"/>
          <w:type w:val="continuous"/>
        </w:sectPr>
      </w:pPr>
    </w:p>
    <w:bookmarkStart w:id="83" w:name="page84"/>
    <w:bookmarkEnd w:id="83"/>
    <w:p>
      <w:pPr>
        <w:jc w:val="both"/>
        <w:spacing w:after="0" w:line="295" w:lineRule="auto"/>
        <w:rPr>
          <w:sz w:val="20"/>
          <w:szCs w:val="20"/>
          <w:color w:val="auto"/>
        </w:rPr>
      </w:pPr>
      <w:r>
        <w:rPr>
          <w:rFonts w:ascii="Times New Roman" w:cs="Times New Roman" w:eastAsia="Times New Roman" w:hAnsi="Times New Roman"/>
          <w:sz w:val="20"/>
          <w:szCs w:val="20"/>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14" w:lineRule="exact"/>
        <w:rPr>
          <w:sz w:val="20"/>
          <w:szCs w:val="20"/>
          <w:color w:val="auto"/>
        </w:rPr>
      </w:pPr>
    </w:p>
    <w:p>
      <w:pPr>
        <w:ind w:left="980" w:hanging="497"/>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classified board of directors such that not all members of the board are elected at one time;</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limit the manner in which stockholders can remove directors from the board;</w:t>
      </w:r>
    </w:p>
    <w:p>
      <w:pPr>
        <w:spacing w:after="0" w:line="299"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for nominations to our board of directors;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prohibit actions by our stockholders by written consent;</w:t>
      </w:r>
    </w:p>
    <w:p>
      <w:pPr>
        <w:spacing w:after="0" w:line="299" w:lineRule="exact"/>
        <w:rPr>
          <w:rFonts w:ascii="Arial" w:cs="Arial" w:eastAsia="Arial" w:hAnsi="Arial"/>
          <w:sz w:val="20"/>
          <w:szCs w:val="20"/>
          <w:color w:val="auto"/>
        </w:rPr>
      </w:pPr>
    </w:p>
    <w:p>
      <w:pPr>
        <w:ind w:left="980" w:hanging="497"/>
        <w:spacing w:after="0"/>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stockholder actions be effected at a duly called stockholders meeting;</w:t>
      </w:r>
    </w:p>
    <w:p>
      <w:pPr>
        <w:spacing w:after="0" w:line="299" w:lineRule="exact"/>
        <w:rPr>
          <w:rFonts w:ascii="Arial" w:cs="Arial" w:eastAsia="Arial" w:hAnsi="Arial"/>
          <w:sz w:val="20"/>
          <w:szCs w:val="20"/>
          <w:color w:val="auto"/>
        </w:rPr>
      </w:pPr>
    </w:p>
    <w:p>
      <w:pPr>
        <w:jc w:val="both"/>
        <w:ind w:left="980" w:hanging="497"/>
        <w:spacing w:after="0" w:line="306"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01" w:lineRule="exact"/>
        <w:rPr>
          <w:rFonts w:ascii="Arial" w:cs="Arial" w:eastAsia="Arial" w:hAnsi="Arial"/>
          <w:sz w:val="20"/>
          <w:szCs w:val="20"/>
          <w:color w:val="auto"/>
        </w:rPr>
      </w:pPr>
    </w:p>
    <w:p>
      <w:pPr>
        <w:ind w:left="980" w:hanging="497"/>
        <w:spacing w:after="0" w:line="324"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As a result of the amendments, the rights will expire immediately following our 2025 Annual Meeting of Stockholders, or, if our stockholders approve the Rights Plan, on October 10, 2026, unless the rights are earlier redeemed or exchanged by us.</w:t>
      </w:r>
    </w:p>
    <w:p>
      <w:pPr>
        <w:spacing w:after="0" w:line="20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15% or more of our outstanding voting stock from merging or</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40"/>
          </w:cols>
          <w:pgMar w:left="1000" w:top="930" w:right="1000" w:bottom="175" w:gutter="0" w:footer="0" w:header="0"/>
          <w:type w:val="continuous"/>
        </w:sectPr>
      </w:pPr>
    </w:p>
    <w:bookmarkStart w:id="84" w:name="page85"/>
    <w:bookmarkEnd w:id="84"/>
    <w:p>
      <w:pPr>
        <w:jc w:val="both"/>
        <w:spacing w:after="0" w:line="325" w:lineRule="auto"/>
        <w:rPr>
          <w:sz w:val="20"/>
          <w:szCs w:val="20"/>
          <w:color w:val="auto"/>
        </w:rPr>
      </w:pPr>
      <w:r>
        <w:rPr>
          <w:rFonts w:ascii="Times New Roman" w:cs="Times New Roman" w:eastAsia="Times New Roman" w:hAnsi="Times New Roman"/>
          <w:sz w:val="20"/>
          <w:szCs w:val="20"/>
          <w:color w:val="auto"/>
        </w:rPr>
        <w:t>combining with us for a period of three years after the date of the transaction in which the person acquired 15% or more of our outstanding voting stock, unless the merger or combination is approved in a manner prescribed by the statute.</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28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6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8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Our information security function is led by our Chief Financial Officer &amp; Head of Corporate Strategy (“IT Lead”), who reports to our CEO and is supported by our third party security provider, and it helps identify, assess and manage the Company’s cybersecurity threats and risks. The information security function identifies and assesses risks from cybersecurity threats by monitoring and evaluating our threat environment using various methods including, for example analyzing report of threats and threat actors and conducting periodic vulnerability assessments for certain systems. Our assessment and management of material risks from cybersecurity threats are considered as part of our risk management processes. For example, our IT Lead and certain management, including our CEO, evaluate identified material risks from cybersecurity threats against our overall</w:t>
      </w:r>
    </w:p>
    <w:p>
      <w:pPr>
        <w:sectPr>
          <w:pgSz w:w="12240" w:h="15840" w:orient="portrait"/>
          <w:cols w:equalWidth="0" w:num="1">
            <w:col w:w="10240"/>
          </w:cols>
          <w:pgMar w:left="1000" w:top="930" w:right="1000" w:bottom="175"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40"/>
          </w:cols>
          <w:pgMar w:left="1000" w:top="930" w:right="1000" w:bottom="175" w:gutter="0" w:footer="0" w:header="0"/>
          <w:type w:val="continuous"/>
        </w:sectPr>
      </w:pPr>
    </w:p>
    <w:bookmarkStart w:id="85" w:name="page86"/>
    <w:bookmarkEnd w:id="85"/>
    <w:p>
      <w:pPr>
        <w:jc w:val="both"/>
        <w:spacing w:after="0" w:line="325" w:lineRule="auto"/>
        <w:rPr>
          <w:sz w:val="20"/>
          <w:szCs w:val="20"/>
          <w:color w:val="auto"/>
        </w:rPr>
      </w:pPr>
      <w:r>
        <w:rPr>
          <w:rFonts w:ascii="Times New Roman" w:cs="Times New Roman" w:eastAsia="Times New Roman" w:hAnsi="Times New Roman"/>
          <w:sz w:val="20"/>
          <w:szCs w:val="20"/>
          <w:color w:val="auto"/>
        </w:rPr>
        <w:t>business objectives and our IT Lead periodically reports to the audit committee of the board of directors, which evaluates our overall enterprise risk.</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for certain systems, systems monitoring for certain systems, access controls, asset management, and employee training. We use third-party service providers to assist us from time to time to identify, assess, and manage material risks from cybersecurity threats, including for example our managed security provider and professional services firms, including legal counsel.</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the Company and how they may do so, see our risk factors under Part 1. Item 1A. Risk Factors in this Annual Report on Form 10-K, including that 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8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8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the IT Lead. The IT Lead has 4 years of experience in roles that include oversight of cybersecurity risk management programs.</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Our IT Lead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spacing w:after="0" w:line="19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Our cybersecurity incident response processes are designed to escalate certain cybersecurity incidents to members of management depending on the circumstances, including the CEO, who help the Company mitigate and remediate cybersecurity incidents of which they are notified. In addition, the Company’s incident response processes include reporting to the audit committee for certain cybersecurity incidents.</w:t>
      </w:r>
    </w:p>
    <w:p>
      <w:pPr>
        <w:spacing w:after="0" w:line="19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audit committee receives periodic reports from our IT Lead concerning cybersecurity issues, including certain threats and risks and the processes the Company has implemented to address them, as applicable. The audit committee also has access to various reports, summaries or presentations related to cybersecurity threats, risk and mitigation.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In January 2022, we entered into an agreement to lease approximately 20,116 square feet of laboratory and office space at 2000 Sierra Point Parkway, Brisbane, California 94005, which we occupied and began operating as our new headquarters beginning in December 2022.</w:t>
      </w:r>
    </w:p>
    <w:p>
      <w:pPr>
        <w:spacing w:after="0" w:line="18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believe our existing facilities are sufficient for our needs for the foreseeable future. To meet the future needs of our business, we may lease additional or alternative space, and we believe suitable additional or alternative space will be available in the future on commercially reasonable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ectPr>
          <w:pgSz w:w="12240" w:h="15840" w:orient="portrait"/>
          <w:cols w:equalWidth="0" w:num="1">
            <w:col w:w="10240"/>
          </w:cols>
          <w:pgMar w:left="1000" w:top="930" w:right="1000" w:bottom="175"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40"/>
          </w:cols>
          <w:pgMar w:left="1000" w:top="930" w:right="1000" w:bottom="175" w:gutter="0" w:footer="0" w:header="0"/>
          <w:type w:val="continuous"/>
        </w:sectPr>
      </w:pPr>
    </w:p>
    <w:bookmarkStart w:id="86" w:name="page87"/>
    <w:bookmarkEnd w:id="86"/>
    <w:p>
      <w:pPr>
        <w:jc w:val="both"/>
        <w:spacing w:after="0" w:line="300"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40"/>
          </w:cols>
          <w:pgMar w:left="1000" w:top="930" w:right="1000" w:bottom="175"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line="362"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Stock Market under the ticker symbol “TPST.”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As of March 21, 2025, we had 45,483,384 shares of common stock outstanding held by 69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40"/>
          </w:cols>
          <w:pgMar w:left="1000" w:top="926" w:right="1000" w:bottom="175" w:gutter="0" w:footer="0" w:header="0"/>
          <w:type w:val="continuous"/>
        </w:sectPr>
      </w:pPr>
    </w:p>
    <w:bookmarkStart w:id="88" w:name="page89"/>
    <w:bookmarkEnd w:id="88"/>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We are a clinical-stage biotechnology company moving towards late-stage development with a diverse portfolio of targeted and immune-mediated product candidates with the potential to be first-in-class to treat a wide range of cancers. Our novel programs range from early research to the lead program, amezalpat (previously known as TPST-1120), that is poised to begin a pivotal study in first-line hepatocellular carcinoma (“HCC”). In addition to amezalpat, our second clinical-stage therapeutic product candidate is TPST-1495, which we expect to start a Phase 2 study in Familial Adenomatous Polyposis (“FAP”) in 2025. We believe both amezalpat and TPST-1495 are the first clinical-stage molecules designed to inhibit their respective targets.</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Amezalpat (TPST-1120) Clinical Update</w:t>
      </w:r>
    </w:p>
    <w:p>
      <w:pPr>
        <w:spacing w:after="0" w:line="2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Amezalpat is an oral, small molecule, selective antagonist of peroxisome proliferator-activated receptor alpha </w:t>
      </w:r>
      <w:r>
        <w:rPr>
          <w:rFonts w:ascii="PMingLiU" w:cs="PMingLiU" w:eastAsia="PMingLiU" w:hAnsi="PMingLiU"/>
          <w:sz w:val="20"/>
          <w:szCs w:val="20"/>
          <w:color w:val="auto"/>
        </w:rPr>
        <w:t>³33$5 ´</w:t>
      </w:r>
      <w:r>
        <w:rPr>
          <w:rFonts w:ascii="Times New Roman" w:cs="Times New Roman" w:eastAsia="Times New Roman" w:hAnsi="Times New Roman"/>
          <w:sz w:val="20"/>
          <w:szCs w:val="20"/>
          <w:color w:val="auto"/>
        </w:rPr>
        <w:t xml:space="preserve"> being developed for the treatment of first-line unresectable or metastatic HCC.</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On June 20,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catenin mutated disease, consistent with amezalpat’s proposed mechanism of action targeting both tumor cells directly and the patient’s immune system.</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On August 15,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These designations provide potential regulatory benefits, including increased engagement with the FDA, eligibility for accelerated approval and priority review, and, for ODD, potential market exclusivity upon approval. We continue to advance amezalpat’s clinical development in alignment with both the FDA and the European Medicines Agency (“EMA”) and are actively preparing for the initiation of our pivotal Phase 3 study.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TPST-1495</w:t>
      </w:r>
    </w:p>
    <w:p>
      <w:pPr>
        <w:sectPr>
          <w:pgSz w:w="12240" w:h="15840" w:orient="portrait"/>
          <w:cols w:equalWidth="0" w:num="1">
            <w:col w:w="10240"/>
          </w:cols>
          <w:pgMar w:left="1000" w:top="926" w:right="1000" w:bottom="175"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40"/>
          </w:cols>
          <w:pgMar w:left="1000" w:top="926" w:right="1000" w:bottom="175" w:gutter="0" w:footer="0" w:header="0"/>
          <w:type w:val="continuous"/>
        </w:sectPr>
      </w:pPr>
    </w:p>
    <w:bookmarkStart w:id="89" w:name="page90"/>
    <w:bookmarkEnd w:id="89"/>
    <w:p>
      <w:pPr>
        <w:jc w:val="both"/>
        <w:spacing w:after="0" w:line="278" w:lineRule="auto"/>
        <w:rPr>
          <w:sz w:val="20"/>
          <w:szCs w:val="20"/>
          <w:color w:val="auto"/>
        </w:rPr>
      </w:pPr>
      <w:r>
        <w:rPr>
          <w:rFonts w:ascii="Times New Roman" w:cs="Times New Roman" w:eastAsia="Times New Roman" w:hAnsi="Times New Roman"/>
          <w:sz w:val="20"/>
          <w:szCs w:val="20"/>
          <w:color w:val="auto"/>
        </w:rPr>
        <w:t>Our second clinical program, TPST-1495, is a novel, small-molecule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Future Milestones</w:t>
      </w:r>
    </w:p>
    <w:p>
      <w:pPr>
        <w:spacing w:after="0" w:line="304" w:lineRule="exact"/>
        <w:rPr>
          <w:sz w:val="20"/>
          <w:szCs w:val="20"/>
          <w:color w:val="auto"/>
        </w:rPr>
      </w:pPr>
    </w:p>
    <w:p>
      <w:pPr>
        <w:jc w:val="both"/>
        <w:ind w:left="980" w:right="480" w:hanging="497"/>
        <w:spacing w:after="0" w:line="297"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 the FDA and EMA on the pivotal Phase 3 clinical trial design. We are also evaluating further development in RCC and CCA based on the Phase 1 data presented at ASCO 2022.</w:t>
      </w:r>
    </w:p>
    <w:p>
      <w:pPr>
        <w:spacing w:after="0" w:line="210" w:lineRule="exact"/>
        <w:rPr>
          <w:rFonts w:ascii="Arial" w:cs="Arial" w:eastAsia="Arial" w:hAnsi="Arial"/>
          <w:sz w:val="20"/>
          <w:szCs w:val="20"/>
          <w:color w:val="auto"/>
        </w:rPr>
      </w:pPr>
    </w:p>
    <w:p>
      <w:pPr>
        <w:ind w:left="980" w:hanging="497"/>
        <w:spacing w:after="0"/>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Explore TPST-1495 in a Phase 2 study in patients with FAP with the CP-CTNet in 2025.</w:t>
      </w:r>
    </w:p>
    <w:p>
      <w:pPr>
        <w:spacing w:after="0" w:line="299" w:lineRule="exact"/>
        <w:rPr>
          <w:rFonts w:ascii="Arial" w:cs="Arial" w:eastAsia="Arial" w:hAnsi="Arial"/>
          <w:sz w:val="20"/>
          <w:szCs w:val="20"/>
          <w:color w:val="auto"/>
        </w:rPr>
      </w:pPr>
    </w:p>
    <w:p>
      <w:pPr>
        <w:jc w:val="both"/>
        <w:ind w:left="980" w:right="480" w:hanging="497"/>
        <w:spacing w:after="0" w:line="293"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Enhance our pipeline by identifying novel oncology targets and in-licensing opportunities. Although we believe we have a robust pipeline, we continue to evaluate and pursue novel targets and product candidates for acquisition and in-licensing to supplement our internal research efforts and further build our pipeline of targeted molecules for oncology. Through our team’s focus and expertise in oncology and immunology, as well as established relationships with oncology and immunology thought leaders, we believe we are positioning the company as a partner of choice for innovative oncology drug candidate development. Continued advances in the biological understanding of diseases should provide opportunities to further expand our portfolio with preclinical and/or clinical product candidates.</w:t>
      </w:r>
    </w:p>
    <w:p>
      <w:pPr>
        <w:spacing w:after="0" w:line="215" w:lineRule="exact"/>
        <w:rPr>
          <w:rFonts w:ascii="Arial" w:cs="Arial" w:eastAsia="Arial" w:hAnsi="Arial"/>
          <w:sz w:val="20"/>
          <w:szCs w:val="20"/>
          <w:color w:val="auto"/>
        </w:rPr>
      </w:pPr>
    </w:p>
    <w:p>
      <w:pPr>
        <w:jc w:val="both"/>
        <w:ind w:left="980" w:right="480" w:hanging="497"/>
        <w:spacing w:after="0" w:line="295"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 We intend to become a fully integrated biopharmaceutical company and build a targeted sales force in the United States to support the commercialization of our drug candidates, if approved.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Master Clinical Supply Agreement</w:t>
      </w:r>
    </w:p>
    <w:p>
      <w:pPr>
        <w:spacing w:after="0" w:line="2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 October 2024, we entered into a master clinical supply agreement (“Roche Supply Agreement”) with F. Hoffmann-La Roche Ltd.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w:t>
      </w:r>
    </w:p>
    <w:p>
      <w:pPr>
        <w:spacing w:after="0" w:line="20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October 2024, we entered into a CSA Supplement for Roche to supply atezolizumab to us, free of charge, for use in our planned phase 3 trial.</w:t>
      </w:r>
    </w:p>
    <w:p>
      <w:pPr>
        <w:sectPr>
          <w:pgSz w:w="12240" w:h="15840" w:orient="portrait"/>
          <w:cols w:equalWidth="0" w:num="1">
            <w:col w:w="10240"/>
          </w:cols>
          <w:pgMar w:left="1000" w:top="930" w:right="1000" w:bottom="175"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40"/>
          </w:cols>
          <w:pgMar w:left="1000" w:top="930" w:right="1000" w:bottom="17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Rights Plan</w:t>
      </w:r>
    </w:p>
    <w:p>
      <w:pPr>
        <w:spacing w:after="0" w:line="2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amended our stockholder rights plan on October 9, 2024 and on December 5, 2024 to, among other things, extend the final expiration date until immediately following our 2025 Annual Meeting of Stockholders or, if our stockholders approve the rights plan at or prior to such meeting, to October 10, 2026, unless the rights are earlier redeemed or exchanged by the Company. We do not have any obligation under the rights plan to seek stockholder approval. The rights plan otherwise remains unmodified and in full force and effect in accordance with its original terms. The rights plan is intended to reduce the likelihood that any person or group gains control of Tempest through open market accumulation without paying stockholders an appropriate control premium or without providing the Board sufficient time to make informed judgments and take actions that are in the best interests of all stockholders.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Going Concern</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have no products approved for commercial sale and have not generated any revenue from product sales. From inception to December 31, 2024, we have raised $232.1 million, through sales of our capital securities.</w:t>
      </w:r>
    </w:p>
    <w:p>
      <w:pPr>
        <w:spacing w:after="0" w:line="1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We have never been profitable and have incurred operating losses in each period since inception. Our net losses were $41.8 million and $29.5 million for the years ended December 31, 2024 and 2023, respectively. As of December 31, 2024, we had an accumulated deficit of $207.1 million. Substantially all of the operating losses resulted from expenses incurred in connection with our research and development programs and from general and administrative costs associated with our operations.</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Based on our business strategy, our existing cash and cash equivalents of $30.3 million as of December 31, 2024, will be sufficient to fund our operations through at least the next 12 months from the date our consolidated financial statements were available to be issued. However, our ability to fund continued development, including our Phase 3 clinical trial for amezalpat, will require significant additional capital. Adequate additional financing may not be available to us on acceptable terms, or at all.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may be forced to wind down its operations. For additional information, see “—Liquidity and Capital Resources”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28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Research and development expenses represent costs incurred to conduct research and development, such as the development of our product candidates.</w:t>
      </w:r>
    </w:p>
    <w:p>
      <w:pPr>
        <w:spacing w:after="0" w:line="16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We recognize all research and development costs as they are incurred. Research and development expenses consist primarily of the following:</w:t>
      </w:r>
    </w:p>
    <w:p>
      <w:pPr>
        <w:spacing w:after="0" w:line="169" w:lineRule="exact"/>
        <w:rPr>
          <w:sz w:val="20"/>
          <w:szCs w:val="20"/>
          <w:color w:val="auto"/>
        </w:rPr>
      </w:pPr>
    </w:p>
    <w:p>
      <w:pPr>
        <w:ind w:left="1440" w:hanging="366"/>
        <w:spacing w:after="0"/>
        <w:tabs>
          <w:tab w:leader="none" w:pos="14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salaries, benefits and stock-based compensation;</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40"/>
          </w:cols>
          <w:pgMar w:left="1000" w:top="930" w:right="1000" w:bottom="175" w:gutter="0" w:footer="0" w:header="0"/>
          <w:type w:val="continuous"/>
        </w:sectPr>
      </w:pPr>
    </w:p>
    <w:bookmarkStart w:id="91" w:name="page92"/>
    <w:bookmarkEnd w:id="91"/>
    <w:p>
      <w:pPr>
        <w:ind w:left="1440" w:hanging="366"/>
        <w:spacing w:after="0"/>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licensing costs;</w:t>
      </w:r>
    </w:p>
    <w:p>
      <w:pPr>
        <w:spacing w:after="0" w:line="286" w:lineRule="exact"/>
        <w:rPr>
          <w:rFonts w:ascii="Times New Roman" w:cs="Times New Roman" w:eastAsia="Times New Roman" w:hAnsi="Times New Roman"/>
          <w:sz w:val="20"/>
          <w:szCs w:val="20"/>
          <w:color w:val="auto"/>
        </w:rPr>
      </w:pPr>
    </w:p>
    <w:p>
      <w:pPr>
        <w:ind w:left="1440" w:hanging="366"/>
        <w:spacing w:after="0"/>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occupancy;</w:t>
      </w:r>
    </w:p>
    <w:p>
      <w:pPr>
        <w:spacing w:after="0" w:line="286" w:lineRule="exact"/>
        <w:rPr>
          <w:rFonts w:ascii="Times New Roman" w:cs="Times New Roman" w:eastAsia="Times New Roman" w:hAnsi="Times New Roman"/>
          <w:sz w:val="20"/>
          <w:szCs w:val="20"/>
          <w:color w:val="auto"/>
        </w:rPr>
      </w:pPr>
    </w:p>
    <w:p>
      <w:pPr>
        <w:ind w:left="1440" w:hanging="366"/>
        <w:spacing w:after="0"/>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materials and supplies;</w:t>
      </w:r>
    </w:p>
    <w:p>
      <w:pPr>
        <w:spacing w:after="0" w:line="286" w:lineRule="exact"/>
        <w:rPr>
          <w:rFonts w:ascii="Times New Roman" w:cs="Times New Roman" w:eastAsia="Times New Roman" w:hAnsi="Times New Roman"/>
          <w:sz w:val="20"/>
          <w:szCs w:val="20"/>
          <w:color w:val="auto"/>
        </w:rPr>
      </w:pPr>
    </w:p>
    <w:p>
      <w:pPr>
        <w:ind w:left="1440" w:hanging="366"/>
        <w:spacing w:after="0"/>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contracted research and manufacturing;</w:t>
      </w:r>
    </w:p>
    <w:p>
      <w:pPr>
        <w:spacing w:after="0" w:line="286" w:lineRule="exact"/>
        <w:rPr>
          <w:rFonts w:ascii="Times New Roman" w:cs="Times New Roman" w:eastAsia="Times New Roman" w:hAnsi="Times New Roman"/>
          <w:sz w:val="20"/>
          <w:szCs w:val="20"/>
          <w:color w:val="auto"/>
        </w:rPr>
      </w:pPr>
    </w:p>
    <w:p>
      <w:pPr>
        <w:ind w:left="1440" w:hanging="366"/>
        <w:spacing w:after="0"/>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consulting arrangements; and</w:t>
      </w:r>
    </w:p>
    <w:p>
      <w:pPr>
        <w:spacing w:after="0" w:line="286" w:lineRule="exact"/>
        <w:rPr>
          <w:rFonts w:ascii="Times New Roman" w:cs="Times New Roman" w:eastAsia="Times New Roman" w:hAnsi="Times New Roman"/>
          <w:sz w:val="20"/>
          <w:szCs w:val="20"/>
          <w:color w:val="auto"/>
        </w:rPr>
      </w:pPr>
    </w:p>
    <w:p>
      <w:pPr>
        <w:ind w:left="1440" w:hanging="366"/>
        <w:spacing w:after="0"/>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expenses incurred to advance our research and development activities.</w:t>
      </w:r>
    </w:p>
    <w:p>
      <w:pPr>
        <w:spacing w:after="0" w:line="28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8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 Net</w:t>
      </w:r>
    </w:p>
    <w:p>
      <w:pPr>
        <w:spacing w:after="0" w:line="28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Other (expense) income, net consists primarily of interest expense, interest income, and various income or expense items of a non-recurring nature.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40"/>
          </w:cols>
          <w:pgMar w:left="1000" w:top="930" w:right="1000" w:bottom="175"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operating results for the years ended December 31, 2024 and 2023:</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3"/>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0" w:type="dxa"/>
            <w:vAlign w:val="bottom"/>
          </w:tcPr>
          <w:p>
            <w:pPr>
              <w:spacing w:after="0"/>
              <w:rPr>
                <w:sz w:val="1"/>
                <w:szCs w:val="1"/>
                <w:color w:val="auto"/>
              </w:rPr>
            </w:pPr>
          </w:p>
        </w:tc>
      </w:tr>
      <w:tr>
        <w:trPr>
          <w:trHeight w:val="227"/>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center"/>
              <w:ind w:left="42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2024 vs.</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64"/>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4"/>
              </w:rPr>
              <w:t>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Borders>
              <w:bottom w:val="single" w:sz="8" w:color="EAEAEA"/>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EAEAEA"/>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71"/>
              </w:rPr>
              <w:t>(in</w:t>
            </w:r>
          </w:p>
        </w:tc>
        <w:tc>
          <w:tcPr>
            <w:tcW w:w="1120" w:type="dxa"/>
            <w:vAlign w:val="bottom"/>
            <w:tcBorders>
              <w:top w:val="single" w:sz="8" w:color="auto"/>
              <w:bottom w:val="single" w:sz="8" w:color="auto"/>
            </w:tcBorders>
            <w:gridSpan w:val="2"/>
          </w:tcPr>
          <w:p>
            <w:pPr>
              <w:spacing w:after="0" w:line="225" w:lineRule="exact"/>
              <w:rPr>
                <w:sz w:val="20"/>
                <w:szCs w:val="20"/>
                <w:color w:val="auto"/>
              </w:rPr>
            </w:pPr>
            <w:r>
              <w:rPr>
                <w:rFonts w:ascii="Times New Roman" w:cs="Times New Roman" w:eastAsia="Times New Roman" w:hAnsi="Times New Roman"/>
                <w:sz w:val="20"/>
                <w:szCs w:val="20"/>
                <w:b w:val="1"/>
                <w:bCs w:val="1"/>
                <w:color w:val="auto"/>
                <w:w w:val="95"/>
              </w:rPr>
              <w:t>thousands, ex</w:t>
            </w:r>
          </w:p>
        </w:tc>
        <w:tc>
          <w:tcPr>
            <w:tcW w:w="240" w:type="dxa"/>
            <w:vAlign w:val="bottom"/>
            <w:tcBorders>
              <w:bottom w:val="single" w:sz="8" w:color="EAEAEA"/>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ce</w:t>
            </w:r>
          </w:p>
        </w:tc>
        <w:tc>
          <w:tcPr>
            <w:tcW w:w="1100" w:type="dxa"/>
            <w:vAlign w:val="bottom"/>
            <w:tcBorders>
              <w:top w:val="single" w:sz="8" w:color="auto"/>
              <w:bottom w:val="single" w:sz="8" w:color="auto"/>
            </w:tcBorders>
            <w:gridSpan w:val="2"/>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4"/>
              </w:rPr>
              <w:t>pt percentage</w:t>
            </w:r>
          </w:p>
        </w:tc>
        <w:tc>
          <w:tcPr>
            <w:tcW w:w="260" w:type="dxa"/>
            <w:vAlign w:val="bottom"/>
            <w:tcBorders>
              <w:bottom w:val="single" w:sz="8" w:color="EAEAEA"/>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w w:val="96"/>
              </w:rPr>
              <w:t>s)</w:t>
            </w:r>
          </w:p>
        </w:tc>
        <w:tc>
          <w:tcPr>
            <w:tcW w:w="96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760" w:type="dxa"/>
            <w:vAlign w:val="bottom"/>
            <w:shd w:val="clear" w:color="auto" w:fill="EAEAEA"/>
          </w:tcPr>
          <w:p>
            <w:pPr>
              <w:spacing w:after="0"/>
              <w:rPr>
                <w:sz w:val="19"/>
                <w:szCs w:val="19"/>
                <w:color w:val="auto"/>
              </w:rPr>
            </w:pPr>
          </w:p>
        </w:tc>
        <w:tc>
          <w:tcPr>
            <w:tcW w:w="2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000" w:type="dxa"/>
            <w:vAlign w:val="bottom"/>
            <w:shd w:val="clear" w:color="auto" w:fill="EAEAEA"/>
          </w:tcPr>
          <w:p>
            <w:pPr>
              <w:spacing w:after="0"/>
              <w:rPr>
                <w:sz w:val="19"/>
                <w:szCs w:val="19"/>
                <w:color w:val="auto"/>
              </w:rPr>
            </w:pPr>
          </w:p>
        </w:tc>
        <w:tc>
          <w:tcPr>
            <w:tcW w:w="260" w:type="dxa"/>
            <w:vAlign w:val="bottom"/>
            <w:shd w:val="clear" w:color="auto" w:fill="EAEAEA"/>
          </w:tcPr>
          <w:p>
            <w:pPr>
              <w:spacing w:after="0"/>
              <w:rPr>
                <w:sz w:val="19"/>
                <w:szCs w:val="19"/>
                <w:color w:val="auto"/>
              </w:rPr>
            </w:pPr>
          </w:p>
        </w:tc>
        <w:tc>
          <w:tcPr>
            <w:tcW w:w="96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10,978</w:t>
            </w:r>
          </w:p>
        </w:tc>
        <w:tc>
          <w:tcPr>
            <w:tcW w:w="2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30"/>
        </w:trPr>
        <w:tc>
          <w:tcPr>
            <w:tcW w:w="4920" w:type="dxa"/>
            <w:vAlign w:val="bottom"/>
            <w:shd w:val="clear" w:color="auto" w:fill="EAEAEA"/>
          </w:tcPr>
          <w:p>
            <w:pPr>
              <w:ind w:left="3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shd w:val="clear" w:color="auto" w:fill="EAEAEA"/>
          </w:tcPr>
          <w:p>
            <w:pPr>
              <w:spacing w:after="0"/>
              <w:rPr>
                <w:sz w:val="20"/>
                <w:szCs w:val="20"/>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13,550</w:t>
            </w:r>
          </w:p>
        </w:tc>
        <w:tc>
          <w:tcPr>
            <w:tcW w:w="24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7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11,659</w:t>
            </w:r>
          </w:p>
        </w:tc>
        <w:tc>
          <w:tcPr>
            <w:tcW w:w="2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26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1,891</w:t>
            </w:r>
          </w:p>
        </w:tc>
        <w:tc>
          <w:tcPr>
            <w:tcW w:w="12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loss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(42,026)</w:t>
            </w:r>
          </w:p>
        </w:tc>
        <w:tc>
          <w:tcPr>
            <w:tcW w:w="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(29,157)</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12,869</w:t>
            </w:r>
          </w:p>
        </w:tc>
        <w:tc>
          <w:tcPr>
            <w:tcW w:w="260" w:type="dxa"/>
            <w:vAlign w:val="bottom"/>
            <w:vMerge w:val="continue"/>
          </w:tcPr>
          <w:p>
            <w:pPr>
              <w:spacing w:after="0"/>
              <w:rPr>
                <w:sz w:val="19"/>
                <w:szCs w:val="19"/>
                <w:color w:val="auto"/>
              </w:rPr>
            </w:pPr>
          </w:p>
        </w:tc>
        <w:tc>
          <w:tcPr>
            <w:tcW w:w="124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30"/>
        </w:trPr>
        <w:tc>
          <w:tcPr>
            <w:tcW w:w="4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shd w:val="clear" w:color="auto" w:fill="EAEAEA"/>
          </w:tcPr>
          <w:p>
            <w:pPr>
              <w:spacing w:after="0"/>
              <w:rPr>
                <w:sz w:val="20"/>
                <w:szCs w:val="20"/>
                <w:color w:val="auto"/>
              </w:rPr>
            </w:pPr>
          </w:p>
        </w:tc>
        <w:tc>
          <w:tcPr>
            <w:tcW w:w="1120" w:type="dxa"/>
            <w:vAlign w:val="bottom"/>
            <w:gridSpan w:val="2"/>
            <w:shd w:val="clear" w:color="auto" w:fill="EAEAEA"/>
          </w:tcPr>
          <w:p>
            <w:pPr>
              <w:jc w:val="right"/>
              <w:ind w:right="85"/>
              <w:spacing w:after="0"/>
              <w:rPr>
                <w:sz w:val="20"/>
                <w:szCs w:val="20"/>
                <w:color w:val="auto"/>
              </w:rPr>
            </w:pPr>
            <w:r>
              <w:rPr>
                <w:rFonts w:ascii="Times New Roman" w:cs="Times New Roman" w:eastAsia="Times New Roman" w:hAnsi="Times New Roman"/>
                <w:sz w:val="20"/>
                <w:szCs w:val="20"/>
                <w:color w:val="auto"/>
              </w:rPr>
              <w:t>(1,316)</w:t>
            </w:r>
          </w:p>
        </w:tc>
        <w:tc>
          <w:tcPr>
            <w:tcW w:w="360" w:type="dxa"/>
            <w:vAlign w:val="bottom"/>
            <w:shd w:val="clear" w:color="auto" w:fill="EAEAEA"/>
          </w:tcPr>
          <w:p>
            <w:pPr>
              <w:spacing w:after="0"/>
              <w:rPr>
                <w:sz w:val="20"/>
                <w:szCs w:val="20"/>
                <w:color w:val="auto"/>
              </w:rPr>
            </w:pPr>
          </w:p>
        </w:tc>
        <w:tc>
          <w:tcPr>
            <w:tcW w:w="100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(1,449)</w:t>
            </w:r>
          </w:p>
        </w:tc>
        <w:tc>
          <w:tcPr>
            <w:tcW w:w="100" w:type="dxa"/>
            <w:vAlign w:val="bottom"/>
            <w:shd w:val="clear" w:color="auto" w:fill="EAEAEA"/>
          </w:tcPr>
          <w:p>
            <w:pPr>
              <w:spacing w:after="0"/>
              <w:rPr>
                <w:sz w:val="20"/>
                <w:szCs w:val="20"/>
                <w:color w:val="auto"/>
              </w:rPr>
            </w:pPr>
          </w:p>
        </w:tc>
        <w:tc>
          <w:tcPr>
            <w:tcW w:w="126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20"/>
                <w:szCs w:val="20"/>
                <w:color w:val="auto"/>
              </w:rPr>
              <w:t>(133)</w:t>
            </w:r>
          </w:p>
        </w:tc>
        <w:tc>
          <w:tcPr>
            <w:tcW w:w="12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and other income (expense), net</w:t>
            </w:r>
          </w:p>
        </w:tc>
        <w:tc>
          <w:tcPr>
            <w:tcW w:w="240" w:type="dxa"/>
            <w:vAlign w:val="bottom"/>
          </w:tcPr>
          <w:p>
            <w:pPr>
              <w:spacing w:after="0"/>
              <w:rPr>
                <w:sz w:val="20"/>
                <w:szCs w:val="20"/>
                <w:color w:val="auto"/>
              </w:rPr>
            </w:pPr>
          </w:p>
        </w:tc>
        <w:tc>
          <w:tcPr>
            <w:tcW w:w="1120" w:type="dxa"/>
            <w:vAlign w:val="bottom"/>
            <w:gridSpan w:val="2"/>
          </w:tcPr>
          <w:p>
            <w:pPr>
              <w:jc w:val="right"/>
              <w:ind w:right="145"/>
              <w:spacing w:after="0"/>
              <w:rPr>
                <w:sz w:val="20"/>
                <w:szCs w:val="20"/>
                <w:color w:val="auto"/>
              </w:rPr>
            </w:pPr>
            <w:r>
              <w:rPr>
                <w:rFonts w:ascii="Times New Roman" w:cs="Times New Roman" w:eastAsia="Times New Roman" w:hAnsi="Times New Roman"/>
                <w:sz w:val="20"/>
                <w:szCs w:val="20"/>
                <w:color w:val="auto"/>
              </w:rPr>
              <w:t>1,499</w:t>
            </w:r>
          </w:p>
        </w:tc>
        <w:tc>
          <w:tcPr>
            <w:tcW w:w="3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1,115</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384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30"/>
        </w:trPr>
        <w:tc>
          <w:tcPr>
            <w:tcW w:w="49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40" w:type="dxa"/>
            <w:vAlign w:val="bottom"/>
            <w:shd w:val="clear" w:color="auto" w:fill="EAEAEA"/>
          </w:tcPr>
          <w:p>
            <w:pPr>
              <w:spacing w:after="0"/>
              <w:rPr>
                <w:sz w:val="19"/>
                <w:szCs w:val="19"/>
                <w:color w:val="auto"/>
              </w:rPr>
            </w:pPr>
          </w:p>
        </w:tc>
        <w:tc>
          <w:tcPr>
            <w:tcW w:w="8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19"/>
                <w:szCs w:val="19"/>
                <w:color w:val="auto"/>
              </w:rPr>
            </w:pPr>
          </w:p>
        </w:tc>
        <w:tc>
          <w:tcPr>
            <w:tcW w:w="360" w:type="dxa"/>
            <w:vAlign w:val="bottom"/>
            <w:shd w:val="clear" w:color="auto" w:fill="EAEAEA"/>
          </w:tcPr>
          <w:p>
            <w:pPr>
              <w:spacing w:after="0"/>
              <w:rPr>
                <w:sz w:val="19"/>
                <w:szCs w:val="19"/>
                <w:color w:val="auto"/>
              </w:rPr>
            </w:pPr>
          </w:p>
        </w:tc>
        <w:tc>
          <w:tcPr>
            <w:tcW w:w="7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260" w:type="dxa"/>
            <w:vAlign w:val="bottom"/>
            <w:gridSpan w:val="2"/>
            <w:shd w:val="clear" w:color="auto" w:fill="EAEAEA"/>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
        </w:trPr>
        <w:tc>
          <w:tcPr>
            <w:tcW w:w="4920" w:type="dxa"/>
            <w:vAlign w:val="bottom"/>
            <w:tcBorders>
              <w:top w:val="single" w:sz="8" w:color="EAEAEA"/>
            </w:tcBorders>
            <w:vMerge w:val="restart"/>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EAEA"/>
            </w:tcBorders>
            <w:vMerge w:val="restart"/>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EAEA"/>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EAEA"/>
            </w:tcBorders>
            <w:vMerge w:val="restart"/>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20" w:type="dxa"/>
            <w:vAlign w:val="bottom"/>
            <w:vMerge w:val="continue"/>
          </w:tcPr>
          <w:p>
            <w:pPr>
              <w:spacing w:after="0"/>
              <w:rPr>
                <w:sz w:val="17"/>
                <w:szCs w:val="17"/>
                <w:color w:val="auto"/>
              </w:rPr>
            </w:pPr>
          </w:p>
        </w:tc>
        <w:tc>
          <w:tcPr>
            <w:tcW w:w="240" w:type="dxa"/>
            <w:vAlign w:val="bottom"/>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(41,843)</w:t>
            </w:r>
          </w:p>
        </w:tc>
        <w:tc>
          <w:tcPr>
            <w:tcW w:w="240" w:type="dxa"/>
            <w:vAlign w:val="bottom"/>
            <w:vMerge w:val="continue"/>
          </w:tcPr>
          <w:p>
            <w:pPr>
              <w:spacing w:after="0"/>
              <w:rPr>
                <w:sz w:val="17"/>
                <w:szCs w:val="17"/>
                <w:color w:val="auto"/>
              </w:rPr>
            </w:pPr>
          </w:p>
        </w:tc>
        <w:tc>
          <w:tcPr>
            <w:tcW w:w="3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(29,491)</w:t>
            </w:r>
          </w:p>
        </w:tc>
        <w:tc>
          <w:tcPr>
            <w:tcW w:w="240" w:type="dxa"/>
            <w:vAlign w:val="bottom"/>
            <w:vMerge w:val="continue"/>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12,352</w:t>
            </w:r>
          </w:p>
        </w:tc>
        <w:tc>
          <w:tcPr>
            <w:tcW w:w="260" w:type="dxa"/>
            <w:vAlign w:val="bottom"/>
            <w:vMerge w:val="continue"/>
          </w:tcPr>
          <w:p>
            <w:pPr>
              <w:spacing w:after="0"/>
              <w:rPr>
                <w:sz w:val="17"/>
                <w:szCs w:val="17"/>
                <w:color w:val="auto"/>
              </w:rPr>
            </w:pPr>
          </w:p>
        </w:tc>
        <w:tc>
          <w:tcPr>
            <w:tcW w:w="124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8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Our research and development expenses for the years ended December 31, 2024 and 2023 were primarily incurred in connection with our most advanced product candidates, amezalpat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The following table shows our research and development expenses by program for the years ended December 31, 2024 and 2023:</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Percentag</w:t>
      </w:r>
    </w:p>
    <w:p>
      <w:pPr>
        <w:spacing w:after="0" w:line="32" w:lineRule="exact"/>
        <w:rPr>
          <w:sz w:val="20"/>
          <w:szCs w:val="20"/>
          <w:color w:val="auto"/>
        </w:rPr>
      </w:pPr>
    </w:p>
    <w:p>
      <w:pPr>
        <w:jc w:val="both"/>
        <w:ind w:right="320" w:firstLine="61"/>
        <w:spacing w:after="0" w:line="252" w:lineRule="auto"/>
        <w:rPr>
          <w:sz w:val="20"/>
          <w:szCs w:val="20"/>
          <w:color w:val="auto"/>
        </w:rPr>
      </w:pPr>
      <w:r>
        <w:rPr>
          <w:rFonts w:ascii="Times New Roman" w:cs="Times New Roman" w:eastAsia="Times New Roman" w:hAnsi="Times New Roman"/>
          <w:sz w:val="20"/>
          <w:szCs w:val="20"/>
          <w:b w:val="1"/>
          <w:bCs w:val="1"/>
          <w:color w:val="auto"/>
        </w:rPr>
        <w:t>Increase/ e Increase/ (Decrease) (Decrease)</w:t>
      </w:r>
    </w:p>
    <w:p>
      <w:pPr>
        <w:spacing w:after="0" w:line="206" w:lineRule="exact"/>
        <w:rPr>
          <w:sz w:val="20"/>
          <w:szCs w:val="20"/>
          <w:color w:val="auto"/>
        </w:rPr>
      </w:pPr>
    </w:p>
    <w:p>
      <w:pPr>
        <w:sectPr>
          <w:pgSz w:w="12240" w:h="15840" w:orient="portrait"/>
          <w:cols w:equalWidth="0" w:num="2">
            <w:col w:w="7020" w:space="720"/>
            <w:col w:w="2500"/>
          </w:cols>
          <w:pgMar w:left="1000" w:top="930" w:right="1000" w:bottom="175"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2024 vs.</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w:t>
            </w:r>
          </w:p>
        </w:tc>
        <w:tc>
          <w:tcPr>
            <w:tcW w:w="1360" w:type="dxa"/>
            <w:vAlign w:val="bottom"/>
            <w:gridSpan w:val="4"/>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w w:val="74"/>
              </w:rPr>
              <w:t>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Amezalpat</w:t>
            </w:r>
          </w:p>
        </w:tc>
        <w:tc>
          <w:tcPr>
            <w:tcW w:w="240" w:type="dxa"/>
            <w:vAlign w:val="bottom"/>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14,206</w:t>
            </w:r>
          </w:p>
        </w:tc>
        <w:tc>
          <w:tcPr>
            <w:tcW w:w="46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2,691</w:t>
            </w:r>
          </w:p>
        </w:tc>
        <w:tc>
          <w:tcPr>
            <w:tcW w:w="100" w:type="dxa"/>
            <w:vAlign w:val="bottom"/>
            <w:shd w:val="clear" w:color="auto" w:fill="EAEAEA"/>
          </w:tcPr>
          <w:p>
            <w:pPr>
              <w:spacing w:after="0"/>
              <w:rPr>
                <w:sz w:val="21"/>
                <w:szCs w:val="21"/>
                <w:color w:val="auto"/>
              </w:rPr>
            </w:pPr>
          </w:p>
        </w:tc>
        <w:tc>
          <w:tcPr>
            <w:tcW w:w="460" w:type="dxa"/>
            <w:vAlign w:val="bottom"/>
            <w:gridSpan w:val="2"/>
            <w:shd w:val="clear" w:color="auto" w:fill="EAEAEA"/>
          </w:tcPr>
          <w:p>
            <w:pPr>
              <w:jc w:val="right"/>
              <w:ind w:right="12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11,515</w:t>
            </w:r>
          </w:p>
        </w:tc>
        <w:tc>
          <w:tcPr>
            <w:tcW w:w="100" w:type="dxa"/>
            <w:vAlign w:val="bottom"/>
            <w:shd w:val="clear" w:color="auto" w:fill="EAEAEA"/>
          </w:tcPr>
          <w:p>
            <w:pPr>
              <w:spacing w:after="0"/>
              <w:rPr>
                <w:sz w:val="21"/>
                <w:szCs w:val="21"/>
                <w:color w:val="auto"/>
              </w:rPr>
            </w:pPr>
          </w:p>
        </w:tc>
        <w:tc>
          <w:tcPr>
            <w:tcW w:w="110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&gt;100%</w:t>
            </w:r>
          </w:p>
        </w:tc>
        <w:tc>
          <w:tcPr>
            <w:tcW w:w="2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TPST-1495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(1,218)</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Preclinical and other</w:t>
            </w:r>
          </w:p>
        </w:tc>
        <w:tc>
          <w:tcPr>
            <w:tcW w:w="240" w:type="dxa"/>
            <w:vAlign w:val="bottom"/>
            <w:shd w:val="clear" w:color="auto" w:fill="EAEAEA"/>
          </w:tcPr>
          <w:p>
            <w:pPr>
              <w:spacing w:after="0"/>
              <w:rPr>
                <w:sz w:val="21"/>
                <w:szCs w:val="21"/>
                <w:color w:val="auto"/>
              </w:rPr>
            </w:pP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2,279</w:t>
            </w: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3,398</w:t>
            </w:r>
          </w:p>
        </w:tc>
        <w:tc>
          <w:tcPr>
            <w:tcW w:w="10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90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(1,119)</w:t>
            </w:r>
          </w:p>
        </w:tc>
        <w:tc>
          <w:tcPr>
            <w:tcW w:w="1380" w:type="dxa"/>
            <w:vAlign w:val="bottom"/>
            <w:gridSpan w:val="3"/>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0"/>
        </w:trPr>
        <w:tc>
          <w:tcPr>
            <w:tcW w:w="4900" w:type="dxa"/>
            <w:vAlign w:val="bottom"/>
            <w:tcBorders>
              <w:top w:val="single" w:sz="8" w:color="EAEAEA"/>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candidate-specific research costs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tcBorders>
            <w:vMerge w:val="restart"/>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18,792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9,178</w:t>
            </w: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EAEAEA"/>
          </w:tcPr>
          <w:p>
            <w:pPr>
              <w:spacing w:after="0"/>
              <w:rPr>
                <w:sz w:val="20"/>
                <w:szCs w:val="20"/>
                <w:color w:val="auto"/>
              </w:rPr>
            </w:pPr>
            <w:r>
              <w:rPr>
                <w:rFonts w:ascii="Times New Roman" w:cs="Times New Roman" w:eastAsia="Times New Roman" w:hAnsi="Times New Roman"/>
                <w:sz w:val="20"/>
                <w:szCs w:val="20"/>
                <w:color w:val="auto"/>
              </w:rPr>
              <w:t>Personnel and other costs</w:t>
            </w: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7,108</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6,678</w:t>
            </w:r>
          </w:p>
        </w:tc>
        <w:tc>
          <w:tcPr>
            <w:tcW w:w="100" w:type="dxa"/>
            <w:vAlign w:val="bottom"/>
            <w:shd w:val="clear" w:color="auto" w:fill="E9E9E9"/>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8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100" w:type="dxa"/>
            <w:vAlign w:val="bottom"/>
            <w:shd w:val="clear" w:color="auto" w:fill="EAEAEA"/>
          </w:tcPr>
          <w:p>
            <w:pPr>
              <w:spacing w:after="0"/>
              <w:rPr>
                <w:sz w:val="21"/>
                <w:szCs w:val="21"/>
                <w:color w:val="auto"/>
              </w:rPr>
            </w:pPr>
          </w:p>
        </w:tc>
        <w:tc>
          <w:tcPr>
            <w:tcW w:w="1380" w:type="dxa"/>
            <w:vAlign w:val="bottom"/>
            <w:gridSpan w:val="3"/>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4"/>
        </w:trPr>
        <w:tc>
          <w:tcPr>
            <w:tcW w:w="476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Stock-based compensation and depreciation</w:t>
            </w:r>
          </w:p>
        </w:tc>
        <w:tc>
          <w:tcPr>
            <w:tcW w:w="14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2,576</w:t>
            </w:r>
          </w:p>
        </w:tc>
        <w:tc>
          <w:tcPr>
            <w:tcW w:w="100" w:type="dxa"/>
            <w:vAlign w:val="bottom"/>
            <w:tcBorders>
              <w:bottom w:val="single" w:sz="8" w:color="E9E9E9"/>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w:t>
            </w:r>
          </w:p>
        </w:tc>
        <w:tc>
          <w:tcPr>
            <w:tcW w:w="100" w:type="dxa"/>
            <w:vAlign w:val="bottom"/>
            <w:tcBorders>
              <w:bottom w:val="single" w:sz="8" w:color="E9E9E9"/>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1,370</w:t>
            </w:r>
          </w:p>
        </w:tc>
        <w:tc>
          <w:tcPr>
            <w:tcW w:w="100" w:type="dxa"/>
            <w:vAlign w:val="bottom"/>
            <w:tcBorders>
              <w:bottom w:val="single" w:sz="8" w:color="E9E9E9"/>
            </w:tcBorders>
          </w:tcPr>
          <w:p>
            <w:pPr>
              <w:spacing w:after="0"/>
              <w:rPr>
                <w:sz w:val="21"/>
                <w:szCs w:val="21"/>
                <w:color w:val="auto"/>
              </w:rPr>
            </w:pPr>
          </w:p>
        </w:tc>
        <w:tc>
          <w:tcPr>
            <w:tcW w:w="140" w:type="dxa"/>
            <w:vAlign w:val="bottom"/>
            <w:tcBorders>
              <w:bottom w:val="single" w:sz="8" w:color="EAEAEA"/>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&gt;100%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140" w:type="dxa"/>
            <w:vAlign w:val="bottom"/>
            <w:shd w:val="clear" w:color="auto" w:fill="E9E9E9"/>
          </w:tcPr>
          <w:p>
            <w:pPr>
              <w:spacing w:after="0"/>
              <w:rPr>
                <w:sz w:val="22"/>
                <w:szCs w:val="22"/>
                <w:color w:val="auto"/>
              </w:rPr>
            </w:pPr>
          </w:p>
        </w:tc>
        <w:tc>
          <w:tcPr>
            <w:tcW w:w="240" w:type="dxa"/>
            <w:vAlign w:val="bottom"/>
            <w:shd w:val="clear" w:color="auto" w:fill="E9E9E9"/>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28,476</w:t>
            </w:r>
          </w:p>
        </w:tc>
        <w:tc>
          <w:tcPr>
            <w:tcW w:w="100" w:type="dxa"/>
            <w:vAlign w:val="bottom"/>
            <w:shd w:val="clear" w:color="auto" w:fill="E9E9E9"/>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22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17,498</w:t>
            </w:r>
          </w:p>
        </w:tc>
        <w:tc>
          <w:tcPr>
            <w:tcW w:w="100" w:type="dxa"/>
            <w:vAlign w:val="bottom"/>
            <w:shd w:val="clear" w:color="auto" w:fill="E9E9E9"/>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320" w:type="dxa"/>
            <w:vAlign w:val="bottom"/>
            <w:shd w:val="clear" w:color="auto" w:fill="E9E9E9"/>
          </w:tcPr>
          <w:p>
            <w:pPr>
              <w:jc w:val="right"/>
              <w:ind w:right="125"/>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10,978</w:t>
            </w:r>
          </w:p>
        </w:tc>
        <w:tc>
          <w:tcPr>
            <w:tcW w:w="100" w:type="dxa"/>
            <w:vAlign w:val="bottom"/>
            <w:shd w:val="clear" w:color="auto" w:fill="E9E9E9"/>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0"/>
        </w:trPr>
        <w:tc>
          <w:tcPr>
            <w:tcW w:w="476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5711825</wp:posOffset>
                </wp:positionH>
                <wp:positionV relativeFrom="paragraph">
                  <wp:posOffset>-182880</wp:posOffset>
                </wp:positionV>
                <wp:extent cx="607060" cy="1549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060" cy="154940"/>
                        </a:xfrm>
                        <a:prstGeom prst="rect">
                          <a:avLst/>
                        </a:prstGeom>
                        <a:solidFill>
                          <a:srgbClr val="E9E9E9"/>
                        </a:solidFill>
                      </wps:spPr>
                      <wps:bodyPr/>
                    </wps:wsp>
                  </a:graphicData>
                </a:graphic>
              </wp:anchor>
            </w:drawing>
          </mc:Choice>
          <mc:Fallback>
            <w:pict>
              <v:rect id="Shape 18" o:spid="_x0000_s1043" style="position:absolute;margin-left:449.75pt;margin-top:-14.3999pt;width:47.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6318885</wp:posOffset>
                </wp:positionH>
                <wp:positionV relativeFrom="paragraph">
                  <wp:posOffset>-192405</wp:posOffset>
                </wp:positionV>
                <wp:extent cx="187325" cy="16446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325" cy="164465"/>
                        </a:xfrm>
                        <a:prstGeom prst="rect">
                          <a:avLst/>
                        </a:prstGeom>
                        <a:solidFill>
                          <a:srgbClr val="E9E9E9"/>
                        </a:solidFill>
                      </wps:spPr>
                      <wps:bodyPr/>
                    </wps:wsp>
                  </a:graphicData>
                </a:graphic>
              </wp:anchor>
            </w:drawing>
          </mc:Choice>
          <mc:Fallback>
            <w:pict>
              <v:rect id="Shape 19" o:spid="_x0000_s1044" style="position:absolute;margin-left:497.55pt;margin-top:-15.1499pt;width:14.7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years ended December 31, 2024 and 2023:</w:t>
      </w:r>
    </w:p>
    <w:p>
      <w:pPr>
        <w:sectPr>
          <w:pgSz w:w="12240" w:h="15840" w:orient="portrait"/>
          <w:cols w:equalWidth="0" w:num="1">
            <w:col w:w="10240"/>
          </w:cols>
          <w:pgMar w:left="1000" w:top="930" w:right="100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40"/>
          </w:cols>
          <w:pgMar w:left="1000" w:top="930" w:right="1000" w:bottom="175" w:gutter="0" w:footer="0" w:header="0"/>
          <w:type w:val="continuous"/>
        </w:sectPr>
      </w:pPr>
    </w:p>
    <w:bookmarkStart w:id="93" w:name="page94"/>
    <w:bookmarkEnd w:id="93"/>
    <w:p>
      <w:pPr>
        <w:spacing w:after="0" w:line="200" w:lineRule="exact"/>
        <w:rPr>
          <w:sz w:val="20"/>
          <w:szCs w:val="20"/>
          <w:color w:val="auto"/>
        </w:rPr>
      </w:pPr>
    </w:p>
    <w:p>
      <w:pPr>
        <w:spacing w:after="0" w:line="3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Times New Roman" w:cs="Times New Roman" w:eastAsia="Times New Roman" w:hAnsi="Times New Roman"/>
          <w:sz w:val="20"/>
          <w:szCs w:val="20"/>
          <w:b w:val="1"/>
          <w:bCs w:val="1"/>
          <w:color w:val="auto"/>
        </w:rPr>
        <w:t>Percentag</w:t>
      </w:r>
    </w:p>
    <w:p>
      <w:pPr>
        <w:spacing w:after="0" w:line="32" w:lineRule="exact"/>
        <w:rPr>
          <w:sz w:val="20"/>
          <w:szCs w:val="20"/>
          <w:color w:val="auto"/>
        </w:rPr>
      </w:pPr>
    </w:p>
    <w:p>
      <w:pPr>
        <w:jc w:val="both"/>
        <w:ind w:right="320" w:firstLine="61"/>
        <w:spacing w:after="0" w:line="252" w:lineRule="auto"/>
        <w:rPr>
          <w:sz w:val="20"/>
          <w:szCs w:val="20"/>
          <w:color w:val="auto"/>
        </w:rPr>
      </w:pPr>
      <w:r>
        <w:rPr>
          <w:rFonts w:ascii="Times New Roman" w:cs="Times New Roman" w:eastAsia="Times New Roman" w:hAnsi="Times New Roman"/>
          <w:sz w:val="20"/>
          <w:szCs w:val="20"/>
          <w:b w:val="1"/>
          <w:bCs w:val="1"/>
          <w:color w:val="auto"/>
        </w:rPr>
        <w:t>Increase/ e Increase/ (Decrease) (Decrease)</w:t>
      </w:r>
    </w:p>
    <w:p>
      <w:pPr>
        <w:spacing w:after="0" w:line="206" w:lineRule="exact"/>
        <w:rPr>
          <w:sz w:val="20"/>
          <w:szCs w:val="20"/>
          <w:color w:val="auto"/>
        </w:rPr>
      </w:pPr>
    </w:p>
    <w:p>
      <w:pPr>
        <w:sectPr>
          <w:pgSz w:w="12240" w:h="15840" w:orient="portrait"/>
          <w:cols w:equalWidth="0" w:num="2">
            <w:col w:w="7020" w:space="720"/>
            <w:col w:w="2500"/>
          </w:cols>
          <w:pgMar w:left="1000" w:top="940" w:right="1000" w:bottom="175" w:gutter="0" w:footer="0" w:header="0"/>
        </w:sect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2024 vs.</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w:t>
            </w:r>
          </w:p>
        </w:tc>
        <w:tc>
          <w:tcPr>
            <w:tcW w:w="1360" w:type="dxa"/>
            <w:vAlign w:val="bottom"/>
            <w:gridSpan w:val="4"/>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w w:val="74"/>
              </w:rPr>
              <w:t>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Research and development outside services</w:t>
            </w:r>
          </w:p>
        </w:tc>
        <w:tc>
          <w:tcPr>
            <w:tcW w:w="240" w:type="dxa"/>
            <w:vAlign w:val="bottom"/>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16,501</w:t>
            </w:r>
          </w:p>
        </w:tc>
        <w:tc>
          <w:tcPr>
            <w:tcW w:w="100" w:type="dxa"/>
            <w:vAlign w:val="bottom"/>
            <w:shd w:val="clear" w:color="auto" w:fill="EAEAEA"/>
          </w:tcPr>
          <w:p>
            <w:pPr>
              <w:spacing w:after="0"/>
              <w:rPr>
                <w:sz w:val="21"/>
                <w:szCs w:val="21"/>
                <w:color w:val="auto"/>
              </w:rPr>
            </w:pPr>
          </w:p>
        </w:tc>
        <w:tc>
          <w:tcPr>
            <w:tcW w:w="3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8,368</w:t>
            </w:r>
          </w:p>
        </w:tc>
        <w:tc>
          <w:tcPr>
            <w:tcW w:w="100" w:type="dxa"/>
            <w:vAlign w:val="bottom"/>
            <w:shd w:val="clear" w:color="auto" w:fill="EAEAEA"/>
          </w:tcPr>
          <w:p>
            <w:pPr>
              <w:spacing w:after="0"/>
              <w:rPr>
                <w:sz w:val="21"/>
                <w:szCs w:val="21"/>
                <w:color w:val="auto"/>
              </w:rPr>
            </w:pPr>
          </w:p>
        </w:tc>
        <w:tc>
          <w:tcPr>
            <w:tcW w:w="460" w:type="dxa"/>
            <w:vAlign w:val="bottom"/>
            <w:gridSpan w:val="2"/>
            <w:shd w:val="clear" w:color="auto" w:fill="EAEAEA"/>
          </w:tcPr>
          <w:p>
            <w:pPr>
              <w:jc w:val="right"/>
              <w:ind w:right="125"/>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8,133</w:t>
            </w:r>
          </w:p>
        </w:tc>
        <w:tc>
          <w:tcPr>
            <w:tcW w:w="240" w:type="dxa"/>
            <w:vAlign w:val="bottom"/>
            <w:shd w:val="clear" w:color="auto" w:fill="EAEAEA"/>
          </w:tcPr>
          <w:p>
            <w:pPr>
              <w:spacing w:after="0"/>
              <w:rPr>
                <w:sz w:val="21"/>
                <w:szCs w:val="21"/>
                <w:color w:val="auto"/>
              </w:rPr>
            </w:pPr>
          </w:p>
        </w:tc>
        <w:tc>
          <w:tcPr>
            <w:tcW w:w="124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expense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2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44"/>
        </w:trPr>
        <w:tc>
          <w:tcPr>
            <w:tcW w:w="49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2,222</w:t>
            </w:r>
          </w:p>
        </w:tc>
        <w:tc>
          <w:tcPr>
            <w:tcW w:w="100" w:type="dxa"/>
            <w:vAlign w:val="bottom"/>
            <w:shd w:val="clear" w:color="auto" w:fill="E9E9E9"/>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100" w:type="dxa"/>
            <w:vAlign w:val="bottom"/>
            <w:shd w:val="clear" w:color="auto" w:fill="E9E9E9"/>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8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240" w:type="dxa"/>
            <w:vAlign w:val="bottom"/>
            <w:shd w:val="clear" w:color="auto" w:fill="EAEAEA"/>
          </w:tcPr>
          <w:p>
            <w:pPr>
              <w:spacing w:after="0"/>
              <w:rPr>
                <w:sz w:val="21"/>
                <w:szCs w:val="21"/>
                <w:color w:val="auto"/>
              </w:rPr>
            </w:pPr>
          </w:p>
        </w:tc>
        <w:tc>
          <w:tcPr>
            <w:tcW w:w="9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&gt;100%</w:t>
            </w:r>
          </w:p>
        </w:tc>
        <w:tc>
          <w:tcPr>
            <w:tcW w:w="2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Consulting and professional services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w:t>
            </w:r>
          </w:p>
        </w:tc>
        <w:tc>
          <w:tcPr>
            <w:tcW w:w="2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4"/>
        </w:trPr>
        <w:tc>
          <w:tcPr>
            <w:tcW w:w="49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Other expenses</w:t>
            </w: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100" w:type="dxa"/>
            <w:vAlign w:val="bottom"/>
            <w:shd w:val="clear" w:color="auto" w:fill="E9E9E9"/>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2,887</w:t>
            </w:r>
          </w:p>
        </w:tc>
        <w:tc>
          <w:tcPr>
            <w:tcW w:w="100" w:type="dxa"/>
            <w:vAlign w:val="bottom"/>
            <w:shd w:val="clear" w:color="auto" w:fill="E9E9E9"/>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04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(280)</w:t>
            </w:r>
          </w:p>
        </w:tc>
        <w:tc>
          <w:tcPr>
            <w:tcW w:w="12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research and development expense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0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28,476</w:t>
            </w: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17,498</w:t>
            </w: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32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10,978</w:t>
            </w: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Research and development expense increased by $11.0 million to $28.5 million for the year ended December 31, 2024, which was primarily attributable to an increase in costs incurred from engaging contract research and manufacturing organizations in preparation for our pivotal Phase 3 trial of amezalpat for the treatment of first-line HCC.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8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General and administrative expenses increased by $1.9 million to $13.6 million for the year ended December 31, 2024. The increase was primarily due to an increase in stock-based compensation expense due to increased headcount as well as an increase in expenses related to legal and consulting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8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For the years ended December 31, 2024 and 2023, interest income and other income (expense), net consisted of total interest expense of $1.3 million and $1.4 million, respectively, related to the Oxford Loan, and interest income of $1.5 million and $1.1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Since inception through December 31, 2024, our operations have been financed primarily by net cash proceeds from the sale of our common stock, convertible preferred stock and issuance of debt. As of December 31, 2024, we had $30.3 million in cash and cash equivalents and an accumulated deficit of $207.1 million. We expect that our research and development and general and administrative expenses will increase, and, as a result, we anticipate that we will continue to incur increasing losses in the foreseeable future.</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We believe our cash and cash equivalents as of December 31, 2024 will fund our ongoing working capital, investing, and financing requirements for at least the next 12 months from the date our consolidated financial statements were available to be issued. However, our ability to fund continued development, including our Phase 3 clinical trial for amezalpat, will require significant additional capital. Adequate additional financing may not be available to us on acceptable terms, or at all.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we may be forced to wind down our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Agreement with Oxford Finance</w:t>
      </w:r>
    </w:p>
    <w:p>
      <w:pPr>
        <w:spacing w:after="0" w:line="30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On January 15, 2021, we entered into a loan and security agreement with Oxford Finance LLC (“Oxford”) to borrow a term loan amount of $35.0 million to be funded in three tranches (the “Loan Agreement”). Tranche A of $15.0 million was funded</w:t>
      </w:r>
    </w:p>
    <w:p>
      <w:pPr>
        <w:sectPr>
          <w:pgSz w:w="12240" w:h="15840" w:orient="portrait"/>
          <w:cols w:equalWidth="0" w:num="1">
            <w:col w:w="10240"/>
          </w:cols>
          <w:pgMar w:left="1000" w:top="940" w:right="1000" w:bottom="175"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40"/>
          </w:cols>
          <w:pgMar w:left="1000" w:top="940" w:right="1000" w:bottom="175" w:gutter="0" w:footer="0" w:header="0"/>
          <w:type w:val="continuous"/>
        </w:sectPr>
      </w:pPr>
    </w:p>
    <w:bookmarkStart w:id="94" w:name="page95"/>
    <w:bookmarkEnd w:id="94"/>
    <w:p>
      <w:pPr>
        <w:jc w:val="both"/>
        <w:spacing w:after="0" w:line="306" w:lineRule="auto"/>
        <w:rPr>
          <w:sz w:val="20"/>
          <w:szCs w:val="20"/>
          <w:color w:val="auto"/>
        </w:rPr>
      </w:pPr>
      <w:r>
        <w:rPr>
          <w:rFonts w:ascii="Times New Roman" w:cs="Times New Roman" w:eastAsia="Times New Roman" w:hAnsi="Times New Roman"/>
          <w:sz w:val="20"/>
          <w:szCs w:val="20"/>
          <w:color w:val="auto"/>
        </w:rPr>
        <w:t>on January 15, 2021. Tranche B of $10.0 million expired on March 31, 2022. Tranche C of $10.0 million is available at Oxford’s option.</w:t>
      </w:r>
    </w:p>
    <w:p>
      <w:pPr>
        <w:spacing w:after="0" w:line="1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intellectual property, was granted to the Lender. In addition, the Lender permitted a one-time prepayment in the amount of $5.0 million which the Company paid on December 23, 2022.</w:t>
      </w:r>
    </w:p>
    <w:p>
      <w:pPr>
        <w:spacing w:after="0" w:line="2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During the fourth quarter of 2023, the Company achieved the circumstances necessary to extend the interest-only repayment period through June 30, 2024. As of December 31, 2024, the balance of the loan payable (net of debt issuance costs) was $6.4 million and a total of $10.0 million in borrowing capacity remained available at the option of Oxford.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 loan matures on August 1, 2025 and has an annual floating interest rate of 7.15% which is an Index Rate plus 7.10%.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Index Rate is the greater of (i) 1-Month CME Term SOFR or (ii) 0.05%.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3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June 2024, we entered into a sales agreement with Jefferies LLC, pursuant to which we may sell, from time to time at our sole discretion through Jefferies, as our sales agent, shares of our common stock (the “ATM Program”). Any shares of our common stock sold will be issued pursuant to our shelf registration statement on Form S-3 (File No. 333-280918). We will pay Jefferies a commission up to 3.0% of the gross sales proceeds of any shares of our common stock sold through Jefferies under the ATM Program and also have provided Jefferies with indemnification and contribution rights. As of December 31, 2024, we have sold an aggregate of 21,626,191 shares of our common stock for gross proceeds of approximately $29.6 million, or $28.8 million after deducting commissions and offering expenses, pursuant to the ATM Program. Between January 1, 2025 and March 21, 2025, we sold 1,464,321 shares of our common stock for gross and net proceeds of $1.3 million, pursuant to the ATM Program. As of March 21, 2025, we have approximately $13.4 million available for sale under the ATM Program.</w:t>
      </w:r>
    </w:p>
    <w:p>
      <w:pPr>
        <w:spacing w:after="0" w:line="24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As of the date of this Form 10-K,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twelve-month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2024 and 2023:</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E9E9E9"/>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r>
      <w:tr>
        <w:trPr>
          <w:trHeight w:val="225"/>
        </w:trPr>
        <w:tc>
          <w:tcPr>
            <w:tcW w:w="6800" w:type="dxa"/>
            <w:vAlign w:val="bottom"/>
            <w:tcBorders>
              <w:bottom w:val="single" w:sz="8" w:color="E9E9E9"/>
            </w:tcBorders>
          </w:tcPr>
          <w:p>
            <w:pPr>
              <w:spacing w:after="0"/>
              <w:rPr>
                <w:sz w:val="19"/>
                <w:szCs w:val="19"/>
                <w:color w:val="auto"/>
              </w:rPr>
            </w:pPr>
          </w:p>
        </w:tc>
        <w:tc>
          <w:tcPr>
            <w:tcW w:w="160" w:type="dxa"/>
            <w:vAlign w:val="bottom"/>
            <w:tcBorders>
              <w:bottom w:val="single" w:sz="8" w:color="EAEAEA"/>
            </w:tcBorders>
          </w:tcPr>
          <w:p>
            <w:pPr>
              <w:spacing w:after="0"/>
              <w:rPr>
                <w:sz w:val="19"/>
                <w:szCs w:val="19"/>
                <w:color w:val="auto"/>
              </w:rPr>
            </w:pPr>
          </w:p>
        </w:tc>
        <w:tc>
          <w:tcPr>
            <w:tcW w:w="20" w:type="dxa"/>
            <w:vAlign w:val="bottom"/>
            <w:tcBorders>
              <w:bottom w:val="single" w:sz="8" w:color="EAEAEA"/>
            </w:tcBorders>
          </w:tcPr>
          <w:p>
            <w:pPr>
              <w:spacing w:after="0"/>
              <w:rPr>
                <w:sz w:val="19"/>
                <w:szCs w:val="19"/>
                <w:color w:val="auto"/>
              </w:rPr>
            </w:pPr>
          </w:p>
        </w:tc>
        <w:tc>
          <w:tcPr>
            <w:tcW w:w="300" w:type="dxa"/>
            <w:vAlign w:val="bottom"/>
            <w:tcBorders>
              <w:bottom w:val="single" w:sz="8" w:color="EAEAEA"/>
            </w:tcBorders>
          </w:tcPr>
          <w:p>
            <w:pPr>
              <w:spacing w:after="0"/>
              <w:rPr>
                <w:sz w:val="19"/>
                <w:szCs w:val="19"/>
                <w:color w:val="auto"/>
              </w:rPr>
            </w:pPr>
          </w:p>
        </w:tc>
        <w:tc>
          <w:tcPr>
            <w:tcW w:w="1920" w:type="dxa"/>
            <w:vAlign w:val="bottom"/>
            <w:tcBorders>
              <w:bottom w:val="single" w:sz="8" w:color="EAEAEA"/>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960" w:type="dxa"/>
            <w:vAlign w:val="bottom"/>
            <w:tcBorders>
              <w:bottom w:val="single" w:sz="8" w:color="EAEAEA"/>
            </w:tcBorders>
          </w:tcPr>
          <w:p>
            <w:pPr>
              <w:spacing w:after="0"/>
              <w:rPr>
                <w:sz w:val="19"/>
                <w:szCs w:val="19"/>
                <w:color w:val="auto"/>
              </w:rPr>
            </w:pPr>
          </w:p>
        </w:tc>
        <w:tc>
          <w:tcPr>
            <w:tcW w:w="80" w:type="dxa"/>
            <w:vAlign w:val="bottom"/>
            <w:tcBorders>
              <w:bottom w:val="single" w:sz="8" w:color="EAEAEA"/>
            </w:tcBorders>
          </w:tcPr>
          <w:p>
            <w:pPr>
              <w:spacing w:after="0"/>
              <w:rPr>
                <w:sz w:val="19"/>
                <w:szCs w:val="19"/>
                <w:color w:val="auto"/>
              </w:rPr>
            </w:pPr>
          </w:p>
        </w:tc>
      </w:tr>
      <w:tr>
        <w:trPr>
          <w:trHeight w:val="225"/>
        </w:trPr>
        <w:tc>
          <w:tcPr>
            <w:tcW w:w="68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Cash used in operating activities</w:t>
            </w:r>
          </w:p>
        </w:tc>
        <w:tc>
          <w:tcPr>
            <w:tcW w:w="480" w:type="dxa"/>
            <w:vAlign w:val="bottom"/>
            <w:gridSpan w:val="3"/>
            <w:shd w:val="clear" w:color="auto" w:fill="EAEAEA"/>
          </w:tcPr>
          <w:p>
            <w:pPr>
              <w:jc w:val="right"/>
              <w:ind w:right="135"/>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EAEAEA"/>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(33,027)</w:t>
            </w:r>
          </w:p>
        </w:tc>
        <w:tc>
          <w:tcPr>
            <w:tcW w:w="660" w:type="dxa"/>
            <w:vAlign w:val="bottom"/>
            <w:gridSpan w:val="2"/>
            <w:shd w:val="clear" w:color="auto" w:fill="EAEAEA"/>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EAEAEA"/>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(27,357)</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(170)</w:t>
            </w:r>
          </w:p>
        </w:tc>
      </w:tr>
      <w:tr>
        <w:trPr>
          <w:trHeight w:val="230"/>
        </w:trPr>
        <w:tc>
          <w:tcPr>
            <w:tcW w:w="68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provided by financing activities</w:t>
            </w:r>
          </w:p>
        </w:tc>
        <w:tc>
          <w:tcPr>
            <w:tcW w:w="160" w:type="dxa"/>
            <w:vAlign w:val="bottom"/>
            <w:shd w:val="clear" w:color="auto" w:fill="EAEAEA"/>
          </w:tcPr>
          <w:p>
            <w:pPr>
              <w:spacing w:after="0"/>
              <w:rPr>
                <w:sz w:val="20"/>
                <w:szCs w:val="20"/>
                <w:color w:val="auto"/>
              </w:rPr>
            </w:pPr>
          </w:p>
        </w:tc>
        <w:tc>
          <w:tcPr>
            <w:tcW w:w="20" w:type="dxa"/>
            <w:vAlign w:val="bottom"/>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spacing w:after="0"/>
              <w:rPr>
                <w:sz w:val="20"/>
                <w:szCs w:val="20"/>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24,500</w:t>
            </w: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500" w:type="dxa"/>
            <w:vAlign w:val="bottom"/>
            <w:tcBorders>
              <w:bottom w:val="single" w:sz="8" w:color="auto"/>
            </w:tcBorders>
            <w:shd w:val="clear" w:color="auto" w:fill="EAEAEA"/>
          </w:tcPr>
          <w:p>
            <w:pPr>
              <w:spacing w:after="0"/>
              <w:rPr>
                <w:sz w:val="20"/>
                <w:szCs w:val="20"/>
                <w:color w:val="auto"/>
              </w:rPr>
            </w:pPr>
          </w:p>
        </w:tc>
        <w:tc>
          <w:tcPr>
            <w:tcW w:w="9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35,602</w:t>
            </w:r>
          </w:p>
        </w:tc>
        <w:tc>
          <w:tcPr>
            <w:tcW w:w="80" w:type="dxa"/>
            <w:vAlign w:val="bottom"/>
            <w:shd w:val="clear" w:color="auto" w:fill="EAEAEA"/>
          </w:tcPr>
          <w:p>
            <w:pPr>
              <w:spacing w:after="0"/>
              <w:rPr>
                <w:sz w:val="20"/>
                <w:szCs w:val="20"/>
                <w:color w:val="auto"/>
              </w:rPr>
            </w:pPr>
          </w:p>
        </w:tc>
      </w:tr>
      <w:tr>
        <w:trPr>
          <w:trHeight w:val="225"/>
        </w:trPr>
        <w:tc>
          <w:tcPr>
            <w:tcW w:w="6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8,075</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40"/>
          </w:cols>
          <w:pgMar w:left="1000" w:top="930" w:right="1000" w:bottom="175"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86"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Cash used in operating activities for the year ended December 31, 2024 was $33.0 million, consisting of a net loss of $41.8 million, add back of non-cash adjustments for depreciation, stock-based compensation, non-cash operating lease expense and other non-cash items totaling $7.2 million, plus changes in operating assets and liabilities of $1.6 million.</w:t>
      </w:r>
    </w:p>
    <w:p>
      <w:pPr>
        <w:spacing w:after="0" w:line="18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Cash used in operating activities for the year ended December 31, 2023 was $27.4 million, consisting of a net loss of $29.5 million, add back of non-cash adjustments for depreciation, stock-based compensation, non-cash operating lease expense and other non-cash items totaling $4.8 million, plus changes in operating assets and liabilities of $2.7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286"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Cash used in investing activities for the years ended December 31, 2024 and 2023 was related to purchases of property and equipment, primarily related to office, laboratory and computer equipment.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86"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2024 was related to proceeds from the issuance of common stock of $28.9 million, offset by Oxford loan principle payments of $4.4 million.</w:t>
      </w:r>
    </w:p>
    <w:p>
      <w:pPr>
        <w:spacing w:after="0" w:line="169"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2023 was related to proceeds from the issuance of common stock of $35.6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We believe that our available cash and cash equivalents are sufficient to fund existing and planned cash requirements for the next 12 months from the date our consolidated financial statements were available to be issued.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funding requirements will depend on many factors, including the following:</w:t>
      </w:r>
    </w:p>
    <w:p>
      <w:pPr>
        <w:spacing w:after="0" w:line="254" w:lineRule="exact"/>
        <w:rPr>
          <w:sz w:val="20"/>
          <w:szCs w:val="20"/>
          <w:color w:val="auto"/>
        </w:rPr>
      </w:pPr>
    </w:p>
    <w:p>
      <w:pPr>
        <w:ind w:left="980" w:right="20" w:hanging="497"/>
        <w:spacing w:after="0" w:line="258"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a pivotal Phase 3 study for amezalpat in first-line HCC patients, as well as other costs associated with the scope, progress and results of discovery, preclinical development, laboratory testing and clinical trials for our product candidates;</w:t>
      </w:r>
    </w:p>
    <w:p>
      <w:pPr>
        <w:spacing w:after="0" w:line="201" w:lineRule="exact"/>
        <w:rPr>
          <w:rFonts w:ascii="Arial" w:cs="Arial" w:eastAsia="Arial" w:hAnsi="Arial"/>
          <w:sz w:val="20"/>
          <w:szCs w:val="20"/>
          <w:color w:val="auto"/>
        </w:rPr>
      </w:pPr>
    </w:p>
    <w:p>
      <w:pPr>
        <w:ind w:left="980" w:hanging="497"/>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the manufacturing of our product candidates;</w:t>
      </w:r>
    </w:p>
    <w:p>
      <w:pPr>
        <w:spacing w:after="0" w:line="253" w:lineRule="exact"/>
        <w:rPr>
          <w:rFonts w:ascii="Arial" w:cs="Arial" w:eastAsia="Arial" w:hAnsi="Arial"/>
          <w:sz w:val="20"/>
          <w:szCs w:val="20"/>
          <w:color w:val="auto"/>
        </w:rPr>
      </w:pPr>
    </w:p>
    <w:p>
      <w:pPr>
        <w:ind w:left="980" w:right="80" w:hanging="497"/>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related to the extent to which we enter into partnerships or other arrangements with third parties to further develop our product candidates;</w:t>
      </w:r>
    </w:p>
    <w:p>
      <w:pPr>
        <w:spacing w:after="0" w:line="184" w:lineRule="exact"/>
        <w:rPr>
          <w:rFonts w:ascii="Arial" w:cs="Arial" w:eastAsia="Arial" w:hAnsi="Arial"/>
          <w:sz w:val="20"/>
          <w:szCs w:val="20"/>
          <w:color w:val="auto"/>
        </w:rPr>
      </w:pPr>
    </w:p>
    <w:p>
      <w:pPr>
        <w:ind w:left="980" w:hanging="497"/>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fees associated with the discovery, acquisition or in-license of product candidates or technologies;</w:t>
      </w:r>
    </w:p>
    <w:p>
      <w:pPr>
        <w:spacing w:after="0" w:line="253" w:lineRule="exact"/>
        <w:rPr>
          <w:rFonts w:ascii="Arial" w:cs="Arial" w:eastAsia="Arial" w:hAnsi="Arial"/>
          <w:sz w:val="20"/>
          <w:szCs w:val="20"/>
          <w:color w:val="auto"/>
        </w:rPr>
      </w:pPr>
    </w:p>
    <w:p>
      <w:pPr>
        <w:ind w:left="980" w:hanging="497"/>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collaborations on favorable terms, if at all;</w:t>
      </w:r>
    </w:p>
    <w:p>
      <w:pPr>
        <w:spacing w:after="0" w:line="253" w:lineRule="exact"/>
        <w:rPr>
          <w:rFonts w:ascii="Arial" w:cs="Arial" w:eastAsia="Arial" w:hAnsi="Arial"/>
          <w:sz w:val="20"/>
          <w:szCs w:val="20"/>
          <w:color w:val="auto"/>
        </w:rPr>
      </w:pPr>
    </w:p>
    <w:p>
      <w:pPr>
        <w:ind w:left="980" w:right="500" w:hanging="497"/>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future commercialization activities, if any, including product sales, marketing, manufacturing and distribution, for any of our product candidates for which we receive marketing approval;</w:t>
      </w:r>
    </w:p>
    <w:p>
      <w:pPr>
        <w:spacing w:after="0" w:line="184" w:lineRule="exact"/>
        <w:rPr>
          <w:rFonts w:ascii="Arial" w:cs="Arial" w:eastAsia="Arial" w:hAnsi="Arial"/>
          <w:sz w:val="20"/>
          <w:szCs w:val="20"/>
          <w:color w:val="auto"/>
        </w:rPr>
      </w:pPr>
    </w:p>
    <w:p>
      <w:pPr>
        <w:ind w:left="980" w:right="300" w:hanging="497"/>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revenue, if any, received from commercial sales of our product candidates, should any of our product candidates receive marketing approval; and</w:t>
      </w:r>
    </w:p>
    <w:p>
      <w:pPr>
        <w:spacing w:after="0" w:line="184" w:lineRule="exact"/>
        <w:rPr>
          <w:rFonts w:ascii="Arial" w:cs="Arial" w:eastAsia="Arial" w:hAnsi="Arial"/>
          <w:sz w:val="20"/>
          <w:szCs w:val="20"/>
          <w:color w:val="auto"/>
        </w:rPr>
      </w:pPr>
    </w:p>
    <w:p>
      <w:pPr>
        <w:ind w:left="980" w:right="680" w:hanging="497"/>
        <w:spacing w:after="0" w:line="276"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sectPr>
          <w:pgSz w:w="12240" w:h="15840" w:orient="portrait"/>
          <w:cols w:equalWidth="0" w:num="1">
            <w:col w:w="10260"/>
          </w:cols>
          <w:pgMar w:left="1000" w:top="930" w:right="980" w:bottom="175" w:gutter="0" w:footer="0" w:header="0"/>
        </w:sectPr>
      </w:pP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930" w:right="980" w:bottom="175" w:gutter="0" w:footer="0" w:header="0"/>
          <w:type w:val="continuous"/>
        </w:sectPr>
      </w:pPr>
    </w:p>
    <w:bookmarkStart w:id="96" w:name="page97"/>
    <w:bookmarkEnd w:id="96"/>
    <w:p>
      <w:pPr>
        <w:jc w:val="both"/>
        <w:spacing w:after="0" w:line="297"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a product candidate could mean a significant change in the costs and timing associated with the development of that product candidate.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Until we can generate a sufficient amount of product revenue to finance our cash requirements, if ever,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we may be forced to wind down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Cash Requirements</w:t>
      </w:r>
    </w:p>
    <w:p>
      <w:pPr>
        <w:spacing w:after="0" w:line="2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material cash requirements primarily relate to the maturities of the principal obligations under our long-term debt, operating leases for office space, trade payables, and accrued expenses. As of December 31, 2024, we have $14.2 million payable within 12 months, including the current loan payable (net of discount and issuance costs) of $6.4 million due to Oxford and $0.9 million related to the Brisbane Lease. Refer to Notes 5 and 6 to our Consolidated Financial Statements for additional information.</w:t>
      </w:r>
    </w:p>
    <w:p>
      <w:pPr>
        <w:spacing w:after="0" w:line="19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3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20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Consolidated Financial Statements located elsewhere in this Annual Report. We have listed below</w:t>
      </w:r>
    </w:p>
    <w:p>
      <w:pPr>
        <w:sectPr>
          <w:pgSz w:w="12240" w:h="15840" w:orient="portrait"/>
          <w:cols w:equalWidth="0" w:num="1">
            <w:col w:w="10240"/>
          </w:cols>
          <w:pgMar w:left="1000" w:top="930" w:right="1000" w:bottom="175"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40"/>
          </w:cols>
          <w:pgMar w:left="1000" w:top="930" w:right="1000" w:bottom="175" w:gutter="0" w:footer="0" w:header="0"/>
          <w:type w:val="continuous"/>
        </w:sectPr>
      </w:pPr>
    </w:p>
    <w:bookmarkStart w:id="97" w:name="page98"/>
    <w:bookmarkEnd w:id="97"/>
    <w:p>
      <w:pPr>
        <w:jc w:val="both"/>
        <w:ind w:left="6"/>
        <w:spacing w:after="0" w:line="287" w:lineRule="auto"/>
        <w:rPr>
          <w:sz w:val="20"/>
          <w:szCs w:val="20"/>
          <w:color w:val="auto"/>
        </w:rPr>
      </w:pPr>
      <w:r>
        <w:rPr>
          <w:rFonts w:ascii="Times New Roman" w:cs="Times New Roman" w:eastAsia="Times New Roman" w:hAnsi="Times New Roman"/>
          <w:sz w:val="20"/>
          <w:szCs w:val="20"/>
          <w:color w:val="auto"/>
        </w:rPr>
        <w:t>our critical accounting policies and estimates that we believe to have the greatest potential impact on our Consolidated Financial Statements. Historically, our assumptions, judgments and estimates relative to our critical accounting estimates have not differed materially from actual results and no significant assumptions used have a high degree of subjectivity.</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06"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expenses. We record accrued expenses for these costs based on the estimated amount of work completed and in accordance with agreements established with these third parties.</w:t>
      </w:r>
    </w:p>
    <w:p>
      <w:pPr>
        <w:spacing w:after="0" w:line="120" w:lineRule="exact"/>
        <w:rPr>
          <w:sz w:val="20"/>
          <w:szCs w:val="20"/>
          <w:color w:val="auto"/>
        </w:rPr>
      </w:pPr>
    </w:p>
    <w:p>
      <w:pPr>
        <w:jc w:val="both"/>
        <w:ind w:left="6"/>
        <w:spacing w:after="0" w:line="291" w:lineRule="auto"/>
        <w:rPr>
          <w:sz w:val="20"/>
          <w:szCs w:val="20"/>
          <w:color w:val="auto"/>
        </w:rPr>
      </w:pPr>
      <w:r>
        <w:rPr>
          <w:rFonts w:ascii="Times New Roman" w:cs="Times New Roman" w:eastAsia="Times New Roman" w:hAnsi="Times New Roman"/>
          <w:sz w:val="20"/>
          <w:szCs w:val="20"/>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1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06" w:lineRule="exact"/>
        <w:rPr>
          <w:sz w:val="20"/>
          <w:szCs w:val="20"/>
          <w:color w:val="auto"/>
        </w:rPr>
      </w:pPr>
    </w:p>
    <w:p>
      <w:pPr>
        <w:jc w:val="both"/>
        <w:ind w:left="6"/>
        <w:spacing w:after="0" w:line="297" w:lineRule="auto"/>
        <w:rPr>
          <w:sz w:val="20"/>
          <w:szCs w:val="20"/>
          <w:color w:val="auto"/>
        </w:rPr>
      </w:pPr>
      <w:r>
        <w:rPr>
          <w:rFonts w:ascii="Times New Roman" w:cs="Times New Roman" w:eastAsia="Times New Roman" w:hAnsi="Times New Roman"/>
          <w:sz w:val="20"/>
          <w:szCs w:val="20"/>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any forfeitures as they occur.</w:t>
      </w:r>
    </w:p>
    <w:p>
      <w:pPr>
        <w:spacing w:after="0" w:line="117" w:lineRule="exact"/>
        <w:rPr>
          <w:sz w:val="20"/>
          <w:szCs w:val="20"/>
          <w:color w:val="auto"/>
        </w:rPr>
      </w:pPr>
    </w:p>
    <w:p>
      <w:pPr>
        <w:jc w:val="both"/>
        <w:ind w:left="6"/>
        <w:spacing w:after="0" w:line="300" w:lineRule="auto"/>
        <w:rPr>
          <w:sz w:val="20"/>
          <w:szCs w:val="20"/>
          <w:color w:val="auto"/>
        </w:rPr>
      </w:pPr>
      <w:r>
        <w:rPr>
          <w:rFonts w:ascii="Times New Roman" w:cs="Times New Roman" w:eastAsia="Times New Roman" w:hAnsi="Times New Roman"/>
          <w:sz w:val="20"/>
          <w:szCs w:val="20"/>
          <w:color w:val="auto"/>
        </w:rPr>
        <w:t>In determining the fair value of stock options, we use the Black-Scholes option-pricing model. The Black-Scholes model requires the input of subjective assumptions, including expected volatility, expected dividend yield, expected term, risk-free rate of return, and the fair value of the underlying common stock on the date of grant, and generally requires significant judgment to determine.</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90" w:lineRule="exact"/>
        <w:rPr>
          <w:sz w:val="20"/>
          <w:szCs w:val="20"/>
          <w:color w:val="auto"/>
        </w:rPr>
      </w:pPr>
    </w:p>
    <w:p>
      <w:pPr>
        <w:jc w:val="both"/>
        <w:ind w:left="6"/>
        <w:spacing w:after="0" w:line="325" w:lineRule="auto"/>
        <w:rPr>
          <w:sz w:val="20"/>
          <w:szCs w:val="20"/>
          <w:color w:val="auto"/>
        </w:rPr>
      </w:pPr>
      <w:r>
        <w:rPr>
          <w:rFonts w:ascii="Times New Roman" w:cs="Times New Roman" w:eastAsia="Times New Roman" w:hAnsi="Times New Roman"/>
          <w:sz w:val="20"/>
          <w:szCs w:val="20"/>
          <w:color w:val="auto"/>
        </w:rPr>
        <w:t>See Note 2 to our Consolidated Financial Statements for a description of recent accounting pronouncements applicable to our Consolidated Financial Statements.</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Smaller Reporting Company Status and a Non-Accelerated Filer</w:t>
      </w:r>
    </w:p>
    <w:p>
      <w:pPr>
        <w:spacing w:after="0" w:line="290" w:lineRule="exact"/>
        <w:rPr>
          <w:sz w:val="20"/>
          <w:szCs w:val="20"/>
          <w:color w:val="auto"/>
        </w:rPr>
      </w:pPr>
    </w:p>
    <w:p>
      <w:pPr>
        <w:jc w:val="both"/>
        <w:ind w:left="6"/>
        <w:spacing w:after="0" w:line="271"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3" w:lineRule="exact"/>
        <w:rPr>
          <w:sz w:val="20"/>
          <w:szCs w:val="20"/>
          <w:color w:val="auto"/>
        </w:rPr>
      </w:pPr>
    </w:p>
    <w:p>
      <w:pPr>
        <w:jc w:val="both"/>
        <w:ind w:left="6" w:hanging="6"/>
        <w:spacing w:after="0" w:line="278" w:lineRule="auto"/>
        <w:tabs>
          <w:tab w:leader="none" w:pos="25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w:t>
      </w:r>
    </w:p>
    <w:p>
      <w:pPr>
        <w:sectPr>
          <w:pgSz w:w="12240" w:h="15840" w:orient="portrait"/>
          <w:cols w:equalWidth="0" w:num="1">
            <w:col w:w="10246"/>
          </w:cols>
          <w:pgMar w:left="994" w:top="930" w:right="1000" w:bottom="175" w:gutter="0" w:footer="0" w:header="0"/>
        </w:sectPr>
      </w:pPr>
    </w:p>
    <w:p>
      <w:pPr>
        <w:spacing w:after="0" w:line="29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46"/>
          </w:cols>
          <w:pgMar w:left="994" w:top="930" w:right="1000" w:bottom="175" w:gutter="0" w:footer="0" w:header="0"/>
          <w:type w:val="continuous"/>
        </w:sectPr>
      </w:pPr>
    </w:p>
    <w:bookmarkStart w:id="98" w:name="page99"/>
    <w:bookmarkEnd w:id="98"/>
    <w:p>
      <w:pPr>
        <w:jc w:val="both"/>
        <w:spacing w:after="0" w:line="278" w:lineRule="auto"/>
        <w:rPr>
          <w:sz w:val="20"/>
          <w:szCs w:val="20"/>
          <w:color w:val="auto"/>
        </w:rPr>
      </w:pPr>
      <w:r>
        <w:rPr>
          <w:rFonts w:ascii="Times New Roman" w:cs="Times New Roman" w:eastAsia="Times New Roman" w:hAnsi="Times New Roman"/>
          <w:sz w:val="20"/>
          <w:szCs w:val="20"/>
          <w:color w:val="auto"/>
        </w:rPr>
        <w:t>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9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Additionally, as a non-accelerated filer, we may continue to take advantage of the exception from compliance with the auditor attestation requirements of Section 404 of the Sarbanes-Oxley Act of 2002, as amended.</w:t>
      </w:r>
    </w:p>
    <w:p>
      <w:pPr>
        <w:spacing w:after="0" w:line="165" w:lineRule="exact"/>
        <w:rPr>
          <w:sz w:val="20"/>
          <w:szCs w:val="20"/>
          <w:color w:val="auto"/>
        </w:rPr>
      </w:pPr>
    </w:p>
    <w:p>
      <w:pPr>
        <w:ind w:right="2080"/>
        <w:spacing w:after="0" w:line="496"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color w:val="auto"/>
        </w:rPr>
        <w:t>Not required for smaller reporting companies.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40"/>
          </w:cols>
          <w:pgMar w:left="1000" w:top="930" w:right="1000" w:bottom="175"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74"/>
        </w:trPr>
        <w:tc>
          <w:tcPr>
            <w:tcW w:w="8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380" w:type="dxa"/>
            <w:vAlign w:val="bottom"/>
          </w:tcPr>
          <w:p>
            <w:pPr>
              <w:spacing w:after="0"/>
              <w:rPr>
                <w:sz w:val="23"/>
                <w:szCs w:val="23"/>
                <w:color w:val="auto"/>
              </w:rPr>
            </w:pPr>
          </w:p>
        </w:tc>
      </w:tr>
      <w:tr>
        <w:trPr>
          <w:trHeight w:val="516"/>
        </w:trPr>
        <w:tc>
          <w:tcPr>
            <w:tcW w:w="8820" w:type="dxa"/>
            <w:vAlign w:val="bottom"/>
            <w:gridSpan w:val="3"/>
          </w:tcPr>
          <w:p>
            <w:pPr>
              <w:ind w:left="3560"/>
              <w:spacing w:after="0"/>
              <w:rPr>
                <w:sz w:val="20"/>
                <w:szCs w:val="20"/>
                <w:color w:val="auto"/>
              </w:rPr>
            </w:pPr>
            <w:r>
              <w:rPr>
                <w:rFonts w:ascii="Times New Roman" w:cs="Times New Roman" w:eastAsia="Times New Roman" w:hAnsi="Times New Roman"/>
                <w:sz w:val="20"/>
                <w:szCs w:val="20"/>
                <w:b w:val="1"/>
                <w:bCs w:val="1"/>
                <w:color w:val="auto"/>
              </w:rPr>
              <w:t>TEMPEST THERAPEUTICS, INC.</w:t>
            </w:r>
          </w:p>
        </w:tc>
        <w:tc>
          <w:tcPr>
            <w:tcW w:w="1380" w:type="dxa"/>
            <w:vAlign w:val="bottom"/>
          </w:tcPr>
          <w:p>
            <w:pPr>
              <w:spacing w:after="0"/>
              <w:rPr>
                <w:sz w:val="24"/>
                <w:szCs w:val="24"/>
                <w:color w:val="auto"/>
              </w:rPr>
            </w:pPr>
          </w:p>
        </w:tc>
      </w:tr>
      <w:tr>
        <w:trPr>
          <w:trHeight w:val="276"/>
        </w:trPr>
        <w:tc>
          <w:tcPr>
            <w:tcW w:w="8820" w:type="dxa"/>
            <w:vAlign w:val="bottom"/>
            <w:gridSpan w:val="3"/>
          </w:tcPr>
          <w:p>
            <w:pPr>
              <w:ind w:left="25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380" w:type="dxa"/>
            <w:vAlign w:val="bottom"/>
          </w:tcPr>
          <w:p>
            <w:pPr>
              <w:spacing w:after="0"/>
              <w:rPr>
                <w:sz w:val="24"/>
                <w:szCs w:val="24"/>
                <w:color w:val="auto"/>
              </w:rPr>
            </w:pPr>
          </w:p>
        </w:tc>
      </w:tr>
      <w:tr>
        <w:trPr>
          <w:trHeight w:val="590"/>
        </w:trPr>
        <w:tc>
          <w:tcPr>
            <w:tcW w:w="8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xml:space="preserve">Report of Independent Registered Public Accounting Firm </w:t>
            </w:r>
            <w:r>
              <w:rPr>
                <w:rFonts w:ascii="Times New Roman" w:cs="Times New Roman" w:eastAsia="Times New Roman" w:hAnsi="Times New Roman"/>
                <w:sz w:val="20"/>
                <w:szCs w:val="20"/>
                <w:color w:val="4C4C4C"/>
              </w:rPr>
              <w:t>(PCAOB ID 42)</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48"/>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360" w:type="dxa"/>
            <w:vAlign w:val="bottom"/>
            <w:tcBorders>
              <w:top w:val="single" w:sz="8" w:color="4C4C4C"/>
            </w:tcBorders>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35"/>
        </w:trPr>
        <w:tc>
          <w:tcPr>
            <w:tcW w:w="8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35"/>
        </w:trPr>
        <w:tc>
          <w:tcPr>
            <w:tcW w:w="8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5"/>
        </w:trPr>
        <w:tc>
          <w:tcPr>
            <w:tcW w:w="8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335"/>
        </w:trPr>
        <w:tc>
          <w:tcPr>
            <w:tcW w:w="8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00" w:lineRule="exact"/>
        <w:rPr>
          <w:sz w:val="20"/>
          <w:szCs w:val="20"/>
          <w:color w:val="auto"/>
        </w:rPr>
      </w:pPr>
    </w:p>
    <w:p>
      <w:pPr>
        <w:sectPr>
          <w:pgSz w:w="12240" w:h="15840" w:orient="portrait"/>
          <w:cols w:equalWidth="0" w:num="1">
            <w:col w:w="10200"/>
          </w:cols>
          <w:pgMar w:left="1000" w:top="926" w:right="10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00"/>
          </w:cols>
          <w:pgMar w:left="1000" w:top="926" w:right="1040" w:bottom="175" w:gutter="0" w:footer="0" w:header="0"/>
          <w:type w:val="continuous"/>
        </w:sectPr>
      </w:pPr>
    </w:p>
    <w:bookmarkStart w:id="100" w:name="page101"/>
    <w:bookmarkEnd w:id="100"/>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Tempest Therapeutics, Inc.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Tempest Therapeutics, Inc. (the Company) as of December 31, 2024 and 2023, the related consolidated statements of operations,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40"/>
          </w:cols>
          <w:pgMar w:left="1000" w:top="926" w:right="1000" w:bottom="175" w:gutter="0" w:footer="0" w:header="0"/>
          <w:type w:val="continuous"/>
        </w:sectPr>
      </w:pPr>
    </w:p>
    <w:bookmarkStart w:id="101" w:name="page102"/>
    <w:bookmarkEnd w:id="101"/>
    <w:p>
      <w:pPr>
        <w:spacing w:after="0" w:line="200" w:lineRule="exact"/>
        <w:rPr>
          <w:sz w:val="20"/>
          <w:szCs w:val="20"/>
          <w:color w:val="auto"/>
        </w:rPr>
      </w:pPr>
    </w:p>
    <w:p>
      <w:pPr>
        <w:spacing w:after="0" w:line="263" w:lineRule="exact"/>
        <w:rPr>
          <w:sz w:val="20"/>
          <w:szCs w:val="20"/>
          <w:color w:val="auto"/>
        </w:rPr>
      </w:pPr>
    </w:p>
    <w:p>
      <w:pPr>
        <w:ind w:left="100"/>
        <w:spacing w:after="0" w:line="275"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right="20"/>
        <w:spacing w:after="0" w:line="251" w:lineRule="auto"/>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described in Note 2 to the financial statements under the caption “Research and development expenses and accrued research and development”, the Company records the cost of research and development activities as they are incurred. The Company estimates preclinical studies and clinical trial expenses based on the services performed pursuant to contracts with research institutions and clinical research organizations that conduct and manage preclinical studies and clinical trials on the Company’s behalf. Service fees are accrued based on the Company’s estimates of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As of December 31, 2024, the Company’s accrued clinical trial liability was $1.4 million.</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Auditing the Company’s accrual for research and development expenses was challenging because of the significant volume of transactions and the use of third-party data involved in determining the accrual balance, which was accumulated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test the accrued research and development expenses, our audit procedures included, among others, testing the completeness and accuracy of the underlying data used in the estimate, including, but not limited to, estimated project duration, research and manufacturing services incurred to date and terms of contractual arrangements. To assess the reasonableness of the data, we corroborated the progress of the clinical trials with Company research and development personnel and obtained third-party evidence supporting the activities performed to date. We recalculated the accrual based on executed contracts with the clinical research organizations, contract manufacturing organizations, and clinical study sites. We also tested subsequent invoicing received from third parties to assess the impact to the accrual at the balance sheet date and compared that to the Company’s estimates.</w:t>
      </w:r>
    </w:p>
    <w:p>
      <w:pPr>
        <w:spacing w:after="0" w:line="64" w:lineRule="exact"/>
        <w:rPr>
          <w:sz w:val="20"/>
          <w:szCs w:val="20"/>
          <w:color w:val="auto"/>
        </w:rPr>
      </w:pPr>
    </w:p>
    <w:p>
      <w:pPr>
        <w:sectPr>
          <w:pgSz w:w="12240" w:h="15840" w:orient="portrait"/>
          <w:cols w:equalWidth="0" w:num="2">
            <w:col w:w="1260" w:space="280"/>
            <w:col w:w="8600"/>
          </w:cols>
          <w:pgMar w:left="1000" w:top="1270" w:right="1100" w:bottom="175" w:gutter="0" w:footer="0" w:header="0"/>
        </w:sect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27, 2025</w:t>
      </w:r>
    </w:p>
    <w:p>
      <w:pPr>
        <w:sectPr>
          <w:pgSz w:w="12240" w:h="15840" w:orient="portrait"/>
          <w:cols w:equalWidth="0" w:num="1">
            <w:col w:w="10140"/>
          </w:cols>
          <w:pgMar w:left="1000" w:top="1270" w:right="110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140"/>
          </w:cols>
          <w:pgMar w:left="1000" w:top="1270" w:right="1100" w:bottom="175" w:gutter="0" w:footer="0" w:header="0"/>
          <w:type w:val="continuous"/>
        </w:sectPr>
      </w:pPr>
    </w:p>
    <w:bookmarkStart w:id="102" w:name="page103"/>
    <w:bookmarkEnd w:id="102"/>
    <w:p>
      <w:pPr>
        <w:ind w:left="3960"/>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60" w:type="dxa"/>
            <w:vAlign w:val="bottom"/>
            <w:gridSpan w:val="6"/>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9"/>
        </w:trPr>
        <w:tc>
          <w:tcPr>
            <w:tcW w:w="6960" w:type="dxa"/>
            <w:vAlign w:val="bottom"/>
            <w:tcBorders>
              <w:bottom w:val="single" w:sz="8" w:color="EAEAEA"/>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top w:val="single" w:sz="8" w:color="auto"/>
              <w:bottom w:val="single" w:sz="8" w:color="EAEAEA"/>
            </w:tcBorders>
          </w:tcPr>
          <w:p>
            <w:pPr>
              <w:spacing w:after="0"/>
              <w:rPr>
                <w:sz w:val="20"/>
                <w:szCs w:val="20"/>
                <w:color w:val="auto"/>
              </w:rPr>
            </w:pPr>
          </w:p>
        </w:tc>
        <w:tc>
          <w:tcPr>
            <w:tcW w:w="100" w:type="dxa"/>
            <w:vAlign w:val="bottom"/>
            <w:tcBorders>
              <w:top w:val="single" w:sz="8" w:color="auto"/>
              <w:bottom w:val="single" w:sz="8" w:color="EAEAEA"/>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shd w:val="clear" w:color="auto" w:fill="EAEAEA"/>
          </w:tcPr>
          <w:p>
            <w:pPr>
              <w:spacing w:after="0"/>
              <w:rPr>
                <w:sz w:val="20"/>
                <w:szCs w:val="20"/>
                <w:color w:val="auto"/>
              </w:rPr>
            </w:pPr>
          </w:p>
        </w:tc>
        <w:tc>
          <w:tcPr>
            <w:tcW w:w="116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1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30,268</w:t>
            </w:r>
          </w:p>
        </w:tc>
        <w:tc>
          <w:tcPr>
            <w:tcW w:w="160" w:type="dxa"/>
            <w:vAlign w:val="bottom"/>
            <w:shd w:val="clear" w:color="auto" w:fill="EAEAEA"/>
          </w:tcPr>
          <w:p>
            <w:pPr>
              <w:spacing w:after="0"/>
              <w:rPr>
                <w:sz w:val="21"/>
                <w:szCs w:val="21"/>
                <w:color w:val="auto"/>
              </w:rPr>
            </w:pPr>
          </w:p>
        </w:tc>
        <w:tc>
          <w:tcPr>
            <w:tcW w:w="420" w:type="dxa"/>
            <w:vAlign w:val="bottom"/>
            <w:gridSpan w:val="2"/>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39,230</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6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320" w:type="dxa"/>
            <w:vAlign w:val="bottom"/>
            <w:shd w:val="clear" w:color="auto" w:fill="EAEAEA"/>
          </w:tcPr>
          <w:p>
            <w:pPr>
              <w:spacing w:after="0"/>
              <w:rPr>
                <w:sz w:val="20"/>
                <w:szCs w:val="20"/>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31,474</w:t>
            </w:r>
          </w:p>
        </w:tc>
        <w:tc>
          <w:tcPr>
            <w:tcW w:w="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40,363</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8,643</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9,952</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96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assets</w:t>
            </w:r>
          </w:p>
        </w:tc>
        <w:tc>
          <w:tcPr>
            <w:tcW w:w="32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41,488</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51,603</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16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2,726</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1,673</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Current loan payable (net of discount and issuance costs of $74 and $112,</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respectively)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Current operating lease liabilities</w:t>
            </w: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Interest payable</w:t>
            </w:r>
          </w:p>
        </w:tc>
        <w:tc>
          <w:tcPr>
            <w:tcW w:w="320" w:type="dxa"/>
            <w:vAlign w:val="bottom"/>
            <w:tcBorders>
              <w:bottom w:val="single" w:sz="8" w:color="auto"/>
            </w:tcBorders>
            <w:shd w:val="clear" w:color="auto" w:fill="EAEAEA"/>
          </w:tcPr>
          <w:p>
            <w:pPr>
              <w:spacing w:after="0"/>
              <w:rPr>
                <w:sz w:val="22"/>
                <w:szCs w:val="22"/>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96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auto"/>
              </w:rPr>
              <w:t>Total current liabilities</w:t>
            </w:r>
          </w:p>
        </w:tc>
        <w:tc>
          <w:tcPr>
            <w:tcW w:w="320" w:type="dxa"/>
            <w:vAlign w:val="bottom"/>
          </w:tcPr>
          <w:p>
            <w:pPr>
              <w:spacing w:after="0"/>
              <w:rPr>
                <w:sz w:val="19"/>
                <w:szCs w:val="19"/>
                <w:color w:val="auto"/>
              </w:rPr>
            </w:pP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14,220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9,411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Loan payable (net of discount and issuance costs of nil and $164, respectively)</w:t>
            </w:r>
          </w:p>
        </w:tc>
        <w:tc>
          <w:tcPr>
            <w:tcW w:w="320" w:type="dxa"/>
            <w:vAlign w:val="bottom"/>
            <w:shd w:val="clear" w:color="auto" w:fill="EAEAEA"/>
          </w:tcPr>
          <w:p>
            <w:pPr>
              <w:spacing w:after="0"/>
              <w:rPr>
                <w:sz w:val="21"/>
                <w:szCs w:val="21"/>
                <w:color w:val="auto"/>
              </w:rPr>
            </w:pPr>
          </w:p>
        </w:tc>
        <w:tc>
          <w:tcPr>
            <w:tcW w:w="1320" w:type="dxa"/>
            <w:vAlign w:val="bottom"/>
            <w:gridSpan w:val="2"/>
            <w:shd w:val="clear" w:color="auto" w:fill="EAEAEA"/>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6,264</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Operating lease liabilities, less current portion</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8,142</w:t>
            </w:r>
          </w:p>
        </w:tc>
        <w:tc>
          <w:tcPr>
            <w:tcW w:w="160" w:type="dxa"/>
            <w:vAlign w:val="bottom"/>
            <w:tcBorders>
              <w:bottom w:val="single" w:sz="8" w:color="EAEAEA"/>
            </w:tcBorders>
          </w:tcPr>
          <w:p>
            <w:pPr>
              <w:spacing w:after="0"/>
              <w:rPr>
                <w:sz w:val="21"/>
                <w:szCs w:val="21"/>
                <w:color w:val="auto"/>
              </w:rPr>
            </w:pPr>
          </w:p>
        </w:tc>
        <w:tc>
          <w:tcPr>
            <w:tcW w:w="10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9,160</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96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liabilities</w:t>
            </w:r>
          </w:p>
        </w:tc>
        <w:tc>
          <w:tcPr>
            <w:tcW w:w="320" w:type="dxa"/>
            <w:vAlign w:val="bottom"/>
            <w:tcBorders>
              <w:bottom w:val="single" w:sz="8" w:color="auto"/>
            </w:tcBorders>
            <w:shd w:val="clear" w:color="auto" w:fill="EAEAEA"/>
          </w:tcPr>
          <w:p>
            <w:pPr>
              <w:spacing w:after="0"/>
              <w:rPr>
                <w:sz w:val="22"/>
                <w:szCs w:val="22"/>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22,362</w:t>
            </w:r>
          </w:p>
        </w:tc>
        <w:tc>
          <w:tcPr>
            <w:tcW w:w="160" w:type="dxa"/>
            <w:vAlign w:val="bottom"/>
            <w:tcBorders>
              <w:bottom w:val="single" w:sz="8" w:color="EAEAEA"/>
            </w:tcBorders>
            <w:shd w:val="clear" w:color="auto" w:fill="EAEAEA"/>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24,835</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Commitments and contingencies (Note 5)</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Common stock, $0.001 par value; 100,000,000 shares authorized; 43,971,622 and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22,045,255 shares issued and outstanding at December 31, 2024 and December</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31, 2023, respectively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226,188</w:t>
            </w:r>
          </w:p>
        </w:tc>
        <w:tc>
          <w:tcPr>
            <w:tcW w:w="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192,009</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32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(207,106)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(165,263)</w:t>
            </w:r>
          </w:p>
        </w:tc>
        <w:tc>
          <w:tcPr>
            <w:tcW w:w="0" w:type="dxa"/>
            <w:vAlign w:val="bottom"/>
          </w:tcPr>
          <w:p>
            <w:pPr>
              <w:spacing w:after="0"/>
              <w:rPr>
                <w:sz w:val="1"/>
                <w:szCs w:val="1"/>
                <w:color w:val="auto"/>
              </w:rPr>
            </w:pPr>
          </w:p>
        </w:tc>
      </w:tr>
      <w:tr>
        <w:trPr>
          <w:trHeight w:val="259"/>
        </w:trPr>
        <w:tc>
          <w:tcPr>
            <w:tcW w:w="6960" w:type="dxa"/>
            <w:vAlign w:val="bottom"/>
            <w:tcBorders>
              <w:top w:val="single" w:sz="8" w:color="EAEAEA"/>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20" w:type="dxa"/>
            <w:vAlign w:val="bottom"/>
            <w:tcBorders>
              <w:top w:val="single" w:sz="8" w:color="auto"/>
              <w:bottom w:val="single" w:sz="8" w:color="auto"/>
            </w:tcBorders>
            <w:shd w:val="clear" w:color="auto" w:fill="EAEAEA"/>
          </w:tcPr>
          <w:p>
            <w:pPr>
              <w:spacing w:after="0"/>
              <w:rPr>
                <w:sz w:val="22"/>
                <w:szCs w:val="22"/>
                <w:color w:val="auto"/>
              </w:rPr>
            </w:pPr>
          </w:p>
        </w:tc>
        <w:tc>
          <w:tcPr>
            <w:tcW w:w="11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19,126</w:t>
            </w:r>
          </w:p>
        </w:tc>
        <w:tc>
          <w:tcPr>
            <w:tcW w:w="160" w:type="dxa"/>
            <w:vAlign w:val="bottom"/>
            <w:tcBorders>
              <w:top w:val="single" w:sz="8" w:color="EAEAEA"/>
              <w:bottom w:val="single" w:sz="8" w:color="EAEAEA"/>
            </w:tcBorders>
            <w:shd w:val="clear" w:color="auto" w:fill="EAEAEA"/>
          </w:tcPr>
          <w:p>
            <w:pPr>
              <w:spacing w:after="0"/>
              <w:rPr>
                <w:sz w:val="22"/>
                <w:szCs w:val="22"/>
                <w:color w:val="auto"/>
              </w:rPr>
            </w:pPr>
          </w:p>
        </w:tc>
        <w:tc>
          <w:tcPr>
            <w:tcW w:w="100" w:type="dxa"/>
            <w:vAlign w:val="bottom"/>
            <w:tcBorders>
              <w:top w:val="single" w:sz="8" w:color="EAEAEA"/>
              <w:bottom w:val="single" w:sz="8" w:color="EAEAEA"/>
            </w:tcBorders>
            <w:shd w:val="clear" w:color="auto" w:fill="EAEAEA"/>
          </w:tcPr>
          <w:p>
            <w:pPr>
              <w:spacing w:after="0"/>
              <w:rPr>
                <w:sz w:val="22"/>
                <w:szCs w:val="22"/>
                <w:color w:val="auto"/>
              </w:rPr>
            </w:pPr>
          </w:p>
        </w:tc>
        <w:tc>
          <w:tcPr>
            <w:tcW w:w="320" w:type="dxa"/>
            <w:vAlign w:val="bottom"/>
            <w:tcBorders>
              <w:top w:val="single" w:sz="8" w:color="auto"/>
              <w:bottom w:val="single" w:sz="8" w:color="auto"/>
            </w:tcBorders>
            <w:shd w:val="clear" w:color="auto" w:fill="EAEAEA"/>
          </w:tcPr>
          <w:p>
            <w:pPr>
              <w:spacing w:after="0"/>
              <w:rPr>
                <w:sz w:val="22"/>
                <w:szCs w:val="22"/>
                <w:color w:val="auto"/>
              </w:rPr>
            </w:pPr>
          </w:p>
        </w:tc>
        <w:tc>
          <w:tcPr>
            <w:tcW w:w="11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26,768</w:t>
            </w:r>
          </w:p>
        </w:tc>
        <w:tc>
          <w:tcPr>
            <w:tcW w:w="80" w:type="dxa"/>
            <w:vAlign w:val="bottom"/>
            <w:tcBorders>
              <w:top w:val="single" w:sz="8" w:color="EAEAEA"/>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9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320" w:type="dxa"/>
            <w:vAlign w:val="bottom"/>
            <w:tcBorders>
              <w:bottom w:val="single" w:sz="8" w:color="auto"/>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41,488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51,603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40"/>
          </w:cols>
          <w:pgMar w:left="1000" w:top="926" w:right="1000" w:bottom="175"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20" w:type="dxa"/>
            <w:vAlign w:val="bottom"/>
            <w:gridSpan w:val="6"/>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EAEAEA"/>
            </w:tcBorders>
          </w:tcPr>
          <w:p>
            <w:pPr>
              <w:spacing w:after="0"/>
              <w:rPr>
                <w:sz w:val="19"/>
                <w:szCs w:val="19"/>
                <w:color w:val="auto"/>
              </w:rPr>
            </w:pPr>
          </w:p>
        </w:tc>
        <w:tc>
          <w:tcPr>
            <w:tcW w:w="240" w:type="dxa"/>
            <w:vAlign w:val="bottom"/>
            <w:tcBorders>
              <w:bottom w:val="single" w:sz="8" w:color="EAEAEA"/>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4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top w:val="single" w:sz="8" w:color="auto"/>
              <w:bottom w:val="single" w:sz="8" w:color="EAEAEA"/>
            </w:tcBorders>
          </w:tcPr>
          <w:p>
            <w:pPr>
              <w:spacing w:after="0"/>
              <w:rPr>
                <w:sz w:val="19"/>
                <w:szCs w:val="19"/>
                <w:color w:val="auto"/>
              </w:rPr>
            </w:pPr>
          </w:p>
        </w:tc>
        <w:tc>
          <w:tcPr>
            <w:tcW w:w="160" w:type="dxa"/>
            <w:vAlign w:val="bottom"/>
            <w:tcBorders>
              <w:top w:val="single" w:sz="8" w:color="auto"/>
              <w:bottom w:val="single" w:sz="8" w:color="EAEAEA"/>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40"/>
              <w:spacing w:after="0" w:line="225" w:lineRule="exact"/>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Operating expenses:</w:t>
            </w:r>
          </w:p>
        </w:tc>
        <w:tc>
          <w:tcPr>
            <w:tcW w:w="240" w:type="dxa"/>
            <w:vAlign w:val="bottom"/>
            <w:shd w:val="clear" w:color="auto" w:fill="EAEAEA"/>
          </w:tcPr>
          <w:p>
            <w:pPr>
              <w:spacing w:after="0"/>
              <w:rPr>
                <w:sz w:val="19"/>
                <w:szCs w:val="19"/>
                <w:color w:val="auto"/>
              </w:rPr>
            </w:pPr>
          </w:p>
        </w:tc>
        <w:tc>
          <w:tcPr>
            <w:tcW w:w="280" w:type="dxa"/>
            <w:vAlign w:val="bottom"/>
            <w:shd w:val="clear" w:color="auto" w:fill="EAEAEA"/>
          </w:tcPr>
          <w:p>
            <w:pPr>
              <w:spacing w:after="0"/>
              <w:rPr>
                <w:sz w:val="19"/>
                <w:szCs w:val="19"/>
                <w:color w:val="auto"/>
              </w:rPr>
            </w:pPr>
          </w:p>
        </w:tc>
        <w:tc>
          <w:tcPr>
            <w:tcW w:w="1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116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shd w:val="clear" w:color="auto" w:fill="EAEAEA"/>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300" w:type="dxa"/>
            <w:vAlign w:val="bottom"/>
            <w:gridSpan w:val="2"/>
            <w:shd w:val="clear" w:color="auto" w:fill="E9E9E9"/>
          </w:tcPr>
          <w:p>
            <w:pPr>
              <w:jc w:val="right"/>
              <w:ind w:right="100"/>
              <w:spacing w:after="0"/>
              <w:rPr>
                <w:sz w:val="20"/>
                <w:szCs w:val="20"/>
                <w:color w:val="auto"/>
              </w:rPr>
            </w:pPr>
            <w:r>
              <w:rPr>
                <w:rFonts w:ascii="Times New Roman" w:cs="Times New Roman" w:eastAsia="Times New Roman" w:hAnsi="Times New Roman"/>
                <w:sz w:val="20"/>
                <w:szCs w:val="20"/>
                <w:color w:val="auto"/>
              </w:rPr>
              <w:t>13,550</w:t>
            </w:r>
          </w:p>
        </w:tc>
        <w:tc>
          <w:tcPr>
            <w:tcW w:w="160" w:type="dxa"/>
            <w:vAlign w:val="bottom"/>
            <w:shd w:val="clear" w:color="auto" w:fill="EAEAEA"/>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11,659</w:t>
            </w:r>
          </w:p>
        </w:tc>
        <w:tc>
          <w:tcPr>
            <w:tcW w:w="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300"/>
              <w:spacing w:after="0" w:line="225" w:lineRule="exact"/>
              <w:rPr>
                <w:sz w:val="20"/>
                <w:szCs w:val="20"/>
                <w:color w:val="auto"/>
              </w:rPr>
            </w:pPr>
            <w:r>
              <w:rPr>
                <w:rFonts w:ascii="Times New Roman" w:cs="Times New Roman" w:eastAsia="Times New Roman" w:hAnsi="Times New Roman"/>
                <w:sz w:val="20"/>
                <w:szCs w:val="20"/>
                <w:color w:val="auto"/>
              </w:rPr>
              <w:t>Operating loss</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tc>
        <w:tc>
          <w:tcPr>
            <w:tcW w:w="24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1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(1,316)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(1,449)</w:t>
            </w:r>
          </w:p>
        </w:tc>
        <w:tc>
          <w:tcPr>
            <w:tcW w:w="0" w:type="dxa"/>
            <w:vAlign w:val="bottom"/>
          </w:tcPr>
          <w:p>
            <w:pPr>
              <w:spacing w:after="0"/>
              <w:rPr>
                <w:sz w:val="1"/>
                <w:szCs w:val="1"/>
                <w:color w:val="auto"/>
              </w:rPr>
            </w:pPr>
          </w:p>
        </w:tc>
      </w:tr>
      <w:tr>
        <w:trPr>
          <w:trHeight w:val="230"/>
        </w:trPr>
        <w:tc>
          <w:tcPr>
            <w:tcW w:w="6700" w:type="dxa"/>
            <w:vAlign w:val="bottom"/>
            <w:shd w:val="clear" w:color="auto" w:fill="EAEAEA"/>
          </w:tcPr>
          <w:p>
            <w:pPr>
              <w:ind w:left="100"/>
              <w:spacing w:after="0"/>
              <w:rPr>
                <w:sz w:val="20"/>
                <w:szCs w:val="20"/>
                <w:color w:val="auto"/>
              </w:rPr>
            </w:pPr>
            <w:r>
              <w:rPr>
                <w:rFonts w:ascii="Times New Roman" w:cs="Times New Roman" w:eastAsia="Times New Roman" w:hAnsi="Times New Roman"/>
                <w:sz w:val="20"/>
                <w:szCs w:val="20"/>
                <w:color w:val="auto"/>
              </w:rPr>
              <w:t>Interest income and other income (expense), net</w:t>
            </w:r>
          </w:p>
        </w:tc>
        <w:tc>
          <w:tcPr>
            <w:tcW w:w="240" w:type="dxa"/>
            <w:vAlign w:val="bottom"/>
            <w:shd w:val="clear" w:color="auto" w:fill="EAEAEA"/>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300" w:type="dxa"/>
            <w:vAlign w:val="bottom"/>
            <w:gridSpan w:val="2"/>
            <w:shd w:val="clear" w:color="auto" w:fill="E9E9E9"/>
          </w:tcPr>
          <w:p>
            <w:pPr>
              <w:jc w:val="right"/>
              <w:ind w:right="100"/>
              <w:spacing w:after="0"/>
              <w:rPr>
                <w:sz w:val="20"/>
                <w:szCs w:val="20"/>
                <w:color w:val="auto"/>
              </w:rPr>
            </w:pPr>
            <w:r>
              <w:rPr>
                <w:rFonts w:ascii="Times New Roman" w:cs="Times New Roman" w:eastAsia="Times New Roman" w:hAnsi="Times New Roman"/>
                <w:sz w:val="20"/>
                <w:szCs w:val="20"/>
                <w:color w:val="auto"/>
              </w:rPr>
              <w:t>1,499</w:t>
            </w:r>
          </w:p>
        </w:tc>
        <w:tc>
          <w:tcPr>
            <w:tcW w:w="160" w:type="dxa"/>
            <w:vAlign w:val="bottom"/>
            <w:shd w:val="clear" w:color="auto" w:fill="EAEAEA"/>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EAEAEA"/>
            </w:tcBorders>
          </w:tcPr>
          <w:p>
            <w:pPr>
              <w:ind w:left="300"/>
              <w:spacing w:after="0" w:line="225" w:lineRule="exact"/>
              <w:rPr>
                <w:sz w:val="20"/>
                <w:szCs w:val="20"/>
                <w:color w:val="auto"/>
              </w:rPr>
            </w:pPr>
            <w:r>
              <w:rPr>
                <w:rFonts w:ascii="Times New Roman" w:cs="Times New Roman" w:eastAsia="Times New Roman" w:hAnsi="Times New Roman"/>
                <w:sz w:val="20"/>
                <w:szCs w:val="20"/>
                <w:color w:val="auto"/>
              </w:rPr>
              <w:t>Other income (expense), net</w:t>
            </w:r>
          </w:p>
        </w:tc>
        <w:tc>
          <w:tcPr>
            <w:tcW w:w="240" w:type="dxa"/>
            <w:vAlign w:val="bottom"/>
            <w:tcBorders>
              <w:bottom w:val="single" w:sz="8" w:color="EAEAEA"/>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183</w:t>
            </w:r>
          </w:p>
        </w:tc>
        <w:tc>
          <w:tcPr>
            <w:tcW w:w="100" w:type="dxa"/>
            <w:vAlign w:val="bottom"/>
            <w:tcBorders>
              <w:bottom w:val="single" w:sz="8" w:color="E9E9E9"/>
            </w:tcBorders>
          </w:tcPr>
          <w:p>
            <w:pPr>
              <w:spacing w:after="0"/>
              <w:rPr>
                <w:sz w:val="19"/>
                <w:szCs w:val="19"/>
                <w:color w:val="auto"/>
              </w:rPr>
            </w:pPr>
          </w:p>
        </w:tc>
        <w:tc>
          <w:tcPr>
            <w:tcW w:w="160" w:type="dxa"/>
            <w:vAlign w:val="bottom"/>
            <w:tcBorders>
              <w:bottom w:val="single" w:sz="8" w:color="EAEAEA"/>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(334)</w:t>
            </w:r>
          </w:p>
        </w:tc>
        <w:tc>
          <w:tcPr>
            <w:tcW w:w="8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700" w:type="dxa"/>
            <w:vAlign w:val="bottom"/>
            <w:tcBorders>
              <w:bottom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Provision for income taxes</w:t>
            </w:r>
          </w:p>
        </w:tc>
        <w:tc>
          <w:tcPr>
            <w:tcW w:w="240" w:type="dxa"/>
            <w:vAlign w:val="bottom"/>
            <w:tcBorders>
              <w:bottom w:val="single" w:sz="8" w:color="EAEAEA"/>
            </w:tcBorders>
            <w:shd w:val="clear" w:color="auto" w:fill="EAEAEA"/>
          </w:tcPr>
          <w:p>
            <w:pPr>
              <w:spacing w:after="0"/>
              <w:rPr>
                <w:sz w:val="21"/>
                <w:szCs w:val="21"/>
                <w:color w:val="auto"/>
              </w:rPr>
            </w:pPr>
          </w:p>
        </w:tc>
        <w:tc>
          <w:tcPr>
            <w:tcW w:w="280" w:type="dxa"/>
            <w:vAlign w:val="bottom"/>
            <w:tcBorders>
              <w:bottom w:val="single" w:sz="8" w:color="auto"/>
            </w:tcBorders>
            <w:shd w:val="clear" w:color="auto" w:fill="E9E9E9"/>
          </w:tcPr>
          <w:p>
            <w:pPr>
              <w:spacing w:after="0"/>
              <w:rPr>
                <w:sz w:val="21"/>
                <w:szCs w:val="21"/>
                <w:color w:val="auto"/>
              </w:rPr>
            </w:pPr>
          </w:p>
        </w:tc>
        <w:tc>
          <w:tcPr>
            <w:tcW w:w="120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auto"/>
            </w:tcBorders>
            <w:shd w:val="clear" w:color="auto" w:fill="E9E9E9"/>
          </w:tcPr>
          <w:p>
            <w:pPr>
              <w:spacing w:after="0"/>
              <w:rPr>
                <w:sz w:val="21"/>
                <w:szCs w:val="21"/>
                <w:color w:val="auto"/>
              </w:rPr>
            </w:pPr>
          </w:p>
        </w:tc>
        <w:tc>
          <w:tcPr>
            <w:tcW w:w="116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00" w:type="dxa"/>
            <w:vAlign w:val="bottom"/>
            <w:tcBorders>
              <w:bottom w:val="single" w:sz="8" w:color="EAEAEA"/>
            </w:tcBorders>
          </w:tcPr>
          <w:p>
            <w:pPr>
              <w:spacing w:after="0" w:line="205" w:lineRule="exact"/>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Borders>
              <w:bottom w:val="single" w:sz="8" w:color="EAEAEA"/>
            </w:tcBorders>
          </w:tcPr>
          <w:p>
            <w:pPr>
              <w:spacing w:after="0"/>
              <w:rPr>
                <w:sz w:val="21"/>
                <w:szCs w:val="21"/>
                <w:color w:val="auto"/>
              </w:rPr>
            </w:pPr>
          </w:p>
        </w:tc>
        <w:tc>
          <w:tcPr>
            <w:tcW w:w="280" w:type="dxa"/>
            <w:vAlign w:val="bottom"/>
            <w:tcBorders>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(41,843)</w:t>
            </w:r>
          </w:p>
        </w:tc>
        <w:tc>
          <w:tcPr>
            <w:tcW w:w="100" w:type="dxa"/>
            <w:vAlign w:val="bottom"/>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jc w:val="right"/>
              <w:ind w:right="12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(29,491)</w:t>
            </w: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00" w:type="dxa"/>
            <w:vAlign w:val="bottom"/>
            <w:shd w:val="clear" w:color="auto" w:fill="EAEAEA"/>
          </w:tcPr>
          <w:p>
            <w:pPr>
              <w:spacing w:after="0" w:line="215" w:lineRule="exact"/>
              <w:rPr>
                <w:sz w:val="20"/>
                <w:szCs w:val="20"/>
                <w:color w:val="auto"/>
              </w:rPr>
            </w:pPr>
            <w:r>
              <w:rPr>
                <w:rFonts w:ascii="Times New Roman" w:cs="Times New Roman" w:eastAsia="Times New Roman" w:hAnsi="Times New Roman"/>
                <w:sz w:val="20"/>
                <w:szCs w:val="20"/>
                <w:color w:val="auto"/>
              </w:rPr>
              <w:t>Net loss per share of common stock and pre-funded warrants, basic and diluted</w:t>
            </w:r>
          </w:p>
        </w:tc>
        <w:tc>
          <w:tcPr>
            <w:tcW w:w="240" w:type="dxa"/>
            <w:vAlign w:val="bottom"/>
            <w:shd w:val="clear" w:color="auto" w:fill="EAEAEA"/>
          </w:tcPr>
          <w:p>
            <w:pPr>
              <w:spacing w:after="0"/>
              <w:rPr>
                <w:sz w:val="20"/>
                <w:szCs w:val="20"/>
                <w:color w:val="auto"/>
              </w:rPr>
            </w:pPr>
          </w:p>
        </w:tc>
        <w:tc>
          <w:tcPr>
            <w:tcW w:w="280" w:type="dxa"/>
            <w:vAlign w:val="bottom"/>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(1.50)</w:t>
            </w:r>
          </w:p>
        </w:tc>
        <w:tc>
          <w:tcPr>
            <w:tcW w:w="160" w:type="dxa"/>
            <w:vAlign w:val="bottom"/>
            <w:shd w:val="clear" w:color="auto" w:fill="EAEAEA"/>
          </w:tcPr>
          <w:p>
            <w:pPr>
              <w:spacing w:after="0"/>
              <w:rPr>
                <w:sz w:val="20"/>
                <w:szCs w:val="20"/>
                <w:color w:val="auto"/>
              </w:rPr>
            </w:pPr>
          </w:p>
        </w:tc>
        <w:tc>
          <w:tcPr>
            <w:tcW w:w="320" w:type="dxa"/>
            <w:vAlign w:val="bottom"/>
            <w:shd w:val="clear" w:color="auto" w:fill="E9E9E9"/>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9E9E9"/>
          </w:tcPr>
          <w:p>
            <w:pPr>
              <w:jc w:val="right"/>
              <w:spacing w:after="0" w:line="215" w:lineRule="exact"/>
              <w:rPr>
                <w:sz w:val="20"/>
                <w:szCs w:val="20"/>
                <w:color w:val="auto"/>
              </w:rPr>
            </w:pPr>
            <w:r>
              <w:rPr>
                <w:rFonts w:ascii="Times New Roman" w:cs="Times New Roman" w:eastAsia="Times New Roman" w:hAnsi="Times New Roman"/>
                <w:sz w:val="20"/>
                <w:szCs w:val="20"/>
                <w:color w:val="auto"/>
              </w:rPr>
              <w:t>(1.91)</w:t>
            </w:r>
          </w:p>
        </w:tc>
        <w:tc>
          <w:tcPr>
            <w:tcW w:w="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EAEAEA"/>
              <w:bottom w:val="single" w:sz="8" w:color="EAEAEA"/>
            </w:tcBorders>
            <w:vMerge w:val="restart"/>
          </w:tcPr>
          <w:p>
            <w:pPr>
              <w:spacing w:after="0" w:line="215" w:lineRule="exact"/>
              <w:rPr>
                <w:sz w:val="20"/>
                <w:szCs w:val="20"/>
                <w:color w:val="auto"/>
              </w:rPr>
            </w:pPr>
            <w:r>
              <w:rPr>
                <w:rFonts w:ascii="Times New Roman" w:cs="Times New Roman" w:eastAsia="Times New Roman" w:hAnsi="Times New Roman"/>
                <w:sz w:val="20"/>
                <w:szCs w:val="20"/>
                <w:color w:val="auto"/>
              </w:rPr>
              <w:t>Weighted-average shares of common stock and pre-funded warrants outstanding,</w:t>
            </w:r>
          </w:p>
        </w:tc>
        <w:tc>
          <w:tcPr>
            <w:tcW w:w="240" w:type="dxa"/>
            <w:vAlign w:val="bottom"/>
            <w:tcBorders>
              <w:top w:val="single" w:sz="8" w:color="EAEAE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27,901,739</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15,416,203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4400550</wp:posOffset>
                </wp:positionH>
                <wp:positionV relativeFrom="paragraph">
                  <wp:posOffset>-476885</wp:posOffset>
                </wp:positionV>
                <wp:extent cx="940435" cy="146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0435" cy="146050"/>
                        </a:xfrm>
                        <a:prstGeom prst="rect">
                          <a:avLst/>
                        </a:prstGeom>
                        <a:solidFill>
                          <a:srgbClr val="E9E9E9"/>
                        </a:solidFill>
                      </wps:spPr>
                      <wps:bodyPr/>
                    </wps:wsp>
                  </a:graphicData>
                </a:graphic>
              </wp:anchor>
            </w:drawing>
          </mc:Choice>
          <mc:Fallback>
            <w:pict>
              <v:rect id="Shape 20" o:spid="_x0000_s1045" style="position:absolute;margin-left:346.5pt;margin-top:-37.5499pt;width:74.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40"/>
          </w:cols>
          <w:pgMar w:left="1000" w:top="926" w:right="1000" w:bottom="175"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9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193"/>
        </w:trPr>
        <w:tc>
          <w:tcPr>
            <w:tcW w:w="45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00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10,518,539</w:t>
            </w:r>
          </w:p>
        </w:tc>
        <w:tc>
          <w:tcPr>
            <w:tcW w:w="200" w:type="dxa"/>
            <w:vAlign w:val="bottom"/>
            <w:tcBorders>
              <w:top w:val="single" w:sz="8" w:color="EAEAEA"/>
            </w:tcBorders>
            <w:shd w:val="clear" w:color="auto" w:fill="EAEAEA"/>
          </w:tcPr>
          <w:p>
            <w:pPr>
              <w:spacing w:after="0"/>
              <w:rPr>
                <w:sz w:val="16"/>
                <w:szCs w:val="16"/>
                <w:color w:val="auto"/>
              </w:rPr>
            </w:pPr>
          </w:p>
        </w:tc>
        <w:tc>
          <w:tcPr>
            <w:tcW w:w="780" w:type="dxa"/>
            <w:vAlign w:val="bottom"/>
            <w:tcBorders>
              <w:top w:val="single" w:sz="8" w:color="auto"/>
            </w:tcBorders>
            <w:shd w:val="clear" w:color="auto" w:fill="EAEAEA"/>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7"/>
              </w:rPr>
              <w:t>11</w:t>
            </w:r>
          </w:p>
        </w:tc>
        <w:tc>
          <w:tcPr>
            <w:tcW w:w="200" w:type="dxa"/>
            <w:vAlign w:val="bottom"/>
            <w:tcBorders>
              <w:top w:val="single" w:sz="8" w:color="EAEAEA"/>
            </w:tcBorders>
            <w:shd w:val="clear" w:color="auto" w:fill="EAEAEA"/>
          </w:tcPr>
          <w:p>
            <w:pPr>
              <w:spacing w:after="0"/>
              <w:rPr>
                <w:sz w:val="16"/>
                <w:szCs w:val="16"/>
                <w:color w:val="auto"/>
              </w:rPr>
            </w:pPr>
          </w:p>
        </w:tc>
        <w:tc>
          <w:tcPr>
            <w:tcW w:w="10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153,872</w:t>
            </w:r>
          </w:p>
        </w:tc>
        <w:tc>
          <w:tcPr>
            <w:tcW w:w="220" w:type="dxa"/>
            <w:vAlign w:val="bottom"/>
            <w:tcBorders>
              <w:top w:val="single" w:sz="8" w:color="EAEAEA"/>
            </w:tcBorders>
            <w:shd w:val="clear" w:color="auto" w:fill="EAEAEA"/>
          </w:tcPr>
          <w:p>
            <w:pPr>
              <w:spacing w:after="0"/>
              <w:rPr>
                <w:sz w:val="16"/>
                <w:szCs w:val="16"/>
                <w:color w:val="auto"/>
              </w:rPr>
            </w:pPr>
          </w:p>
        </w:tc>
        <w:tc>
          <w:tcPr>
            <w:tcW w:w="160" w:type="dxa"/>
            <w:vAlign w:val="bottom"/>
            <w:tcBorders>
              <w:top w:val="single" w:sz="8" w:color="auto"/>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w:t>
            </w:r>
          </w:p>
        </w:tc>
        <w:tc>
          <w:tcPr>
            <w:tcW w:w="78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(135,772</w:t>
            </w:r>
          </w:p>
        </w:tc>
        <w:tc>
          <w:tcPr>
            <w:tcW w:w="140" w:type="dxa"/>
            <w:vAlign w:val="bottom"/>
            <w:tcBorders>
              <w:top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AEAEA"/>
            </w:tcBorders>
            <w:shd w:val="clear" w:color="auto" w:fill="EAEAEA"/>
          </w:tcPr>
          <w:p>
            <w:pPr>
              <w:spacing w:after="0"/>
              <w:rPr>
                <w:sz w:val="16"/>
                <w:szCs w:val="16"/>
                <w:color w:val="auto"/>
              </w:rPr>
            </w:pPr>
          </w:p>
        </w:tc>
        <w:tc>
          <w:tcPr>
            <w:tcW w:w="120" w:type="dxa"/>
            <w:vAlign w:val="bottom"/>
            <w:tcBorders>
              <w:top w:val="single" w:sz="8" w:color="auto"/>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18,111</w:t>
            </w:r>
          </w:p>
        </w:tc>
        <w:tc>
          <w:tcPr>
            <w:tcW w:w="60" w:type="dxa"/>
            <w:vAlign w:val="bottom"/>
            <w:tcBorders>
              <w:top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color w:val="auto"/>
              </w:rPr>
              <w:t>Issuance of common stock for cash, net of issuance cost of $1,105</w:t>
            </w:r>
          </w:p>
        </w:tc>
        <w:tc>
          <w:tcPr>
            <w:tcW w:w="10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8,323,218</w:t>
            </w:r>
          </w:p>
        </w:tc>
        <w:tc>
          <w:tcPr>
            <w:tcW w:w="20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8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35,590</w:t>
            </w:r>
          </w:p>
        </w:tc>
        <w:tc>
          <w:tcPr>
            <w:tcW w:w="2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2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35,598</w:t>
            </w:r>
          </w:p>
        </w:tc>
        <w:tc>
          <w:tcPr>
            <w:tcW w:w="6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3,202,785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8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2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2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6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(29,491)</w:t>
            </w:r>
          </w:p>
        </w:tc>
        <w:tc>
          <w:tcPr>
            <w:tcW w:w="0" w:type="dxa"/>
            <w:vAlign w:val="bottom"/>
          </w:tcPr>
          <w:p>
            <w:pPr>
              <w:spacing w:after="0"/>
              <w:rPr>
                <w:sz w:val="1"/>
                <w:szCs w:val="1"/>
                <w:color w:val="auto"/>
              </w:rPr>
            </w:pPr>
          </w:p>
        </w:tc>
      </w:tr>
      <w:tr>
        <w:trPr>
          <w:trHeight w:val="193"/>
        </w:trPr>
        <w:tc>
          <w:tcPr>
            <w:tcW w:w="4540" w:type="dxa"/>
            <w:vAlign w:val="bottom"/>
            <w:tcBorders>
              <w:top w:val="single" w:sz="8" w:color="EAEAEA"/>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0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22,045,255</w:t>
            </w:r>
          </w:p>
        </w:tc>
        <w:tc>
          <w:tcPr>
            <w:tcW w:w="200" w:type="dxa"/>
            <w:vAlign w:val="bottom"/>
            <w:tcBorders>
              <w:top w:val="single" w:sz="8" w:color="EAEAEA"/>
            </w:tcBorders>
            <w:shd w:val="clear" w:color="auto" w:fill="EAEAEA"/>
          </w:tcPr>
          <w:p>
            <w:pPr>
              <w:spacing w:after="0"/>
              <w:rPr>
                <w:sz w:val="16"/>
                <w:szCs w:val="16"/>
                <w:color w:val="auto"/>
              </w:rPr>
            </w:pPr>
          </w:p>
        </w:tc>
        <w:tc>
          <w:tcPr>
            <w:tcW w:w="780" w:type="dxa"/>
            <w:vAlign w:val="bottom"/>
            <w:tcBorders>
              <w:top w:val="single" w:sz="8" w:color="auto"/>
              <w:bottom w:val="single" w:sz="8" w:color="auto"/>
            </w:tcBorders>
            <w:shd w:val="clear" w:color="auto" w:fill="EAEAEA"/>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7"/>
              </w:rPr>
              <w:t>22</w:t>
            </w:r>
          </w:p>
        </w:tc>
        <w:tc>
          <w:tcPr>
            <w:tcW w:w="200" w:type="dxa"/>
            <w:vAlign w:val="bottom"/>
            <w:tcBorders>
              <w:top w:val="single" w:sz="8" w:color="EAEAEA"/>
            </w:tcBorders>
            <w:shd w:val="clear" w:color="auto" w:fill="EAEAEA"/>
          </w:tcPr>
          <w:p>
            <w:pPr>
              <w:spacing w:after="0"/>
              <w:rPr>
                <w:sz w:val="16"/>
                <w:szCs w:val="16"/>
                <w:color w:val="auto"/>
              </w:rPr>
            </w:pPr>
          </w:p>
        </w:tc>
        <w:tc>
          <w:tcPr>
            <w:tcW w:w="1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192,009</w:t>
            </w:r>
          </w:p>
        </w:tc>
        <w:tc>
          <w:tcPr>
            <w:tcW w:w="220" w:type="dxa"/>
            <w:vAlign w:val="bottom"/>
            <w:tcBorders>
              <w:top w:val="single" w:sz="8" w:color="EAEAEA"/>
            </w:tcBorders>
            <w:shd w:val="clear" w:color="auto" w:fill="EAEAEA"/>
          </w:tcPr>
          <w:p>
            <w:pPr>
              <w:spacing w:after="0"/>
              <w:rPr>
                <w:sz w:val="16"/>
                <w:szCs w:val="16"/>
                <w:color w:val="auto"/>
              </w:rPr>
            </w:pPr>
          </w:p>
        </w:tc>
        <w:tc>
          <w:tcPr>
            <w:tcW w:w="160" w:type="dxa"/>
            <w:vAlign w:val="bottom"/>
            <w:tcBorders>
              <w:top w:val="single" w:sz="8" w:color="auto"/>
              <w:bottom w:val="single" w:sz="8" w:color="auto"/>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shd w:val="clear" w:color="auto" w:fill="EAEAEA"/>
              </w:rPr>
              <w:t>$</w:t>
            </w:r>
          </w:p>
        </w:tc>
        <w:tc>
          <w:tcPr>
            <w:tcW w:w="7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shd w:val="clear" w:color="auto" w:fill="EAEAEA"/>
              </w:rPr>
              <w:t>(165,263</w:t>
            </w:r>
          </w:p>
        </w:tc>
        <w:tc>
          <w:tcPr>
            <w:tcW w:w="140" w:type="dxa"/>
            <w:vAlign w:val="bottom"/>
            <w:tcBorders>
              <w:top w:val="single" w:sz="8" w:color="EAEAEA"/>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AEAEA"/>
            </w:tcBorders>
            <w:shd w:val="clear" w:color="auto" w:fill="EAEAEA"/>
          </w:tcPr>
          <w:p>
            <w:pPr>
              <w:spacing w:after="0"/>
              <w:rPr>
                <w:sz w:val="16"/>
                <w:szCs w:val="16"/>
                <w:color w:val="auto"/>
              </w:rPr>
            </w:pPr>
          </w:p>
        </w:tc>
        <w:tc>
          <w:tcPr>
            <w:tcW w:w="120" w:type="dxa"/>
            <w:vAlign w:val="bottom"/>
            <w:tcBorders>
              <w:top w:val="single" w:sz="8" w:color="auto"/>
              <w:bottom w:val="single" w:sz="8" w:color="auto"/>
            </w:tcBorders>
            <w:shd w:val="clear" w:color="auto" w:fill="EAEAEA"/>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26,768</w:t>
            </w:r>
          </w:p>
        </w:tc>
        <w:tc>
          <w:tcPr>
            <w:tcW w:w="60" w:type="dxa"/>
            <w:vAlign w:val="bottom"/>
            <w:tcBorders>
              <w:top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common stock for cash, net of issuance cost of $1,056</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vMerge w:val="continue"/>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21,626,191</w:t>
            </w:r>
          </w:p>
        </w:tc>
        <w:tc>
          <w:tcPr>
            <w:tcW w:w="2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22</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28,569</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8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2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20" w:type="dxa"/>
            <w:vAlign w:val="bottom"/>
            <w:gridSpan w:val="2"/>
            <w:shd w:val="clear" w:color="auto" w:fill="EAEAEA"/>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6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equity plan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300,176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EAEAEA"/>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AEAEA"/>
          </w:tcPr>
          <w:p>
            <w:pPr>
              <w:spacing w:after="0"/>
              <w:rPr>
                <w:sz w:val="18"/>
                <w:szCs w:val="18"/>
                <w:color w:val="auto"/>
              </w:rPr>
            </w:pPr>
          </w:p>
        </w:tc>
        <w:tc>
          <w:tcPr>
            <w:tcW w:w="780" w:type="dxa"/>
            <w:vAlign w:val="bottom"/>
            <w:shd w:val="clear" w:color="auto" w:fill="EAEAEA"/>
          </w:tcPr>
          <w:p>
            <w:pPr>
              <w:spacing w:after="0"/>
              <w:rPr>
                <w:sz w:val="18"/>
                <w:szCs w:val="18"/>
                <w:color w:val="auto"/>
              </w:rPr>
            </w:pPr>
          </w:p>
        </w:tc>
        <w:tc>
          <w:tcPr>
            <w:tcW w:w="1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(41,843)</w:t>
            </w:r>
          </w:p>
        </w:tc>
        <w:tc>
          <w:tcPr>
            <w:tcW w:w="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16"/>
                <w:szCs w:val="16"/>
                <w:color w:val="auto"/>
              </w:rPr>
              <w:t>(41,843)</w:t>
            </w:r>
          </w:p>
        </w:tc>
        <w:tc>
          <w:tcPr>
            <w:tcW w:w="0" w:type="dxa"/>
            <w:vAlign w:val="bottom"/>
          </w:tcPr>
          <w:p>
            <w:pPr>
              <w:spacing w:after="0"/>
              <w:rPr>
                <w:sz w:val="1"/>
                <w:szCs w:val="1"/>
                <w:color w:val="auto"/>
              </w:rPr>
            </w:pPr>
          </w:p>
        </w:tc>
      </w:tr>
      <w:tr>
        <w:trPr>
          <w:trHeight w:val="173"/>
        </w:trPr>
        <w:tc>
          <w:tcPr>
            <w:tcW w:w="4540" w:type="dxa"/>
            <w:vAlign w:val="bottom"/>
            <w:tcBorders>
              <w:top w:val="single" w:sz="8" w:color="EAEAEA"/>
            </w:tcBorders>
          </w:tcPr>
          <w:p>
            <w:pPr>
              <w:spacing w:after="0" w:line="173" w:lineRule="exact"/>
              <w:rPr>
                <w:sz w:val="20"/>
                <w:szCs w:val="20"/>
                <w:color w:val="auto"/>
              </w:rPr>
            </w:pPr>
            <w:r>
              <w:rPr>
                <w:rFonts w:ascii="Times New Roman" w:cs="Times New Roman" w:eastAsia="Times New Roman" w:hAnsi="Times New Roman"/>
                <w:sz w:val="16"/>
                <w:szCs w:val="16"/>
                <w:color w:val="auto"/>
              </w:rPr>
              <w:t>BALANCE — December 31, 2024</w:t>
            </w: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43,971,622</w:t>
            </w:r>
          </w:p>
        </w:tc>
        <w:tc>
          <w:tcPr>
            <w:tcW w:w="200" w:type="dxa"/>
            <w:vAlign w:val="bottom"/>
            <w:tcBorders>
              <w:top w:val="single" w:sz="8" w:color="EAEAEA"/>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620"/>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7"/>
              </w:rPr>
              <w:t>44</w:t>
            </w:r>
          </w:p>
        </w:tc>
        <w:tc>
          <w:tcPr>
            <w:tcW w:w="200" w:type="dxa"/>
            <w:vAlign w:val="bottom"/>
            <w:tcBorders>
              <w:top w:val="single" w:sz="8" w:color="EAEAEA"/>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226,188</w:t>
            </w:r>
          </w:p>
        </w:tc>
        <w:tc>
          <w:tcPr>
            <w:tcW w:w="220" w:type="dxa"/>
            <w:vAlign w:val="bottom"/>
            <w:tcBorders>
              <w:top w:val="single" w:sz="8" w:color="EAEAEA"/>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(207,106</w:t>
            </w:r>
          </w:p>
        </w:tc>
        <w:tc>
          <w:tcPr>
            <w:tcW w:w="140" w:type="dxa"/>
            <w:vAlign w:val="bottom"/>
            <w:tcBorders>
              <w:top w:val="single" w:sz="8" w:color="EAEAEA"/>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AEAEA"/>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19,126</w:t>
            </w:r>
          </w:p>
        </w:tc>
        <w:tc>
          <w:tcPr>
            <w:tcW w:w="60" w:type="dxa"/>
            <w:vAlign w:val="bottom"/>
            <w:tcBorders>
              <w:top w:val="single" w:sz="8" w:color="EAEAEA"/>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40"/>
          </w:cols>
          <w:pgMar w:left="1000" w:top="926" w:right="1000" w:bottom="175"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4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9"/>
        </w:trPr>
        <w:tc>
          <w:tcPr>
            <w:tcW w:w="6820" w:type="dxa"/>
            <w:vAlign w:val="bottom"/>
            <w:tcBorders>
              <w:bottom w:val="single" w:sz="8" w:color="EAEAEA"/>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top w:val="single" w:sz="8" w:color="auto"/>
              <w:bottom w:val="single" w:sz="8" w:color="EAEAEA"/>
            </w:tcBorders>
          </w:tcPr>
          <w:p>
            <w:pPr>
              <w:spacing w:after="0"/>
              <w:rPr>
                <w:sz w:val="20"/>
                <w:szCs w:val="20"/>
                <w:color w:val="auto"/>
              </w:rPr>
            </w:pPr>
          </w:p>
        </w:tc>
        <w:tc>
          <w:tcPr>
            <w:tcW w:w="160" w:type="dxa"/>
            <w:vAlign w:val="bottom"/>
            <w:tcBorders>
              <w:top w:val="single" w:sz="8" w:color="auto"/>
              <w:bottom w:val="single" w:sz="8" w:color="EAEAEA"/>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AEAEA"/>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0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300" w:type="dxa"/>
            <w:vAlign w:val="bottom"/>
            <w:shd w:val="clear" w:color="auto" w:fill="EAEAEA"/>
          </w:tcPr>
          <w:p>
            <w:pPr>
              <w:spacing w:after="0"/>
              <w:rPr>
                <w:sz w:val="21"/>
                <w:szCs w:val="21"/>
                <w:color w:val="auto"/>
              </w:rPr>
            </w:pPr>
          </w:p>
        </w:tc>
        <w:tc>
          <w:tcPr>
            <w:tcW w:w="120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0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5,303</w:t>
            </w: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1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lease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Noncash interest and other expense, net</w:t>
            </w:r>
          </w:p>
        </w:tc>
        <w:tc>
          <w:tcPr>
            <w:tcW w:w="30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1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300" w:type="dxa"/>
            <w:vAlign w:val="bottom"/>
            <w:shd w:val="clear" w:color="auto" w:fill="EAEAEA"/>
          </w:tcPr>
          <w:p>
            <w:pPr>
              <w:spacing w:after="0"/>
              <w:rPr>
                <w:sz w:val="21"/>
                <w:szCs w:val="21"/>
                <w:color w:val="auto"/>
              </w:rPr>
            </w:pPr>
          </w:p>
        </w:tc>
        <w:tc>
          <w:tcPr>
            <w:tcW w:w="130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(110)</w:t>
            </w: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44"/>
        </w:trPr>
        <w:tc>
          <w:tcPr>
            <w:tcW w:w="68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30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(992)</w:t>
            </w:r>
          </w:p>
        </w:tc>
        <w:tc>
          <w:tcPr>
            <w:tcW w:w="0" w:type="dxa"/>
            <w:vAlign w:val="bottom"/>
          </w:tcPr>
          <w:p>
            <w:pPr>
              <w:spacing w:after="0"/>
              <w:rPr>
                <w:sz w:val="1"/>
                <w:szCs w:val="1"/>
                <w:color w:val="auto"/>
              </w:rPr>
            </w:pPr>
          </w:p>
        </w:tc>
      </w:tr>
      <w:tr>
        <w:trPr>
          <w:trHeight w:val="244"/>
        </w:trPr>
        <w:tc>
          <w:tcPr>
            <w:tcW w:w="68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Interest payable</w:t>
            </w:r>
          </w:p>
        </w:tc>
        <w:tc>
          <w:tcPr>
            <w:tcW w:w="3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2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shd w:val="clear" w:color="auto" w:fill="EAEAEA"/>
          </w:tcPr>
          <w:p>
            <w:pPr>
              <w:spacing w:after="0"/>
              <w:rPr>
                <w:sz w:val="22"/>
                <w:szCs w:val="22"/>
                <w:color w:val="auto"/>
              </w:rPr>
            </w:pPr>
          </w:p>
        </w:tc>
        <w:tc>
          <w:tcPr>
            <w:tcW w:w="1300" w:type="dxa"/>
            <w:vAlign w:val="bottom"/>
            <w:gridSpan w:val="2"/>
            <w:shd w:val="clear" w:color="auto" w:fill="EAEAEA"/>
          </w:tcPr>
          <w:p>
            <w:pPr>
              <w:jc w:val="right"/>
              <w:ind w:right="40"/>
              <w:spacing w:after="0"/>
              <w:rPr>
                <w:sz w:val="20"/>
                <w:szCs w:val="20"/>
                <w:color w:val="auto"/>
              </w:rPr>
            </w:pPr>
            <w:r>
              <w:rPr>
                <w:rFonts w:ascii="Times New Roman" w:cs="Times New Roman" w:eastAsia="Times New Roman" w:hAnsi="Times New Roman"/>
                <w:sz w:val="20"/>
                <w:szCs w:val="20"/>
                <w:color w:val="auto"/>
              </w:rPr>
              <w:t>(1,101)</w:t>
            </w:r>
          </w:p>
        </w:tc>
        <w:tc>
          <w:tcPr>
            <w:tcW w:w="16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126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(1,631)</w:t>
            </w:r>
          </w:p>
        </w:tc>
        <w:tc>
          <w:tcPr>
            <w:tcW w:w="0" w:type="dxa"/>
            <w:vAlign w:val="bottom"/>
          </w:tcPr>
          <w:p>
            <w:pPr>
              <w:spacing w:after="0"/>
              <w:rPr>
                <w:sz w:val="1"/>
                <w:szCs w:val="1"/>
                <w:color w:val="auto"/>
              </w:rPr>
            </w:pPr>
          </w:p>
        </w:tc>
      </w:tr>
      <w:tr>
        <w:trPr>
          <w:trHeight w:val="219"/>
        </w:trPr>
        <w:tc>
          <w:tcPr>
            <w:tcW w:w="6820" w:type="dxa"/>
            <w:vAlign w:val="bottom"/>
            <w:tcBorders>
              <w:top w:val="single" w:sz="8" w:color="EAEAEA"/>
              <w:bottom w:val="single" w:sz="8" w:color="EAEAEA"/>
            </w:tcBorders>
          </w:tcPr>
          <w:p>
            <w:pPr>
              <w:ind w:left="600"/>
              <w:spacing w:after="0" w:line="219" w:lineRule="exact"/>
              <w:rPr>
                <w:sz w:val="20"/>
                <w:szCs w:val="20"/>
                <w:color w:val="auto"/>
              </w:rPr>
            </w:pPr>
            <w:r>
              <w:rPr>
                <w:rFonts w:ascii="Times New Roman" w:cs="Times New Roman" w:eastAsia="Times New Roman" w:hAnsi="Times New Roman"/>
                <w:sz w:val="20"/>
                <w:szCs w:val="20"/>
                <w:color w:val="auto"/>
              </w:rPr>
              <w:t>Cash used in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(33,027)</w:t>
            </w:r>
          </w:p>
        </w:tc>
        <w:tc>
          <w:tcPr>
            <w:tcW w:w="100" w:type="dxa"/>
            <w:vAlign w:val="bottom"/>
            <w:tcBorders>
              <w:top w:val="single" w:sz="8" w:color="EAEAEA"/>
              <w:bottom w:val="single" w:sz="8" w:color="EAEAEA"/>
            </w:tcBorders>
          </w:tcPr>
          <w:p>
            <w:pPr>
              <w:spacing w:after="0"/>
              <w:rPr>
                <w:sz w:val="19"/>
                <w:szCs w:val="19"/>
                <w:color w:val="auto"/>
              </w:rPr>
            </w:pPr>
          </w:p>
        </w:tc>
        <w:tc>
          <w:tcPr>
            <w:tcW w:w="160" w:type="dxa"/>
            <w:vAlign w:val="bottom"/>
            <w:tcBorders>
              <w:top w:val="single" w:sz="8" w:color="EAEAEA"/>
              <w:bottom w:val="single" w:sz="8" w:color="EAEAEA"/>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(27,357)</w:t>
            </w:r>
          </w:p>
        </w:tc>
        <w:tc>
          <w:tcPr>
            <w:tcW w:w="100" w:type="dxa"/>
            <w:vAlign w:val="bottom"/>
            <w:tcBorders>
              <w:top w:val="single" w:sz="8" w:color="EAEAEA"/>
              <w:bottom w:val="single" w:sz="8" w:color="EAEAEA"/>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300" w:type="dxa"/>
            <w:vAlign w:val="bottom"/>
            <w:shd w:val="clear" w:color="auto" w:fill="EAEAEA"/>
          </w:tcPr>
          <w:p>
            <w:pPr>
              <w:spacing w:after="0"/>
              <w:rPr>
                <w:sz w:val="20"/>
                <w:szCs w:val="20"/>
                <w:color w:val="auto"/>
              </w:rPr>
            </w:pPr>
          </w:p>
        </w:tc>
        <w:tc>
          <w:tcPr>
            <w:tcW w:w="12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16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10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20" w:type="dxa"/>
            <w:vAlign w:val="bottom"/>
            <w:tcBorders>
              <w:bottom w:val="single" w:sz="8" w:color="EAEAEA"/>
            </w:tcBorders>
            <w:shd w:val="clear" w:color="auto" w:fill="EAEAEA"/>
          </w:tcPr>
          <w:p>
            <w:pPr>
              <w:ind w:left="600"/>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300" w:type="dxa"/>
            <w:vAlign w:val="bottom"/>
            <w:tcBorders>
              <w:bottom w:val="single" w:sz="8" w:color="auto"/>
            </w:tcBorders>
            <w:shd w:val="clear" w:color="auto" w:fill="EAEAEA"/>
          </w:tcPr>
          <w:p>
            <w:pPr>
              <w:spacing w:after="0"/>
              <w:rPr>
                <w:sz w:val="22"/>
                <w:szCs w:val="22"/>
                <w:color w:val="auto"/>
              </w:rPr>
            </w:pP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10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82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Financing activities: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Proceeds from the issuance of common stock in connection with at the market</w:t>
            </w:r>
          </w:p>
        </w:tc>
        <w:tc>
          <w:tcPr>
            <w:tcW w:w="300" w:type="dxa"/>
            <w:vAlign w:val="bottom"/>
            <w:shd w:val="clear" w:color="auto" w:fill="EAEAEA"/>
          </w:tcPr>
          <w:p>
            <w:pPr>
              <w:spacing w:after="0"/>
              <w:rPr>
                <w:sz w:val="19"/>
                <w:szCs w:val="19"/>
                <w:color w:val="auto"/>
              </w:rPr>
            </w:pPr>
          </w:p>
        </w:tc>
        <w:tc>
          <w:tcPr>
            <w:tcW w:w="120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1160" w:type="dxa"/>
            <w:vAlign w:val="bottom"/>
            <w:shd w:val="clear" w:color="auto" w:fill="EAEAEA"/>
          </w:tcPr>
          <w:p>
            <w:pPr>
              <w:spacing w:after="0"/>
              <w:rPr>
                <w:sz w:val="19"/>
                <w:szCs w:val="19"/>
                <w:color w:val="auto"/>
              </w:rPr>
            </w:pPr>
          </w:p>
        </w:tc>
        <w:tc>
          <w:tcPr>
            <w:tcW w:w="10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offering, net of issuance costs</w:t>
            </w:r>
          </w:p>
        </w:tc>
        <w:tc>
          <w:tcPr>
            <w:tcW w:w="300" w:type="dxa"/>
            <w:vAlign w:val="bottom"/>
            <w:shd w:val="clear" w:color="auto" w:fill="EAEAEA"/>
          </w:tcPr>
          <w:p>
            <w:pPr>
              <w:spacing w:after="0"/>
              <w:rPr>
                <w:sz w:val="21"/>
                <w:szCs w:val="21"/>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28,591</w:t>
            </w:r>
          </w:p>
        </w:tc>
        <w:tc>
          <w:tcPr>
            <w:tcW w:w="100" w:type="dxa"/>
            <w:vAlign w:val="bottom"/>
            <w:shd w:val="clear" w:color="auto" w:fill="EAEAEA"/>
          </w:tcPr>
          <w:p>
            <w:pPr>
              <w:spacing w:after="0"/>
              <w:rPr>
                <w:sz w:val="21"/>
                <w:szCs w:val="21"/>
                <w:color w:val="auto"/>
              </w:rPr>
            </w:pPr>
          </w:p>
        </w:tc>
        <w:tc>
          <w:tcPr>
            <w:tcW w:w="1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35,602</w:t>
            </w:r>
          </w:p>
        </w:tc>
        <w:tc>
          <w:tcPr>
            <w:tcW w:w="10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Repayment of loan</w:t>
            </w:r>
          </w:p>
        </w:tc>
        <w:tc>
          <w:tcPr>
            <w:tcW w:w="3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(4,398)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Proceeds from the issuance of common stock under equity plan awards</w:t>
            </w:r>
          </w:p>
        </w:tc>
        <w:tc>
          <w:tcPr>
            <w:tcW w:w="300" w:type="dxa"/>
            <w:vAlign w:val="bottom"/>
            <w:shd w:val="clear" w:color="auto" w:fill="EAEAEA"/>
          </w:tcPr>
          <w:p>
            <w:pPr>
              <w:spacing w:after="0"/>
              <w:rPr>
                <w:sz w:val="22"/>
                <w:szCs w:val="22"/>
                <w:color w:val="auto"/>
              </w:rPr>
            </w:pPr>
          </w:p>
        </w:tc>
        <w:tc>
          <w:tcPr>
            <w:tcW w:w="12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00" w:type="dxa"/>
            <w:vAlign w:val="bottom"/>
            <w:shd w:val="clear" w:color="auto" w:fill="EAEAEA"/>
          </w:tcPr>
          <w:p>
            <w:pPr>
              <w:spacing w:after="0"/>
              <w:rPr>
                <w:sz w:val="22"/>
                <w:szCs w:val="22"/>
                <w:color w:val="auto"/>
              </w:rPr>
            </w:pPr>
          </w:p>
        </w:tc>
        <w:tc>
          <w:tcPr>
            <w:tcW w:w="16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126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9"/>
        </w:trPr>
        <w:tc>
          <w:tcPr>
            <w:tcW w:w="6820" w:type="dxa"/>
            <w:vAlign w:val="bottom"/>
            <w:tcBorders>
              <w:top w:val="single" w:sz="8" w:color="EAEAEA"/>
              <w:bottom w:val="single" w:sz="8" w:color="EAEAEA"/>
            </w:tcBorders>
          </w:tcPr>
          <w:p>
            <w:pPr>
              <w:ind w:left="600"/>
              <w:spacing w:after="0" w:line="219" w:lineRule="exact"/>
              <w:rPr>
                <w:sz w:val="20"/>
                <w:szCs w:val="20"/>
                <w:color w:val="auto"/>
              </w:rPr>
            </w:pPr>
            <w:r>
              <w:rPr>
                <w:rFonts w:ascii="Times New Roman" w:cs="Times New Roman" w:eastAsia="Times New Roman" w:hAnsi="Times New Roman"/>
                <w:sz w:val="20"/>
                <w:szCs w:val="20"/>
                <w:color w:val="auto"/>
              </w:rPr>
              <w:t>Cash provided by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24,500</w:t>
            </w:r>
          </w:p>
        </w:tc>
        <w:tc>
          <w:tcPr>
            <w:tcW w:w="100" w:type="dxa"/>
            <w:vAlign w:val="bottom"/>
            <w:tcBorders>
              <w:top w:val="single" w:sz="8" w:color="EAEAEA"/>
              <w:bottom w:val="single" w:sz="8" w:color="E9E9E9"/>
            </w:tcBorders>
          </w:tcPr>
          <w:p>
            <w:pPr>
              <w:spacing w:after="0"/>
              <w:rPr>
                <w:sz w:val="19"/>
                <w:szCs w:val="19"/>
                <w:color w:val="auto"/>
              </w:rPr>
            </w:pPr>
          </w:p>
        </w:tc>
        <w:tc>
          <w:tcPr>
            <w:tcW w:w="160" w:type="dxa"/>
            <w:vAlign w:val="bottom"/>
            <w:tcBorders>
              <w:top w:val="single" w:sz="8" w:color="EAEAEA"/>
              <w:bottom w:val="single" w:sz="8" w:color="EAEAEA"/>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35,602</w:t>
            </w:r>
          </w:p>
        </w:tc>
        <w:tc>
          <w:tcPr>
            <w:tcW w:w="100" w:type="dxa"/>
            <w:vAlign w:val="bottom"/>
            <w:tcBorders>
              <w:top w:val="single" w:sz="8" w:color="EAEAEA"/>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Net increase in cash and cash equivalents</w:t>
            </w:r>
          </w:p>
        </w:tc>
        <w:tc>
          <w:tcPr>
            <w:tcW w:w="300" w:type="dxa"/>
            <w:vAlign w:val="bottom"/>
            <w:shd w:val="clear" w:color="auto" w:fill="E9E9E9"/>
          </w:tcPr>
          <w:p>
            <w:pPr>
              <w:spacing w:after="0"/>
              <w:rPr>
                <w:sz w:val="20"/>
                <w:szCs w:val="20"/>
                <w:color w:val="auto"/>
              </w:rPr>
            </w:pPr>
          </w:p>
        </w:tc>
        <w:tc>
          <w:tcPr>
            <w:tcW w:w="12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(8,962)</w:t>
            </w:r>
          </w:p>
        </w:tc>
        <w:tc>
          <w:tcPr>
            <w:tcW w:w="100" w:type="dxa"/>
            <w:vAlign w:val="bottom"/>
            <w:shd w:val="clear" w:color="auto" w:fill="E9E9E9"/>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8,075</w:t>
            </w:r>
          </w:p>
        </w:tc>
        <w:tc>
          <w:tcPr>
            <w:tcW w:w="1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39,673</w:t>
            </w:r>
          </w:p>
        </w:tc>
        <w:tc>
          <w:tcPr>
            <w:tcW w:w="100" w:type="dxa"/>
            <w:vAlign w:val="bottom"/>
            <w:tcBorders>
              <w:bottom w:val="single" w:sz="8" w:color="E9E9E9"/>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31,598</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300" w:type="dxa"/>
            <w:vAlign w:val="bottom"/>
            <w:tcBorders>
              <w:bottom w:val="single" w:sz="8" w:color="auto"/>
            </w:tcBorders>
            <w:shd w:val="clear" w:color="auto" w:fill="E9E9E9"/>
          </w:tcPr>
          <w:p>
            <w:pPr>
              <w:spacing w:after="0"/>
              <w:rPr>
                <w:sz w:val="22"/>
                <w:szCs w:val="22"/>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30,711</w:t>
            </w:r>
          </w:p>
        </w:tc>
        <w:tc>
          <w:tcPr>
            <w:tcW w:w="100" w:type="dxa"/>
            <w:vAlign w:val="bottom"/>
            <w:tcBorders>
              <w:bottom w:val="single" w:sz="8" w:color="E9E9E9"/>
            </w:tcBorders>
            <w:shd w:val="clear" w:color="auto" w:fill="E9E9E9"/>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9E9E9"/>
          </w:tcPr>
          <w:p>
            <w:pPr>
              <w:spacing w:after="0"/>
              <w:rPr>
                <w:sz w:val="22"/>
                <w:szCs w:val="22"/>
                <w:color w:val="auto"/>
              </w:rPr>
            </w:pPr>
          </w:p>
        </w:tc>
        <w:tc>
          <w:tcPr>
            <w:tcW w:w="1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39,673</w:t>
            </w:r>
          </w:p>
        </w:tc>
        <w:tc>
          <w:tcPr>
            <w:tcW w:w="100" w:type="dxa"/>
            <w:vAlign w:val="bottom"/>
            <w:tcBorders>
              <w:bottom w:val="single" w:sz="8" w:color="E9E9E9"/>
            </w:tcBorders>
            <w:shd w:val="clear" w:color="auto" w:fill="E9E9E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tcBorders>
              <w:bottom w:val="single" w:sz="8" w:color="EAEAEA"/>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20" w:type="dxa"/>
            <w:vAlign w:val="bottom"/>
            <w:tcBorders>
              <w:bottom w:val="single" w:sz="8" w:color="EAEAEA"/>
            </w:tcBorders>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Cash paid for interest</w:t>
            </w: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10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1,249</w:t>
            </w:r>
          </w:p>
        </w:tc>
        <w:tc>
          <w:tcPr>
            <w:tcW w:w="10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Cash paid for business taxes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20" w:type="dxa"/>
            <w:vAlign w:val="bottom"/>
            <w:tcBorders>
              <w:bottom w:val="single" w:sz="8" w:color="EAEAEA"/>
            </w:tcBorders>
            <w:vMerge w:val="continue"/>
          </w:tcPr>
          <w:p>
            <w:pPr>
              <w:spacing w:after="0"/>
              <w:rPr>
                <w:sz w:val="21"/>
                <w:szCs w:val="21"/>
                <w:color w:val="auto"/>
              </w:rPr>
            </w:pPr>
          </w:p>
        </w:tc>
        <w:tc>
          <w:tcPr>
            <w:tcW w:w="300" w:type="dxa"/>
            <w:vAlign w:val="bottom"/>
            <w:tcBorders>
              <w:bottom w:val="single" w:sz="8" w:color="auto"/>
            </w:tcBorders>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54</w:t>
            </w:r>
          </w:p>
        </w:tc>
        <w:tc>
          <w:tcPr>
            <w:tcW w:w="100" w:type="dxa"/>
            <w:vAlign w:val="bottom"/>
            <w:tcBorders>
              <w:bottom w:val="single" w:sz="8" w:color="EAEAEA"/>
            </w:tcBorders>
          </w:tcPr>
          <w:p>
            <w:pPr>
              <w:spacing w:after="0"/>
              <w:rPr>
                <w:sz w:val="21"/>
                <w:szCs w:val="21"/>
                <w:color w:val="auto"/>
              </w:rPr>
            </w:pPr>
          </w:p>
        </w:tc>
        <w:tc>
          <w:tcPr>
            <w:tcW w:w="16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191</w:t>
            </w:r>
          </w:p>
        </w:tc>
        <w:tc>
          <w:tcPr>
            <w:tcW w:w="10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8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 xml:space="preserve">Non-cash investing activities: </w:t>
            </w:r>
            <w:r>
              <w:rPr>
                <w:rFonts w:ascii="Times New Roman" w:cs="Times New Roman" w:eastAsia="Times New Roman" w:hAnsi="Times New Roman"/>
                <w:sz w:val="20"/>
                <w:szCs w:val="20"/>
                <w:color w:val="auto"/>
              </w:rPr>
              <w:t>Property and equipment in accounts payable</w:t>
            </w:r>
          </w:p>
        </w:tc>
        <w:tc>
          <w:tcPr>
            <w:tcW w:w="300" w:type="dxa"/>
            <w:vAlign w:val="bottom"/>
            <w:tcBorders>
              <w:bottom w:val="single" w:sz="8" w:color="auto"/>
            </w:tcBorders>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AEAEA"/>
            </w:tcBorders>
            <w:gridSpan w:val="2"/>
            <w:shd w:val="clear" w:color="auto" w:fill="EAEAEA"/>
          </w:tcPr>
          <w:p>
            <w:pPr>
              <w:spacing w:after="0"/>
              <w:rPr>
                <w:sz w:val="21"/>
                <w:szCs w:val="21"/>
                <w:color w:val="auto"/>
              </w:rPr>
            </w:pPr>
          </w:p>
        </w:tc>
        <w:tc>
          <w:tcPr>
            <w:tcW w:w="320" w:type="dxa"/>
            <w:vAlign w:val="bottom"/>
            <w:tcBorders>
              <w:bottom w:val="single" w:sz="8" w:color="auto"/>
            </w:tcBorders>
            <w:shd w:val="clear" w:color="auto" w:fill="EAEAEA"/>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60"/>
          </w:cols>
          <w:pgMar w:left="1040" w:top="926" w:right="10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160"/>
          </w:cols>
          <w:pgMar w:left="1040" w:top="926" w:right="1040" w:bottom="175"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and For the Years Ended December 31, 2024 and 2023</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2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Tempest Therapeutics, Inc. (“Tempest” or the “Company”) is a clinical-stage biotechnology company moving into late-stage development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study in first-line liver cancer. Tempest is also developing other potential product candidates in its Discovery Research group. The Company is headquartered in Brisbane, California.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Management Plans</w:t>
      </w:r>
    </w:p>
    <w:p>
      <w:pPr>
        <w:spacing w:after="0" w:line="286" w:lineRule="exact"/>
        <w:rPr>
          <w:sz w:val="20"/>
          <w:szCs w:val="20"/>
          <w:color w:val="auto"/>
        </w:rPr>
      </w:pPr>
    </w:p>
    <w:p>
      <w:pPr>
        <w:jc w:val="both"/>
        <w:ind w:right="360"/>
        <w:spacing w:after="0" w:line="300"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the Company will continue as a going concern. The Company has incurred operating losses since inception. As of December 31, 2024, the Company had cash and cash equivalents of $30.3 million, which is sufficient to fund operations beyond 12 months from the issuance of the financial statements.</w:t>
      </w:r>
    </w:p>
    <w:p>
      <w:pPr>
        <w:spacing w:after="0" w:line="194" w:lineRule="exact"/>
        <w:rPr>
          <w:sz w:val="20"/>
          <w:szCs w:val="20"/>
          <w:color w:val="auto"/>
        </w:rPr>
      </w:pPr>
    </w:p>
    <w:p>
      <w:pPr>
        <w:jc w:val="both"/>
        <w:ind w:right="360"/>
        <w:spacing w:after="0" w:line="292" w:lineRule="auto"/>
        <w:rPr>
          <w:sz w:val="20"/>
          <w:szCs w:val="20"/>
          <w:color w:val="auto"/>
        </w:rPr>
      </w:pPr>
      <w:r>
        <w:rPr>
          <w:rFonts w:ascii="Times New Roman" w:cs="Times New Roman" w:eastAsia="Times New Roman" w:hAnsi="Times New Roman"/>
          <w:sz w:val="20"/>
          <w:szCs w:val="20"/>
          <w:color w:val="auto"/>
        </w:rPr>
        <w:t>The Company’s ability to fund continued development, including its Phase 3 clinical trial for amezalpat, will require significant additional capital. The Company intends to focus its short-term efforts on raising such capital through the issuance of additional equity or debt. Adequate additional financing may not be available to us on acceptable terms, or at all. If additional capital is not available to us on a timely basis, or at all, the Company will be required to take additional actions, including exploring potential merger opportunities and other strategic options, such as partnerships or collaborations for our programs, or may need to reduce operating expenses or delay, reduce the scope of, discontinue or alter the Company’s research and development activities, or may be forced to wind down its operations. The Company’s ability to continue as a going concern in the absence of additional capital is dependent upon its ability to control its expenses over the next 12 months, which include de-prioritizing R&amp;D programs, a reduction in its workforce, and controlling variable spend, while management secures sources of capital or another strategic opportunity.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Program</w:t>
      </w:r>
    </w:p>
    <w:p>
      <w:pPr>
        <w:spacing w:after="0" w:line="286" w:lineRule="exact"/>
        <w:rPr>
          <w:sz w:val="20"/>
          <w:szCs w:val="20"/>
          <w:color w:val="auto"/>
        </w:rPr>
      </w:pPr>
    </w:p>
    <w:p>
      <w:pPr>
        <w:jc w:val="both"/>
        <w:ind w:right="360"/>
        <w:spacing w:after="0" w:line="291" w:lineRule="auto"/>
        <w:rPr>
          <w:sz w:val="20"/>
          <w:szCs w:val="20"/>
          <w:color w:val="auto"/>
        </w:rPr>
      </w:pPr>
      <w:r>
        <w:rPr>
          <w:rFonts w:ascii="Times New Roman" w:cs="Times New Roman" w:eastAsia="Times New Roman" w:hAnsi="Times New Roman"/>
          <w:sz w:val="20"/>
          <w:szCs w:val="20"/>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approximately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$205,000,000 of its shares of common stock pursuant to the Sales Agreement. As of December 31, 2024, the Company has sold an aggregate of 21,626,191 shares of its common stock for gross proceeds of approximately $29.6 million, or $28.8 million</w:t>
      </w:r>
    </w:p>
    <w:p>
      <w:pPr>
        <w:sectPr>
          <w:pgSz w:w="12240" w:h="15840" w:orient="portrait"/>
          <w:cols w:equalWidth="0" w:num="1">
            <w:col w:w="10240"/>
          </w:cols>
          <w:pgMar w:left="1000" w:top="926" w:right="1000" w:bottom="175"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40"/>
          </w:cols>
          <w:pgMar w:left="1000" w:top="926" w:right="1000" w:bottom="175" w:gutter="0" w:footer="0" w:header="0"/>
          <w:type w:val="continuous"/>
        </w:sectPr>
      </w:pPr>
    </w:p>
    <w:bookmarkStart w:id="107" w:name="page108"/>
    <w:bookmarkEnd w:id="107"/>
    <w:p>
      <w:pPr>
        <w:jc w:val="both"/>
        <w:ind w:right="360"/>
        <w:spacing w:after="0" w:line="325" w:lineRule="auto"/>
        <w:rPr>
          <w:sz w:val="20"/>
          <w:szCs w:val="20"/>
          <w:color w:val="auto"/>
        </w:rPr>
      </w:pPr>
      <w:r>
        <w:rPr>
          <w:rFonts w:ascii="Times New Roman" w:cs="Times New Roman" w:eastAsia="Times New Roman" w:hAnsi="Times New Roman"/>
          <w:sz w:val="20"/>
          <w:szCs w:val="20"/>
          <w:color w:val="auto"/>
        </w:rPr>
        <w:t>after deducting commissions and offering expenses, pursuant to the ATM Program. As of December 31, 2024, approximately $175.4 million remained available for sale under the ATM Program.</w:t>
      </w:r>
    </w:p>
    <w:p>
      <w:pPr>
        <w:spacing w:after="0" w:line="169" w:lineRule="exact"/>
        <w:rPr>
          <w:sz w:val="20"/>
          <w:szCs w:val="20"/>
          <w:color w:val="auto"/>
        </w:rPr>
      </w:pPr>
    </w:p>
    <w:p>
      <w:pPr>
        <w:jc w:val="both"/>
        <w:ind w:right="360"/>
        <w:spacing w:after="0" w:line="297" w:lineRule="auto"/>
        <w:rPr>
          <w:sz w:val="20"/>
          <w:szCs w:val="20"/>
          <w:color w:val="auto"/>
        </w:rPr>
      </w:pPr>
      <w:r>
        <w:rPr>
          <w:rFonts w:ascii="Times New Roman" w:cs="Times New Roman" w:eastAsia="Times New Roman" w:hAnsi="Times New Roman"/>
          <w:sz w:val="20"/>
          <w:szCs w:val="20"/>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On February 6, 2025, the Company filed a prospectus supplement with the SEC limiting the availability under the ATM Program to $14.5 million.</w:t>
      </w:r>
    </w:p>
    <w:p>
      <w:pPr>
        <w:spacing w:after="0" w:line="197" w:lineRule="exact"/>
        <w:rPr>
          <w:sz w:val="20"/>
          <w:szCs w:val="20"/>
          <w:color w:val="auto"/>
        </w:rPr>
      </w:pPr>
    </w:p>
    <w:p>
      <w:pPr>
        <w:jc w:val="both"/>
        <w:ind w:right="360"/>
        <w:spacing w:after="0" w:line="306" w:lineRule="auto"/>
        <w:rPr>
          <w:sz w:val="20"/>
          <w:szCs w:val="20"/>
          <w:color w:val="auto"/>
        </w:rPr>
      </w:pPr>
      <w:r>
        <w:rPr>
          <w:rFonts w:ascii="Times New Roman" w:cs="Times New Roman" w:eastAsia="Times New Roman" w:hAnsi="Times New Roman"/>
          <w:sz w:val="20"/>
          <w:szCs w:val="20"/>
          <w:color w:val="auto"/>
        </w:rPr>
        <w:t>Between January 1, 2025 and March 21, 2025, we sold 1,464,321 shares of our common stock for gross and net proceeds of $1.3 million, pursuant to the ATM Program. As of March 21, 2025, we have approximately $13.4 million available for sale under the ATM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 Financing</w:t>
      </w:r>
    </w:p>
    <w:p>
      <w:pPr>
        <w:spacing w:after="0" w:line="286" w:lineRule="exact"/>
        <w:rPr>
          <w:sz w:val="20"/>
          <w:szCs w:val="20"/>
          <w:color w:val="auto"/>
        </w:rPr>
      </w:pPr>
    </w:p>
    <w:p>
      <w:pPr>
        <w:jc w:val="both"/>
        <w:ind w:right="340"/>
        <w:spacing w:after="0" w:line="293" w:lineRule="auto"/>
        <w:rPr>
          <w:sz w:val="20"/>
          <w:szCs w:val="20"/>
          <w:color w:val="auto"/>
        </w:rPr>
      </w:pPr>
      <w:r>
        <w:rPr>
          <w:rFonts w:ascii="Times New Roman" w:cs="Times New Roman" w:eastAsia="Times New Roman" w:hAnsi="Times New Roman"/>
          <w:sz w:val="20"/>
          <w:szCs w:val="20"/>
          <w:color w:val="auto"/>
        </w:rPr>
        <w:t>On April 29, 2022, the Company completed a private investment in public equity (“PIPE”) financing from the sale of 3,149,912 shares of its common stock at a price per share of $2.36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 As of December 31, 2024, all pre-funded warrants had been exercised.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32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color w:val="auto"/>
        </w:rPr>
        <w:t>—The accompanying Consolidated Financial Statements have been prepared in accordance with 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generally accepted accounting principles ("GAAP") and necessarily include amounts based on estimates and assumptions by management.</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b w:val="1"/>
          <w:bCs w:val="1"/>
          <w:i w:val="1"/>
          <w:iCs w:val="1"/>
          <w:color w:val="auto"/>
        </w:rPr>
        <w:t>Use of Estimates</w:t>
      </w:r>
      <w:r>
        <w:rPr>
          <w:rFonts w:ascii="Times New Roman" w:cs="Times New Roman" w:eastAsia="Times New Roman" w:hAnsi="Times New Roman"/>
          <w:sz w:val="20"/>
          <w:szCs w:val="20"/>
          <w:color w:val="auto"/>
        </w:rPr>
        <w:t>—The preparation of financial statements in conformity with GAAP requires management to make estimates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23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Segment Information</w:t>
      </w:r>
      <w:r>
        <w:rPr>
          <w:rFonts w:ascii="Times New Roman" w:cs="Times New Roman" w:eastAsia="Times New Roman" w:hAnsi="Times New Roman"/>
          <w:sz w:val="20"/>
          <w:szCs w:val="20"/>
          <w:color w:val="auto"/>
        </w:rPr>
        <w:t>—The Company operates and manages its business as one reportable and operating segment, which is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of discovery and development of small molecule drugs to treat cancers. All assets and operations are in the U.S. The Company’s Chief Executive Officer, who is the chief operating decision maker (“CODM”), reviews financial information on an aggregate basis for purposes of allocating resources and evaluating financial performance. For additional segment information, see Note 12, Segment Reporting.</w:t>
      </w:r>
    </w:p>
    <w:p>
      <w:pPr>
        <w:spacing w:after="0" w:line="2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Risks and Uncertainties</w:t>
      </w:r>
      <w:r>
        <w:rPr>
          <w:rFonts w:ascii="Times New Roman" w:cs="Times New Roman" w:eastAsia="Times New Roman" w:hAnsi="Times New Roman"/>
          <w:sz w:val="20"/>
          <w:szCs w:val="20"/>
          <w:color w:val="auto"/>
        </w:rPr>
        <w:t>—The Company is subject to risks and uncertainties common to early-stage companies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biotechnology industry, including, 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w:t>
      </w:r>
    </w:p>
    <w:p>
      <w:pPr>
        <w:sectPr>
          <w:pgSz w:w="12240" w:h="15840" w:orient="portrait"/>
          <w:cols w:equalWidth="0" w:num="1">
            <w:col w:w="10240"/>
          </w:cols>
          <w:pgMar w:left="1000" w:top="930" w:right="1000" w:bottom="17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40"/>
          </w:cols>
          <w:pgMar w:left="1000" w:top="930" w:right="1000" w:bottom="175" w:gutter="0" w:footer="0" w:header="0"/>
          <w:type w:val="continuous"/>
        </w:sectPr>
      </w:pPr>
    </w:p>
    <w:bookmarkStart w:id="108" w:name="page109"/>
    <w:bookmarkEnd w:id="108"/>
    <w:p>
      <w:pPr>
        <w:jc w:val="both"/>
        <w:spacing w:after="0" w:line="291" w:lineRule="auto"/>
        <w:rPr>
          <w:sz w:val="20"/>
          <w:szCs w:val="20"/>
          <w:color w:val="auto"/>
        </w:rPr>
      </w:pPr>
      <w:r>
        <w:rPr>
          <w:rFonts w:ascii="Times New Roman" w:cs="Times New Roman" w:eastAsia="Times New Roman" w:hAnsi="Times New Roman"/>
          <w:sz w:val="20"/>
          <w:szCs w:val="20"/>
          <w:color w:val="auto"/>
        </w:rPr>
        <w:t>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24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r>
        <w:rPr>
          <w:rFonts w:ascii="Times New Roman" w:cs="Times New Roman" w:eastAsia="Times New Roman" w:hAnsi="Times New Roman"/>
          <w:sz w:val="20"/>
          <w:szCs w:val="20"/>
          <w:color w:val="auto"/>
        </w:rPr>
        <w:t>—Financial instruments, which potentially subject the Company to concentration of risk, consist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principally of cash and money market fund. All of the Company’s cash and money market fund are deposited in accounts with a major financial institution in excess of federally insured limits. The Company is exposed to credit risk in the event of default by the financial institutions holding its cash and cash equivalents to the extent recorded in the balance sheets. While the Company has not experienced any losses in such accounts, the recent failure of Silicon Valley Bank (“SVB”), at which the Company held cash and cash equivalents in multiple accounts, exposed the Company to significant credit risk prior to the completion by the Federal Deposit Insurance Corporation of the resolution of SVB in a manner that fully protected all depositors. The Company had subsequently transferred its accounts to one or more alternate depository institutions. The Company has no off-balance sheet concentrations of credit risk, such as foreign currency exchange contracts, option contracts or other hedging arrangements.</w:t>
      </w:r>
    </w:p>
    <w:p>
      <w:pPr>
        <w:spacing w:after="0" w:line="23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Cash and Cash Equivalents</w:t>
      </w:r>
      <w:r>
        <w:rPr>
          <w:rFonts w:ascii="Times New Roman" w:cs="Times New Roman" w:eastAsia="Times New Roman" w:hAnsi="Times New Roman"/>
          <w:sz w:val="20"/>
          <w:szCs w:val="20"/>
          <w:color w:val="auto"/>
        </w:rPr>
        <w:t>—The Company considers all highly liquid investments purchased with original maturities of 90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days or less at acquisitions to be cash equivalents. As of December 31, 2024 and 2023, the Company’s cash and cash equivalents consisted of bank deposits and money market funds.</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—The Company determines if an arrangement is a lease at contract inception. A lease exists when a contract conveys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spacing w:after="0" w:line="2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21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Property and Equipment</w:t>
      </w:r>
      <w:r>
        <w:rPr>
          <w:rFonts w:ascii="Times New Roman" w:cs="Times New Roman" w:eastAsia="Times New Roman" w:hAnsi="Times New Roman"/>
          <w:sz w:val="20"/>
          <w:szCs w:val="20"/>
          <w:color w:val="auto"/>
        </w:rPr>
        <w:t>—Property and equipment is recorded at cost and depreciated over the estimated useful lives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related assets using the straight-line method. Upon disposal of an asset, 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40"/>
          </w:cols>
          <w:pgMar w:left="1000" w:top="930" w:right="1000" w:bottom="175" w:gutter="0" w:footer="0" w:header="0"/>
          <w:type w:val="continuous"/>
        </w:sectPr>
      </w:pPr>
    </w:p>
    <w:bookmarkStart w:id="109" w:name="page110"/>
    <w:bookmarkEnd w:id="109"/>
    <w:tbl>
      <w:tblPr>
        <w:tblLayout w:type="fixed"/>
        <w:tblInd w:w="40" w:type="dxa"/>
        <w:tblCellMar>
          <w:top w:w="0" w:type="dxa"/>
          <w:left w:w="0" w:type="dxa"/>
          <w:bottom w:w="0" w:type="dxa"/>
          <w:right w:w="0" w:type="dxa"/>
        </w:tblCellMar>
      </w:tblPr>
      <w:tr>
        <w:trPr>
          <w:trHeight w:val="266"/>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 and software</w:t>
            </w:r>
          </w:p>
        </w:tc>
        <w:tc>
          <w:tcPr>
            <w:tcW w:w="5700" w:type="dxa"/>
            <w:vAlign w:val="bottom"/>
          </w:tcPr>
          <w:p>
            <w:pPr>
              <w:jc w:val="center"/>
              <w:ind w:left="920"/>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335"/>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5700" w:type="dxa"/>
            <w:vAlign w:val="bottom"/>
          </w:tcPr>
          <w:p>
            <w:pPr>
              <w:jc w:val="center"/>
              <w:ind w:left="920"/>
              <w:spacing w:after="0"/>
              <w:rPr>
                <w:sz w:val="20"/>
                <w:szCs w:val="20"/>
                <w:color w:val="auto"/>
              </w:rPr>
            </w:pPr>
            <w:r>
              <w:rPr>
                <w:rFonts w:ascii="Times New Roman" w:cs="Times New Roman" w:eastAsia="Times New Roman" w:hAnsi="Times New Roman"/>
                <w:sz w:val="20"/>
                <w:szCs w:val="20"/>
                <w:color w:val="auto"/>
                <w:w w:val="97"/>
              </w:rPr>
              <w:t>7 years</w:t>
            </w:r>
          </w:p>
        </w:tc>
      </w:tr>
      <w:tr>
        <w:trPr>
          <w:trHeight w:val="335"/>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5700" w:type="dxa"/>
            <w:vAlign w:val="bottom"/>
          </w:tcPr>
          <w:p>
            <w:pPr>
              <w:jc w:val="center"/>
              <w:ind w:left="920"/>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335"/>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5700" w:type="dxa"/>
            <w:vAlign w:val="bottom"/>
          </w:tcPr>
          <w:p>
            <w:pPr>
              <w:jc w:val="center"/>
              <w:ind w:left="900"/>
              <w:spacing w:after="0"/>
              <w:rPr>
                <w:sz w:val="20"/>
                <w:szCs w:val="20"/>
                <w:color w:val="auto"/>
              </w:rPr>
            </w:pPr>
            <w:r>
              <w:rPr>
                <w:rFonts w:ascii="Times New Roman" w:cs="Times New Roman" w:eastAsia="Times New Roman" w:hAnsi="Times New Roman"/>
                <w:sz w:val="20"/>
                <w:szCs w:val="20"/>
                <w:color w:val="auto"/>
              </w:rPr>
              <w:t>Shorter of the useful life of the asset or the life of the lease</w:t>
            </w:r>
          </w:p>
        </w:tc>
      </w:tr>
    </w:tbl>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r>
        <w:rPr>
          <w:rFonts w:ascii="Times New Roman" w:cs="Times New Roman" w:eastAsia="Times New Roman" w:hAnsi="Times New Roman"/>
          <w:sz w:val="20"/>
          <w:szCs w:val="20"/>
          <w:color w:val="auto"/>
        </w:rPr>
        <w:t>—Long-lived assets are reviewed for impairment if events or circumstances indicate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carrying amount of these assets 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w:t>
      </w: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and Accrued Research and Development</w:t>
      </w:r>
      <w:r>
        <w:rPr>
          <w:rFonts w:ascii="Times New Roman" w:cs="Times New Roman" w:eastAsia="Times New Roman" w:hAnsi="Times New Roman"/>
          <w:sz w:val="20"/>
          <w:szCs w:val="20"/>
          <w:color w:val="auto"/>
        </w:rPr>
        <w:t>—Research and development expenses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charged to expense as incurred. Research and development expenses include certain payroll and personnel expenses including stock-based compensation,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2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24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Patent Costs</w:t>
      </w:r>
      <w:r>
        <w:rPr>
          <w:rFonts w:ascii="Times New Roman" w:cs="Times New Roman" w:eastAsia="Times New Roman" w:hAnsi="Times New Roman"/>
          <w:sz w:val="20"/>
          <w:szCs w:val="20"/>
          <w:color w:val="auto"/>
        </w:rPr>
        <w:t>—Costs related to filing and pursuing patent applications are expensed as incurred, as recoverability of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expenditures is uncertain. These patent-related legal costs are reported as a component of general and administrative expenses.</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r>
        <w:rPr>
          <w:rFonts w:ascii="Times New Roman" w:cs="Times New Roman" w:eastAsia="Times New Roman" w:hAnsi="Times New Roman"/>
          <w:sz w:val="20"/>
          <w:szCs w:val="20"/>
          <w:color w:val="auto"/>
        </w:rPr>
        <w:t>—General and administrative costs are expensed as incurred and include employee-related expenses including 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w:t>
      </w:r>
    </w:p>
    <w:p>
      <w:pPr>
        <w:spacing w:after="0" w:line="23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—Fair value is defined as the price that would be received to sell an asset or paid to transfer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liability in an orderly transaction 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23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r>
        <w:rPr>
          <w:rFonts w:ascii="Times New Roman" w:cs="Times New Roman" w:eastAsia="Times New Roman" w:hAnsi="Times New Roman"/>
          <w:sz w:val="20"/>
          <w:szCs w:val="20"/>
          <w:color w:val="auto"/>
        </w:rPr>
        <w:t>—The Company accounts for stock-based compensation by measuring and recognizing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expense for all 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ectPr>
          <w:pgSz w:w="12240" w:h="15840" w:orient="portrait"/>
          <w:cols w:equalWidth="0" w:num="1">
            <w:col w:w="10240"/>
          </w:cols>
          <w:pgMar w:left="1000" w:top="1281" w:right="1000" w:bottom="175"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40"/>
          </w:cols>
          <w:pgMar w:left="1000" w:top="1281" w:right="1000" w:bottom="175" w:gutter="0" w:footer="0" w:header="0"/>
          <w:type w:val="continuous"/>
        </w:sectPr>
      </w:pPr>
    </w:p>
    <w:bookmarkStart w:id="110" w:name="page111"/>
    <w:bookmarkEnd w:id="110"/>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2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b w:val="1"/>
          <w:bCs w:val="1"/>
          <w:i w:val="1"/>
          <w:iCs w:val="1"/>
          <w:color w:val="auto"/>
        </w:rPr>
        <w:t>Net Loss per Share Attributable to Common Stockholders</w:t>
      </w:r>
      <w:r>
        <w:rPr>
          <w:rFonts w:ascii="Times New Roman" w:cs="Times New Roman" w:eastAsia="Times New Roman" w:hAnsi="Times New Roman"/>
          <w:sz w:val="20"/>
          <w:szCs w:val="20"/>
          <w:color w:val="auto"/>
        </w:rPr>
        <w:t>—The Company follows the two-class method when computing net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23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2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—The Company accounts for income taxes using the asset and liability method. The Company recognizes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23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2024 and 2023, the Company has recorded a full valuation allowance on its deferred tax assets.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40"/>
          </w:cols>
          <w:pgMar w:left="1000" w:top="930" w:right="1000" w:bottom="175" w:gutter="0" w:footer="0" w:header="0"/>
          <w:type w:val="continuous"/>
        </w:sectPr>
      </w:pPr>
    </w:p>
    <w:bookmarkStart w:id="111" w:name="page112"/>
    <w:bookmarkEnd w:id="111"/>
    <w:p>
      <w:pPr>
        <w:jc w:val="both"/>
        <w:spacing w:after="0" w:line="355" w:lineRule="auto"/>
        <w:rPr>
          <w:sz w:val="20"/>
          <w:szCs w:val="20"/>
          <w:color w:val="auto"/>
        </w:rPr>
      </w:pPr>
      <w:r>
        <w:rPr>
          <w:rFonts w:ascii="Times New Roman" w:cs="Times New Roman" w:eastAsia="Times New Roman" w:hAnsi="Times New Roman"/>
          <w:sz w:val="19"/>
          <w:szCs w:val="19"/>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r>
        <w:rPr>
          <w:rFonts w:ascii="Times New Roman" w:cs="Times New Roman" w:eastAsia="Times New Roman" w:hAnsi="Times New Roman"/>
          <w:sz w:val="20"/>
          <w:szCs w:val="20"/>
          <w:color w:val="auto"/>
        </w:rPr>
        <w:t>—In November 2023, the FASB issued ASU 2023-07, Segment Reporting: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The Company adopted ASU 2023-07 for the year ended December 31, 2024 and the application of ASU 2023-07 did not have a material impact on the Company’s Consolidated Financial Statements. The adoption did result in enhanced disclosures as included in Note 12, Segment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following tables present the Company’s fair value hierarchy for assets and liabilities measured at fair value on a recurring basis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5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0"/>
        </w:trPr>
        <w:tc>
          <w:tcPr>
            <w:tcW w:w="51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30,268</w:t>
            </w:r>
          </w:p>
        </w:tc>
        <w:tc>
          <w:tcPr>
            <w:tcW w:w="3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EAEAEA"/>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AEAEA"/>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30,268</w:t>
            </w:r>
          </w:p>
        </w:tc>
      </w:tr>
      <w:tr>
        <w:trPr>
          <w:trHeight w:val="225"/>
        </w:trPr>
        <w:tc>
          <w:tcPr>
            <w:tcW w:w="5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30,268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ind w:left="76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ind w:left="72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30,268</w:t>
            </w:r>
          </w:p>
        </w:tc>
        <w:tc>
          <w:tcPr>
            <w:tcW w:w="6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5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0"/>
        </w:trPr>
        <w:tc>
          <w:tcPr>
            <w:tcW w:w="516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39,230</w:t>
            </w:r>
          </w:p>
        </w:tc>
        <w:tc>
          <w:tcPr>
            <w:tcW w:w="36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EAEAEA"/>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AEAEA"/>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39,230</w:t>
            </w:r>
          </w:p>
        </w:tc>
      </w:tr>
      <w:tr>
        <w:trPr>
          <w:trHeight w:val="225"/>
        </w:trPr>
        <w:tc>
          <w:tcPr>
            <w:tcW w:w="5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39,230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ind w:left="76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ind w:left="72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39,230</w:t>
            </w:r>
          </w:p>
        </w:tc>
        <w:tc>
          <w:tcPr>
            <w:tcW w:w="6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-1262380</wp:posOffset>
            </wp:positionV>
            <wp:extent cx="3227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3227070" cy="381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-499110</wp:posOffset>
            </wp:positionV>
            <wp:extent cx="3227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3227070" cy="381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BALANCE SHEET ITEMS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current asset consist of the following as of December 31, 2024 and 2023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AEAEA"/>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18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9E9E9"/>
            </w:tcBorders>
          </w:tcPr>
          <w:p>
            <w:pPr>
              <w:spacing w:after="0"/>
              <w:rPr>
                <w:sz w:val="22"/>
                <w:szCs w:val="22"/>
                <w:color w:val="auto"/>
              </w:rPr>
            </w:pPr>
          </w:p>
        </w:tc>
      </w:tr>
      <w:tr>
        <w:trPr>
          <w:trHeight w:val="225"/>
        </w:trPr>
        <w:tc>
          <w:tcPr>
            <w:tcW w:w="700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Prepaid expenses</w:t>
            </w:r>
          </w:p>
        </w:tc>
        <w:tc>
          <w:tcPr>
            <w:tcW w:w="980" w:type="dxa"/>
            <w:vAlign w:val="bottom"/>
            <w:shd w:val="clear" w:color="auto" w:fill="E9E9E9"/>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642</w:t>
            </w:r>
          </w:p>
        </w:tc>
        <w:tc>
          <w:tcPr>
            <w:tcW w:w="100" w:type="dxa"/>
            <w:vAlign w:val="bottom"/>
            <w:shd w:val="clear" w:color="auto" w:fill="E9E9E9"/>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300" w:type="dxa"/>
            <w:vAlign w:val="bottom"/>
            <w:shd w:val="clear" w:color="auto" w:fill="E9E9E9"/>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700</w:t>
            </w:r>
          </w:p>
        </w:tc>
        <w:tc>
          <w:tcPr>
            <w:tcW w:w="60" w:type="dxa"/>
            <w:vAlign w:val="bottom"/>
            <w:shd w:val="clear" w:color="auto" w:fill="E9E9E9"/>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Prepaid research and development costs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60" w:type="dxa"/>
            <w:vAlign w:val="bottom"/>
          </w:tcPr>
          <w:p>
            <w:pPr>
              <w:spacing w:after="0"/>
              <w:rPr>
                <w:sz w:val="20"/>
                <w:szCs w:val="20"/>
                <w:color w:val="auto"/>
              </w:rPr>
            </w:pPr>
          </w:p>
        </w:tc>
      </w:tr>
      <w:tr>
        <w:trPr>
          <w:trHeight w:val="230"/>
        </w:trPr>
        <w:tc>
          <w:tcPr>
            <w:tcW w:w="70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980" w:type="dxa"/>
            <w:vAlign w:val="bottom"/>
            <w:shd w:val="clear" w:color="auto" w:fill="E9E9E9"/>
          </w:tcPr>
          <w:p>
            <w:pPr>
              <w:spacing w:after="0"/>
              <w:rPr>
                <w:sz w:val="20"/>
                <w:szCs w:val="20"/>
                <w:color w:val="auto"/>
              </w:rPr>
            </w:pPr>
          </w:p>
        </w:tc>
        <w:tc>
          <w:tcPr>
            <w:tcW w:w="5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100" w:type="dxa"/>
            <w:vAlign w:val="bottom"/>
            <w:shd w:val="clear" w:color="auto" w:fill="E9E9E9"/>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180" w:type="dxa"/>
            <w:vAlign w:val="bottom"/>
            <w:gridSpan w:val="2"/>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96</w:t>
            </w:r>
          </w:p>
        </w:tc>
      </w:tr>
      <w:tr>
        <w:trPr>
          <w:trHeight w:val="225"/>
        </w:trPr>
        <w:tc>
          <w:tcPr>
            <w:tcW w:w="70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980" w:type="dxa"/>
            <w:vAlign w:val="bottom"/>
            <w:tcBorders>
              <w:top w:val="single" w:sz="8" w:color="auto"/>
              <w:bottom w:val="single" w:sz="8" w:color="auto"/>
            </w:tcBorders>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1,133</w:t>
            </w:r>
          </w:p>
        </w:tc>
        <w:tc>
          <w:tcPr>
            <w:tcW w:w="6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consists of the following as of December 31, 2024 and 2023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2"/>
                <w:szCs w:val="22"/>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r>
      <w:tr>
        <w:trPr>
          <w:trHeight w:val="225"/>
        </w:trPr>
        <w:tc>
          <w:tcPr>
            <w:tcW w:w="488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Computer equipment and software</w:t>
            </w:r>
          </w:p>
        </w:tc>
        <w:tc>
          <w:tcPr>
            <w:tcW w:w="2140" w:type="dxa"/>
            <w:vAlign w:val="bottom"/>
            <w:tcBorders>
              <w:top w:val="single" w:sz="8" w:color="EAEAEA"/>
            </w:tcBorders>
            <w:shd w:val="clear" w:color="auto" w:fill="EAEAEA"/>
          </w:tcPr>
          <w:p>
            <w:pPr>
              <w:spacing w:after="0"/>
              <w:rPr>
                <w:sz w:val="19"/>
                <w:szCs w:val="19"/>
                <w:color w:val="auto"/>
              </w:rPr>
            </w:pPr>
          </w:p>
        </w:tc>
        <w:tc>
          <w:tcPr>
            <w:tcW w:w="920" w:type="dxa"/>
            <w:vAlign w:val="bottom"/>
            <w:tcBorders>
              <w:top w:val="single" w:sz="8" w:color="auto"/>
            </w:tcBorders>
            <w:shd w:val="clear" w:color="auto" w:fill="E9E9E9"/>
          </w:tcPr>
          <w:p>
            <w:pPr>
              <w:jc w:val="right"/>
              <w:ind w:right="7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192</w:t>
            </w:r>
          </w:p>
        </w:tc>
        <w:tc>
          <w:tcPr>
            <w:tcW w:w="100" w:type="dxa"/>
            <w:vAlign w:val="bottom"/>
            <w:tcBorders>
              <w:top w:val="single" w:sz="8" w:color="E9E9E9"/>
            </w:tcBorders>
            <w:shd w:val="clear" w:color="auto" w:fill="E9E9E9"/>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300" w:type="dxa"/>
            <w:vAlign w:val="bottom"/>
            <w:tcBorders>
              <w:top w:val="single" w:sz="8" w:color="auto"/>
            </w:tcBorders>
            <w:shd w:val="clear" w:color="auto" w:fill="E9E9E9"/>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169</w:t>
            </w:r>
          </w:p>
        </w:tc>
        <w:tc>
          <w:tcPr>
            <w:tcW w:w="80" w:type="dxa"/>
            <w:vAlign w:val="bottom"/>
            <w:tcBorders>
              <w:top w:val="single" w:sz="8" w:color="E9E9E9"/>
            </w:tcBorders>
            <w:shd w:val="clear" w:color="auto" w:fill="E9E9E9"/>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80" w:type="dxa"/>
            <w:vAlign w:val="bottom"/>
          </w:tcPr>
          <w:p>
            <w:pPr>
              <w:spacing w:after="0"/>
              <w:rPr>
                <w:sz w:val="20"/>
                <w:szCs w:val="20"/>
                <w:color w:val="auto"/>
              </w:rPr>
            </w:pPr>
          </w:p>
        </w:tc>
      </w:tr>
      <w:tr>
        <w:trPr>
          <w:trHeight w:val="230"/>
        </w:trPr>
        <w:tc>
          <w:tcPr>
            <w:tcW w:w="48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2140" w:type="dxa"/>
            <w:vAlign w:val="bottom"/>
            <w:shd w:val="clear" w:color="auto" w:fill="EAEAEA"/>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1,485</w:t>
            </w:r>
          </w:p>
        </w:tc>
        <w:tc>
          <w:tcPr>
            <w:tcW w:w="100" w:type="dxa"/>
            <w:vAlign w:val="bottom"/>
            <w:shd w:val="clear" w:color="auto" w:fill="E9E9E9"/>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118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1,133</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235</w:t>
            </w:r>
          </w:p>
        </w:tc>
      </w:tr>
      <w:tr>
        <w:trPr>
          <w:trHeight w:val="225"/>
        </w:trPr>
        <w:tc>
          <w:tcPr>
            <w:tcW w:w="4880" w:type="dxa"/>
            <w:vAlign w:val="bottom"/>
            <w:tcBorders>
              <w:top w:val="single" w:sz="8" w:color="EAEAEA"/>
            </w:tcBorders>
            <w:shd w:val="clear" w:color="auto" w:fill="EAEAEA"/>
          </w:tcPr>
          <w:p>
            <w:pPr>
              <w:ind w:left="200"/>
              <w:spacing w:after="0" w:line="225" w:lineRule="exact"/>
              <w:rPr>
                <w:sz w:val="20"/>
                <w:szCs w:val="20"/>
                <w:color w:val="auto"/>
              </w:rPr>
            </w:pPr>
            <w:r>
              <w:rPr>
                <w:rFonts w:ascii="Times New Roman" w:cs="Times New Roman" w:eastAsia="Times New Roman" w:hAnsi="Times New Roman"/>
                <w:sz w:val="20"/>
                <w:szCs w:val="20"/>
                <w:color w:val="auto"/>
              </w:rPr>
              <w:t>Property and equipment</w:t>
            </w:r>
          </w:p>
        </w:tc>
        <w:tc>
          <w:tcPr>
            <w:tcW w:w="2140" w:type="dxa"/>
            <w:vAlign w:val="bottom"/>
            <w:tcBorders>
              <w:top w:val="single" w:sz="8" w:color="EAEAEA"/>
            </w:tcBorders>
            <w:shd w:val="clear" w:color="auto" w:fill="EAEAEA"/>
          </w:tcPr>
          <w:p>
            <w:pPr>
              <w:spacing w:after="0"/>
              <w:rPr>
                <w:sz w:val="19"/>
                <w:szCs w:val="19"/>
                <w:color w:val="auto"/>
              </w:rPr>
            </w:pPr>
          </w:p>
        </w:tc>
        <w:tc>
          <w:tcPr>
            <w:tcW w:w="920" w:type="dxa"/>
            <w:vAlign w:val="bottom"/>
            <w:tcBorders>
              <w:top w:val="single" w:sz="8" w:color="auto"/>
            </w:tcBorders>
            <w:shd w:val="clear" w:color="auto" w:fill="E9E9E9"/>
          </w:tcPr>
          <w:p>
            <w:pPr>
              <w:spacing w:after="0"/>
              <w:rPr>
                <w:sz w:val="19"/>
                <w:szCs w:val="19"/>
                <w:color w:val="auto"/>
              </w:rPr>
            </w:pPr>
          </w:p>
        </w:tc>
        <w:tc>
          <w:tcPr>
            <w:tcW w:w="52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2,206</w:t>
            </w:r>
          </w:p>
        </w:tc>
        <w:tc>
          <w:tcPr>
            <w:tcW w:w="100" w:type="dxa"/>
            <w:vAlign w:val="bottom"/>
            <w:tcBorders>
              <w:top w:val="single" w:sz="8" w:color="E9E9E9"/>
            </w:tcBorders>
            <w:shd w:val="clear" w:color="auto" w:fill="E9E9E9"/>
          </w:tcPr>
          <w:p>
            <w:pPr>
              <w:spacing w:after="0"/>
              <w:rPr>
                <w:sz w:val="19"/>
                <w:szCs w:val="19"/>
                <w:color w:val="auto"/>
              </w:rPr>
            </w:pPr>
          </w:p>
        </w:tc>
        <w:tc>
          <w:tcPr>
            <w:tcW w:w="200" w:type="dxa"/>
            <w:vAlign w:val="bottom"/>
            <w:tcBorders>
              <w:top w:val="single" w:sz="8" w:color="EAEAEA"/>
            </w:tcBorders>
            <w:shd w:val="clear" w:color="auto" w:fill="EAEAEA"/>
          </w:tcPr>
          <w:p>
            <w:pPr>
              <w:spacing w:after="0"/>
              <w:rPr>
                <w:sz w:val="19"/>
                <w:szCs w:val="19"/>
                <w:color w:val="auto"/>
              </w:rPr>
            </w:pPr>
          </w:p>
        </w:tc>
        <w:tc>
          <w:tcPr>
            <w:tcW w:w="300" w:type="dxa"/>
            <w:vAlign w:val="bottom"/>
            <w:tcBorders>
              <w:top w:val="single" w:sz="8" w:color="auto"/>
            </w:tcBorders>
            <w:shd w:val="clear" w:color="auto" w:fill="E9E9E9"/>
          </w:tcPr>
          <w:p>
            <w:pPr>
              <w:spacing w:after="0"/>
              <w:rPr>
                <w:sz w:val="19"/>
                <w:szCs w:val="19"/>
                <w:color w:val="auto"/>
              </w:rPr>
            </w:pPr>
          </w:p>
        </w:tc>
        <w:tc>
          <w:tcPr>
            <w:tcW w:w="110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1,865</w:t>
            </w:r>
          </w:p>
        </w:tc>
        <w:tc>
          <w:tcPr>
            <w:tcW w:w="80" w:type="dxa"/>
            <w:vAlign w:val="bottom"/>
            <w:tcBorders>
              <w:top w:val="single" w:sz="8" w:color="E9E9E9"/>
            </w:tcBorders>
            <w:shd w:val="clear" w:color="auto" w:fill="E9E9E9"/>
          </w:tcPr>
          <w:p>
            <w:pPr>
              <w:spacing w:after="0"/>
              <w:rPr>
                <w:sz w:val="19"/>
                <w:szCs w:val="19"/>
                <w:color w:val="auto"/>
              </w:rPr>
            </w:pPr>
          </w:p>
        </w:tc>
      </w:tr>
      <w:tr>
        <w:trPr>
          <w:trHeight w:val="230"/>
        </w:trPr>
        <w:tc>
          <w:tcPr>
            <w:tcW w:w="48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140" w:type="dxa"/>
            <w:vAlign w:val="bottom"/>
            <w:tcBorders>
              <w:bottom w:val="single" w:sz="8" w:color="EAEAEA"/>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5"/>
              </w:rPr>
              <w:t>(1,320)</w:t>
            </w:r>
          </w:p>
        </w:tc>
        <w:tc>
          <w:tcPr>
            <w:tcW w:w="100" w:type="dxa"/>
            <w:vAlign w:val="bottom"/>
            <w:tcBorders>
              <w:bottom w:val="single" w:sz="8" w:color="E9E9E9"/>
            </w:tcBorders>
          </w:tcPr>
          <w:p>
            <w:pPr>
              <w:spacing w:after="0"/>
              <w:rPr>
                <w:sz w:val="20"/>
                <w:szCs w:val="20"/>
                <w:color w:val="auto"/>
              </w:rPr>
            </w:pPr>
          </w:p>
        </w:tc>
        <w:tc>
          <w:tcPr>
            <w:tcW w:w="200" w:type="dxa"/>
            <w:vAlign w:val="bottom"/>
            <w:tcBorders>
              <w:bottom w:val="single" w:sz="8" w:color="EA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80" w:type="dxa"/>
            <w:vAlign w:val="bottom"/>
            <w:tcBorders>
              <w:bottom w:val="single" w:sz="8" w:color="E9E9E9"/>
            </w:tcBorders>
          </w:tcPr>
          <w:p>
            <w:pPr>
              <w:spacing w:after="0"/>
              <w:rPr>
                <w:sz w:val="20"/>
                <w:szCs w:val="20"/>
                <w:color w:val="auto"/>
              </w:rPr>
            </w:pPr>
          </w:p>
        </w:tc>
      </w:tr>
      <w:tr>
        <w:trPr>
          <w:trHeight w:val="245"/>
        </w:trPr>
        <w:tc>
          <w:tcPr>
            <w:tcW w:w="4880" w:type="dxa"/>
            <w:vAlign w:val="bottom"/>
            <w:tcBorders>
              <w:bottom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Property and equipment—net</w:t>
            </w:r>
          </w:p>
        </w:tc>
        <w:tc>
          <w:tcPr>
            <w:tcW w:w="2140" w:type="dxa"/>
            <w:vAlign w:val="bottom"/>
            <w:tcBorders>
              <w:bottom w:val="single" w:sz="8" w:color="EAEAEA"/>
            </w:tcBorders>
            <w:shd w:val="clear" w:color="auto" w:fill="EAEAEA"/>
          </w:tcPr>
          <w:p>
            <w:pPr>
              <w:spacing w:after="0"/>
              <w:rPr>
                <w:sz w:val="21"/>
                <w:szCs w:val="21"/>
                <w:color w:val="auto"/>
              </w:rPr>
            </w:pPr>
          </w:p>
        </w:tc>
        <w:tc>
          <w:tcPr>
            <w:tcW w:w="920" w:type="dxa"/>
            <w:vAlign w:val="bottom"/>
            <w:tcBorders>
              <w:bottom w:val="single" w:sz="8" w:color="auto"/>
            </w:tcBorders>
            <w:shd w:val="clear" w:color="auto" w:fill="E9E9E9"/>
          </w:tcPr>
          <w:p>
            <w:pPr>
              <w:jc w:val="right"/>
              <w:ind w:right="7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886</w:t>
            </w:r>
          </w:p>
        </w:tc>
        <w:tc>
          <w:tcPr>
            <w:tcW w:w="100" w:type="dxa"/>
            <w:vAlign w:val="bottom"/>
            <w:tcBorders>
              <w:bottom w:val="single" w:sz="8" w:color="E9E9E9"/>
            </w:tcBorders>
            <w:shd w:val="clear" w:color="auto" w:fill="E9E9E9"/>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300" w:type="dxa"/>
            <w:vAlign w:val="bottom"/>
            <w:tcBorders>
              <w:bottom w:val="single" w:sz="8" w:color="auto"/>
            </w:tcBorders>
            <w:shd w:val="clear" w:color="auto" w:fill="E9E9E9"/>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840</w:t>
            </w:r>
          </w:p>
        </w:tc>
        <w:tc>
          <w:tcPr>
            <w:tcW w:w="80" w:type="dxa"/>
            <w:vAlign w:val="bottom"/>
            <w:tcBorders>
              <w:bottom w:val="single" w:sz="8" w:color="E9E9E9"/>
            </w:tcBorders>
            <w:shd w:val="clear" w:color="auto" w:fill="E9E9E9"/>
          </w:tcPr>
          <w:p>
            <w:pPr>
              <w:spacing w:after="0"/>
              <w:rPr>
                <w:sz w:val="21"/>
                <w:szCs w:val="21"/>
                <w:color w:val="auto"/>
              </w:rPr>
            </w:pPr>
          </w:p>
        </w:tc>
      </w:tr>
      <w:tr>
        <w:trPr>
          <w:trHeight w:val="20"/>
        </w:trPr>
        <w:tc>
          <w:tcPr>
            <w:tcW w:w="4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for the years ended December 31, 2024 and 2023 was $389 and $381,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liabilities as of December 31, 2024 and 2023 consist of the following (in thousands):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40"/>
          </w:cols>
          <w:pgMar w:left="1000" w:top="930" w:right="1000" w:bottom="175"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53"/>
        </w:trPr>
        <w:tc>
          <w:tcPr>
            <w:tcW w:w="4680" w:type="dxa"/>
            <w:vAlign w:val="bottom"/>
          </w:tcPr>
          <w:p>
            <w:pPr>
              <w:spacing w:after="0"/>
              <w:rPr>
                <w:sz w:val="22"/>
                <w:szCs w:val="22"/>
                <w:color w:val="auto"/>
              </w:rPr>
            </w:pP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25"/>
        </w:trPr>
        <w:tc>
          <w:tcPr>
            <w:tcW w:w="468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Accrued other liabilities</w:t>
            </w:r>
          </w:p>
        </w:tc>
        <w:tc>
          <w:tcPr>
            <w:tcW w:w="2320" w:type="dxa"/>
            <w:vAlign w:val="bottom"/>
            <w:tcBorders>
              <w:top w:val="single" w:sz="8" w:color="EAEAEA"/>
            </w:tcBorders>
            <w:shd w:val="clear" w:color="auto" w:fill="EAEAEA"/>
          </w:tcPr>
          <w:p>
            <w:pPr>
              <w:spacing w:after="0"/>
              <w:rPr>
                <w:sz w:val="19"/>
                <w:szCs w:val="19"/>
                <w:color w:val="auto"/>
              </w:rPr>
            </w:pPr>
          </w:p>
        </w:tc>
        <w:tc>
          <w:tcPr>
            <w:tcW w:w="980" w:type="dxa"/>
            <w:vAlign w:val="bottom"/>
            <w:tcBorders>
              <w:top w:val="single" w:sz="8" w:color="auto"/>
            </w:tcBorders>
            <w:shd w:val="clear" w:color="auto" w:fill="E9E9E9"/>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1,335</w:t>
            </w:r>
          </w:p>
        </w:tc>
        <w:tc>
          <w:tcPr>
            <w:tcW w:w="100" w:type="dxa"/>
            <w:vAlign w:val="bottom"/>
            <w:tcBorders>
              <w:top w:val="single" w:sz="8" w:color="E9E9E9"/>
            </w:tcBorders>
            <w:shd w:val="clear" w:color="auto" w:fill="E9E9E9"/>
          </w:tcPr>
          <w:p>
            <w:pPr>
              <w:spacing w:after="0"/>
              <w:rPr>
                <w:sz w:val="19"/>
                <w:szCs w:val="19"/>
                <w:color w:val="auto"/>
              </w:rPr>
            </w:pPr>
          </w:p>
        </w:tc>
        <w:tc>
          <w:tcPr>
            <w:tcW w:w="180" w:type="dxa"/>
            <w:vAlign w:val="bottom"/>
            <w:tcBorders>
              <w:top w:val="single" w:sz="8" w:color="EAEAEA"/>
            </w:tcBorders>
            <w:shd w:val="clear" w:color="auto" w:fill="EAEAEA"/>
          </w:tcPr>
          <w:p>
            <w:pPr>
              <w:spacing w:after="0"/>
              <w:rPr>
                <w:sz w:val="19"/>
                <w:szCs w:val="19"/>
                <w:color w:val="auto"/>
              </w:rPr>
            </w:pPr>
          </w:p>
        </w:tc>
        <w:tc>
          <w:tcPr>
            <w:tcW w:w="300" w:type="dxa"/>
            <w:vAlign w:val="bottom"/>
            <w:tcBorders>
              <w:top w:val="single" w:sz="8" w:color="auto"/>
            </w:tcBorders>
            <w:shd w:val="clear" w:color="auto" w:fill="E9E9E9"/>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626</w:t>
            </w:r>
          </w:p>
        </w:tc>
        <w:tc>
          <w:tcPr>
            <w:tcW w:w="60" w:type="dxa"/>
            <w:vAlign w:val="bottom"/>
            <w:tcBorders>
              <w:top w:val="single" w:sz="8" w:color="E9E9E9"/>
            </w:tcBorders>
            <w:shd w:val="clear" w:color="auto" w:fill="E9E9E9"/>
          </w:tcPr>
          <w:p>
            <w:pPr>
              <w:spacing w:after="0"/>
              <w:rPr>
                <w:sz w:val="19"/>
                <w:szCs w:val="19"/>
                <w:color w:val="auto"/>
              </w:rPr>
            </w:pPr>
          </w:p>
        </w:tc>
      </w:tr>
      <w:tr>
        <w:trPr>
          <w:trHeight w:val="230"/>
        </w:trPr>
        <w:tc>
          <w:tcPr>
            <w:tcW w:w="468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Accrued clinical trial liability</w:t>
            </w:r>
          </w:p>
        </w:tc>
        <w:tc>
          <w:tcPr>
            <w:tcW w:w="2320" w:type="dxa"/>
            <w:vAlign w:val="bottom"/>
            <w:tcBorders>
              <w:bottom w:val="single" w:sz="8" w:color="EAEAEA"/>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1,391</w:t>
            </w:r>
          </w:p>
        </w:tc>
        <w:tc>
          <w:tcPr>
            <w:tcW w:w="100" w:type="dxa"/>
            <w:vAlign w:val="bottom"/>
            <w:tcBorders>
              <w:bottom w:val="single" w:sz="8" w:color="E9E9E9"/>
            </w:tcBorders>
          </w:tcPr>
          <w:p>
            <w:pPr>
              <w:spacing w:after="0"/>
              <w:rPr>
                <w:sz w:val="20"/>
                <w:szCs w:val="20"/>
                <w:color w:val="auto"/>
              </w:rPr>
            </w:pPr>
          </w:p>
        </w:tc>
        <w:tc>
          <w:tcPr>
            <w:tcW w:w="180" w:type="dxa"/>
            <w:vAlign w:val="bottom"/>
            <w:tcBorders>
              <w:bottom w:val="single" w:sz="8" w:color="EA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w:t>
            </w:r>
          </w:p>
        </w:tc>
        <w:tc>
          <w:tcPr>
            <w:tcW w:w="60" w:type="dxa"/>
            <w:vAlign w:val="bottom"/>
            <w:tcBorders>
              <w:bottom w:val="single" w:sz="8" w:color="E9E9E9"/>
            </w:tcBorders>
          </w:tcPr>
          <w:p>
            <w:pPr>
              <w:spacing w:after="0"/>
              <w:rPr>
                <w:sz w:val="20"/>
                <w:szCs w:val="20"/>
                <w:color w:val="auto"/>
              </w:rPr>
            </w:pPr>
          </w:p>
        </w:tc>
      </w:tr>
      <w:tr>
        <w:trPr>
          <w:trHeight w:val="245"/>
        </w:trPr>
        <w:tc>
          <w:tcPr>
            <w:tcW w:w="4680" w:type="dxa"/>
            <w:vAlign w:val="bottom"/>
            <w:tcBorders>
              <w:bottom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320" w:type="dxa"/>
            <w:vAlign w:val="bottom"/>
            <w:tcBorders>
              <w:bottom w:val="single" w:sz="8" w:color="EAEAEA"/>
            </w:tcBorders>
            <w:shd w:val="clear" w:color="auto" w:fill="EAEAEA"/>
          </w:tcPr>
          <w:p>
            <w:pPr>
              <w:spacing w:after="0"/>
              <w:rPr>
                <w:sz w:val="21"/>
                <w:szCs w:val="21"/>
                <w:color w:val="auto"/>
              </w:rPr>
            </w:pPr>
          </w:p>
        </w:tc>
        <w:tc>
          <w:tcPr>
            <w:tcW w:w="980" w:type="dxa"/>
            <w:vAlign w:val="bottom"/>
            <w:tcBorders>
              <w:bottom w:val="single" w:sz="8" w:color="auto"/>
            </w:tcBorders>
            <w:shd w:val="clear" w:color="auto" w:fill="E9E9E9"/>
          </w:tcPr>
          <w:p>
            <w:pPr>
              <w:jc w:val="right"/>
              <w:ind w:right="7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2,726</w:t>
            </w:r>
          </w:p>
        </w:tc>
        <w:tc>
          <w:tcPr>
            <w:tcW w:w="100" w:type="dxa"/>
            <w:vAlign w:val="bottom"/>
            <w:tcBorders>
              <w:bottom w:val="single" w:sz="8" w:color="E9E9E9"/>
            </w:tcBorders>
            <w:shd w:val="clear" w:color="auto" w:fill="E9E9E9"/>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300" w:type="dxa"/>
            <w:vAlign w:val="bottom"/>
            <w:tcBorders>
              <w:bottom w:val="single" w:sz="8" w:color="auto"/>
            </w:tcBorders>
            <w:shd w:val="clear" w:color="auto" w:fill="E9E9E9"/>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1,673</w:t>
            </w:r>
          </w:p>
        </w:tc>
        <w:tc>
          <w:tcPr>
            <w:tcW w:w="60" w:type="dxa"/>
            <w:vAlign w:val="bottom"/>
            <w:tcBorders>
              <w:bottom w:val="single" w:sz="8" w:color="E9E9E9"/>
            </w:tcBorders>
            <w:shd w:val="clear" w:color="auto" w:fill="E9E9E9"/>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COMMITMENTS AND CONTINGENCIES</w:t>
      </w:r>
    </w:p>
    <w:p>
      <w:pPr>
        <w:spacing w:after="0" w:line="322" w:lineRule="exact"/>
        <w:rPr>
          <w:sz w:val="20"/>
          <w:szCs w:val="20"/>
          <w:color w:val="auto"/>
        </w:rPr>
      </w:pPr>
    </w:p>
    <w:p>
      <w:pPr>
        <w:jc w:val="both"/>
        <w:ind w:right="360"/>
        <w:spacing w:after="0" w:line="330" w:lineRule="auto"/>
        <w:rPr>
          <w:sz w:val="20"/>
          <w:szCs w:val="20"/>
          <w:color w:val="auto"/>
        </w:rPr>
      </w:pPr>
      <w:r>
        <w:rPr>
          <w:rFonts w:ascii="Times New Roman" w:cs="Times New Roman" w:eastAsia="Times New Roman" w:hAnsi="Times New Roman"/>
          <w:sz w:val="20"/>
          <w:szCs w:val="20"/>
          <w:b w:val="1"/>
          <w:bCs w:val="1"/>
          <w:color w:val="auto"/>
        </w:rPr>
        <w:t>Facilities Lease Agreements</w:t>
      </w:r>
      <w:r>
        <w:rPr>
          <w:rFonts w:ascii="Times New Roman" w:cs="Times New Roman" w:eastAsia="Times New Roman" w:hAnsi="Times New Roman"/>
          <w:sz w:val="20"/>
          <w:szCs w:val="20"/>
          <w:color w:val="auto"/>
        </w:rPr>
        <w:t>—In January 2022, the Company entered into an 8-year office lease agreement for a 20,116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square feet facility in Brisbane, California (“Brisbane Lease”). The lease commenced in December 2022.</w:t>
      </w:r>
    </w:p>
    <w:p>
      <w:pPr>
        <w:spacing w:after="0" w:line="164" w:lineRule="exact"/>
        <w:rPr>
          <w:sz w:val="20"/>
          <w:szCs w:val="20"/>
          <w:color w:val="auto"/>
        </w:rPr>
      </w:pPr>
    </w:p>
    <w:p>
      <w:pPr>
        <w:jc w:val="both"/>
        <w:ind w:right="360"/>
        <w:spacing w:after="0" w:line="306" w:lineRule="auto"/>
        <w:rPr>
          <w:sz w:val="20"/>
          <w:szCs w:val="20"/>
          <w:color w:val="auto"/>
        </w:rPr>
      </w:pPr>
      <w:r>
        <w:rPr>
          <w:rFonts w:ascii="Times New Roman" w:cs="Times New Roman" w:eastAsia="Times New Roman" w:hAnsi="Times New Roman"/>
          <w:sz w:val="20"/>
          <w:szCs w:val="20"/>
          <w:color w:val="auto"/>
        </w:rPr>
        <w:t>As of December 31, 2024 and 2023, the balance of the operating lease right of use assets were $8,643 and $9,952, respectively, and the related operating lease liability were $9,011 and $10,112, respectively, as shown in the accompanying consolidated balance sheets.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Rent expense was $2,244 and $2,738 for the years ended December 31, 2024 and 2023, respectively.</w:t>
      </w:r>
    </w:p>
    <w:p>
      <w:pPr>
        <w:spacing w:after="0" w:line="32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of December 31, 2024, future minimum annual lease payments under the Company’s operating lease liabilities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Ending</w:t>
            </w:r>
          </w:p>
        </w:tc>
        <w:tc>
          <w:tcPr>
            <w:tcW w:w="2360" w:type="dxa"/>
            <w:vAlign w:val="bottom"/>
          </w:tcPr>
          <w:p>
            <w:pPr>
              <w:spacing w:after="0"/>
              <w:rPr>
                <w:sz w:val="22"/>
                <w:szCs w:val="22"/>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Total Commitment</w:t>
            </w:r>
          </w:p>
        </w:tc>
        <w:tc>
          <w:tcPr>
            <w:tcW w:w="0" w:type="dxa"/>
            <w:vAlign w:val="bottom"/>
          </w:tcPr>
          <w:p>
            <w:pPr>
              <w:spacing w:after="0"/>
              <w:rPr>
                <w:sz w:val="1"/>
                <w:szCs w:val="1"/>
                <w:color w:val="auto"/>
              </w:rPr>
            </w:pPr>
          </w:p>
        </w:tc>
      </w:tr>
      <w:tr>
        <w:trPr>
          <w:trHeight w:val="239"/>
        </w:trPr>
        <w:tc>
          <w:tcPr>
            <w:tcW w:w="602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2025</w:t>
            </w:r>
          </w:p>
        </w:tc>
        <w:tc>
          <w:tcPr>
            <w:tcW w:w="236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6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1,861</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2027</w:t>
            </w:r>
          </w:p>
        </w:tc>
        <w:tc>
          <w:tcPr>
            <w:tcW w:w="2360" w:type="dxa"/>
            <w:vAlign w:val="bottom"/>
            <w:shd w:val="clear" w:color="auto" w:fill="EAEAEA"/>
          </w:tcPr>
          <w:p>
            <w:pPr>
              <w:spacing w:after="0"/>
              <w:rPr>
                <w:sz w:val="21"/>
                <w:szCs w:val="21"/>
                <w:color w:val="auto"/>
              </w:rPr>
            </w:pPr>
          </w:p>
        </w:tc>
        <w:tc>
          <w:tcPr>
            <w:tcW w:w="180" w:type="dxa"/>
            <w:vAlign w:val="bottom"/>
            <w:shd w:val="clear" w:color="auto" w:fill="EAEAEA"/>
          </w:tcPr>
          <w:p>
            <w:pPr>
              <w:spacing w:after="0"/>
              <w:rPr>
                <w:sz w:val="21"/>
                <w:szCs w:val="21"/>
                <w:color w:val="auto"/>
              </w:rPr>
            </w:pPr>
          </w:p>
        </w:tc>
        <w:tc>
          <w:tcPr>
            <w:tcW w:w="16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2028 and beyond</w:t>
            </w:r>
          </w:p>
        </w:tc>
        <w:tc>
          <w:tcPr>
            <w:tcW w:w="2360" w:type="dxa"/>
            <w:vAlign w:val="bottom"/>
            <w:tcBorders>
              <w:bottom w:val="single" w:sz="8" w:color="EAEAEA"/>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6,410</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236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6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12,191</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360" w:type="dxa"/>
            <w:vAlign w:val="bottom"/>
            <w:tcBorders>
              <w:bottom w:val="single" w:sz="8" w:color="EAEAEA"/>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(3,180)</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Present value of operating lease obligations</w:t>
            </w:r>
          </w:p>
        </w:tc>
        <w:tc>
          <w:tcPr>
            <w:tcW w:w="236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6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9,011</w:t>
            </w:r>
          </w:p>
        </w:tc>
        <w:tc>
          <w:tcPr>
            <w:tcW w:w="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2360" w:type="dxa"/>
            <w:vAlign w:val="bottom"/>
            <w:tcBorders>
              <w:bottom w:val="single" w:sz="8" w:color="EAEAEA"/>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80" w:type="dxa"/>
            <w:vAlign w:val="bottom"/>
            <w:tcBorders>
              <w:bottom w:val="single" w:sz="8" w:color="EAEAEA"/>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20" w:type="dxa"/>
            <w:vAlign w:val="bottom"/>
            <w:tcBorders>
              <w:bottom w:val="single" w:sz="8" w:color="EAEAEA"/>
            </w:tcBorders>
            <w:shd w:val="clear" w:color="auto" w:fill="EAEAEA"/>
          </w:tcPr>
          <w:p>
            <w:pPr>
              <w:spacing w:after="0"/>
              <w:rPr>
                <w:sz w:val="20"/>
                <w:szCs w:val="20"/>
                <w:color w:val="auto"/>
              </w:rPr>
            </w:pPr>
            <w:r>
              <w:rPr>
                <w:rFonts w:ascii="Times New Roman" w:cs="Times New Roman" w:eastAsia="Times New Roman" w:hAnsi="Times New Roman"/>
                <w:sz w:val="20"/>
                <w:szCs w:val="20"/>
                <w:color w:val="auto"/>
              </w:rPr>
              <w:t>Noncurrent operating lease obligations</w:t>
            </w:r>
          </w:p>
        </w:tc>
        <w:tc>
          <w:tcPr>
            <w:tcW w:w="2360" w:type="dxa"/>
            <w:vAlign w:val="bottom"/>
            <w:tcBorders>
              <w:bottom w:val="single" w:sz="8" w:color="EAEAEA"/>
            </w:tcBorders>
            <w:shd w:val="clear" w:color="auto" w:fill="EAEAEA"/>
          </w:tcPr>
          <w:p>
            <w:pPr>
              <w:spacing w:after="0"/>
              <w:rPr>
                <w:sz w:val="22"/>
                <w:szCs w:val="22"/>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8,142</w:t>
            </w:r>
          </w:p>
        </w:tc>
        <w:tc>
          <w:tcPr>
            <w:tcW w:w="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Related to this Brisbane Lease agreement, the Company entered into a letter of credit with a bank to deposit $388 in a separate account that is restricted cash to serve as security rent deposit. This amount is included in other noncurrent assets in the accompanying Consolidated Balance Sheets as of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LOAN PAYABLE</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On January 15, 2021, the Company entered into a loan agreement with Oxford Finance LLC (the “Lender”) to borrow a term loan amount of $35,000 to be funded in three tranches. Tranche A of $15,000 was wired to the Company on January 15, 2021. Tranche B of $10,000 expired on March 31, 2022. Tranche C of $10,000 is available at the Lender’s option.</w:t>
      </w:r>
    </w:p>
    <w:p>
      <w:pPr>
        <w:spacing w:after="0" w:line="18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On December 23, 2022, the Company entered into a First Amendment to the loan agreement. The amendment modified the agreement as follows: (i) each of the Company and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20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Following the amendment to the loan agreement, the term loan matures on August 1, 2025 and has an annual floating interest rate of 7.15% which is an Index Rate plus 7.10%. Index Rate is the greater of (i) 1-Month CME Term SOFR or (ii) 0.05%. In the fourth quarter of 2023, the Company achieved the circumstances necessary to extend the interest-only repayment period</w:t>
      </w:r>
    </w:p>
    <w:p>
      <w:pPr>
        <w:sectPr>
          <w:pgSz w:w="12240" w:h="15840" w:orient="portrait"/>
          <w:cols w:equalWidth="0" w:num="1">
            <w:col w:w="10240"/>
          </w:cols>
          <w:pgMar w:left="1000" w:top="926" w:right="1000" w:bottom="17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40"/>
          </w:cols>
          <w:pgMar w:left="1000" w:top="926" w:right="1000" w:bottom="175" w:gutter="0" w:footer="0" w:header="0"/>
          <w:type w:val="continuous"/>
        </w:sectPr>
      </w:pPr>
    </w:p>
    <w:bookmarkStart w:id="113" w:name="page114"/>
    <w:bookmarkEnd w:id="113"/>
    <w:p>
      <w:pPr>
        <w:jc w:val="both"/>
        <w:ind w:left="6"/>
        <w:spacing w:after="0" w:line="297" w:lineRule="auto"/>
        <w:rPr>
          <w:sz w:val="20"/>
          <w:szCs w:val="20"/>
          <w:color w:val="auto"/>
        </w:rPr>
      </w:pPr>
      <w:r>
        <w:rPr>
          <w:rFonts w:ascii="Times New Roman" w:cs="Times New Roman" w:eastAsia="Times New Roman" w:hAnsi="Times New Roman"/>
          <w:sz w:val="20"/>
          <w:szCs w:val="20"/>
          <w:color w:val="auto"/>
        </w:rPr>
        <w:t>through June 30, 2024. Monthly principal payments of $733 began on July 1, 2024 and the Company paid the first principal payment to the Lender in July 2024. Related to this borrowing, the Company recorded loan discounts totaling $898 and paid $95 of debt issuance costs. These amounts would be amortized as additional interest expense over the life of the loan. As of December 31, 2024, the balance of the loan payable (net of debt issuance costs) was $6.4 million. The carrying value of the loan approximates fair value (Level 2).</w:t>
      </w:r>
    </w:p>
    <w:p>
      <w:pPr>
        <w:spacing w:after="0" w:line="19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For the years ended December 31, 2024 and 2023, total interest expense was $1,316 and $1,449, respectively.</w:t>
      </w:r>
    </w:p>
    <w:p>
      <w:pPr>
        <w:spacing w:after="0" w:line="282" w:lineRule="exact"/>
        <w:rPr>
          <w:sz w:val="20"/>
          <w:szCs w:val="20"/>
          <w:color w:val="auto"/>
        </w:rPr>
      </w:pPr>
    </w:p>
    <w:p>
      <w:pPr>
        <w:ind w:left="6" w:right="7480" w:hanging="6"/>
        <w:spacing w:after="0" w:line="540" w:lineRule="auto"/>
        <w:tabs>
          <w:tab w:leader="none" w:pos="20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Authorized Stock</w:t>
      </w:r>
    </w:p>
    <w:p>
      <w:pPr>
        <w:spacing w:after="0" w:line="1" w:lineRule="exact"/>
        <w:rPr>
          <w:sz w:val="20"/>
          <w:szCs w:val="20"/>
          <w:color w:val="auto"/>
        </w:rPr>
      </w:pPr>
    </w:p>
    <w:p>
      <w:pPr>
        <w:jc w:val="both"/>
        <w:ind w:left="6"/>
        <w:spacing w:after="0" w:line="293" w:lineRule="auto"/>
        <w:rPr>
          <w:sz w:val="20"/>
          <w:szCs w:val="20"/>
          <w:color w:val="auto"/>
        </w:rPr>
      </w:pPr>
      <w:r>
        <w:rPr>
          <w:rFonts w:ascii="Times New Roman" w:cs="Times New Roman" w:eastAsia="Times New Roman" w:hAnsi="Times New Roman"/>
          <w:sz w:val="20"/>
          <w:szCs w:val="20"/>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No shares of the Company’s Series A Participating Preferred Stock were outstanding as of December 31, 2024 and 2023.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9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Rights Plan</w:t>
      </w:r>
    </w:p>
    <w:p>
      <w:pPr>
        <w:spacing w:after="0" w:line="290" w:lineRule="exact"/>
        <w:rPr>
          <w:sz w:val="20"/>
          <w:szCs w:val="20"/>
          <w:color w:val="auto"/>
        </w:rPr>
      </w:pPr>
    </w:p>
    <w:p>
      <w:pPr>
        <w:jc w:val="both"/>
        <w:ind w:left="6"/>
        <w:spacing w:after="0" w:line="293" w:lineRule="auto"/>
        <w:rPr>
          <w:sz w:val="20"/>
          <w:szCs w:val="20"/>
          <w:color w:val="auto"/>
        </w:rPr>
      </w:pPr>
      <w:r>
        <w:rPr>
          <w:rFonts w:ascii="Times New Roman" w:cs="Times New Roman" w:eastAsia="Times New Roman" w:hAnsi="Times New Roman"/>
          <w:sz w:val="20"/>
          <w:szCs w:val="20"/>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202" w:lineRule="exact"/>
        <w:rPr>
          <w:sz w:val="20"/>
          <w:szCs w:val="20"/>
          <w:color w:val="auto"/>
        </w:rPr>
      </w:pPr>
    </w:p>
    <w:p>
      <w:pPr>
        <w:jc w:val="both"/>
        <w:ind w:left="6"/>
        <w:spacing w:after="0" w:line="297" w:lineRule="auto"/>
        <w:rPr>
          <w:sz w:val="20"/>
          <w:szCs w:val="20"/>
          <w:color w:val="auto"/>
        </w:rPr>
      </w:pPr>
      <w:r>
        <w:rPr>
          <w:rFonts w:ascii="Times New Roman" w:cs="Times New Roman" w:eastAsia="Times New Roman" w:hAnsi="Times New Roman"/>
          <w:sz w:val="20"/>
          <w:szCs w:val="20"/>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97" w:lineRule="exact"/>
        <w:rPr>
          <w:sz w:val="20"/>
          <w:szCs w:val="20"/>
          <w:color w:val="auto"/>
        </w:rPr>
      </w:pPr>
    </w:p>
    <w:p>
      <w:pPr>
        <w:jc w:val="both"/>
        <w:ind w:left="6"/>
        <w:spacing w:after="0" w:line="300" w:lineRule="auto"/>
        <w:rPr>
          <w:sz w:val="20"/>
          <w:szCs w:val="20"/>
          <w:color w:val="auto"/>
        </w:rPr>
      </w:pPr>
      <w:r>
        <w:rPr>
          <w:rFonts w:ascii="Times New Roman" w:cs="Times New Roman" w:eastAsia="Times New Roman" w:hAnsi="Times New Roman"/>
          <w:sz w:val="20"/>
          <w:szCs w:val="20"/>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226" w:lineRule="exact"/>
        <w:rPr>
          <w:sz w:val="20"/>
          <w:szCs w:val="20"/>
          <w:color w:val="auto"/>
        </w:rPr>
      </w:pPr>
    </w:p>
    <w:p>
      <w:pPr>
        <w:ind w:left="6" w:right="6900" w:hanging="6"/>
        <w:spacing w:after="0" w:line="540" w:lineRule="auto"/>
        <w:tabs>
          <w:tab w:leader="none" w:pos="206"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 Equity Plans</w:t>
      </w:r>
    </w:p>
    <w:p>
      <w:pPr>
        <w:spacing w:after="0" w:line="1" w:lineRule="exact"/>
        <w:rPr>
          <w:sz w:val="20"/>
          <w:szCs w:val="20"/>
          <w:color w:val="auto"/>
        </w:rPr>
      </w:pPr>
    </w:p>
    <w:p>
      <w:pPr>
        <w:jc w:val="both"/>
        <w:ind w:left="6"/>
        <w:spacing w:after="0" w:line="306" w:lineRule="auto"/>
        <w:rPr>
          <w:sz w:val="20"/>
          <w:szCs w:val="20"/>
          <w:color w:val="auto"/>
        </w:rPr>
      </w:pPr>
      <w:r>
        <w:rPr>
          <w:rFonts w:ascii="Times New Roman" w:cs="Times New Roman" w:eastAsia="Times New Roman" w:hAnsi="Times New Roman"/>
          <w:sz w:val="20"/>
          <w:szCs w:val="20"/>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w:t>
      </w:r>
    </w:p>
    <w:p>
      <w:pPr>
        <w:sectPr>
          <w:pgSz w:w="12240" w:h="15840" w:orient="portrait"/>
          <w:cols w:equalWidth="0" w:num="1">
            <w:col w:w="10246"/>
          </w:cols>
          <w:pgMar w:left="994" w:top="930" w:right="1000" w:bottom="175"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46"/>
          </w:cols>
          <w:pgMar w:left="994" w:top="930" w:right="1000" w:bottom="175" w:gutter="0" w:footer="0" w:header="0"/>
          <w:type w:val="continuous"/>
        </w:sectPr>
      </w:pPr>
    </w:p>
    <w:bookmarkStart w:id="114" w:name="page115"/>
    <w:bookmarkEnd w:id="114"/>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Tempest Prior Plans will remain subject to the terms of the applicable prior plan. As a result of the merger with Millendo, the Tempest Prior Plans were assumed by the Company.</w:t>
      </w:r>
    </w:p>
    <w:p>
      <w:pPr>
        <w:spacing w:after="0" w:line="16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19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the preceding calendar year, or a lesser number of shares as may be determined by the Board of Directors. Accordingly, on January 1, 2025, the common stock reserved for issuance was increased by 1,758,864 shares. As of December 31, 2024, there were 508,017 shares available for future grant under the 2023 Plan.</w:t>
      </w:r>
    </w:p>
    <w:p>
      <w:pPr>
        <w:spacing w:after="0" w:line="176"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4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December 31, 2024, there were 924,000 shares available for future grant under the 2023 Inducement Plan.</w:t>
      </w:r>
    </w:p>
    <w:p>
      <w:pPr>
        <w:spacing w:after="0" w:line="16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 measures employee and non-employee stock-based awards at grant date fair value and records compensation expense on a straight-line basis over the vesting period of the award.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Ownership Plan</w:t>
      </w:r>
    </w:p>
    <w:p>
      <w:pPr>
        <w:spacing w:after="0" w:line="29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the preceding calendar year, (ii) 500,000 shares of Common Stock, or (iii) such lesser number of shares of Common Stock as determined by the Board of Directors (which may be zero). On January 1, 2025, the common stock reserved for issuance was increased by 500,000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469,337 shares of common stock remained available for future issuance under the 2019 ESPP.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 93,477 shares of common stock had been issued under the 2019 ESPP.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29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Options to purchase the Company’s common stock may be granted at a price not less than the fair market value in the case of both NSOs and ISOs, except for an options holder who owns more than 10% of the voting power of all classes of stock of the</w:t>
      </w:r>
    </w:p>
    <w:p>
      <w:pPr>
        <w:sectPr>
          <w:pgSz w:w="12240" w:h="15840" w:orient="portrait"/>
          <w:cols w:equalWidth="0" w:num="1">
            <w:col w:w="10260"/>
          </w:cols>
          <w:pgMar w:left="1000" w:top="930" w:right="980" w:bottom="175" w:gutter="0" w:footer="0" w:header="0"/>
        </w:sectPr>
      </w:pP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260"/>
          </w:cols>
          <w:pgMar w:left="1000" w:top="930" w:right="980" w:bottom="175" w:gutter="0" w:footer="0" w:header="0"/>
          <w:type w:val="continuous"/>
        </w:sectPr>
      </w:pPr>
    </w:p>
    <w:bookmarkStart w:id="115" w:name="page116"/>
    <w:bookmarkEnd w:id="115"/>
    <w:p>
      <w:pPr>
        <w:jc w:val="both"/>
        <w:spacing w:after="0" w:line="306" w:lineRule="auto"/>
        <w:rPr>
          <w:sz w:val="20"/>
          <w:szCs w:val="20"/>
          <w:color w:val="auto"/>
        </w:rPr>
      </w:pPr>
      <w:r>
        <w:rPr>
          <w:rFonts w:ascii="Times New Roman" w:cs="Times New Roman" w:eastAsia="Times New Roman" w:hAnsi="Times New Roman"/>
          <w:sz w:val="20"/>
          <w:szCs w:val="20"/>
          <w:color w:val="auto"/>
        </w:rPr>
        <w:t>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Prior to the merger with Millendo, the grant date fair market value of the shares of common stock underlying stock options was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shows the stock option activities for the years ended December 31, 2024 and 2023:</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Weighted-</w:t>
            </w:r>
          </w:p>
        </w:tc>
      </w:tr>
      <w:tr>
        <w:trPr>
          <w:trHeight w:val="230"/>
        </w:trPr>
        <w:tc>
          <w:tcPr>
            <w:tcW w:w="740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Total 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Average</w:t>
            </w:r>
          </w:p>
        </w:tc>
      </w:tr>
      <w:tr>
        <w:trPr>
          <w:trHeight w:val="254"/>
        </w:trPr>
        <w:tc>
          <w:tcPr>
            <w:tcW w:w="740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80" w:type="dxa"/>
            <w:vAlign w:val="bottom"/>
          </w:tcPr>
          <w:p>
            <w:pPr>
              <w:spacing w:after="0"/>
              <w:rPr>
                <w:sz w:val="22"/>
                <w:szCs w:val="22"/>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Exercise Price</w:t>
            </w:r>
          </w:p>
        </w:tc>
      </w:tr>
      <w:tr>
        <w:trPr>
          <w:trHeight w:val="225"/>
        </w:trPr>
        <w:tc>
          <w:tcPr>
            <w:tcW w:w="74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Balance—December 31, 2022</w:t>
            </w:r>
          </w:p>
        </w:tc>
        <w:tc>
          <w:tcPr>
            <w:tcW w:w="128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1,553,041</w:t>
            </w:r>
          </w:p>
        </w:tc>
        <w:tc>
          <w:tcPr>
            <w:tcW w:w="16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140" w:type="dxa"/>
            <w:vAlign w:val="bottom"/>
            <w:tcBorders>
              <w:top w:val="single" w:sz="8" w:color="auto"/>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6.66</w:t>
            </w: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7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2,308,800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60" w:type="dxa"/>
            <w:vAlign w:val="bottom"/>
          </w:tcPr>
          <w:p>
            <w:pPr>
              <w:spacing w:after="0"/>
              <w:rPr>
                <w:sz w:val="20"/>
                <w:szCs w:val="20"/>
                <w:color w:val="auto"/>
              </w:rPr>
            </w:pPr>
          </w:p>
        </w:tc>
      </w:tr>
      <w:tr>
        <w:trPr>
          <w:trHeight w:val="230"/>
        </w:trPr>
        <w:tc>
          <w:tcPr>
            <w:tcW w:w="74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4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(713)</w:t>
            </w: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1.23</w:t>
            </w:r>
          </w:p>
        </w:tc>
      </w:tr>
      <w:tr>
        <w:trPr>
          <w:trHeight w:val="230"/>
        </w:trPr>
        <w:tc>
          <w:tcPr>
            <w:tcW w:w="7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Cancelled and forfeited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(307,016)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3.97</w:t>
            </w:r>
          </w:p>
        </w:tc>
      </w:tr>
      <w:tr>
        <w:trPr>
          <w:trHeight w:val="225"/>
        </w:trPr>
        <w:tc>
          <w:tcPr>
            <w:tcW w:w="74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Balance—December 31, 2023</w:t>
            </w:r>
          </w:p>
        </w:tc>
        <w:tc>
          <w:tcPr>
            <w:tcW w:w="128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3,554,112</w:t>
            </w:r>
          </w:p>
        </w:tc>
        <w:tc>
          <w:tcPr>
            <w:tcW w:w="16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140" w:type="dxa"/>
            <w:vAlign w:val="bottom"/>
            <w:tcBorders>
              <w:top w:val="single" w:sz="8" w:color="auto"/>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7.28</w:t>
            </w: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7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897,125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60" w:type="dxa"/>
            <w:vAlign w:val="bottom"/>
          </w:tcPr>
          <w:p>
            <w:pPr>
              <w:spacing w:after="0"/>
              <w:rPr>
                <w:sz w:val="20"/>
                <w:szCs w:val="20"/>
                <w:color w:val="auto"/>
              </w:rPr>
            </w:pPr>
          </w:p>
        </w:tc>
      </w:tr>
      <w:tr>
        <w:trPr>
          <w:trHeight w:val="230"/>
        </w:trPr>
        <w:tc>
          <w:tcPr>
            <w:tcW w:w="74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44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(81,699)</w:t>
            </w:r>
          </w:p>
        </w:tc>
        <w:tc>
          <w:tcPr>
            <w:tcW w:w="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60"/>
              <w:spacing w:after="0"/>
              <w:rPr>
                <w:sz w:val="20"/>
                <w:szCs w:val="20"/>
                <w:color w:val="auto"/>
              </w:rPr>
            </w:pPr>
            <w:r>
              <w:rPr>
                <w:rFonts w:ascii="Times New Roman" w:cs="Times New Roman" w:eastAsia="Times New Roman" w:hAnsi="Times New Roman"/>
                <w:sz w:val="20"/>
                <w:szCs w:val="20"/>
                <w:color w:val="auto"/>
              </w:rPr>
              <w:t>1.91</w:t>
            </w:r>
          </w:p>
        </w:tc>
      </w:tr>
      <w:tr>
        <w:trPr>
          <w:trHeight w:val="230"/>
        </w:trPr>
        <w:tc>
          <w:tcPr>
            <w:tcW w:w="7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Cancelled and forfeited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(208,376)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8.23</w:t>
            </w:r>
          </w:p>
        </w:tc>
      </w:tr>
      <w:tr>
        <w:trPr>
          <w:trHeight w:val="225"/>
        </w:trPr>
        <w:tc>
          <w:tcPr>
            <w:tcW w:w="740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Balance—December 31, 2024</w:t>
            </w:r>
          </w:p>
        </w:tc>
        <w:tc>
          <w:tcPr>
            <w:tcW w:w="1280" w:type="dxa"/>
            <w:vAlign w:val="bottom"/>
            <w:tcBorders>
              <w:top w:val="single" w:sz="8" w:color="auto"/>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4,161,162</w:t>
            </w:r>
          </w:p>
        </w:tc>
        <w:tc>
          <w:tcPr>
            <w:tcW w:w="160" w:type="dxa"/>
            <w:vAlign w:val="bottom"/>
            <w:tcBorders>
              <w:top w:val="single" w:sz="8" w:color="EAEAEA"/>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c>
          <w:tcPr>
            <w:tcW w:w="140" w:type="dxa"/>
            <w:vAlign w:val="bottom"/>
            <w:tcBorders>
              <w:top w:val="single" w:sz="8" w:color="EAEAEA"/>
            </w:tcBorders>
            <w:shd w:val="clear" w:color="auto" w:fill="EAEAEA"/>
          </w:tcPr>
          <w:p>
            <w:pPr>
              <w:spacing w:after="0"/>
              <w:rPr>
                <w:sz w:val="19"/>
                <w:szCs w:val="19"/>
                <w:color w:val="auto"/>
              </w:rPr>
            </w:pPr>
          </w:p>
        </w:tc>
        <w:tc>
          <w:tcPr>
            <w:tcW w:w="1180" w:type="dxa"/>
            <w:vAlign w:val="bottom"/>
            <w:tcBorders>
              <w:top w:val="single" w:sz="8" w:color="EAEAEA"/>
            </w:tcBorders>
            <w:gridSpan w:val="2"/>
            <w:shd w:val="clear" w:color="auto" w:fill="EAEAEA"/>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6.62</w:t>
            </w:r>
          </w:p>
        </w:tc>
      </w:tr>
      <w:tr>
        <w:trPr>
          <w:trHeight w:val="20"/>
        </w:trPr>
        <w:tc>
          <w:tcPr>
            <w:tcW w:w="7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stock options outstanding at December 31, 2024: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Remaining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60" w:type="dxa"/>
            <w:vAlign w:val="bottom"/>
          </w:tcPr>
          <w:p>
            <w:pPr>
              <w:spacing w:after="0"/>
              <w:rPr>
                <w:sz w:val="20"/>
                <w:szCs w:val="20"/>
                <w:color w:val="auto"/>
              </w:rPr>
            </w:pPr>
          </w:p>
        </w:tc>
      </w:tr>
      <w:tr>
        <w:trPr>
          <w:trHeight w:val="230"/>
        </w:trPr>
        <w:tc>
          <w:tcPr>
            <w:tcW w:w="5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 (In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Intrinsic</w:t>
            </w:r>
          </w:p>
        </w:tc>
        <w:tc>
          <w:tcPr>
            <w:tcW w:w="60" w:type="dxa"/>
            <w:vAlign w:val="bottom"/>
          </w:tcPr>
          <w:p>
            <w:pPr>
              <w:spacing w:after="0"/>
              <w:rPr>
                <w:sz w:val="20"/>
                <w:szCs w:val="20"/>
                <w:color w:val="auto"/>
              </w:rPr>
            </w:pPr>
          </w:p>
        </w:tc>
      </w:tr>
      <w:tr>
        <w:trPr>
          <w:trHeight w:val="254"/>
        </w:trPr>
        <w:tc>
          <w:tcPr>
            <w:tcW w:w="5140" w:type="dxa"/>
            <w:vAlign w:val="bottom"/>
          </w:tcPr>
          <w:p>
            <w:pPr>
              <w:spacing w:after="0"/>
              <w:rPr>
                <w:sz w:val="22"/>
                <w:szCs w:val="22"/>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Years)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Pr>
          <w:p>
            <w:pPr>
              <w:spacing w:after="0"/>
              <w:rPr>
                <w:sz w:val="22"/>
                <w:szCs w:val="22"/>
                <w:color w:val="auto"/>
              </w:rPr>
            </w:pPr>
          </w:p>
        </w:tc>
      </w:tr>
      <w:tr>
        <w:trPr>
          <w:trHeight w:val="225"/>
        </w:trPr>
        <w:tc>
          <w:tcPr>
            <w:tcW w:w="514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Options outstanding</w:t>
            </w:r>
          </w:p>
        </w:tc>
        <w:tc>
          <w:tcPr>
            <w:tcW w:w="110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4,161,162</w:t>
            </w:r>
          </w:p>
        </w:tc>
        <w:tc>
          <w:tcPr>
            <w:tcW w:w="220" w:type="dxa"/>
            <w:vAlign w:val="bottom"/>
            <w:tcBorders>
              <w:top w:val="single" w:sz="8" w:color="EAEAEA"/>
            </w:tcBorders>
            <w:shd w:val="clear" w:color="auto" w:fill="EAEAEA"/>
          </w:tcPr>
          <w:p>
            <w:pPr>
              <w:spacing w:after="0"/>
              <w:rPr>
                <w:sz w:val="19"/>
                <w:szCs w:val="19"/>
                <w:color w:val="auto"/>
              </w:rPr>
            </w:pPr>
          </w:p>
        </w:tc>
        <w:tc>
          <w:tcPr>
            <w:tcW w:w="112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8.18</w:t>
            </w:r>
          </w:p>
        </w:tc>
        <w:tc>
          <w:tcPr>
            <w:tcW w:w="22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6.62</w:t>
            </w:r>
          </w:p>
        </w:tc>
        <w:tc>
          <w:tcPr>
            <w:tcW w:w="100" w:type="dxa"/>
            <w:vAlign w:val="bottom"/>
            <w:tcBorders>
              <w:top w:val="single" w:sz="8" w:color="EAEAEA"/>
            </w:tcBorders>
            <w:shd w:val="clear" w:color="auto" w:fill="EAEAEA"/>
          </w:tcPr>
          <w:p>
            <w:pPr>
              <w:spacing w:after="0"/>
              <w:rPr>
                <w:sz w:val="19"/>
                <w:szCs w:val="19"/>
                <w:color w:val="auto"/>
              </w:rPr>
            </w:pPr>
          </w:p>
        </w:tc>
        <w:tc>
          <w:tcPr>
            <w:tcW w:w="120" w:type="dxa"/>
            <w:vAlign w:val="bottom"/>
            <w:tcBorders>
              <w:top w:val="single" w:sz="8" w:color="EAEAEA"/>
            </w:tcBorders>
            <w:shd w:val="clear" w:color="auto" w:fill="EAEAEA"/>
          </w:tcPr>
          <w:p>
            <w:pPr>
              <w:spacing w:after="0"/>
              <w:rPr>
                <w:sz w:val="19"/>
                <w:szCs w:val="19"/>
                <w:color w:val="auto"/>
              </w:rPr>
            </w:pPr>
          </w:p>
        </w:tc>
        <w:tc>
          <w:tcPr>
            <w:tcW w:w="10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shd w:val="clear" w:color="auto" w:fill="EAEAEA"/>
          </w:tcPr>
          <w:p>
            <w:pPr>
              <w:ind w:left="78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expected to vest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4,161,162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20"/>
                <w:szCs w:val="20"/>
                <w:color w:val="auto"/>
              </w:rPr>
            </w:pPr>
          </w:p>
        </w:tc>
      </w:tr>
      <w:tr>
        <w:trPr>
          <w:trHeight w:val="230"/>
        </w:trPr>
        <w:tc>
          <w:tcPr>
            <w:tcW w:w="514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Exercisable</w:t>
            </w:r>
          </w:p>
        </w:tc>
        <w:tc>
          <w:tcPr>
            <w:tcW w:w="1320" w:type="dxa"/>
            <w:vAlign w:val="bottom"/>
            <w:gridSpan w:val="2"/>
            <w:shd w:val="clear" w:color="auto" w:fill="EAEAEA"/>
          </w:tcPr>
          <w:p>
            <w:pPr>
              <w:jc w:val="right"/>
              <w:ind w:right="220"/>
              <w:spacing w:after="0"/>
              <w:rPr>
                <w:sz w:val="20"/>
                <w:szCs w:val="20"/>
                <w:color w:val="auto"/>
              </w:rPr>
            </w:pPr>
            <w:r>
              <w:rPr>
                <w:rFonts w:ascii="Times New Roman" w:cs="Times New Roman" w:eastAsia="Times New Roman" w:hAnsi="Times New Roman"/>
                <w:sz w:val="20"/>
                <w:szCs w:val="20"/>
                <w:color w:val="auto"/>
              </w:rPr>
              <w:t>1,772,011</w:t>
            </w:r>
          </w:p>
        </w:tc>
        <w:tc>
          <w:tcPr>
            <w:tcW w:w="11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3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EAEAEA"/>
          </w:tcPr>
          <w:p>
            <w:pPr>
              <w:jc w:val="right"/>
              <w:ind w:right="100"/>
              <w:spacing w:after="0"/>
              <w:rPr>
                <w:sz w:val="20"/>
                <w:szCs w:val="20"/>
                <w:color w:val="auto"/>
              </w:rPr>
            </w:pPr>
            <w:r>
              <w:rPr>
                <w:rFonts w:ascii="Times New Roman" w:cs="Times New Roman" w:eastAsia="Times New Roman" w:hAnsi="Times New Roman"/>
                <w:sz w:val="20"/>
                <w:szCs w:val="20"/>
                <w:color w:val="auto"/>
              </w:rPr>
              <w:t>6.78</w:t>
            </w:r>
          </w:p>
        </w:tc>
        <w:tc>
          <w:tcPr>
            <w:tcW w:w="220" w:type="dxa"/>
            <w:vAlign w:val="bottom"/>
            <w:gridSpan w:val="2"/>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AEAEA"/>
          </w:tcPr>
          <w:p>
            <w:pPr>
              <w:ind w:left="780"/>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EAEAEA"/>
          </w:tcPr>
          <w:p>
            <w:pPr>
              <w:spacing w:after="0"/>
              <w:rPr>
                <w:sz w:val="20"/>
                <w:szCs w:val="20"/>
                <w:color w:val="auto"/>
              </w:rPr>
            </w:pPr>
          </w:p>
        </w:tc>
      </w:tr>
    </w:tbl>
    <w:p>
      <w:pPr>
        <w:spacing w:after="0" w:line="22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granted employees and non-employees stock options to purchase 897,125 and 2,308,800 shares of common stock with a weighted-average grant date fair value of $3.33 and $6.05 per share, respectively. As of December 31, 2024 and 2023, total unrecognized compensation costs related to unvested employee stock options were $12,352 and $14,703, respectively. These costs are expected to be recognized over a weighted-average period of approximately 2.6 years and 3.5 years, respectively.</w:t>
      </w:r>
    </w:p>
    <w:p>
      <w:pPr>
        <w:spacing w:after="0" w:line="19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2024 and 2023:</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240"/>
          </w:cols>
          <w:pgMar w:left="1000" w:top="930" w:right="1000" w:bottom="175"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53"/>
        </w:trPr>
        <w:tc>
          <w:tcPr>
            <w:tcW w:w="6820" w:type="dxa"/>
            <w:vAlign w:val="bottom"/>
            <w:tcBorders>
              <w:bottom w:val="single" w:sz="8" w:color="EAEAEA"/>
            </w:tcBorders>
          </w:tcPr>
          <w:p>
            <w:pPr>
              <w:spacing w:after="0"/>
              <w:rPr>
                <w:sz w:val="22"/>
                <w:szCs w:val="22"/>
                <w:color w:val="auto"/>
              </w:rPr>
            </w:pPr>
          </w:p>
        </w:tc>
        <w:tc>
          <w:tcPr>
            <w:tcW w:w="13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60" w:type="dxa"/>
            <w:vAlign w:val="bottom"/>
            <w:tcBorders>
              <w:bottom w:val="single" w:sz="8" w:color="EAEAEA"/>
            </w:tcBorders>
          </w:tcPr>
          <w:p>
            <w:pPr>
              <w:spacing w:after="0"/>
              <w:rPr>
                <w:sz w:val="22"/>
                <w:szCs w:val="22"/>
                <w:color w:val="auto"/>
              </w:rPr>
            </w:pPr>
          </w:p>
        </w:tc>
        <w:tc>
          <w:tcPr>
            <w:tcW w:w="13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Borders>
              <w:bottom w:val="single" w:sz="8" w:color="EAEAEA"/>
            </w:tcBorders>
          </w:tcPr>
          <w:p>
            <w:pPr>
              <w:spacing w:after="0"/>
              <w:rPr>
                <w:sz w:val="22"/>
                <w:szCs w:val="22"/>
                <w:color w:val="auto"/>
              </w:rPr>
            </w:pPr>
          </w:p>
        </w:tc>
      </w:tr>
      <w:tr>
        <w:trPr>
          <w:trHeight w:val="225"/>
        </w:trPr>
        <w:tc>
          <w:tcPr>
            <w:tcW w:w="68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Expected term (in years)</w:t>
            </w:r>
          </w:p>
        </w:tc>
        <w:tc>
          <w:tcPr>
            <w:tcW w:w="134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5.5 - 6.1</w:t>
            </w:r>
          </w:p>
        </w:tc>
        <w:tc>
          <w:tcPr>
            <w:tcW w:w="460" w:type="dxa"/>
            <w:vAlign w:val="bottom"/>
            <w:shd w:val="clear" w:color="auto" w:fill="EAEAEA"/>
          </w:tcPr>
          <w:p>
            <w:pPr>
              <w:spacing w:after="0"/>
              <w:rPr>
                <w:sz w:val="19"/>
                <w:szCs w:val="19"/>
                <w:color w:val="auto"/>
              </w:rPr>
            </w:pPr>
          </w:p>
        </w:tc>
        <w:tc>
          <w:tcPr>
            <w:tcW w:w="1360" w:type="dxa"/>
            <w:vAlign w:val="bottom"/>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5.5 - 6.1</w:t>
            </w:r>
          </w:p>
        </w:tc>
        <w:tc>
          <w:tcPr>
            <w:tcW w:w="260" w:type="dxa"/>
            <w:vAlign w:val="bottom"/>
            <w:shd w:val="clear" w:color="auto" w:fill="EAEAEA"/>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 - 124%</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 - 111%</w:t>
            </w:r>
          </w:p>
        </w:tc>
        <w:tc>
          <w:tcPr>
            <w:tcW w:w="260" w:type="dxa"/>
            <w:vAlign w:val="bottom"/>
          </w:tcPr>
          <w:p>
            <w:pPr>
              <w:spacing w:after="0"/>
              <w:rPr>
                <w:sz w:val="20"/>
                <w:szCs w:val="20"/>
                <w:color w:val="auto"/>
              </w:rPr>
            </w:pPr>
          </w:p>
        </w:tc>
      </w:tr>
      <w:tr>
        <w:trPr>
          <w:trHeight w:val="230"/>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34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3.5% - 4.7%</w:t>
            </w:r>
          </w:p>
        </w:tc>
        <w:tc>
          <w:tcPr>
            <w:tcW w:w="460" w:type="dxa"/>
            <w:vAlign w:val="bottom"/>
            <w:shd w:val="clear" w:color="auto" w:fill="EAEAEA"/>
          </w:tcPr>
          <w:p>
            <w:pPr>
              <w:spacing w:after="0"/>
              <w:rPr>
                <w:sz w:val="20"/>
                <w:szCs w:val="20"/>
                <w:color w:val="auto"/>
              </w:rPr>
            </w:pPr>
          </w:p>
        </w:tc>
        <w:tc>
          <w:tcPr>
            <w:tcW w:w="13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3.4% - 4.5%</w:t>
            </w:r>
          </w:p>
        </w:tc>
        <w:tc>
          <w:tcPr>
            <w:tcW w:w="260" w:type="dxa"/>
            <w:vAlign w:val="bottom"/>
            <w:shd w:val="clear" w:color="auto" w:fill="EAEAEA"/>
          </w:tcPr>
          <w:p>
            <w:pPr>
              <w:spacing w:after="0"/>
              <w:rPr>
                <w:sz w:val="20"/>
                <w:szCs w:val="20"/>
                <w:color w:val="auto"/>
              </w:rPr>
            </w:pPr>
          </w:p>
        </w:tc>
      </w:tr>
      <w:tr>
        <w:trPr>
          <w:trHeight w:val="266"/>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Dividends</w:t>
            </w:r>
          </w:p>
        </w:tc>
        <w:tc>
          <w:tcPr>
            <w:tcW w:w="180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 %</w:t>
            </w:r>
          </w:p>
        </w:tc>
        <w:tc>
          <w:tcPr>
            <w:tcW w:w="162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rPr>
              <w:t>— %</w:t>
            </w:r>
          </w:p>
        </w:tc>
      </w:tr>
    </w:tbl>
    <w:p>
      <w:pPr>
        <w:spacing w:after="0" w:line="18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auto"/>
        </w:rPr>
        <w:t>Expected Term</w:t>
      </w:r>
      <w:r>
        <w:rPr>
          <w:rFonts w:ascii="Times New Roman" w:cs="Times New Roman" w:eastAsia="Times New Roman" w:hAnsi="Times New Roman"/>
          <w:sz w:val="20"/>
          <w:szCs w:val="20"/>
          <w:color w:val="auto"/>
        </w:rPr>
        <w:t>—The expected term of options granted represents the period of time that the options are expected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 Due to the lack of historical exercise history, the expected term of the Company’s employee stock options has been determined utilizing the simplified method for awards that qualify as plain-vanilla options.</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b w:val="1"/>
          <w:bCs w:val="1"/>
          <w:i w:val="1"/>
          <w:iCs w:val="1"/>
          <w:color w:val="auto"/>
        </w:rPr>
        <w:t>Expected Volatility</w:t>
      </w:r>
      <w:r>
        <w:rPr>
          <w:rFonts w:ascii="Times New Roman" w:cs="Times New Roman" w:eastAsia="Times New Roman" w:hAnsi="Times New Roman"/>
          <w:sz w:val="20"/>
          <w:szCs w:val="20"/>
          <w:color w:val="auto"/>
        </w:rPr>
        <w:t>—The expected stock price volatility assumption was determined by examining the historical volatilities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9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Risk-Free Interest Rate</w:t>
      </w:r>
      <w:r>
        <w:rPr>
          <w:rFonts w:ascii="Times New Roman" w:cs="Times New Roman" w:eastAsia="Times New Roman" w:hAnsi="Times New Roman"/>
          <w:sz w:val="20"/>
          <w:szCs w:val="20"/>
          <w:color w:val="auto"/>
        </w:rPr>
        <w:t>—The risk-free interest rate assumption is based on the U.S. Treasury instruments whose term was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consistent with the expected term of the Company’s stock options.</w:t>
      </w:r>
    </w:p>
    <w:p>
      <w:pPr>
        <w:spacing w:after="0" w:line="16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Dividends</w:t>
      </w:r>
      <w:r>
        <w:rPr>
          <w:rFonts w:ascii="Times New Roman" w:cs="Times New Roman" w:eastAsia="Times New Roman" w:hAnsi="Times New Roman"/>
          <w:sz w:val="20"/>
          <w:szCs w:val="20"/>
          <w:color w:val="auto"/>
        </w:rPr>
        <w:t>—The Company has not paid any cash dividends on common stock since inception and does not anticipate paying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dividends in the foreseeable future. Consequently, an expected dividend yield of zero was used.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following table summarizes the components of stock-based compensation expense recognized in the Company’s consolidated statements of operations for the years ended December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520" w:type="dxa"/>
            <w:vAlign w:val="bottom"/>
          </w:tcPr>
          <w:p>
            <w:pPr>
              <w:spacing w:after="0"/>
              <w:rPr>
                <w:sz w:val="22"/>
                <w:szCs w:val="22"/>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25"/>
        </w:trPr>
        <w:tc>
          <w:tcPr>
            <w:tcW w:w="452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2360" w:type="dxa"/>
            <w:vAlign w:val="bottom"/>
            <w:tcBorders>
              <w:top w:val="single" w:sz="8" w:color="EAEAEA"/>
            </w:tcBorders>
            <w:shd w:val="clear" w:color="auto" w:fill="EAEAEA"/>
          </w:tcPr>
          <w:p>
            <w:pPr>
              <w:spacing w:after="0"/>
              <w:rPr>
                <w:sz w:val="19"/>
                <w:szCs w:val="19"/>
                <w:color w:val="auto"/>
              </w:rPr>
            </w:pPr>
          </w:p>
        </w:tc>
        <w:tc>
          <w:tcPr>
            <w:tcW w:w="1020" w:type="dxa"/>
            <w:vAlign w:val="bottom"/>
            <w:tcBorders>
              <w:top w:val="single" w:sz="8" w:color="auto"/>
            </w:tcBorders>
            <w:shd w:val="clear" w:color="auto" w:fill="E9E9E9"/>
          </w:tcPr>
          <w:p>
            <w:pPr>
              <w:jc w:val="right"/>
              <w:ind w:right="8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2,222</w:t>
            </w:r>
          </w:p>
        </w:tc>
        <w:tc>
          <w:tcPr>
            <w:tcW w:w="100" w:type="dxa"/>
            <w:vAlign w:val="bottom"/>
            <w:tcBorders>
              <w:top w:val="single" w:sz="8" w:color="E9E9E9"/>
            </w:tcBorders>
            <w:shd w:val="clear" w:color="auto" w:fill="E9E9E9"/>
          </w:tcPr>
          <w:p>
            <w:pPr>
              <w:spacing w:after="0"/>
              <w:rPr>
                <w:sz w:val="19"/>
                <w:szCs w:val="19"/>
                <w:color w:val="auto"/>
              </w:rPr>
            </w:pPr>
          </w:p>
        </w:tc>
        <w:tc>
          <w:tcPr>
            <w:tcW w:w="160" w:type="dxa"/>
            <w:vAlign w:val="bottom"/>
            <w:tcBorders>
              <w:top w:val="single" w:sz="8" w:color="EAEAEA"/>
            </w:tcBorders>
            <w:shd w:val="clear" w:color="auto" w:fill="EAEAEA"/>
          </w:tcPr>
          <w:p>
            <w:pPr>
              <w:spacing w:after="0"/>
              <w:rPr>
                <w:sz w:val="19"/>
                <w:szCs w:val="19"/>
                <w:color w:val="auto"/>
              </w:rPr>
            </w:pPr>
          </w:p>
        </w:tc>
        <w:tc>
          <w:tcPr>
            <w:tcW w:w="340" w:type="dxa"/>
            <w:vAlign w:val="bottom"/>
            <w:tcBorders>
              <w:top w:val="single" w:sz="8" w:color="auto"/>
            </w:tcBorders>
            <w:shd w:val="clear" w:color="auto" w:fill="E9E9E9"/>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899</w:t>
            </w:r>
          </w:p>
        </w:tc>
        <w:tc>
          <w:tcPr>
            <w:tcW w:w="60" w:type="dxa"/>
            <w:vAlign w:val="bottom"/>
            <w:tcBorders>
              <w:top w:val="single" w:sz="8" w:color="E9E9E9"/>
            </w:tcBorders>
            <w:shd w:val="clear" w:color="auto" w:fill="E9E9E9"/>
          </w:tcPr>
          <w:p>
            <w:pPr>
              <w:spacing w:after="0"/>
              <w:rPr>
                <w:sz w:val="19"/>
                <w:szCs w:val="19"/>
                <w:color w:val="auto"/>
              </w:rPr>
            </w:pPr>
          </w:p>
        </w:tc>
      </w:tr>
      <w:tr>
        <w:trPr>
          <w:trHeight w:val="230"/>
        </w:trPr>
        <w:tc>
          <w:tcPr>
            <w:tcW w:w="45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360" w:type="dxa"/>
            <w:vAlign w:val="bottom"/>
            <w:tcBorders>
              <w:bottom w:val="single" w:sz="8" w:color="EAEAEA"/>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w:t>
            </w:r>
          </w:p>
        </w:tc>
        <w:tc>
          <w:tcPr>
            <w:tcW w:w="100" w:type="dxa"/>
            <w:vAlign w:val="bottom"/>
            <w:tcBorders>
              <w:bottom w:val="single" w:sz="8" w:color="E9E9E9"/>
            </w:tcBorders>
          </w:tcPr>
          <w:p>
            <w:pPr>
              <w:spacing w:after="0"/>
              <w:rPr>
                <w:sz w:val="20"/>
                <w:szCs w:val="20"/>
                <w:color w:val="auto"/>
              </w:rPr>
            </w:pPr>
          </w:p>
        </w:tc>
        <w:tc>
          <w:tcPr>
            <w:tcW w:w="160" w:type="dxa"/>
            <w:vAlign w:val="bottom"/>
            <w:tcBorders>
              <w:bottom w:val="single" w:sz="8" w:color="EAEAEA"/>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1,647</w:t>
            </w:r>
          </w:p>
        </w:tc>
        <w:tc>
          <w:tcPr>
            <w:tcW w:w="60" w:type="dxa"/>
            <w:vAlign w:val="bottom"/>
            <w:tcBorders>
              <w:bottom w:val="single" w:sz="8" w:color="E9E9E9"/>
            </w:tcBorders>
          </w:tcPr>
          <w:p>
            <w:pPr>
              <w:spacing w:after="0"/>
              <w:rPr>
                <w:sz w:val="20"/>
                <w:szCs w:val="20"/>
                <w:color w:val="auto"/>
              </w:rPr>
            </w:pPr>
          </w:p>
        </w:tc>
      </w:tr>
      <w:tr>
        <w:trPr>
          <w:trHeight w:val="225"/>
        </w:trPr>
        <w:tc>
          <w:tcPr>
            <w:tcW w:w="45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360" w:type="dxa"/>
            <w:vAlign w:val="bottom"/>
            <w:shd w:val="clear" w:color="auto" w:fill="EAEAEA"/>
          </w:tcPr>
          <w:p>
            <w:pPr>
              <w:spacing w:after="0"/>
              <w:rPr>
                <w:sz w:val="19"/>
                <w:szCs w:val="19"/>
                <w:color w:val="auto"/>
              </w:rPr>
            </w:pPr>
          </w:p>
        </w:tc>
        <w:tc>
          <w:tcPr>
            <w:tcW w:w="1020" w:type="dxa"/>
            <w:vAlign w:val="bottom"/>
            <w:tcBorders>
              <w:bottom w:val="single" w:sz="8" w:color="auto"/>
            </w:tcBorders>
            <w:shd w:val="clear" w:color="auto" w:fill="E9E9E9"/>
          </w:tcPr>
          <w:p>
            <w:pPr>
              <w:jc w:val="right"/>
              <w:ind w:right="8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5,303</w:t>
            </w:r>
          </w:p>
        </w:tc>
        <w:tc>
          <w:tcPr>
            <w:tcW w:w="100" w:type="dxa"/>
            <w:vAlign w:val="bottom"/>
            <w:shd w:val="clear" w:color="auto" w:fill="E9E9E9"/>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340" w:type="dxa"/>
            <w:vAlign w:val="bottom"/>
            <w:tcBorders>
              <w:bottom w:val="single" w:sz="8" w:color="auto"/>
            </w:tcBorders>
            <w:shd w:val="clear" w:color="auto" w:fill="E9E9E9"/>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9E9E9"/>
          </w:tcPr>
          <w:p>
            <w:pPr>
              <w:jc w:val="right"/>
              <w:spacing w:after="0" w:line="225" w:lineRule="exact"/>
              <w:rPr>
                <w:sz w:val="20"/>
                <w:szCs w:val="20"/>
                <w:color w:val="auto"/>
              </w:rPr>
            </w:pPr>
            <w:r>
              <w:rPr>
                <w:rFonts w:ascii="Times New Roman" w:cs="Times New Roman" w:eastAsia="Times New Roman" w:hAnsi="Times New Roman"/>
                <w:sz w:val="20"/>
                <w:szCs w:val="20"/>
                <w:color w:val="auto"/>
              </w:rPr>
              <w:t>2,546</w:t>
            </w:r>
          </w:p>
        </w:tc>
        <w:tc>
          <w:tcPr>
            <w:tcW w:w="60" w:type="dxa"/>
            <w:vAlign w:val="bottom"/>
            <w:shd w:val="clear" w:color="auto" w:fill="E9E9E9"/>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3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There was no provision for income taxes for the years ended December 31, 2024 and 2023, because the Company has incurred losses since inception. At December 31, 2024 and 2023 the Company concluded it was not more likely than not that it would realize its deferred tax assets, and therefore has recorded a full valuation allowance.</w:t>
      </w:r>
    </w:p>
    <w:p>
      <w:pPr>
        <w:spacing w:after="0" w:line="18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For the years ended December 31, 2024 and 2023, income tax provision (benefit) related to continuing operations differ from the amounts computed by applying the statutory income tax rate of 21% to pre-tax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r>
      <w:tr>
        <w:trPr>
          <w:trHeight w:val="225"/>
        </w:trPr>
        <w:tc>
          <w:tcPr>
            <w:tcW w:w="658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U.S. federal provision (benefit)</w:t>
            </w:r>
          </w:p>
        </w:tc>
        <w:tc>
          <w:tcPr>
            <w:tcW w:w="20" w:type="dxa"/>
            <w:vAlign w:val="bottom"/>
            <w:tcBorders>
              <w:top w:val="single" w:sz="8" w:color="EAEAEA"/>
            </w:tcBorders>
            <w:shd w:val="clear" w:color="auto" w:fill="EAEAEA"/>
          </w:tcPr>
          <w:p>
            <w:pPr>
              <w:spacing w:after="0"/>
              <w:rPr>
                <w:sz w:val="19"/>
                <w:szCs w:val="19"/>
                <w:color w:val="auto"/>
              </w:rPr>
            </w:pPr>
          </w:p>
        </w:tc>
        <w:tc>
          <w:tcPr>
            <w:tcW w:w="1040" w:type="dxa"/>
            <w:vAlign w:val="bottom"/>
            <w:tcBorders>
              <w:top w:val="single" w:sz="8" w:color="auto"/>
            </w:tcBorders>
            <w:shd w:val="clear" w:color="auto" w:fill="EAEAEA"/>
          </w:tcPr>
          <w:p>
            <w:pPr>
              <w:spacing w:after="0"/>
              <w:rPr>
                <w:sz w:val="19"/>
                <w:szCs w:val="19"/>
                <w:color w:val="auto"/>
              </w:rPr>
            </w:pPr>
          </w:p>
        </w:tc>
        <w:tc>
          <w:tcPr>
            <w:tcW w:w="580" w:type="dxa"/>
            <w:vAlign w:val="bottom"/>
            <w:tcBorders>
              <w:top w:val="single" w:sz="8" w:color="auto"/>
            </w:tcBorders>
            <w:shd w:val="clear" w:color="auto" w:fill="EAEAEA"/>
          </w:tcPr>
          <w:p>
            <w:pPr>
              <w:spacing w:after="0"/>
              <w:rPr>
                <w:sz w:val="19"/>
                <w:szCs w:val="19"/>
                <w:color w:val="auto"/>
              </w:rPr>
            </w:pPr>
          </w:p>
        </w:tc>
        <w:tc>
          <w:tcPr>
            <w:tcW w:w="320" w:type="dxa"/>
            <w:vAlign w:val="bottom"/>
            <w:tcBorders>
              <w:top w:val="single" w:sz="8" w:color="EAEAEA"/>
            </w:tcBorders>
            <w:shd w:val="clear" w:color="auto" w:fill="EAEAEA"/>
          </w:tcPr>
          <w:p>
            <w:pPr>
              <w:spacing w:after="0"/>
              <w:rPr>
                <w:sz w:val="19"/>
                <w:szCs w:val="19"/>
                <w:color w:val="auto"/>
              </w:rPr>
            </w:pPr>
          </w:p>
        </w:tc>
        <w:tc>
          <w:tcPr>
            <w:tcW w:w="360" w:type="dxa"/>
            <w:vAlign w:val="bottom"/>
            <w:tcBorders>
              <w:top w:val="single" w:sz="8" w:color="auto"/>
            </w:tcBorders>
            <w:shd w:val="clear" w:color="auto" w:fill="EAEAEA"/>
          </w:tcPr>
          <w:p>
            <w:pPr>
              <w:spacing w:after="0"/>
              <w:rPr>
                <w:sz w:val="19"/>
                <w:szCs w:val="19"/>
                <w:color w:val="auto"/>
              </w:rPr>
            </w:pPr>
          </w:p>
        </w:tc>
        <w:tc>
          <w:tcPr>
            <w:tcW w:w="1260" w:type="dxa"/>
            <w:vAlign w:val="bottom"/>
            <w:tcBorders>
              <w:top w:val="single" w:sz="8" w:color="auto"/>
            </w:tcBorders>
            <w:shd w:val="clear" w:color="auto" w:fill="EAEAEA"/>
          </w:tcPr>
          <w:p>
            <w:pPr>
              <w:spacing w:after="0"/>
              <w:rPr>
                <w:sz w:val="19"/>
                <w:szCs w:val="19"/>
                <w:color w:val="auto"/>
              </w:rPr>
            </w:pPr>
          </w:p>
        </w:tc>
        <w:tc>
          <w:tcPr>
            <w:tcW w:w="80" w:type="dxa"/>
            <w:vAlign w:val="bottom"/>
            <w:tcBorders>
              <w:top w:val="single" w:sz="8" w:color="EAEAEA"/>
            </w:tcBorders>
            <w:shd w:val="clear" w:color="auto" w:fill="EAEAEA"/>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At statutory rate</w:t>
            </w:r>
          </w:p>
        </w:tc>
        <w:tc>
          <w:tcPr>
            <w:tcW w:w="20" w:type="dxa"/>
            <w:vAlign w:val="bottom"/>
          </w:tcPr>
          <w:p>
            <w:pPr>
              <w:spacing w:after="0"/>
              <w:rPr>
                <w:sz w:val="20"/>
                <w:szCs w:val="20"/>
                <w:color w:val="auto"/>
              </w:rPr>
            </w:pP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(8,786)</w:t>
            </w:r>
          </w:p>
        </w:tc>
        <w:tc>
          <w:tcPr>
            <w:tcW w:w="32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(6,192)</w:t>
            </w:r>
          </w:p>
        </w:tc>
        <w:tc>
          <w:tcPr>
            <w:tcW w:w="80" w:type="dxa"/>
            <w:vAlign w:val="bottom"/>
          </w:tcPr>
          <w:p>
            <w:pPr>
              <w:spacing w:after="0"/>
              <w:rPr>
                <w:sz w:val="20"/>
                <w:szCs w:val="20"/>
                <w:color w:val="auto"/>
              </w:rPr>
            </w:pPr>
          </w:p>
        </w:tc>
      </w:tr>
      <w:tr>
        <w:trPr>
          <w:trHeight w:val="230"/>
        </w:trPr>
        <w:tc>
          <w:tcPr>
            <w:tcW w:w="65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State taxes</w:t>
            </w:r>
          </w:p>
        </w:tc>
        <w:tc>
          <w:tcPr>
            <w:tcW w:w="20" w:type="dxa"/>
            <w:vAlign w:val="bottom"/>
            <w:shd w:val="clear" w:color="auto" w:fill="EAEAEA"/>
          </w:tcPr>
          <w:p>
            <w:pPr>
              <w:spacing w:after="0"/>
              <w:rPr>
                <w:sz w:val="20"/>
                <w:szCs w:val="20"/>
                <w:color w:val="auto"/>
              </w:rPr>
            </w:pPr>
          </w:p>
        </w:tc>
        <w:tc>
          <w:tcPr>
            <w:tcW w:w="1040" w:type="dxa"/>
            <w:vAlign w:val="bottom"/>
            <w:shd w:val="clear" w:color="auto" w:fill="EAEAEA"/>
          </w:tcPr>
          <w:p>
            <w:pPr>
              <w:spacing w:after="0"/>
              <w:rPr>
                <w:sz w:val="20"/>
                <w:szCs w:val="20"/>
                <w:color w:val="auto"/>
              </w:rPr>
            </w:pPr>
          </w:p>
        </w:tc>
        <w:tc>
          <w:tcPr>
            <w:tcW w:w="900" w:type="dxa"/>
            <w:vAlign w:val="bottom"/>
            <w:gridSpan w:val="2"/>
            <w:shd w:val="clear" w:color="auto" w:fill="EAEAEA"/>
          </w:tcPr>
          <w:p>
            <w:pPr>
              <w:jc w:val="right"/>
              <w:ind w:right="240"/>
              <w:spacing w:after="0"/>
              <w:rPr>
                <w:sz w:val="20"/>
                <w:szCs w:val="20"/>
                <w:color w:val="auto"/>
              </w:rPr>
            </w:pPr>
            <w:r>
              <w:rPr>
                <w:rFonts w:ascii="Times New Roman" w:cs="Times New Roman" w:eastAsia="Times New Roman" w:hAnsi="Times New Roman"/>
                <w:sz w:val="20"/>
                <w:szCs w:val="20"/>
                <w:color w:val="auto"/>
              </w:rPr>
              <w:t>(2,958)</w:t>
            </w:r>
          </w:p>
        </w:tc>
        <w:tc>
          <w:tcPr>
            <w:tcW w:w="360" w:type="dxa"/>
            <w:vAlign w:val="bottom"/>
            <w:shd w:val="clear" w:color="auto" w:fill="EAEAEA"/>
          </w:tcPr>
          <w:p>
            <w:pPr>
              <w:spacing w:after="0"/>
              <w:rPr>
                <w:sz w:val="20"/>
                <w:szCs w:val="20"/>
                <w:color w:val="auto"/>
              </w:rPr>
            </w:pPr>
          </w:p>
        </w:tc>
        <w:tc>
          <w:tcPr>
            <w:tcW w:w="13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(2,492)</w:t>
            </w: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9,129</w:t>
            </w:r>
          </w:p>
        </w:tc>
        <w:tc>
          <w:tcPr>
            <w:tcW w:w="80" w:type="dxa"/>
            <w:vAlign w:val="bottom"/>
          </w:tcPr>
          <w:p>
            <w:pPr>
              <w:spacing w:after="0"/>
              <w:rPr>
                <w:sz w:val="20"/>
                <w:szCs w:val="20"/>
                <w:color w:val="auto"/>
              </w:rPr>
            </w:pPr>
          </w:p>
        </w:tc>
      </w:tr>
      <w:tr>
        <w:trPr>
          <w:trHeight w:val="230"/>
        </w:trPr>
        <w:tc>
          <w:tcPr>
            <w:tcW w:w="65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0" w:type="dxa"/>
            <w:vAlign w:val="bottom"/>
            <w:shd w:val="clear" w:color="auto" w:fill="EAEAEA"/>
          </w:tcPr>
          <w:p>
            <w:pPr>
              <w:spacing w:after="0"/>
              <w:rPr>
                <w:sz w:val="20"/>
                <w:szCs w:val="20"/>
                <w:color w:val="auto"/>
              </w:rPr>
            </w:pPr>
          </w:p>
        </w:tc>
        <w:tc>
          <w:tcPr>
            <w:tcW w:w="1040" w:type="dxa"/>
            <w:vAlign w:val="bottom"/>
            <w:shd w:val="clear" w:color="auto" w:fill="EAEAEA"/>
          </w:tcPr>
          <w:p>
            <w:pPr>
              <w:spacing w:after="0"/>
              <w:rPr>
                <w:sz w:val="20"/>
                <w:szCs w:val="20"/>
                <w:color w:val="auto"/>
              </w:rPr>
            </w:pPr>
          </w:p>
        </w:tc>
        <w:tc>
          <w:tcPr>
            <w:tcW w:w="900" w:type="dxa"/>
            <w:vAlign w:val="bottom"/>
            <w:gridSpan w:val="2"/>
            <w:shd w:val="clear" w:color="auto" w:fill="EAEAEA"/>
          </w:tcPr>
          <w:p>
            <w:pPr>
              <w:jc w:val="right"/>
              <w:ind w:right="240"/>
              <w:spacing w:after="0"/>
              <w:rPr>
                <w:sz w:val="20"/>
                <w:szCs w:val="20"/>
                <w:color w:val="auto"/>
              </w:rPr>
            </w:pPr>
            <w:r>
              <w:rPr>
                <w:rFonts w:ascii="Times New Roman" w:cs="Times New Roman" w:eastAsia="Times New Roman" w:hAnsi="Times New Roman"/>
                <w:sz w:val="20"/>
                <w:szCs w:val="20"/>
                <w:color w:val="auto"/>
              </w:rPr>
              <w:t>(1,136)</w:t>
            </w:r>
          </w:p>
        </w:tc>
        <w:tc>
          <w:tcPr>
            <w:tcW w:w="360" w:type="dxa"/>
            <w:vAlign w:val="bottom"/>
            <w:shd w:val="clear" w:color="auto" w:fill="EAEAEA"/>
          </w:tcPr>
          <w:p>
            <w:pPr>
              <w:spacing w:after="0"/>
              <w:rPr>
                <w:sz w:val="20"/>
                <w:szCs w:val="20"/>
                <w:color w:val="auto"/>
              </w:rPr>
            </w:pPr>
          </w:p>
        </w:tc>
        <w:tc>
          <w:tcPr>
            <w:tcW w:w="13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(836)</w:t>
            </w: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tcPr>
          <w:p>
            <w:pPr>
              <w:spacing w:after="0"/>
              <w:rPr>
                <w:sz w:val="20"/>
                <w:szCs w:val="20"/>
                <w:color w:val="auto"/>
              </w:rPr>
            </w:pPr>
          </w:p>
        </w:tc>
      </w:tr>
      <w:tr>
        <w:trPr>
          <w:trHeight w:val="230"/>
        </w:trPr>
        <w:tc>
          <w:tcPr>
            <w:tcW w:w="65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20" w:type="dxa"/>
            <w:vAlign w:val="bottom"/>
            <w:shd w:val="clear" w:color="auto" w:fill="EAEAEA"/>
          </w:tcPr>
          <w:p>
            <w:pPr>
              <w:spacing w:after="0"/>
              <w:rPr>
                <w:sz w:val="20"/>
                <w:szCs w:val="20"/>
                <w:color w:val="auto"/>
              </w:rPr>
            </w:pPr>
          </w:p>
        </w:tc>
        <w:tc>
          <w:tcPr>
            <w:tcW w:w="1040" w:type="dxa"/>
            <w:vAlign w:val="bottom"/>
            <w:tcBorders>
              <w:bottom w:val="single" w:sz="8" w:color="auto"/>
            </w:tcBorders>
            <w:shd w:val="clear" w:color="auto" w:fill="EAEAEA"/>
          </w:tcPr>
          <w:p>
            <w:pPr>
              <w:spacing w:after="0"/>
              <w:rPr>
                <w:sz w:val="20"/>
                <w:szCs w:val="20"/>
                <w:color w:val="auto"/>
              </w:rPr>
            </w:pPr>
          </w:p>
        </w:tc>
        <w:tc>
          <w:tcPr>
            <w:tcW w:w="58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320" w:type="dxa"/>
            <w:vAlign w:val="bottom"/>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spacing w:after="0"/>
              <w:rPr>
                <w:sz w:val="20"/>
                <w:szCs w:val="20"/>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shd w:val="clear" w:color="auto" w:fill="EAEAEA"/>
          </w:tcPr>
          <w:p>
            <w:pPr>
              <w:spacing w:after="0"/>
              <w:rPr>
                <w:sz w:val="20"/>
                <w:szCs w:val="20"/>
                <w:color w:val="auto"/>
              </w:rPr>
            </w:pPr>
          </w:p>
        </w:tc>
      </w:tr>
      <w:tr>
        <w:trPr>
          <w:trHeight w:val="225"/>
        </w:trPr>
        <w:tc>
          <w:tcPr>
            <w:tcW w:w="658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240"/>
          </w:cols>
          <w:pgMar w:left="1000" w:top="926" w:right="1000" w:bottom="175"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at December 31, 2024 and 2023 are shown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0" w:type="dxa"/>
            <w:vAlign w:val="bottom"/>
            <w:tcBorders>
              <w:bottom w:val="single" w:sz="8" w:color="EAEAEA"/>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20" w:type="dxa"/>
            <w:vAlign w:val="bottom"/>
            <w:tcBorders>
              <w:bottom w:val="single" w:sz="8" w:color="EAEAEA"/>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22"/>
                <w:szCs w:val="22"/>
                <w:color w:val="auto"/>
              </w:rPr>
            </w:pPr>
          </w:p>
        </w:tc>
      </w:tr>
      <w:tr>
        <w:trPr>
          <w:trHeight w:val="239"/>
        </w:trPr>
        <w:tc>
          <w:tcPr>
            <w:tcW w:w="660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60" w:type="dxa"/>
            <w:vAlign w:val="bottom"/>
            <w:shd w:val="clear" w:color="auto" w:fill="EAEAEA"/>
          </w:tcPr>
          <w:p>
            <w:pPr>
              <w:spacing w:after="0"/>
              <w:rPr>
                <w:sz w:val="20"/>
                <w:szCs w:val="20"/>
                <w:color w:val="auto"/>
              </w:rPr>
            </w:pPr>
          </w:p>
        </w:tc>
        <w:tc>
          <w:tcPr>
            <w:tcW w:w="126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126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losses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143,896</w:t>
            </w:r>
          </w:p>
        </w:tc>
        <w:tc>
          <w:tcPr>
            <w:tcW w:w="32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136,901</w:t>
            </w:r>
          </w:p>
        </w:tc>
        <w:tc>
          <w:tcPr>
            <w:tcW w:w="80" w:type="dxa"/>
            <w:vAlign w:val="bottom"/>
          </w:tcPr>
          <w:p>
            <w:pPr>
              <w:spacing w:after="0"/>
              <w:rPr>
                <w:sz w:val="21"/>
                <w:szCs w:val="21"/>
                <w:color w:val="auto"/>
              </w:rPr>
            </w:pPr>
          </w:p>
        </w:tc>
      </w:tr>
      <w:tr>
        <w:trPr>
          <w:trHeight w:val="244"/>
        </w:trPr>
        <w:tc>
          <w:tcPr>
            <w:tcW w:w="66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360" w:type="dxa"/>
            <w:vAlign w:val="bottom"/>
            <w:shd w:val="clear" w:color="auto" w:fill="EAEAEA"/>
          </w:tcPr>
          <w:p>
            <w:pPr>
              <w:spacing w:after="0"/>
              <w:rPr>
                <w:sz w:val="21"/>
                <w:szCs w:val="21"/>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20,513</w:t>
            </w:r>
          </w:p>
        </w:tc>
        <w:tc>
          <w:tcPr>
            <w:tcW w:w="3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19,240</w:t>
            </w:r>
          </w:p>
        </w:tc>
        <w:tc>
          <w:tcPr>
            <w:tcW w:w="80" w:type="dxa"/>
            <w:vAlign w:val="bottom"/>
            <w:shd w:val="clear" w:color="auto" w:fill="EAEAEA"/>
          </w:tcPr>
          <w:p>
            <w:pPr>
              <w:spacing w:after="0"/>
              <w:rPr>
                <w:sz w:val="21"/>
                <w:szCs w:val="2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80" w:type="dxa"/>
            <w:vAlign w:val="bottom"/>
          </w:tcPr>
          <w:p>
            <w:pPr>
              <w:spacing w:after="0"/>
              <w:rPr>
                <w:sz w:val="21"/>
                <w:szCs w:val="21"/>
                <w:color w:val="auto"/>
              </w:rPr>
            </w:pPr>
          </w:p>
        </w:tc>
      </w:tr>
      <w:tr>
        <w:trPr>
          <w:trHeight w:val="244"/>
        </w:trPr>
        <w:tc>
          <w:tcPr>
            <w:tcW w:w="66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Lease liability</w:t>
            </w:r>
          </w:p>
        </w:tc>
        <w:tc>
          <w:tcPr>
            <w:tcW w:w="360" w:type="dxa"/>
            <w:vAlign w:val="bottom"/>
            <w:shd w:val="clear" w:color="auto" w:fill="EAEAEA"/>
          </w:tcPr>
          <w:p>
            <w:pPr>
              <w:spacing w:after="0"/>
              <w:rPr>
                <w:sz w:val="21"/>
                <w:szCs w:val="21"/>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2,625</w:t>
            </w:r>
          </w:p>
        </w:tc>
        <w:tc>
          <w:tcPr>
            <w:tcW w:w="3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3,018</w:t>
            </w:r>
          </w:p>
        </w:tc>
        <w:tc>
          <w:tcPr>
            <w:tcW w:w="80" w:type="dxa"/>
            <w:vAlign w:val="bottom"/>
            <w:shd w:val="clear" w:color="auto" w:fill="EAEAEA"/>
          </w:tcPr>
          <w:p>
            <w:pPr>
              <w:spacing w:after="0"/>
              <w:rPr>
                <w:sz w:val="21"/>
                <w:szCs w:val="2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80" w:type="dxa"/>
            <w:vAlign w:val="bottom"/>
          </w:tcPr>
          <w:p>
            <w:pPr>
              <w:spacing w:after="0"/>
              <w:rPr>
                <w:sz w:val="21"/>
                <w:szCs w:val="21"/>
                <w:color w:val="auto"/>
              </w:rPr>
            </w:pPr>
          </w:p>
        </w:tc>
      </w:tr>
      <w:tr>
        <w:trPr>
          <w:trHeight w:val="244"/>
        </w:trPr>
        <w:tc>
          <w:tcPr>
            <w:tcW w:w="66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shd w:val="clear" w:color="auto" w:fill="EAEAEA"/>
          </w:tcPr>
          <w:p>
            <w:pPr>
              <w:spacing w:after="0"/>
              <w:rPr>
                <w:sz w:val="21"/>
                <w:szCs w:val="21"/>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3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80" w:type="dxa"/>
            <w:vAlign w:val="bottom"/>
            <w:shd w:val="clear" w:color="auto" w:fill="EAEAEA"/>
          </w:tcPr>
          <w:p>
            <w:pPr>
              <w:spacing w:after="0"/>
              <w:rPr>
                <w:sz w:val="21"/>
                <w:szCs w:val="21"/>
                <w:color w:val="auto"/>
              </w:rPr>
            </w:pPr>
          </w:p>
        </w:tc>
      </w:tr>
      <w:tr>
        <w:trPr>
          <w:trHeight w:val="244"/>
        </w:trPr>
        <w:tc>
          <w:tcPr>
            <w:tcW w:w="66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Capitalized R&amp;D</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10,041</w:t>
            </w:r>
          </w:p>
        </w:tc>
        <w:tc>
          <w:tcPr>
            <w:tcW w:w="320" w:type="dxa"/>
            <w:vAlign w:val="bottom"/>
            <w:tcBorders>
              <w:bottom w:val="single" w:sz="8" w:color="EAEAEA"/>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6,466</w:t>
            </w:r>
          </w:p>
        </w:tc>
        <w:tc>
          <w:tcPr>
            <w:tcW w:w="80" w:type="dxa"/>
            <w:vAlign w:val="bottom"/>
            <w:tcBorders>
              <w:bottom w:val="single" w:sz="8" w:color="EAEAEA"/>
            </w:tcBorders>
          </w:tcPr>
          <w:p>
            <w:pPr>
              <w:spacing w:after="0"/>
              <w:rPr>
                <w:sz w:val="21"/>
                <w:szCs w:val="21"/>
                <w:color w:val="auto"/>
              </w:rPr>
            </w:pPr>
          </w:p>
        </w:tc>
      </w:tr>
      <w:tr>
        <w:trPr>
          <w:trHeight w:val="239"/>
        </w:trPr>
        <w:tc>
          <w:tcPr>
            <w:tcW w:w="660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360" w:type="dxa"/>
            <w:vAlign w:val="bottom"/>
            <w:shd w:val="clear" w:color="auto" w:fill="EAEAEA"/>
          </w:tcPr>
          <w:p>
            <w:pPr>
              <w:spacing w:after="0"/>
              <w:rPr>
                <w:sz w:val="20"/>
                <w:szCs w:val="20"/>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179,336</w:t>
            </w:r>
          </w:p>
        </w:tc>
        <w:tc>
          <w:tcPr>
            <w:tcW w:w="320" w:type="dxa"/>
            <w:vAlign w:val="bottom"/>
            <w:shd w:val="clear" w:color="auto" w:fill="EAEAEA"/>
          </w:tcPr>
          <w:p>
            <w:pPr>
              <w:spacing w:after="0"/>
              <w:rPr>
                <w:sz w:val="20"/>
                <w:szCs w:val="20"/>
                <w:color w:val="auto"/>
              </w:rPr>
            </w:pPr>
          </w:p>
        </w:tc>
        <w:tc>
          <w:tcPr>
            <w:tcW w:w="360" w:type="dxa"/>
            <w:vAlign w:val="bottom"/>
            <w:shd w:val="clear" w:color="auto" w:fill="EAEAEA"/>
          </w:tcPr>
          <w:p>
            <w:pPr>
              <w:spacing w:after="0"/>
              <w:rPr>
                <w:sz w:val="20"/>
                <w:szCs w:val="20"/>
                <w:color w:val="auto"/>
              </w:rPr>
            </w:pPr>
          </w:p>
        </w:tc>
        <w:tc>
          <w:tcPr>
            <w:tcW w:w="12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167,613</w:t>
            </w:r>
          </w:p>
        </w:tc>
        <w:tc>
          <w:tcPr>
            <w:tcW w:w="80" w:type="dxa"/>
            <w:vAlign w:val="bottom"/>
            <w:shd w:val="clear" w:color="auto" w:fill="EAEAEA"/>
          </w:tcPr>
          <w:p>
            <w:pPr>
              <w:spacing w:after="0"/>
              <w:rPr>
                <w:sz w:val="20"/>
                <w:szCs w:val="20"/>
                <w:color w:val="auto"/>
              </w:rPr>
            </w:pPr>
          </w:p>
        </w:tc>
      </w:tr>
      <w:tr>
        <w:trPr>
          <w:trHeight w:val="244"/>
        </w:trPr>
        <w:tc>
          <w:tcPr>
            <w:tcW w:w="6600" w:type="dxa"/>
            <w:vAlign w:val="bottom"/>
            <w:tcBorders>
              <w:bottom w:val="single" w:sz="8" w:color="EAEAEA"/>
            </w:tcBorders>
          </w:tcPr>
          <w:p>
            <w:pPr>
              <w:ind w:left="200"/>
              <w:spacing w:after="0"/>
              <w:rPr>
                <w:sz w:val="20"/>
                <w:szCs w:val="20"/>
                <w:color w:val="auto"/>
              </w:rPr>
            </w:pPr>
            <w:r>
              <w:rPr>
                <w:rFonts w:ascii="Times New Roman" w:cs="Times New Roman" w:eastAsia="Times New Roman" w:hAnsi="Times New Roman"/>
                <w:sz w:val="20"/>
                <w:szCs w:val="20"/>
                <w:color w:val="auto"/>
              </w:rPr>
              <w:t>Less: valuation allowance</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(176,799)</w:t>
            </w:r>
          </w:p>
        </w:tc>
        <w:tc>
          <w:tcPr>
            <w:tcW w:w="320" w:type="dxa"/>
            <w:vAlign w:val="bottom"/>
            <w:tcBorders>
              <w:bottom w:val="single" w:sz="8" w:color="EAEAEA"/>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(164,643)</w:t>
            </w:r>
          </w:p>
        </w:tc>
        <w:tc>
          <w:tcPr>
            <w:tcW w:w="80" w:type="dxa"/>
            <w:vAlign w:val="bottom"/>
            <w:tcBorders>
              <w:bottom w:val="single" w:sz="8" w:color="EAEAEA"/>
            </w:tcBorders>
          </w:tcPr>
          <w:p>
            <w:pPr>
              <w:spacing w:after="0"/>
              <w:rPr>
                <w:sz w:val="21"/>
                <w:szCs w:val="21"/>
                <w:color w:val="auto"/>
              </w:rPr>
            </w:pPr>
          </w:p>
        </w:tc>
      </w:tr>
      <w:tr>
        <w:trPr>
          <w:trHeight w:val="239"/>
        </w:trPr>
        <w:tc>
          <w:tcPr>
            <w:tcW w:w="6600" w:type="dxa"/>
            <w:vAlign w:val="bottom"/>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60" w:type="dxa"/>
            <w:vAlign w:val="bottom"/>
            <w:tcBorders>
              <w:bottom w:val="single" w:sz="8" w:color="auto"/>
            </w:tcBorders>
            <w:shd w:val="clear" w:color="auto" w:fill="EAEAEA"/>
          </w:tcPr>
          <w:p>
            <w:pPr>
              <w:spacing w:after="0"/>
              <w:rPr>
                <w:sz w:val="20"/>
                <w:szCs w:val="20"/>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2,537</w:t>
            </w:r>
          </w:p>
        </w:tc>
        <w:tc>
          <w:tcPr>
            <w:tcW w:w="320" w:type="dxa"/>
            <w:vAlign w:val="bottom"/>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spacing w:after="0"/>
              <w:rPr>
                <w:sz w:val="20"/>
                <w:szCs w:val="20"/>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2,970</w:t>
            </w:r>
          </w:p>
        </w:tc>
        <w:tc>
          <w:tcPr>
            <w:tcW w:w="80" w:type="dxa"/>
            <w:vAlign w:val="bottom"/>
            <w:shd w:val="clear" w:color="auto" w:fill="EAEAEA"/>
          </w:tcPr>
          <w:p>
            <w:pPr>
              <w:spacing w:after="0"/>
              <w:rPr>
                <w:sz w:val="20"/>
                <w:szCs w:val="20"/>
                <w:color w:val="auto"/>
              </w:rPr>
            </w:pPr>
          </w:p>
        </w:tc>
      </w:tr>
      <w:tr>
        <w:trPr>
          <w:trHeight w:val="239"/>
        </w:trPr>
        <w:tc>
          <w:tcPr>
            <w:tcW w:w="6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liability:</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600" w:type="dxa"/>
            <w:vAlign w:val="bottom"/>
            <w:shd w:val="clear" w:color="auto" w:fill="EAEAEA"/>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360" w:type="dxa"/>
            <w:vAlign w:val="bottom"/>
            <w:shd w:val="clear" w:color="auto" w:fill="EAEAEA"/>
          </w:tcPr>
          <w:p>
            <w:pPr>
              <w:spacing w:after="0"/>
              <w:rPr>
                <w:sz w:val="21"/>
                <w:szCs w:val="21"/>
                <w:color w:val="auto"/>
              </w:rPr>
            </w:pPr>
          </w:p>
        </w:tc>
        <w:tc>
          <w:tcPr>
            <w:tcW w:w="1580" w:type="dxa"/>
            <w:vAlign w:val="bottom"/>
            <w:gridSpan w:val="2"/>
            <w:shd w:val="clear" w:color="auto" w:fill="EAEAEA"/>
          </w:tcPr>
          <w:p>
            <w:pPr>
              <w:jc w:val="right"/>
              <w:ind w:right="260"/>
              <w:spacing w:after="0"/>
              <w:rPr>
                <w:sz w:val="20"/>
                <w:szCs w:val="20"/>
                <w:color w:val="auto"/>
              </w:rPr>
            </w:pPr>
            <w:r>
              <w:rPr>
                <w:rFonts w:ascii="Times New Roman" w:cs="Times New Roman" w:eastAsia="Times New Roman" w:hAnsi="Times New Roman"/>
                <w:sz w:val="20"/>
                <w:szCs w:val="20"/>
                <w:color w:val="auto"/>
              </w:rPr>
              <w:t>(2,518)</w:t>
            </w:r>
          </w:p>
        </w:tc>
        <w:tc>
          <w:tcPr>
            <w:tcW w:w="360" w:type="dxa"/>
            <w:vAlign w:val="bottom"/>
            <w:shd w:val="clear" w:color="auto" w:fill="EAEAEA"/>
          </w:tcPr>
          <w:p>
            <w:pPr>
              <w:spacing w:after="0"/>
              <w:rPr>
                <w:sz w:val="21"/>
                <w:szCs w:val="21"/>
                <w:color w:val="auto"/>
              </w:rPr>
            </w:pPr>
          </w:p>
        </w:tc>
        <w:tc>
          <w:tcPr>
            <w:tcW w:w="1340" w:type="dxa"/>
            <w:vAlign w:val="bottom"/>
            <w:gridSpan w:val="2"/>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(2,970)</w:t>
            </w: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Fixed assets</w:t>
            </w:r>
          </w:p>
        </w:tc>
        <w:tc>
          <w:tcPr>
            <w:tcW w:w="36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(19)</w:t>
            </w:r>
          </w:p>
        </w:tc>
        <w:tc>
          <w:tcPr>
            <w:tcW w:w="36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6600" w:type="dxa"/>
            <w:vAlign w:val="bottom"/>
            <w:tcBorders>
              <w:top w:val="single" w:sz="8" w:color="EAEAEA"/>
              <w:bottom w:val="single" w:sz="8" w:color="EAEAEA"/>
            </w:tcBorders>
            <w:shd w:val="clear" w:color="auto" w:fill="EAEAEA"/>
          </w:tcPr>
          <w:p>
            <w:pPr>
              <w:ind w:left="400"/>
              <w:spacing w:after="0"/>
              <w:rPr>
                <w:sz w:val="20"/>
                <w:szCs w:val="20"/>
                <w:color w:val="auto"/>
              </w:rPr>
            </w:pPr>
            <w:r>
              <w:rPr>
                <w:rFonts w:ascii="Times New Roman" w:cs="Times New Roman" w:eastAsia="Times New Roman" w:hAnsi="Times New Roman"/>
                <w:sz w:val="20"/>
                <w:szCs w:val="20"/>
                <w:color w:val="auto"/>
              </w:rPr>
              <w:t>Total gross deferred tax liabilities</w:t>
            </w:r>
          </w:p>
        </w:tc>
        <w:tc>
          <w:tcPr>
            <w:tcW w:w="360" w:type="dxa"/>
            <w:vAlign w:val="bottom"/>
            <w:tcBorders>
              <w:top w:val="single" w:sz="8" w:color="auto"/>
              <w:bottom w:val="single" w:sz="8" w:color="auto"/>
            </w:tcBorders>
            <w:shd w:val="clear" w:color="auto" w:fill="EAEAEA"/>
          </w:tcPr>
          <w:p>
            <w:pPr>
              <w:spacing w:after="0"/>
              <w:rPr>
                <w:sz w:val="22"/>
                <w:szCs w:val="22"/>
                <w:color w:val="auto"/>
              </w:rPr>
            </w:pPr>
          </w:p>
        </w:tc>
        <w:tc>
          <w:tcPr>
            <w:tcW w:w="12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(2,537)</w:t>
            </w:r>
          </w:p>
        </w:tc>
        <w:tc>
          <w:tcPr>
            <w:tcW w:w="320" w:type="dxa"/>
            <w:vAlign w:val="bottom"/>
            <w:tcBorders>
              <w:top w:val="single" w:sz="8" w:color="EAEAEA"/>
              <w:bottom w:val="single" w:sz="8" w:color="EAEAEA"/>
            </w:tcBorders>
            <w:shd w:val="clear" w:color="auto" w:fill="EAEAEA"/>
          </w:tcPr>
          <w:p>
            <w:pPr>
              <w:spacing w:after="0"/>
              <w:rPr>
                <w:sz w:val="22"/>
                <w:szCs w:val="22"/>
                <w:color w:val="auto"/>
              </w:rPr>
            </w:pPr>
          </w:p>
        </w:tc>
        <w:tc>
          <w:tcPr>
            <w:tcW w:w="360" w:type="dxa"/>
            <w:vAlign w:val="bottom"/>
            <w:tcBorders>
              <w:top w:val="single" w:sz="8" w:color="auto"/>
              <w:bottom w:val="single" w:sz="8" w:color="auto"/>
            </w:tcBorders>
            <w:shd w:val="clear" w:color="auto" w:fill="EAEAEA"/>
          </w:tcPr>
          <w:p>
            <w:pPr>
              <w:spacing w:after="0"/>
              <w:rPr>
                <w:sz w:val="22"/>
                <w:szCs w:val="22"/>
                <w:color w:val="auto"/>
              </w:rPr>
            </w:pPr>
          </w:p>
        </w:tc>
        <w:tc>
          <w:tcPr>
            <w:tcW w:w="12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(2,970)</w:t>
            </w:r>
          </w:p>
        </w:tc>
        <w:tc>
          <w:tcPr>
            <w:tcW w:w="80" w:type="dxa"/>
            <w:vAlign w:val="bottom"/>
            <w:tcBorders>
              <w:top w:val="single" w:sz="8" w:color="EAEAEA"/>
              <w:bottom w:val="single" w:sz="8" w:color="EAEAEA"/>
            </w:tcBorders>
            <w:shd w:val="clear" w:color="auto" w:fill="EAEAEA"/>
          </w:tcPr>
          <w:p>
            <w:pPr>
              <w:spacing w:after="0"/>
              <w:rPr>
                <w:sz w:val="22"/>
                <w:szCs w:val="22"/>
                <w:color w:val="auto"/>
              </w:rPr>
            </w:pPr>
          </w:p>
        </w:tc>
      </w:tr>
      <w:tr>
        <w:trPr>
          <w:trHeight w:val="219"/>
        </w:trPr>
        <w:tc>
          <w:tcPr>
            <w:tcW w:w="66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Net deferred tax assets</w:t>
            </w:r>
          </w:p>
        </w:tc>
        <w:tc>
          <w:tcPr>
            <w:tcW w:w="360" w:type="dxa"/>
            <w:vAlign w:val="bottom"/>
            <w:tcBorders>
              <w:bottom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valuation allowance increased by $12.2 million from December 31, 2023 to December 31, 2024 due primarily to the generation of net operating losses and research and development credits.</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As of December 31, 2024, the Company had net operating loss carryforwards for federal and state income tax purposes of approximately $502.2 million and $487.8 million, respectively. As of December 31, 2023, the Company had net operating loss carryforwards for federal and state income tax purposes of approximately $482.1 million and $457.8 million, respectively.</w:t>
      </w:r>
    </w:p>
    <w:p>
      <w:pPr>
        <w:spacing w:after="0" w:line="18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federal and state net operating loss carryforwards begin to expire in 2031 and 2024, respectively, if not utilized. Federal net operating losses of $281.1 million are not subject to expiration.</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December 31, 2024, the Company had federal and state research and development carryforwards of approximately $14.1 million and $4.1 million, respectively. The Company also had $7.4 million of Orphan Drug Credit. As of December 31, 2023, the Company had federal and state research and development carryforwards of approximately $12.7 million and $4.0 million, respectively. The federal and state credits begin to expire in 2031 and 2029, respectively, if not utilized; $3.0 million of the state credits can be carried forward indefinitely.</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2024. At least $455.8 thousand of legacy Millendo federal net operating losses are expected to expire unused due to prior ownership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the following activity relating to unrecognized tax benefits as of December 31, 2024 and 2023:</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2"/>
                <w:szCs w:val="22"/>
                <w:color w:val="auto"/>
              </w:rPr>
            </w:pP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25"/>
        </w:trPr>
        <w:tc>
          <w:tcPr>
            <w:tcW w:w="5120" w:type="dxa"/>
            <w:vAlign w:val="bottom"/>
            <w:tcBorders>
              <w:top w:val="single" w:sz="8" w:color="EAEAEA"/>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Beginning balance</w:t>
            </w:r>
          </w:p>
        </w:tc>
        <w:tc>
          <w:tcPr>
            <w:tcW w:w="1460" w:type="dxa"/>
            <w:vAlign w:val="bottom"/>
            <w:tcBorders>
              <w:top w:val="single" w:sz="8" w:color="EAEAEA"/>
            </w:tcBorders>
            <w:shd w:val="clear" w:color="auto" w:fill="EAEAEA"/>
          </w:tcPr>
          <w:p>
            <w:pPr>
              <w:spacing w:after="0"/>
              <w:rPr>
                <w:sz w:val="19"/>
                <w:szCs w:val="19"/>
                <w:color w:val="auto"/>
              </w:rPr>
            </w:pPr>
          </w:p>
        </w:tc>
        <w:tc>
          <w:tcPr>
            <w:tcW w:w="1120" w:type="dxa"/>
            <w:vAlign w:val="bottom"/>
            <w:tcBorders>
              <w:top w:val="single" w:sz="8" w:color="auto"/>
            </w:tcBorders>
            <w:shd w:val="clear" w:color="auto" w:fill="EAEAEA"/>
          </w:tcPr>
          <w:p>
            <w:pPr>
              <w:jc w:val="right"/>
              <w:ind w:right="9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4,923</w:t>
            </w:r>
          </w:p>
        </w:tc>
        <w:tc>
          <w:tcPr>
            <w:tcW w:w="320" w:type="dxa"/>
            <w:vAlign w:val="bottom"/>
            <w:tcBorders>
              <w:top w:val="single" w:sz="8" w:color="EAEAEA"/>
            </w:tcBorders>
            <w:shd w:val="clear" w:color="auto" w:fill="EAEAEA"/>
          </w:tcPr>
          <w:p>
            <w:pPr>
              <w:spacing w:after="0"/>
              <w:rPr>
                <w:sz w:val="19"/>
                <w:szCs w:val="19"/>
                <w:color w:val="auto"/>
              </w:rPr>
            </w:pPr>
          </w:p>
        </w:tc>
        <w:tc>
          <w:tcPr>
            <w:tcW w:w="360" w:type="dxa"/>
            <w:vAlign w:val="bottom"/>
            <w:tcBorders>
              <w:top w:val="single" w:sz="8" w:color="auto"/>
            </w:tcBorders>
            <w:shd w:val="clear" w:color="auto" w:fill="EAEAEA"/>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4,650</w:t>
            </w: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51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Gross increase - tax position in current period</w:t>
            </w:r>
          </w:p>
        </w:tc>
        <w:tc>
          <w:tcPr>
            <w:tcW w:w="1460" w:type="dxa"/>
            <w:vAlign w:val="bottom"/>
            <w:tcBorders>
              <w:bottom w:val="single" w:sz="8" w:color="EAEAEA"/>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320" w:type="dxa"/>
            <w:vAlign w:val="bottom"/>
            <w:tcBorders>
              <w:bottom w:val="single" w:sz="8" w:color="EAEAEA"/>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60" w:type="dxa"/>
            <w:vAlign w:val="bottom"/>
            <w:tcBorders>
              <w:bottom w:val="single" w:sz="8" w:color="EAEAEA"/>
            </w:tcBorders>
          </w:tcPr>
          <w:p>
            <w:pPr>
              <w:spacing w:after="0"/>
              <w:rPr>
                <w:sz w:val="20"/>
                <w:szCs w:val="20"/>
                <w:color w:val="auto"/>
              </w:rPr>
            </w:pPr>
          </w:p>
        </w:tc>
      </w:tr>
      <w:tr>
        <w:trPr>
          <w:trHeight w:val="225"/>
        </w:trPr>
        <w:tc>
          <w:tcPr>
            <w:tcW w:w="5120" w:type="dxa"/>
            <w:vAlign w:val="bottom"/>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Ending balance</w:t>
            </w:r>
          </w:p>
        </w:tc>
        <w:tc>
          <w:tcPr>
            <w:tcW w:w="1460" w:type="dxa"/>
            <w:vAlign w:val="bottom"/>
            <w:shd w:val="clear" w:color="auto" w:fill="EAEAEA"/>
          </w:tcPr>
          <w:p>
            <w:pPr>
              <w:spacing w:after="0"/>
              <w:rPr>
                <w:sz w:val="19"/>
                <w:szCs w:val="19"/>
                <w:color w:val="auto"/>
              </w:rPr>
            </w:pPr>
          </w:p>
        </w:tc>
        <w:tc>
          <w:tcPr>
            <w:tcW w:w="1120" w:type="dxa"/>
            <w:vAlign w:val="bottom"/>
            <w:tcBorders>
              <w:bottom w:val="single" w:sz="8" w:color="auto"/>
            </w:tcBorders>
            <w:shd w:val="clear" w:color="auto" w:fill="EAEAEA"/>
          </w:tcPr>
          <w:p>
            <w:pPr>
              <w:jc w:val="right"/>
              <w:ind w:right="9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5,239</w:t>
            </w:r>
          </w:p>
        </w:tc>
        <w:tc>
          <w:tcPr>
            <w:tcW w:w="320" w:type="dxa"/>
            <w:vAlign w:val="bottom"/>
            <w:shd w:val="clear" w:color="auto" w:fill="EAEAEA"/>
          </w:tcPr>
          <w:p>
            <w:pPr>
              <w:spacing w:after="0"/>
              <w:rPr>
                <w:sz w:val="19"/>
                <w:szCs w:val="19"/>
                <w:color w:val="auto"/>
              </w:rPr>
            </w:pPr>
          </w:p>
        </w:tc>
        <w:tc>
          <w:tcPr>
            <w:tcW w:w="360" w:type="dxa"/>
            <w:vAlign w:val="bottom"/>
            <w:tcBorders>
              <w:bottom w:val="single" w:sz="8" w:color="auto"/>
            </w:tcBorders>
            <w:shd w:val="clear" w:color="auto" w:fill="EAEAEA"/>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4,923</w:t>
            </w:r>
          </w:p>
        </w:tc>
        <w:tc>
          <w:tcPr>
            <w:tcW w:w="60" w:type="dxa"/>
            <w:vAlign w:val="bottom"/>
            <w:shd w:val="clear" w:color="auto" w:fill="EAEAEA"/>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As of December 31, 2024 and 2023, none of the unrecognized tax benefits would impact the Company's effective tax rate due to the valuation allowance. The Company does not anticipate the uncertain tax positions will materially change in the next 12 months. The Company's practice is to recognize interest and/or penalties related to income tax matters in income tax expense. The Company had no accrual for interest and penalties on the accompanying balance sheet as of December 31, 2024 and 2023,</w:t>
      </w:r>
    </w:p>
    <w:p>
      <w:pPr>
        <w:sectPr>
          <w:pgSz w:w="12240" w:h="15840" w:orient="portrait"/>
          <w:cols w:equalWidth="0" w:num="1">
            <w:col w:w="10240"/>
          </w:cols>
          <w:pgMar w:left="1000" w:top="930" w:right="1000" w:bottom="175"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40"/>
          </w:cols>
          <w:pgMar w:left="1000" w:top="930" w:right="1000" w:bottom="175" w:gutter="0" w:footer="0" w:header="0"/>
          <w:type w:val="continuous"/>
        </w:sectPr>
      </w:pPr>
    </w:p>
    <w:bookmarkStart w:id="118" w:name="page119"/>
    <w:bookmarkEnd w:id="118"/>
    <w:p>
      <w:pPr>
        <w:jc w:val="both"/>
        <w:spacing w:after="0" w:line="325" w:lineRule="auto"/>
        <w:rPr>
          <w:sz w:val="20"/>
          <w:szCs w:val="20"/>
          <w:color w:val="auto"/>
        </w:rPr>
      </w:pPr>
      <w:r>
        <w:rPr>
          <w:rFonts w:ascii="Times New Roman" w:cs="Times New Roman" w:eastAsia="Times New Roman" w:hAnsi="Times New Roman"/>
          <w:sz w:val="20"/>
          <w:szCs w:val="20"/>
          <w:color w:val="auto"/>
        </w:rPr>
        <w:t>respectively, and has not recognized penalties and/or interest in the accompanying statements of operations for the years ended December 31, 2024 and 2023, respectively.</w:t>
      </w:r>
    </w:p>
    <w:p>
      <w:pPr>
        <w:spacing w:after="0" w:line="1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RETIREMENT PLAN</w:t>
      </w:r>
    </w:p>
    <w:p>
      <w:pPr>
        <w:spacing w:after="0" w:line="2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year ended December 31, 2024, the Company contributed $161 to the 401(k) Plan. During the year ended December 31, 2023, the Company contributed $147 to the 401(k)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PER SHARE</w:t>
      </w:r>
    </w:p>
    <w:p>
      <w:pPr>
        <w:spacing w:after="0" w:line="290" w:lineRule="exact"/>
        <w:rPr>
          <w:sz w:val="20"/>
          <w:szCs w:val="20"/>
          <w:color w:val="auto"/>
        </w:rPr>
      </w:pPr>
    </w:p>
    <w:p>
      <w:pPr>
        <w:spacing w:after="0"/>
        <w:tabs>
          <w:tab w:leader="none" w:pos="6440" w:val="left"/>
        </w:tabs>
        <w:rPr>
          <w:sz w:val="20"/>
          <w:szCs w:val="20"/>
          <w:color w:val="auto"/>
        </w:rPr>
      </w:pPr>
      <w:r>
        <w:rPr>
          <w:rFonts w:ascii="Times New Roman" w:cs="Times New Roman" w:eastAsia="Times New Roman" w:hAnsi="Times New Roman"/>
          <w:sz w:val="20"/>
          <w:szCs w:val="20"/>
          <w:color w:val="auto"/>
        </w:rPr>
        <w:t>The following table sets forth the computation of the Company’s basic and</w:t>
        <w:tab/>
        <w:t>diluted net loss per share for the years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2023 (in thousands, except share and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20" w:type="dxa"/>
            <w:vAlign w:val="bottom"/>
            <w:tcBorders>
              <w:bottom w:val="single" w:sz="8" w:color="E9E9E9"/>
            </w:tcBorders>
          </w:tcPr>
          <w:p>
            <w:pPr>
              <w:spacing w:after="0"/>
              <w:rPr>
                <w:sz w:val="22"/>
                <w:szCs w:val="22"/>
                <w:color w:val="auto"/>
              </w:rPr>
            </w:pPr>
          </w:p>
        </w:tc>
        <w:tc>
          <w:tcPr>
            <w:tcW w:w="18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AEAEA"/>
            </w:tcBorders>
          </w:tcPr>
          <w:p>
            <w:pPr>
              <w:spacing w:after="0"/>
              <w:rPr>
                <w:sz w:val="22"/>
                <w:szCs w:val="22"/>
                <w:color w:val="auto"/>
              </w:rPr>
            </w:pPr>
          </w:p>
        </w:tc>
      </w:tr>
      <w:tr>
        <w:trPr>
          <w:trHeight w:val="239"/>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80" w:type="dxa"/>
            <w:vAlign w:val="bottom"/>
            <w:shd w:val="clear" w:color="auto" w:fill="EAEAEA"/>
          </w:tcPr>
          <w:p>
            <w:pPr>
              <w:spacing w:after="0"/>
              <w:rPr>
                <w:sz w:val="20"/>
                <w:szCs w:val="20"/>
                <w:color w:val="auto"/>
              </w:rPr>
            </w:pPr>
          </w:p>
        </w:tc>
        <w:tc>
          <w:tcPr>
            <w:tcW w:w="300" w:type="dxa"/>
            <w:vAlign w:val="bottom"/>
            <w:shd w:val="clear" w:color="auto" w:fill="EAEAEA"/>
          </w:tcPr>
          <w:p>
            <w:pPr>
              <w:spacing w:after="0"/>
              <w:rPr>
                <w:sz w:val="20"/>
                <w:szCs w:val="20"/>
                <w:color w:val="auto"/>
              </w:rPr>
            </w:pPr>
          </w:p>
        </w:tc>
        <w:tc>
          <w:tcPr>
            <w:tcW w:w="114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11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(41,843)</w:t>
            </w:r>
          </w:p>
        </w:tc>
        <w:tc>
          <w:tcPr>
            <w:tcW w:w="26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(29,491)</w:t>
            </w:r>
          </w:p>
        </w:tc>
        <w:tc>
          <w:tcPr>
            <w:tcW w:w="80" w:type="dxa"/>
            <w:vAlign w:val="bottom"/>
          </w:tcPr>
          <w:p>
            <w:pPr>
              <w:spacing w:after="0"/>
              <w:rPr>
                <w:sz w:val="21"/>
                <w:szCs w:val="21"/>
                <w:color w:val="auto"/>
              </w:rPr>
            </w:pPr>
          </w:p>
        </w:tc>
      </w:tr>
      <w:tr>
        <w:trPr>
          <w:trHeight w:val="244"/>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80" w:type="dxa"/>
            <w:vAlign w:val="bottom"/>
            <w:shd w:val="clear" w:color="auto" w:fill="EAEAEA"/>
          </w:tcPr>
          <w:p>
            <w:pPr>
              <w:spacing w:after="0"/>
              <w:rPr>
                <w:sz w:val="21"/>
                <w:szCs w:val="21"/>
                <w:color w:val="auto"/>
              </w:rPr>
            </w:pPr>
          </w:p>
        </w:tc>
        <w:tc>
          <w:tcPr>
            <w:tcW w:w="300" w:type="dxa"/>
            <w:vAlign w:val="bottom"/>
            <w:shd w:val="clear" w:color="auto" w:fill="EAEAEA"/>
          </w:tcPr>
          <w:p>
            <w:pPr>
              <w:spacing w:after="0"/>
              <w:rPr>
                <w:sz w:val="21"/>
                <w:szCs w:val="21"/>
                <w:color w:val="auto"/>
              </w:rPr>
            </w:pPr>
          </w:p>
        </w:tc>
        <w:tc>
          <w:tcPr>
            <w:tcW w:w="114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114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1"/>
                <w:szCs w:val="21"/>
                <w:color w:val="auto"/>
              </w:rPr>
            </w:pPr>
          </w:p>
        </w:tc>
      </w:tr>
      <w:tr>
        <w:trPr>
          <w:trHeight w:val="244"/>
        </w:trPr>
        <w:tc>
          <w:tcPr>
            <w:tcW w:w="6820" w:type="dxa"/>
            <w:vAlign w:val="bottom"/>
            <w:tcBorders>
              <w:bottom w:val="single" w:sz="8" w:color="EAEAEA"/>
            </w:tcBorders>
          </w:tcPr>
          <w:p>
            <w:pPr>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180" w:type="dxa"/>
            <w:vAlign w:val="bottom"/>
            <w:tcBorders>
              <w:bottom w:val="single" w:sz="8" w:color="EAEAEA"/>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27,901,739</w:t>
            </w:r>
          </w:p>
        </w:tc>
        <w:tc>
          <w:tcPr>
            <w:tcW w:w="26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15,416,203</w:t>
            </w:r>
          </w:p>
        </w:tc>
        <w:tc>
          <w:tcPr>
            <w:tcW w:w="80" w:type="dxa"/>
            <w:vAlign w:val="bottom"/>
            <w:tcBorders>
              <w:bottom w:val="single" w:sz="8" w:color="EAEAEA"/>
            </w:tcBorders>
          </w:tcPr>
          <w:p>
            <w:pPr>
              <w:spacing w:after="0"/>
              <w:rPr>
                <w:sz w:val="21"/>
                <w:szCs w:val="21"/>
                <w:color w:val="auto"/>
              </w:rPr>
            </w:pPr>
          </w:p>
        </w:tc>
      </w:tr>
      <w:tr>
        <w:trPr>
          <w:trHeight w:val="239"/>
        </w:trPr>
        <w:tc>
          <w:tcPr>
            <w:tcW w:w="682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Weighted-average shares used in computing basic and diluted net loss per share</w:t>
            </w:r>
          </w:p>
        </w:tc>
        <w:tc>
          <w:tcPr>
            <w:tcW w:w="180" w:type="dxa"/>
            <w:vAlign w:val="bottom"/>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spacing w:after="0"/>
              <w:rPr>
                <w:sz w:val="20"/>
                <w:szCs w:val="20"/>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27,901,739</w:t>
            </w:r>
          </w:p>
        </w:tc>
        <w:tc>
          <w:tcPr>
            <w:tcW w:w="260" w:type="dxa"/>
            <w:vAlign w:val="bottom"/>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spacing w:after="0"/>
              <w:rPr>
                <w:sz w:val="20"/>
                <w:szCs w:val="20"/>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15,416,203</w:t>
            </w:r>
          </w:p>
        </w:tc>
        <w:tc>
          <w:tcPr>
            <w:tcW w:w="80" w:type="dxa"/>
            <w:vAlign w:val="bottom"/>
            <w:shd w:val="clear" w:color="auto" w:fill="EAEAEA"/>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3"/>
        </w:trPr>
        <w:tc>
          <w:tcPr>
            <w:tcW w:w="6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per share attributable to common stockholders—basic and diluted</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(1.50)</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(1.91)</w:t>
            </w: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As of December 31, 2024 and 2023,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December 31, 2024 and 2023, the Company excluded the following potential common shares from the computation of diluted net loss per share attributable to common stockholders because including them would have had an anti-dilutive effect: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80" w:type="dxa"/>
            <w:vAlign w:val="bottom"/>
          </w:tcPr>
          <w:p>
            <w:pPr>
              <w:spacing w:after="0"/>
              <w:rPr>
                <w:sz w:val="22"/>
                <w:szCs w:val="22"/>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25"/>
        </w:trPr>
        <w:tc>
          <w:tcPr>
            <w:tcW w:w="6780" w:type="dxa"/>
            <w:vAlign w:val="bottom"/>
            <w:tcBorders>
              <w:top w:val="single" w:sz="8" w:color="E9E9E9"/>
            </w:tcBorders>
            <w:shd w:val="clear" w:color="auto" w:fill="EAEAEA"/>
          </w:tcPr>
          <w:p>
            <w:pPr>
              <w:spacing w:after="0" w:line="225" w:lineRule="exact"/>
              <w:rPr>
                <w:sz w:val="20"/>
                <w:szCs w:val="20"/>
                <w:color w:val="auto"/>
              </w:rPr>
            </w:pPr>
            <w:r>
              <w:rPr>
                <w:rFonts w:ascii="Times New Roman" w:cs="Times New Roman" w:eastAsia="Times New Roman" w:hAnsi="Times New Roman"/>
                <w:sz w:val="20"/>
                <w:szCs w:val="20"/>
                <w:color w:val="auto"/>
              </w:rPr>
              <w:t>Options to purchase common stock</w:t>
            </w:r>
          </w:p>
        </w:tc>
        <w:tc>
          <w:tcPr>
            <w:tcW w:w="160" w:type="dxa"/>
            <w:vAlign w:val="bottom"/>
            <w:tcBorders>
              <w:top w:val="single" w:sz="8" w:color="EAEAEA"/>
            </w:tcBorders>
            <w:shd w:val="clear" w:color="auto" w:fill="EAEAEA"/>
          </w:tcPr>
          <w:p>
            <w:pPr>
              <w:spacing w:after="0"/>
              <w:rPr>
                <w:sz w:val="19"/>
                <w:szCs w:val="19"/>
                <w:color w:val="auto"/>
              </w:rPr>
            </w:pPr>
          </w:p>
        </w:tc>
        <w:tc>
          <w:tcPr>
            <w:tcW w:w="150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4,161,162</w:t>
            </w:r>
          </w:p>
        </w:tc>
        <w:tc>
          <w:tcPr>
            <w:tcW w:w="20" w:type="dxa"/>
            <w:vAlign w:val="bottom"/>
            <w:tcBorders>
              <w:top w:val="single" w:sz="8" w:color="EAEAEA"/>
            </w:tcBorders>
            <w:shd w:val="clear" w:color="auto" w:fill="EAEAEA"/>
          </w:tcPr>
          <w:p>
            <w:pPr>
              <w:spacing w:after="0"/>
              <w:rPr>
                <w:sz w:val="19"/>
                <w:szCs w:val="19"/>
                <w:color w:val="auto"/>
              </w:rPr>
            </w:pPr>
          </w:p>
        </w:tc>
        <w:tc>
          <w:tcPr>
            <w:tcW w:w="240" w:type="dxa"/>
            <w:vAlign w:val="bottom"/>
            <w:tcBorders>
              <w:top w:val="single" w:sz="8" w:color="EAEAEA"/>
            </w:tcBorders>
            <w:shd w:val="clear" w:color="auto" w:fill="EAEAEA"/>
          </w:tcPr>
          <w:p>
            <w:pPr>
              <w:spacing w:after="0"/>
              <w:rPr>
                <w:sz w:val="19"/>
                <w:szCs w:val="19"/>
                <w:color w:val="auto"/>
              </w:rPr>
            </w:pPr>
          </w:p>
        </w:tc>
        <w:tc>
          <w:tcPr>
            <w:tcW w:w="1480" w:type="dxa"/>
            <w:vAlign w:val="bottom"/>
            <w:tcBorders>
              <w:top w:val="single" w:sz="8" w:color="auto"/>
            </w:tcBorders>
            <w:shd w:val="clear" w:color="auto" w:fill="EAEAEA"/>
          </w:tcPr>
          <w:p>
            <w:pPr>
              <w:jc w:val="right"/>
              <w:spacing w:after="0" w:line="225" w:lineRule="exact"/>
              <w:rPr>
                <w:sz w:val="20"/>
                <w:szCs w:val="20"/>
                <w:color w:val="auto"/>
              </w:rPr>
            </w:pPr>
            <w:r>
              <w:rPr>
                <w:rFonts w:ascii="Times New Roman" w:cs="Times New Roman" w:eastAsia="Times New Roman" w:hAnsi="Times New Roman"/>
                <w:sz w:val="20"/>
                <w:szCs w:val="20"/>
                <w:color w:val="auto"/>
              </w:rPr>
              <w:t>3,554,112</w:t>
            </w:r>
          </w:p>
        </w:tc>
        <w:tc>
          <w:tcPr>
            <w:tcW w:w="60" w:type="dxa"/>
            <w:vAlign w:val="bottom"/>
            <w:tcBorders>
              <w:top w:val="single" w:sz="8" w:color="EAEAEA"/>
            </w:tcBorders>
            <w:shd w:val="clear" w:color="auto" w:fill="EAEAEA"/>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60" w:type="dxa"/>
            <w:vAlign w:val="bottom"/>
          </w:tcPr>
          <w:p>
            <w:pPr>
              <w:spacing w:after="0"/>
              <w:rPr>
                <w:sz w:val="20"/>
                <w:szCs w:val="20"/>
                <w:color w:val="auto"/>
              </w:rPr>
            </w:pPr>
          </w:p>
        </w:tc>
      </w:tr>
      <w:tr>
        <w:trPr>
          <w:trHeight w:val="230"/>
        </w:trPr>
        <w:tc>
          <w:tcPr>
            <w:tcW w:w="6780" w:type="dxa"/>
            <w:vAlign w:val="bottom"/>
            <w:shd w:val="clear" w:color="auto" w:fill="EAEAEA"/>
          </w:tcPr>
          <w:p>
            <w:pPr>
              <w:spacing w:after="0"/>
              <w:rPr>
                <w:sz w:val="20"/>
                <w:szCs w:val="20"/>
                <w:color w:val="auto"/>
              </w:rPr>
            </w:pPr>
            <w:r>
              <w:rPr>
                <w:rFonts w:ascii="Times New Roman" w:cs="Times New Roman" w:eastAsia="Times New Roman" w:hAnsi="Times New Roman"/>
                <w:sz w:val="20"/>
                <w:szCs w:val="20"/>
                <w:color w:val="auto"/>
              </w:rPr>
              <w:t>Common stock warrants</w:t>
            </w:r>
          </w:p>
        </w:tc>
        <w:tc>
          <w:tcPr>
            <w:tcW w:w="1680" w:type="dxa"/>
            <w:vAlign w:val="bottom"/>
            <w:gridSpan w:val="3"/>
            <w:shd w:val="clear" w:color="auto" w:fill="EAEAEA"/>
          </w:tcPr>
          <w:p>
            <w:pPr>
              <w:jc w:val="right"/>
              <w:ind w:right="20"/>
              <w:spacing w:after="0"/>
              <w:rPr>
                <w:sz w:val="20"/>
                <w:szCs w:val="20"/>
                <w:color w:val="auto"/>
              </w:rPr>
            </w:pPr>
            <w:r>
              <w:rPr>
                <w:rFonts w:ascii="Times New Roman" w:cs="Times New Roman" w:eastAsia="Times New Roman" w:hAnsi="Times New Roman"/>
                <w:sz w:val="20"/>
                <w:szCs w:val="20"/>
                <w:color w:val="auto"/>
              </w:rPr>
              <w:t>6,036</w:t>
            </w:r>
          </w:p>
        </w:tc>
        <w:tc>
          <w:tcPr>
            <w:tcW w:w="240" w:type="dxa"/>
            <w:vAlign w:val="bottom"/>
            <w:shd w:val="clear" w:color="auto" w:fill="EAEAEA"/>
          </w:tcPr>
          <w:p>
            <w:pPr>
              <w:spacing w:after="0"/>
              <w:rPr>
                <w:sz w:val="20"/>
                <w:szCs w:val="20"/>
                <w:color w:val="auto"/>
              </w:rPr>
            </w:pPr>
          </w:p>
        </w:tc>
        <w:tc>
          <w:tcPr>
            <w:tcW w:w="148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20"/>
                <w:szCs w:val="20"/>
                <w:color w:val="auto"/>
              </w:rPr>
              <w:t>6,036</w:t>
            </w:r>
          </w:p>
        </w:tc>
        <w:tc>
          <w:tcPr>
            <w:tcW w:w="60" w:type="dxa"/>
            <w:vAlign w:val="bottom"/>
            <w:shd w:val="clear" w:color="auto" w:fill="EAEAEA"/>
          </w:tcPr>
          <w:p>
            <w:pPr>
              <w:spacing w:after="0"/>
              <w:rPr>
                <w:sz w:val="20"/>
                <w:szCs w:val="20"/>
                <w:color w:val="auto"/>
              </w:rPr>
            </w:pPr>
          </w:p>
        </w:tc>
      </w:tr>
      <w:tr>
        <w:trPr>
          <w:trHeight w:val="225"/>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4,167,198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3,685,148</w:t>
            </w:r>
          </w:p>
        </w:tc>
        <w:tc>
          <w:tcPr>
            <w:tcW w:w="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REPORTING</w:t>
      </w:r>
    </w:p>
    <w:p>
      <w:pPr>
        <w:spacing w:after="0" w:line="2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19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the Company has not generated revenue, the CODM assesses Company performance through the achievement of research goals towards advancing the Company’s product candidates through stages of development. As such, the CODM is regularly</w:t>
      </w:r>
    </w:p>
    <w:p>
      <w:pPr>
        <w:sectPr>
          <w:pgSz w:w="12240" w:h="15840" w:orient="portrait"/>
          <w:cols w:equalWidth="0" w:num="1">
            <w:col w:w="10240"/>
          </w:cols>
          <w:pgMar w:left="1000" w:top="930" w:right="1000" w:bottom="175"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240"/>
          </w:cols>
          <w:pgMar w:left="1000" w:top="930" w:right="1000" w:bottom="175" w:gutter="0" w:footer="0" w:header="0"/>
          <w:type w:val="continuous"/>
        </w:sectPr>
      </w:pPr>
    </w:p>
    <w:bookmarkStart w:id="119" w:name="page120"/>
    <w:bookmarkEnd w:id="119"/>
    <w:p>
      <w:pPr>
        <w:jc w:val="both"/>
        <w:spacing w:after="0" w:line="325" w:lineRule="auto"/>
        <w:rPr>
          <w:sz w:val="20"/>
          <w:szCs w:val="20"/>
          <w:color w:val="auto"/>
        </w:rPr>
      </w:pPr>
      <w:r>
        <w:rPr>
          <w:rFonts w:ascii="Times New Roman" w:cs="Times New Roman" w:eastAsia="Times New Roman" w:hAnsi="Times New Roman"/>
          <w:sz w:val="20"/>
          <w:szCs w:val="20"/>
          <w:color w:val="auto"/>
        </w:rPr>
        <w:t>provided with budgeted and forecasted expense information as well as the Company’s Consolidated Financial Statements which is used to determine the Company’s liquidity needs and pipeline resource allocation.</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years ended December 31, 2024 and 2023. The measure of segment assets is reported on the Consolidated Balance Sheet as total assets. The CODM monitors the Company's cash and cash equivalents as reported on the Consolidated Balance Sheets.</w:t>
      </w:r>
    </w:p>
    <w:p>
      <w:pPr>
        <w:spacing w:after="0" w:line="20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All financial information required for segment reporting that is provided to the chief operating decision maker is contained within the financial statements and notes to financial statements.</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240"/>
          </w:cols>
          <w:pgMar w:left="1000" w:top="930" w:right="1000" w:bottom="175" w:gutter="0" w:footer="0" w:header="0"/>
          <w:type w:val="continuous"/>
        </w:sectPr>
      </w:pPr>
    </w:p>
    <w:bookmarkStart w:id="120" w:name="page121"/>
    <w:bookmarkEnd w:id="120"/>
    <w:p>
      <w:pPr>
        <w:ind w:left="6" w:right="260"/>
        <w:spacing w:after="0" w:line="334"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None.</w:t>
      </w:r>
    </w:p>
    <w:p>
      <w:pPr>
        <w:spacing w:after="0" w:line="2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326" w:lineRule="exact"/>
        <w:rPr>
          <w:sz w:val="20"/>
          <w:szCs w:val="20"/>
          <w:color w:val="auto"/>
        </w:rPr>
      </w:pPr>
    </w:p>
    <w:p>
      <w:pPr>
        <w:jc w:val="both"/>
        <w:ind w:left="6" w:right="20"/>
        <w:spacing w:after="0" w:line="297"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spacing w:after="0" w:line="2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Our management, with the participation of our Chief Executive Officer (principal executive officer) and Chief Financial Officer</w:t>
      </w:r>
    </w:p>
    <w:p>
      <w:pPr>
        <w:spacing w:after="0" w:line="46" w:lineRule="exact"/>
        <w:rPr>
          <w:sz w:val="20"/>
          <w:szCs w:val="20"/>
          <w:color w:val="auto"/>
        </w:rPr>
      </w:pPr>
    </w:p>
    <w:p>
      <w:pPr>
        <w:jc w:val="both"/>
        <w:ind w:left="6" w:right="20" w:hanging="6"/>
        <w:spacing w:after="0" w:line="297" w:lineRule="auto"/>
        <w:tabs>
          <w:tab w:leader="none" w:pos="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of Corporate Strategy (principal financial officer), evaluated the effectiveness of our disclosure controls and procedures (as defined in the Securities Exchange Act of 1934 Rules 13a-15(e) or 15d-15(e)) as required by paragraph (b) of Exchange Act Rules 13a-15 or 15d-15, as of December 31, 2024. Based on the evaluation of our disclosure controls and procedures as of December 31, 2024, our Chief Executive Officer and Chief Financial Officer &amp; Head of Corporate Strategy concluded that, as of such date, our disclosure controls and procedures were effective.</w:t>
      </w:r>
    </w:p>
    <w:p>
      <w:pPr>
        <w:spacing w:after="0" w:line="2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79" w:lineRule="exact"/>
        <w:rPr>
          <w:sz w:val="20"/>
          <w:szCs w:val="20"/>
          <w:color w:val="auto"/>
        </w:rPr>
      </w:pPr>
    </w:p>
    <w:p>
      <w:pPr>
        <w:jc w:val="both"/>
        <w:ind w:left="6" w:right="20"/>
        <w:spacing w:after="0" w:line="29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6" w:lineRule="exact"/>
        <w:rPr>
          <w:sz w:val="20"/>
          <w:szCs w:val="20"/>
          <w:color w:val="auto"/>
        </w:rPr>
      </w:pPr>
    </w:p>
    <w:p>
      <w:pPr>
        <w:jc w:val="both"/>
        <w:ind w:left="6" w:right="20"/>
        <w:spacing w:after="0" w:line="300" w:lineRule="auto"/>
        <w:rPr>
          <w:sz w:val="20"/>
          <w:szCs w:val="20"/>
          <w:color w:val="auto"/>
        </w:rPr>
      </w:pPr>
      <w:r>
        <w:rPr>
          <w:rFonts w:ascii="Times New Roman" w:cs="Times New Roman" w:eastAsia="Times New Roman" w:hAnsi="Times New Roman"/>
          <w:sz w:val="20"/>
          <w:szCs w:val="20"/>
          <w:color w:val="auto"/>
        </w:rPr>
        <w:t>Our management assessed the effectiveness of our internal control over financial reporting as of December 31, 2024. In making this assessment, management used the criteria set forth by the Committee of Sponsoring organizations of the Treadway Commission (COSO) in Internal Control – Integrated Framework (2013). Based on that assessment, our management concluded that, as of December 31, 2024, our internal control over financial reporting was effective.</w:t>
      </w:r>
    </w:p>
    <w:p>
      <w:pPr>
        <w:spacing w:after="0" w:line="2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Attestation Report of the Registered Public Accounting Firm.</w:t>
      </w:r>
    </w:p>
    <w:p>
      <w:pPr>
        <w:spacing w:after="0" w:line="296" w:lineRule="exact"/>
        <w:rPr>
          <w:sz w:val="20"/>
          <w:szCs w:val="20"/>
          <w:color w:val="auto"/>
        </w:rPr>
      </w:pPr>
    </w:p>
    <w:p>
      <w:pPr>
        <w:jc w:val="both"/>
        <w:ind w:left="6" w:right="20"/>
        <w:spacing w:after="0" w:line="325" w:lineRule="auto"/>
        <w:rPr>
          <w:sz w:val="20"/>
          <w:szCs w:val="20"/>
          <w:color w:val="auto"/>
        </w:rPr>
      </w:pPr>
      <w:r>
        <w:rPr>
          <w:rFonts w:ascii="Times New Roman" w:cs="Times New Roman" w:eastAsia="Times New Roman" w:hAnsi="Times New Roman"/>
          <w:sz w:val="20"/>
          <w:szCs w:val="20"/>
          <w:color w:val="auto"/>
        </w:rPr>
        <w:t>We are a smaller reporting company, and therefore our independent registered public accounting firm has not issued a report on the effectiveness of internal control over financial reporting.</w:t>
      </w:r>
    </w:p>
    <w:p>
      <w:pPr>
        <w:spacing w:after="0" w:line="2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6" w:lineRule="exact"/>
        <w:rPr>
          <w:sz w:val="20"/>
          <w:szCs w:val="20"/>
          <w:color w:val="auto"/>
        </w:rPr>
      </w:pPr>
    </w:p>
    <w:p>
      <w:pPr>
        <w:jc w:val="both"/>
        <w:ind w:left="6" w:right="20"/>
        <w:spacing w:after="0" w:line="325" w:lineRule="auto"/>
        <w:rPr>
          <w:sz w:val="20"/>
          <w:szCs w:val="20"/>
          <w:color w:val="auto"/>
        </w:rPr>
      </w:pPr>
      <w:r>
        <w:rPr>
          <w:rFonts w:ascii="Times New Roman" w:cs="Times New Roman" w:eastAsia="Times New Roman" w:hAnsi="Times New Roman"/>
          <w:sz w:val="20"/>
          <w:szCs w:val="20"/>
          <w:color w:val="auto"/>
        </w:rPr>
        <w:t>There were no changes in internal control over financial reporting during the quarter ended December 31, 2024 that have materially affected, or are reasonably likely to materially affect, our internal control over financial reporting.</w:t>
      </w:r>
    </w:p>
    <w:p>
      <w:pPr>
        <w:spacing w:after="0" w:line="2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90" w:lineRule="exact"/>
        <w:rPr>
          <w:sz w:val="20"/>
          <w:szCs w:val="20"/>
          <w:color w:val="auto"/>
        </w:rPr>
      </w:pPr>
    </w:p>
    <w:p>
      <w:pPr>
        <w:jc w:val="both"/>
        <w:ind w:left="6" w:right="20"/>
        <w:spacing w:after="0" w:line="325" w:lineRule="auto"/>
        <w:rPr>
          <w:sz w:val="20"/>
          <w:szCs w:val="20"/>
          <w:color w:val="auto"/>
        </w:rPr>
      </w:pPr>
      <w:r>
        <w:rPr>
          <w:rFonts w:ascii="Times New Roman" w:cs="Times New Roman" w:eastAsia="Times New Roman" w:hAnsi="Times New Roman"/>
          <w:sz w:val="20"/>
          <w:szCs w:val="20"/>
          <w:color w:val="auto"/>
        </w:rPr>
        <w:t>During the three months ended December 31, 2024, no director or officer of the Company adopted or terminated a “Rule 10b5-1 trading arrangement” or “non-Rule 10b5-1 trading arrangement,” as each term is defined in Item 408(a) of Regulation S-K.</w:t>
      </w:r>
    </w:p>
    <w:p>
      <w:pPr>
        <w:sectPr>
          <w:pgSz w:w="12240" w:h="15840" w:orient="portrait"/>
          <w:cols w:equalWidth="0" w:num="1">
            <w:col w:w="10266"/>
          </w:cols>
          <w:pgMar w:left="994" w:top="926" w:right="980" w:bottom="175" w:gutter="0" w:footer="0" w:header="0"/>
        </w:sectPr>
      </w:pPr>
    </w:p>
    <w:p>
      <w:pPr>
        <w:spacing w:after="0" w:line="3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266"/>
          </w:cols>
          <w:pgMar w:left="994" w:top="926" w:right="980" w:bottom="175"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00"/>
          </w:cols>
          <w:pgMar w:left="1000" w:top="92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800"/>
          </w:cols>
          <w:pgMar w:left="1000" w:top="926" w:right="1440" w:bottom="175"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Certain information required by Part III is omitted from this report because we will file with the SEC a definitive proxy statement pursuant to Regulation 14A, (the “2025 Proxy Statement”), no later than 120 days after the end of our fiscal year, and certain information included therein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 and Directors</w:t>
      </w:r>
    </w:p>
    <w:p>
      <w:pPr>
        <w:spacing w:after="0" w:line="2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our 2025 Proxy Statement, under the captions “Information Regarding Director Nominees and Continuing Directors,” “Information Regarding the Board of Directors and Corporate Governance,” “Executive Officers” and “Delinquent Section 16(a) Reports,” if applicable, and is incorporated in this report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9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have adopted a Code of Business Conduct that applies to all officers, directors and employees. If we ever were to amend or waive any provision of our Code of Conduct that applies to our principal executive officer, principal financial officer, principal accounting officer or any person performing similar functions, we intend to promptly disclose on our website (i) the date and nature of any amendment (other than technical, administrative or other non-substantive amendments) to the Code of Conduct that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www.tempesttx.com. The reference to our website address does not constitute incorporation by reference of the information contained at or available through our website, and you should not consider it to be a part of this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90" w:lineRule="exact"/>
        <w:rPr>
          <w:sz w:val="20"/>
          <w:szCs w:val="20"/>
          <w:color w:val="auto"/>
        </w:rPr>
      </w:pPr>
    </w:p>
    <w:p>
      <w:pPr>
        <w:ind w:right="100"/>
        <w:spacing w:after="0" w:line="325" w:lineRule="auto"/>
        <w:rPr>
          <w:sz w:val="20"/>
          <w:szCs w:val="20"/>
          <w:color w:val="auto"/>
        </w:rPr>
      </w:pPr>
      <w:r>
        <w:rPr>
          <w:rFonts w:ascii="Times New Roman" w:cs="Times New Roman" w:eastAsia="Times New Roman" w:hAnsi="Times New Roman"/>
          <w:sz w:val="20"/>
          <w:szCs w:val="20"/>
          <w:color w:val="auto"/>
        </w:rPr>
        <w:t>Information regarding our Executive Compensation required by this item will be contained in our 2025 Proxy Statement under the caption “Executive and Director Compensation,” and is hereby incorporated by reference.</w:t>
      </w:r>
    </w:p>
    <w:p>
      <w:pPr>
        <w:spacing w:after="0" w:line="165" w:lineRule="exact"/>
        <w:rPr>
          <w:sz w:val="20"/>
          <w:szCs w:val="20"/>
          <w:color w:val="auto"/>
        </w:rPr>
      </w:pPr>
    </w:p>
    <w:p>
      <w:pPr>
        <w:ind w:right="980"/>
        <w:spacing w:after="0" w:line="33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Ownership of Securities</w:t>
      </w:r>
    </w:p>
    <w:p>
      <w:pPr>
        <w:spacing w:after="0" w:line="290"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Information regarding our Ownership of Securities required by this item will be contained in our 2025 Proxy Statement under the caption “Security Ownership of Certain Beneficial Owners and Management,” and is hereby incorporated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90"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Information regarding our Equity Compensation Plan required by this item will be contained in our 2025 Proxy Statement under the caption “Equity Compensation Plan Information,” and is hereby incorporated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90" w:lineRule="exact"/>
        <w:rPr>
          <w:sz w:val="20"/>
          <w:szCs w:val="20"/>
          <w:color w:val="auto"/>
        </w:rPr>
      </w:pPr>
    </w:p>
    <w:p>
      <w:pPr>
        <w:ind w:right="160"/>
        <w:spacing w:after="0" w:line="355" w:lineRule="auto"/>
        <w:rPr>
          <w:sz w:val="20"/>
          <w:szCs w:val="20"/>
          <w:color w:val="auto"/>
        </w:rPr>
      </w:pPr>
      <w:r>
        <w:rPr>
          <w:rFonts w:ascii="Times New Roman" w:cs="Times New Roman" w:eastAsia="Times New Roman" w:hAnsi="Times New Roman"/>
          <w:sz w:val="19"/>
          <w:szCs w:val="19"/>
          <w:color w:val="auto"/>
        </w:rPr>
        <w:t>Information regarding Related Transactions and Director Independence required by this item will be contained in our 2025 Proxy Statement under the caption “Transactions with Related Persons and Indemnification,” and “Information Regarding the</w:t>
      </w:r>
    </w:p>
    <w:p>
      <w:pPr>
        <w:sectPr>
          <w:pgSz w:w="12240" w:h="15840" w:orient="portrait"/>
          <w:cols w:equalWidth="0" w:num="1">
            <w:col w:w="10240"/>
          </w:cols>
          <w:pgMar w:left="1000" w:top="926" w:right="1000" w:bottom="175"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240"/>
          </w:cols>
          <w:pgMar w:left="1000" w:top="926" w:right="1000" w:bottom="175" w:gutter="0" w:footer="0" w:header="0"/>
          <w:type w:val="continuous"/>
        </w:sectPr>
      </w:pPr>
    </w:p>
    <w:bookmarkStart w:id="123" w:name="page124"/>
    <w:bookmarkEnd w:id="123"/>
    <w:p>
      <w:pPr>
        <w:ind w:right="600"/>
        <w:spacing w:after="0" w:line="325" w:lineRule="auto"/>
        <w:rPr>
          <w:sz w:val="20"/>
          <w:szCs w:val="20"/>
          <w:color w:val="auto"/>
        </w:rPr>
      </w:pPr>
      <w:r>
        <w:rPr>
          <w:rFonts w:ascii="Times New Roman" w:cs="Times New Roman" w:eastAsia="Times New Roman" w:hAnsi="Times New Roman"/>
          <w:sz w:val="20"/>
          <w:szCs w:val="20"/>
          <w:color w:val="auto"/>
        </w:rPr>
        <w:t>Board of Directors and Corporate Governance – Independence of the Board of Directors,” and is hereby incorporated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5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Information regarding Accounting Fees and Services required by this item will be contained in our 2025 Proxy Statement in Proposal 3 under the captions “—Principal Accountant Fees and Services” and “—Pre-Approval Policies and Procedures,” and is hereby incorporated by reference.</w:t>
      </w: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240"/>
          </w:cols>
          <w:pgMar w:left="1000" w:top="930" w:right="1000" w:bottom="175" w:gutter="0" w:footer="0" w:header="0"/>
          <w:type w:val="continuous"/>
        </w:sectPr>
      </w:pPr>
    </w:p>
    <w:bookmarkStart w:id="124" w:name="page125"/>
    <w:bookmarkEnd w:id="124"/>
    <w:p>
      <w:pPr>
        <w:spacing w:after="0" w:line="185" w:lineRule="auto"/>
        <w:framePr w:w="380" w:h="178" w:wrap="auto" w:vAnchor="page" w:hAnchor="page" w:x="5940" w:y="14899"/>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119</w:t>
      </w: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rFonts w:ascii="Times New Roman" w:cs="Times New Roman" w:eastAsia="Times New Roman" w:hAnsi="Times New Roman"/>
          <w:sz w:val="20"/>
          <w:szCs w:val="20"/>
          <w:color w:val="auto"/>
        </w:rPr>
      </w:pPr>
    </w:p>
    <w:p>
      <w:pPr>
        <w:spacing w:after="0" w:line="362"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90"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filed the following documents as part of this Annual Report:</w:t>
      </w:r>
    </w:p>
    <w:p>
      <w:pPr>
        <w:spacing w:after="0" w:line="282" w:lineRule="exact"/>
        <w:rPr>
          <w:rFonts w:ascii="Times New Roman" w:cs="Times New Roman" w:eastAsia="Times New Roman" w:hAnsi="Times New Roman"/>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(a)(1)</w:t>
        <w:tab/>
        <w:t>Financial Statements</w:t>
      </w:r>
    </w:p>
    <w:p>
      <w:pPr>
        <w:spacing w:after="0" w:line="290" w:lineRule="exact"/>
        <w:rPr>
          <w:rFonts w:ascii="Times New Roman" w:cs="Times New Roman" w:eastAsia="Times New Roman" w:hAnsi="Times New Roman"/>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financial statements are included in Item 8. “Financial Statements and Supplementary Data.”</w:t>
      </w:r>
    </w:p>
    <w:p>
      <w:pPr>
        <w:spacing w:after="0" w:line="282" w:lineRule="exact"/>
        <w:rPr>
          <w:rFonts w:ascii="Times New Roman" w:cs="Times New Roman" w:eastAsia="Times New Roman" w:hAnsi="Times New Roman"/>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(a)(2)</w:t>
        <w:tab/>
        <w:t>Financial Statement Schedules</w:t>
      </w:r>
    </w:p>
    <w:p>
      <w:pPr>
        <w:spacing w:after="0" w:line="290" w:lineRule="exact"/>
        <w:rPr>
          <w:rFonts w:ascii="Times New Roman" w:cs="Times New Roman" w:eastAsia="Times New Roman" w:hAnsi="Times New Roman"/>
          <w:sz w:val="20"/>
          <w:szCs w:val="20"/>
          <w:color w:val="auto"/>
        </w:rPr>
      </w:pPr>
    </w:p>
    <w:p>
      <w:pPr>
        <w:ind w:left="720"/>
        <w:spacing w:after="0" w:line="325" w:lineRule="auto"/>
        <w:rPr>
          <w:sz w:val="20"/>
          <w:szCs w:val="20"/>
          <w:color w:val="auto"/>
        </w:rPr>
      </w:pPr>
      <w:r>
        <w:rPr>
          <w:rFonts w:ascii="Times New Roman" w:cs="Times New Roman" w:eastAsia="Times New Roman" w:hAnsi="Times New Roman"/>
          <w:sz w:val="20"/>
          <w:szCs w:val="20"/>
          <w:color w:val="auto"/>
        </w:rPr>
        <w:t>All schedules are omitted as information required is inapplicable or the information is presented in the financial statements and the related notes.</w:t>
      </w:r>
    </w:p>
    <w:p>
      <w:pPr>
        <w:spacing w:after="0" w:line="165" w:lineRule="exact"/>
        <w:rPr>
          <w:rFonts w:ascii="Times New Roman" w:cs="Times New Roman" w:eastAsia="Times New Roman" w:hAnsi="Times New Roman"/>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(a)(3)</w:t>
        <w:tab/>
        <w:t>Exhibits</w:t>
      </w:r>
    </w:p>
    <w:p>
      <w:pPr>
        <w:spacing w:after="0" w:line="393" w:lineRule="exact"/>
        <w:rPr>
          <w:rFonts w:ascii="Times New Roman" w:cs="Times New Roman" w:eastAsia="Times New Roman" w:hAnsi="Times New Roman"/>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900" w:type="dxa"/>
            <w:vAlign w:val="bottom"/>
            <w:tcBorders>
              <w:bottom w:val="single" w:sz="8" w:color="auto"/>
            </w:tcBorders>
          </w:tcPr>
          <w:p>
            <w:pPr>
              <w:spacing w:after="0"/>
              <w:rPr>
                <w:sz w:val="20"/>
                <w:szCs w:val="20"/>
                <w:color w:val="auto"/>
              </w:rPr>
            </w:pPr>
          </w:p>
        </w:tc>
      </w:tr>
      <w:tr>
        <w:trPr>
          <w:trHeight w:val="220"/>
        </w:trPr>
        <w:tc>
          <w:tcPr>
            <w:tcW w:w="8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or</w:t>
            </w:r>
          </w:p>
        </w:tc>
      </w:tr>
      <w:tr>
        <w:trPr>
          <w:trHeight w:val="184"/>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5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File</w:t>
            </w:r>
          </w:p>
        </w:tc>
        <w:tc>
          <w:tcPr>
            <w:tcW w:w="620" w:type="dxa"/>
            <w:vAlign w:val="bottom"/>
          </w:tcPr>
          <w:p>
            <w:pPr>
              <w:spacing w:after="0"/>
              <w:rPr>
                <w:sz w:val="16"/>
                <w:szCs w:val="16"/>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Furnished</w:t>
            </w:r>
          </w:p>
        </w:tc>
      </w:tr>
      <w:tr>
        <w:trPr>
          <w:trHeight w:val="233"/>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3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24"/>
        </w:trPr>
        <w:tc>
          <w:tcPr>
            <w:tcW w:w="820" w:type="dxa"/>
            <w:vAlign w:val="bottom"/>
          </w:tcPr>
          <w:p>
            <w:pPr>
              <w:spacing w:after="0"/>
              <w:rPr>
                <w:sz w:val="19"/>
                <w:szCs w:val="19"/>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Agreement and Plan of Merger, dated as of March 29, 2021, by and among</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Tempest Therapeutics, Inc., Mars Merger Corp. and Tempest Therapeutics,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3/29/2021</w:t>
            </w:r>
          </w:p>
        </w:tc>
        <w:tc>
          <w:tcPr>
            <w:tcW w:w="900" w:type="dxa"/>
            <w:vAlign w:val="bottom"/>
          </w:tcPr>
          <w:p>
            <w:pPr>
              <w:spacing w:after="0"/>
              <w:rPr>
                <w:sz w:val="18"/>
                <w:szCs w:val="18"/>
                <w:color w:val="auto"/>
              </w:rPr>
            </w:pP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Restated Certificate of Incorporation of the Registrant, as amended</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5/15/2019</w:t>
            </w:r>
          </w:p>
        </w:tc>
        <w:tc>
          <w:tcPr>
            <w:tcW w:w="900" w:type="dxa"/>
            <w:vAlign w:val="bottom"/>
          </w:tcPr>
          <w:p>
            <w:pPr>
              <w:spacing w:after="0"/>
              <w:rPr>
                <w:sz w:val="24"/>
                <w:szCs w:val="24"/>
                <w:color w:val="auto"/>
              </w:rPr>
            </w:pPr>
          </w:p>
        </w:tc>
      </w:tr>
      <w:tr>
        <w:trPr>
          <w:trHeight w:val="260"/>
        </w:trPr>
        <w:tc>
          <w:tcPr>
            <w:tcW w:w="82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the</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84"/>
        </w:trPr>
        <w:tc>
          <w:tcPr>
            <w:tcW w:w="82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Company, as filed with the Secretary of State of the State of Delaware on June</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24, 2021</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6/28/2021</w:t>
            </w:r>
          </w:p>
        </w:tc>
        <w:tc>
          <w:tcPr>
            <w:tcW w:w="900" w:type="dxa"/>
            <w:vAlign w:val="bottom"/>
          </w:tcPr>
          <w:p>
            <w:pPr>
              <w:spacing w:after="0"/>
              <w:rPr>
                <w:sz w:val="18"/>
                <w:szCs w:val="18"/>
                <w:color w:val="auto"/>
              </w:rPr>
            </w:pPr>
          </w:p>
        </w:tc>
      </w:tr>
      <w:tr>
        <w:trPr>
          <w:trHeight w:val="260"/>
        </w:trPr>
        <w:tc>
          <w:tcPr>
            <w:tcW w:w="82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the</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84"/>
        </w:trPr>
        <w:tc>
          <w:tcPr>
            <w:tcW w:w="82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Company, as filed with the Secretary of State of the State of Delaware on June</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25, 2021</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6/28/2021</w:t>
            </w:r>
          </w:p>
        </w:tc>
        <w:tc>
          <w:tcPr>
            <w:tcW w:w="900" w:type="dxa"/>
            <w:vAlign w:val="bottom"/>
          </w:tcPr>
          <w:p>
            <w:pPr>
              <w:spacing w:after="0"/>
              <w:rPr>
                <w:sz w:val="18"/>
                <w:szCs w:val="18"/>
                <w:color w:val="auto"/>
              </w:rPr>
            </w:pPr>
          </w:p>
        </w:tc>
      </w:tr>
      <w:tr>
        <w:trPr>
          <w:trHeight w:val="260"/>
        </w:trPr>
        <w:tc>
          <w:tcPr>
            <w:tcW w:w="82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of Designation of Series A Junior Participating Preferred Stock filed</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3"/>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 the Secretary of State of the State of Delaware on October 10, 2023</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10/11/2023</w:t>
            </w:r>
          </w:p>
        </w:tc>
        <w:tc>
          <w:tcPr>
            <w:tcW w:w="900" w:type="dxa"/>
            <w:vAlign w:val="bottom"/>
          </w:tcPr>
          <w:p>
            <w:pPr>
              <w:spacing w:after="0"/>
              <w:rPr>
                <w:sz w:val="18"/>
                <w:szCs w:val="18"/>
                <w:color w:val="auto"/>
              </w:rPr>
            </w:pP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Amended and Restated Bylaws of the Registrant</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9/24/2021</w:t>
            </w:r>
          </w:p>
        </w:tc>
        <w:tc>
          <w:tcPr>
            <w:tcW w:w="900" w:type="dxa"/>
            <w:vAlign w:val="bottom"/>
          </w:tcPr>
          <w:p>
            <w:pPr>
              <w:spacing w:after="0"/>
              <w:rPr>
                <w:sz w:val="24"/>
                <w:szCs w:val="24"/>
                <w:color w:val="auto"/>
              </w:rPr>
            </w:pPr>
          </w:p>
        </w:tc>
      </w:tr>
      <w:tr>
        <w:trPr>
          <w:trHeight w:val="260"/>
        </w:trPr>
        <w:tc>
          <w:tcPr>
            <w:tcW w:w="82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Description of Securities Registered Pursuant to Section 12 of the Securities</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3"/>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Exchange Act of 1934</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Tempest Therapeutics, Inc. Warrant to Purchase Stock</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83"/>
        </w:trPr>
        <w:tc>
          <w:tcPr>
            <w:tcW w:w="8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Rights Agreement, dated as of October 10, 2023, between Tempest Therapeutics,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820" w:type="dxa"/>
            <w:vAlign w:val="bottom"/>
          </w:tcPr>
          <w:p>
            <w:pPr>
              <w:spacing w:after="0"/>
              <w:rPr>
                <w:sz w:val="17"/>
                <w:szCs w:val="17"/>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 and Computershare Trust Company, N.A., which includes the form of</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820" w:type="dxa"/>
            <w:vAlign w:val="bottom"/>
          </w:tcPr>
          <w:p>
            <w:pPr>
              <w:spacing w:after="0"/>
              <w:rPr>
                <w:sz w:val="17"/>
                <w:szCs w:val="17"/>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of Designation as Exhibit A, the form of Right Certificate as Exhibit</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5"/>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 and the Summary of Rights to Purchase Preferred Shares as Exhibit C</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10/11/2023</w:t>
            </w:r>
          </w:p>
        </w:tc>
        <w:tc>
          <w:tcPr>
            <w:tcW w:w="900" w:type="dxa"/>
            <w:vAlign w:val="bottom"/>
          </w:tcPr>
          <w:p>
            <w:pPr>
              <w:spacing w:after="0"/>
              <w:rPr>
                <w:sz w:val="20"/>
                <w:szCs w:val="20"/>
                <w:color w:val="auto"/>
              </w:rPr>
            </w:pPr>
          </w:p>
        </w:tc>
      </w:tr>
      <w:tr>
        <w:trPr>
          <w:trHeight w:val="283"/>
        </w:trPr>
        <w:tc>
          <w:tcPr>
            <w:tcW w:w="8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 No. 1, dated as of October 9, 2024, to Rights Agreement, dated as of</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820" w:type="dxa"/>
            <w:vAlign w:val="bottom"/>
          </w:tcPr>
          <w:p>
            <w:pPr>
              <w:spacing w:after="0"/>
              <w:rPr>
                <w:sz w:val="17"/>
                <w:szCs w:val="17"/>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October 10, 2023, by and between Tempest Therapeutics, Inc. and</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5"/>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Computershare Trust Company, N.A., as rights agent</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10/10/2024</w:t>
            </w:r>
          </w:p>
        </w:tc>
        <w:tc>
          <w:tcPr>
            <w:tcW w:w="900" w:type="dxa"/>
            <w:vAlign w:val="bottom"/>
          </w:tcPr>
          <w:p>
            <w:pPr>
              <w:spacing w:after="0"/>
              <w:rPr>
                <w:sz w:val="20"/>
                <w:szCs w:val="20"/>
                <w:color w:val="auto"/>
              </w:rPr>
            </w:pPr>
          </w:p>
        </w:tc>
      </w:tr>
      <w:tr>
        <w:trPr>
          <w:trHeight w:val="283"/>
        </w:trPr>
        <w:tc>
          <w:tcPr>
            <w:tcW w:w="8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 No. 2, dated as of December 5, 2024, to Rights Agreement, dated as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820" w:type="dxa"/>
            <w:vAlign w:val="bottom"/>
          </w:tcPr>
          <w:p>
            <w:pPr>
              <w:spacing w:after="0"/>
              <w:rPr>
                <w:sz w:val="17"/>
                <w:szCs w:val="17"/>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October 10, 2023, as amended, by and between Tempest Therapeutics, Inc.</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5"/>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Computershare Trust Company, N.A., as rights agent.</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12/06/2024</w:t>
            </w:r>
          </w:p>
        </w:tc>
        <w:tc>
          <w:tcPr>
            <w:tcW w:w="900" w:type="dxa"/>
            <w:vAlign w:val="bottom"/>
          </w:tcPr>
          <w:p>
            <w:pPr>
              <w:spacing w:after="0"/>
              <w:rPr>
                <w:sz w:val="20"/>
                <w:szCs w:val="20"/>
                <w:color w:val="auto"/>
              </w:rPr>
            </w:pPr>
          </w:p>
        </w:tc>
      </w:tr>
      <w:tr>
        <w:trPr>
          <w:trHeight w:val="376"/>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w:t>
            </w:r>
            <w:r>
              <w:rPr>
                <w:rFonts w:ascii="Times New Roman" w:cs="Times New Roman" w:eastAsia="Times New Roman" w:hAnsi="Times New Roman"/>
                <w:sz w:val="20"/>
                <w:szCs w:val="20"/>
                <w:color w:val="auto"/>
                <w:w w:val="95"/>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2011 Equity Incentive Plan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333-257727</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7/7/2021</w:t>
            </w:r>
          </w:p>
        </w:tc>
        <w:tc>
          <w:tcPr>
            <w:tcW w:w="900" w:type="dxa"/>
            <w:vAlign w:val="bottom"/>
          </w:tcPr>
          <w:p>
            <w:pPr>
              <w:spacing w:after="0"/>
              <w:rPr>
                <w:sz w:val="24"/>
                <w:szCs w:val="24"/>
                <w:color w:val="auto"/>
              </w:rPr>
            </w:pP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10.2</w:t>
            </w:r>
            <w:r>
              <w:rPr>
                <w:rFonts w:ascii="Times New Roman" w:cs="Times New Roman" w:eastAsia="Times New Roman" w:hAnsi="Times New Roman"/>
                <w:sz w:val="20"/>
                <w:szCs w:val="20"/>
                <w:color w:val="auto"/>
                <w:w w:val="95"/>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2017 Equity Incentive Plan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333-257727</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7/7/2021</w:t>
            </w:r>
          </w:p>
        </w:tc>
        <w:tc>
          <w:tcPr>
            <w:tcW w:w="900" w:type="dxa"/>
            <w:vAlign w:val="bottom"/>
          </w:tcPr>
          <w:p>
            <w:pPr>
              <w:spacing w:after="0"/>
              <w:rPr>
                <w:sz w:val="24"/>
                <w:szCs w:val="24"/>
                <w:color w:val="auto"/>
              </w:rPr>
            </w:pP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10.3</w:t>
            </w:r>
            <w:r>
              <w:rPr>
                <w:rFonts w:ascii="Times New Roman" w:cs="Times New Roman" w:eastAsia="Times New Roman" w:hAnsi="Times New Roman"/>
                <w:sz w:val="20"/>
                <w:szCs w:val="20"/>
                <w:color w:val="auto"/>
                <w:w w:val="95"/>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Stock Option Agreement under the 2017 Equity Incentive Plan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3/29/2022</w:t>
            </w:r>
          </w:p>
        </w:tc>
        <w:tc>
          <w:tcPr>
            <w:tcW w:w="900" w:type="dxa"/>
            <w:vAlign w:val="bottom"/>
          </w:tcPr>
          <w:p>
            <w:pPr>
              <w:spacing w:after="0"/>
              <w:rPr>
                <w:sz w:val="24"/>
                <w:szCs w:val="24"/>
                <w:color w:val="auto"/>
              </w:rPr>
            </w:pP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10.13</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Amended and Restated 2019 Equity Incentive Plan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6/21/2022</w:t>
            </w:r>
          </w:p>
        </w:tc>
        <w:tc>
          <w:tcPr>
            <w:tcW w:w="900" w:type="dxa"/>
            <w:vAlign w:val="bottom"/>
          </w:tcPr>
          <w:p>
            <w:pPr>
              <w:spacing w:after="0"/>
              <w:rPr>
                <w:sz w:val="24"/>
                <w:szCs w:val="24"/>
                <w:color w:val="auto"/>
              </w:rPr>
            </w:pPr>
          </w:p>
        </w:tc>
      </w:tr>
      <w:tr>
        <w:trPr>
          <w:trHeight w:val="289"/>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10.14</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Option Grant Package under 2019 Equity Incentive Plan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8/12/2019</w:t>
            </w:r>
          </w:p>
        </w:tc>
        <w:tc>
          <w:tcPr>
            <w:tcW w:w="900" w:type="dxa"/>
            <w:vAlign w:val="bottom"/>
          </w:tcPr>
          <w:p>
            <w:pPr>
              <w:spacing w:after="0"/>
              <w:rPr>
                <w:sz w:val="24"/>
                <w:szCs w:val="24"/>
                <w:color w:val="auto"/>
              </w:rPr>
            </w:pPr>
          </w:p>
        </w:tc>
      </w:tr>
      <w:tr>
        <w:trPr>
          <w:trHeight w:val="195"/>
        </w:trPr>
        <w:tc>
          <w:tcPr>
            <w:tcW w:w="82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Stock Option Agreement under the Sub Plan for French Residents under</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8"/>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10.16</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2019 Equity Incentive Plan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001-35890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3/11/2020</w:t>
            </w:r>
          </w:p>
        </w:tc>
        <w:tc>
          <w:tcPr>
            <w:tcW w:w="900" w:type="dxa"/>
            <w:vAlign w:val="bottom"/>
          </w:tcPr>
          <w:p>
            <w:pPr>
              <w:spacing w:after="0"/>
              <w:rPr>
                <w:sz w:val="24"/>
                <w:szCs w:val="24"/>
                <w:color w:val="auto"/>
              </w:rPr>
            </w:pPr>
          </w:p>
        </w:tc>
      </w:tr>
    </w:tbl>
    <w:p>
      <w:pPr>
        <w:sectPr>
          <w:pgSz w:w="12240" w:h="15840" w:orient="portrait"/>
          <w:cols w:equalWidth="0" w:num="1">
            <w:col w:w="10240"/>
          </w:cols>
          <w:pgMar w:left="1000" w:top="926" w:right="1000" w:bottom="706" w:gutter="0" w:footer="0" w:header="0"/>
        </w:sectPr>
      </w:pPr>
    </w:p>
    <w:bookmarkStart w:id="125" w:name="page126"/>
    <w:bookmarkEnd w:id="125"/>
    <w:p>
      <w:pPr>
        <w:spacing w:after="0" w:line="1" w:lineRule="exact"/>
        <w:rPr>
          <w:sz w:val="20"/>
          <w:szCs w:val="20"/>
          <w:color w:val="auto"/>
        </w:rPr>
      </w:pPr>
    </w:p>
    <w:tbl>
      <w:tblPr>
        <w:tblLayout w:type="fixed"/>
        <w:tblInd w:w="146"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Inducement Nonqualified Stock Option Agreement subject to the terms</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8"/>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10.17</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the 2019 Equity Incentive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3/11/2020</w:t>
            </w:r>
          </w:p>
        </w:tc>
      </w:tr>
      <w:tr>
        <w:trPr>
          <w:trHeight w:val="289"/>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10.18</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Amended and Restated 2019 Employee Stock Purchase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6/21/2022</w:t>
            </w:r>
          </w:p>
        </w:tc>
      </w:tr>
      <w:tr>
        <w:trPr>
          <w:trHeight w:val="195"/>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 and Security Agreement, dated January 15, 2021, by and among Oxford</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Finance LLC, the Lenders party thereto, and Tempest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S-4/A</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333-255198</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5/4/2021</w:t>
            </w:r>
          </w:p>
        </w:tc>
      </w:tr>
      <w:tr>
        <w:trPr>
          <w:trHeight w:val="354"/>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10.20</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Indemnification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7/07/2021</w:t>
            </w:r>
          </w:p>
        </w:tc>
      </w:tr>
      <w:tr>
        <w:trPr>
          <w:trHeight w:val="195"/>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Employment Agreement, dated July 7, 2021, by and between the Company and</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8"/>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10.21</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Stephen Brady</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7/07/2021</w:t>
            </w:r>
          </w:p>
        </w:tc>
      </w:tr>
      <w:tr>
        <w:trPr>
          <w:trHeight w:val="195"/>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Employment Agreement, dated July 7, 2021, by and between the Company and</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8"/>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6"/>
              </w:rPr>
              <w:t>10.23</w:t>
            </w:r>
            <w:r>
              <w:rPr>
                <w:rFonts w:ascii="Times New Roman" w:cs="Times New Roman" w:eastAsia="Times New Roman" w:hAnsi="Times New Roman"/>
                <w:sz w:val="20"/>
                <w:szCs w:val="20"/>
                <w:color w:val="auto"/>
                <w:w w:val="96"/>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Samuel Whiting, M.D., Ph.D.</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7/07/2021</w:t>
            </w:r>
          </w:p>
        </w:tc>
      </w:tr>
      <w:tr>
        <w:trPr>
          <w:trHeight w:val="195"/>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Agreement, dated January 24, 2022, by and between HCP Life Science</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REIT, Inc. and Tempest Therapeutics,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144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rPr>
              <w:t>03/22/2023</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First Amendment to Loan and Security Agreement, dated December 23, 2022, by</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among Oxford Finance LLC, Tempest Therapeutics, Inc., Tempest TX, Inc.</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Millendo Therapeutics US,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12/29/2022</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Second Amendment to Loan and Security Agreement, dated November 3, 2023,</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 and among Oxford Finance LLC, Tempest Therapeutics, Inc., Tempest TX,</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 and Millendo Therapeutics US,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03/19/2024</w:t>
            </w:r>
          </w:p>
        </w:tc>
      </w:tr>
      <w:tr>
        <w:trPr>
          <w:trHeight w:val="289"/>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Tempest Therapeutics, Inc. Amended and Restated 2023 Equity Incentive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8/10/2023</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Option Grant Package under the Amended and Restated 2023 Equity</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Incentive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8/10/2023</w:t>
            </w:r>
          </w:p>
        </w:tc>
      </w:tr>
      <w:tr>
        <w:trPr>
          <w:trHeight w:val="289"/>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10.29</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Tempest Therapeutics, Inc. 2023 Inducement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8/10/2023</w:t>
            </w:r>
          </w:p>
        </w:tc>
      </w:tr>
      <w:tr>
        <w:trPr>
          <w:trHeight w:val="289"/>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10.30</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 of Option Grant Package under the 2023 Inducement Plan</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8/10/2023</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Roche Supply Agreement, dated October 7, 2024, by and between the Registrant</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10.32#</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F. Hoffmann-La Roche Ltd.</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Employment Agreement, dated January 1, 2025, by and between the</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10.33</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Registrant and Nicholas Maestas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89"/>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Tempest Therapeutics, Inc. Insider Trading Policy</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317"/>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Subsidiaries of the Registrant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10-K/A</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14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4/1/2022</w:t>
            </w:r>
          </w:p>
        </w:tc>
      </w:tr>
      <w:tr>
        <w:trPr>
          <w:trHeight w:val="317"/>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Consent of Ernst &amp; Young LLP, independent registered public accounting firm</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317"/>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Power of Attorney (included on signature page)</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Rules 13a-14(a) and 15d-</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14(a) promulgated under the Securities Exchange Act of 1934, as adopted</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Rules 13a-14(a) and 15d-</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14(a) promulgated under the Securities Exchange Act of 1934, as adopted</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Certification of Principal Executive Officer and Principal Financial Officer</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pursuant to Rules 13a-14(b) and 15d-14(b) promulgated under the Securities</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Exchange Act of 1934 and 18 U.S.C. Section 1350, as adopted pursuant to</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8"/>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32.1</w:t>
            </w:r>
            <w:r>
              <w:rPr>
                <w:rFonts w:ascii="Times New Roman" w:cs="Times New Roman" w:eastAsia="Times New Roman" w:hAnsi="Times New Roman"/>
                <w:sz w:val="20"/>
                <w:szCs w:val="20"/>
                <w:color w:val="auto"/>
                <w:w w:val="99"/>
                <w:vertAlign w:val="superscript"/>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section 906 of The Sarbanes-Oxley Act of 2002</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24"/>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97.1+</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Incentive Compensation Recoupment Policy</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001-35890</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03/19/2024</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4"/>
        </w:trPr>
        <w:tc>
          <w:tcPr>
            <w:tcW w:w="680" w:type="dxa"/>
            <w:vAlign w:val="bottom"/>
          </w:tcPr>
          <w:p>
            <w:pPr>
              <w:spacing w:after="0"/>
              <w:rPr>
                <w:sz w:val="16"/>
                <w:szCs w:val="16"/>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101.INS</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XBRL document</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317"/>
        </w:trPr>
        <w:tc>
          <w:tcPr>
            <w:tcW w:w="68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8"/>
              </w:rPr>
              <w:t>101.SCH</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r>
      <w:tr>
        <w:trPr>
          <w:trHeight w:val="260"/>
        </w:trPr>
        <w:tc>
          <w:tcPr>
            <w:tcW w:w="680" w:type="dxa"/>
            <w:vAlign w:val="bottom"/>
          </w:tcPr>
          <w:p>
            <w:pPr>
              <w:spacing w:after="0"/>
              <w:rPr>
                <w:sz w:val="22"/>
                <w:szCs w:val="22"/>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Cover Page formatted as inline XBRL with applicable taxonomy extension</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3"/>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contained in Exhibit 101.</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ind w:left="6"/>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43" w:lineRule="exact"/>
        <w:rPr>
          <w:sz w:val="20"/>
          <w:szCs w:val="20"/>
          <w:color w:val="auto"/>
        </w:rPr>
      </w:pPr>
    </w:p>
    <w:p>
      <w:pPr>
        <w:ind w:left="6" w:hanging="6"/>
        <w:spacing w:after="0" w:line="277" w:lineRule="auto"/>
        <w:tabs>
          <w:tab w:leader="none" w:pos="21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and/or schedules have been omitted pursuant to Item 601(a)(5) of Regulation S-K. The registrant hereby undertakes to furnish supplementally copies of any of the omitted exhibits and schedules upon request by the SEC.</w:t>
      </w:r>
    </w:p>
    <w:p>
      <w:pPr>
        <w:spacing w:after="0" w:line="169" w:lineRule="exact"/>
        <w:rPr>
          <w:sz w:val="20"/>
          <w:szCs w:val="20"/>
          <w:color w:val="auto"/>
        </w:rPr>
      </w:pPr>
    </w:p>
    <w:p>
      <w:pPr>
        <w:ind w:left="366" w:hanging="366"/>
        <w:spacing w:after="0"/>
        <w:tabs>
          <w:tab w:leader="none" w:pos="36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286" w:lineRule="exact"/>
        <w:rPr>
          <w:sz w:val="20"/>
          <w:szCs w:val="20"/>
          <w:color w:val="auto"/>
        </w:rPr>
      </w:pPr>
    </w:p>
    <w:p>
      <w:pPr>
        <w:jc w:val="both"/>
        <w:ind w:left="6" w:hanging="6"/>
        <w:spacing w:after="0" w:line="325" w:lineRule="auto"/>
        <w:tabs>
          <w:tab w:leader="none" w:pos="39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being furnished solely to accompany this Annual Report pursuant to 18 U.S.C. Section 1350, and are not being filed for purposes of Section 18 of the Securities Exchange Act of 1934, as amended, and are not to be</w:t>
      </w:r>
    </w:p>
    <w:p>
      <w:pPr>
        <w:sectPr>
          <w:pgSz w:w="12240" w:h="15840" w:orient="portrait"/>
          <w:cols w:equalWidth="0" w:num="1">
            <w:col w:w="10246"/>
          </w:cols>
          <w:pgMar w:left="994" w:top="1009" w:right="1000" w:bottom="175" w:gutter="0" w:footer="0" w:header="0"/>
        </w:sectPr>
      </w:pPr>
    </w:p>
    <w:p>
      <w:pPr>
        <w:spacing w:after="0" w:line="15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246"/>
          </w:cols>
          <w:pgMar w:left="994" w:top="1009" w:right="1000" w:bottom="175" w:gutter="0" w:footer="0" w:header="0"/>
          <w:type w:val="continuous"/>
        </w:sectPr>
      </w:pPr>
    </w:p>
    <w:bookmarkStart w:id="126" w:name="page127"/>
    <w:bookmarkEnd w:id="126"/>
    <w:p>
      <w:pPr>
        <w:ind w:left="6"/>
        <w:spacing w:after="0" w:line="325" w:lineRule="auto"/>
        <w:rPr>
          <w:sz w:val="20"/>
          <w:szCs w:val="20"/>
          <w:color w:val="auto"/>
        </w:rPr>
      </w:pPr>
      <w:r>
        <w:rPr>
          <w:rFonts w:ascii="Times New Roman" w:cs="Times New Roman" w:eastAsia="Times New Roman" w:hAnsi="Times New Roman"/>
          <w:sz w:val="20"/>
          <w:szCs w:val="20"/>
          <w:color w:val="auto"/>
        </w:rPr>
        <w:t>incorporated by reference into any filing of the Registrant, whether made before or after the date hereof, regardless of any general incorporation language in such filing.</w:t>
      </w:r>
    </w:p>
    <w:p>
      <w:pPr>
        <w:spacing w:after="0" w:line="169" w:lineRule="exact"/>
        <w:rPr>
          <w:sz w:val="20"/>
          <w:szCs w:val="20"/>
          <w:color w:val="auto"/>
        </w:rPr>
      </w:pPr>
    </w:p>
    <w:p>
      <w:pPr>
        <w:ind w:left="6" w:hanging="6"/>
        <w:spacing w:after="0" w:line="325" w:lineRule="auto"/>
        <w:tabs>
          <w:tab w:leader="none" w:pos="42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Item 601(b)(10)(iv) of Regulation S-K, certain portions of this exhibit (indicated by ***) have been omitted because the identified information is not material and is the type that the Registrant treats as private or confidential.</w:t>
      </w:r>
    </w:p>
    <w:p>
      <w:pPr>
        <w:spacing w:after="0" w:line="2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6"/>
          </w:cols>
          <w:pgMar w:left="994"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246"/>
          </w:cols>
          <w:pgMar w:left="994" w:top="930" w:right="1000" w:bottom="175"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9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TEMPEST THERAPEUTICS, INC.</w:t>
      </w:r>
    </w:p>
    <w:p>
      <w:pPr>
        <w:spacing w:after="0" w:line="2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25400</wp:posOffset>
            </wp:positionV>
            <wp:extent cx="298577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2985770" cy="9525"/>
                    </a:xfrm>
                    <a:prstGeom prst="rect">
                      <a:avLst/>
                    </a:prstGeom>
                    <a:noFill/>
                  </pic:spPr>
                </pic:pic>
              </a:graphicData>
            </a:graphic>
          </wp:anchor>
        </w:drawing>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Stephen Brady</w:t>
      </w:r>
    </w:p>
    <w:p>
      <w:pPr>
        <w:spacing w:after="0" w:line="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Chief Executive Officer &amp; President (Principal Executive</w:t>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By: /s/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25400</wp:posOffset>
            </wp:positionV>
            <wp:extent cx="298577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2985770" cy="9525"/>
                    </a:xfrm>
                    <a:prstGeom prst="rect">
                      <a:avLst/>
                    </a:prstGeom>
                    <a:noFill/>
                  </pic:spPr>
                </pic:pic>
              </a:graphicData>
            </a:graphic>
          </wp:anchor>
        </w:drawing>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Nicholas Maestas</w:t>
      </w:r>
    </w:p>
    <w:p>
      <w:pPr>
        <w:spacing w:after="0" w:line="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Chief Financial Officer &amp; Head of Corporate Strategy</w:t>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27, 2025</w:t>
      </w:r>
    </w:p>
    <w:p>
      <w:pPr>
        <w:spacing w:after="0" w:line="2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KNOW ALL PERSONS BY THESE PRESENTS, that each person whose signature appears below constitutes and appoints Stephen Brady </w:t>
      </w:r>
      <w:r>
        <w:rPr>
          <w:rFonts w:ascii="Times New Roman" w:cs="Times New Roman" w:eastAsia="Times New Roman" w:hAnsi="Times New Roman"/>
          <w:sz w:val="20"/>
          <w:szCs w:val="20"/>
          <w:color w:val="292929"/>
        </w:rPr>
        <w:t>and Nicolas Maestas</w:t>
      </w:r>
      <w:r>
        <w:rPr>
          <w:rFonts w:ascii="Times New Roman" w:cs="Times New Roman" w:eastAsia="Times New Roman" w:hAnsi="Times New Roman"/>
          <w:sz w:val="20"/>
          <w:szCs w:val="20"/>
          <w:color w:val="auto"/>
        </w:rPr>
        <w:t>, jointly and severally, as his or her true and lawful attorneys-in-fact and agents, with full power of substitution and resubstitution, for him or her and in his or her name, place and stead, in any and all capacities, to sign this Annual Report on Form 10-K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ectPr>
          <w:pgSz w:w="12240" w:h="15840" w:orient="portrait"/>
          <w:cols w:equalWidth="0" w:num="1">
            <w:col w:w="10240"/>
          </w:cols>
          <w:pgMar w:left="1000" w:top="926"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240"/>
          </w:cols>
          <w:pgMar w:left="1000" w:top="926" w:right="1000" w:bottom="175" w:gutter="0" w:footer="0" w:header="0"/>
          <w:type w:val="continuous"/>
        </w:sectPr>
      </w:pPr>
    </w:p>
    <w:bookmarkStart w:id="128" w:name="page129"/>
    <w:bookmarkEnd w:id="128"/>
    <w:p>
      <w:pPr>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189865</wp:posOffset>
                </wp:positionV>
                <wp:extent cx="651002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4.95pt" to="512.3pt,14.95pt" o:allowincell="f" strokecolor="#000000" strokeweight="2pt"/>
            </w:pict>
          </mc:Fallback>
        </mc:AlternateConten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292"/>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Stephen Brady</w:t>
            </w:r>
          </w:p>
        </w:tc>
        <w:tc>
          <w:tcPr>
            <w:tcW w:w="586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77"/>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Stephen Brady</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Chief Executive Officer, President and Director </w:t>
            </w:r>
            <w:r>
              <w:rPr>
                <w:rFonts w:ascii="Times New Roman" w:cs="Times New Roman" w:eastAsia="Times New Roman" w:hAnsi="Times New Roman"/>
                <w:sz w:val="18"/>
                <w:szCs w:val="18"/>
                <w:i w:val="1"/>
                <w:iCs w:val="1"/>
                <w:color w:val="auto"/>
              </w:rPr>
              <w:t>(Principal Executive Officer)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Nicholas Maestas</w:t>
            </w:r>
          </w:p>
        </w:tc>
        <w:tc>
          <w:tcPr>
            <w:tcW w:w="5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Chief Financial Officer &amp; Head of Corporate Strategy</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586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Nicholas Maestas</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Justin Trojanowski</w:t>
            </w:r>
          </w:p>
        </w:tc>
        <w:tc>
          <w:tcPr>
            <w:tcW w:w="5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Corporate Controller, Treasurer</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586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Trojanowski</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Michael Raab</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77"/>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Raab</w:t>
            </w:r>
          </w:p>
        </w:tc>
        <w:tc>
          <w:tcPr>
            <w:tcW w:w="5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Geoff Nichol</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77"/>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Nichol, M.B., Ch.B., M.B.A.</w:t>
            </w:r>
          </w:p>
        </w:tc>
        <w:tc>
          <w:tcPr>
            <w:tcW w:w="5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Christine Pellizzari</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77"/>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Christine Pellizzari</w:t>
            </w:r>
          </w:p>
        </w:tc>
        <w:tc>
          <w:tcPr>
            <w:tcW w:w="5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Ronit Simantov</w:t>
            </w: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77"/>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Ronit Simantov, M.D.</w:t>
            </w:r>
          </w:p>
        </w:tc>
        <w:tc>
          <w:tcPr>
            <w:tcW w:w="5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930" w:right="10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240"/>
          </w:cols>
          <w:pgMar w:left="1000" w:top="930" w:right="1000" w:bottom="175" w:gutter="0" w:footer="0" w:header="0"/>
          <w:type w:val="continuous"/>
        </w:sectPr>
      </w:pPr>
    </w:p>
    <w:bookmarkStart w:id="129" w:name="page130"/>
    <w:bookmarkEnd w:id="129"/>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rFonts w:ascii="PMingLiU" w:cs="PMingLiU" w:eastAsia="PMingLiU" w:hAnsi="PMingLiU"/>
          <w:sz w:val="20"/>
          <w:szCs w:val="20"/>
          <w:b w:val="1"/>
          <w:bCs w:val="1"/>
          <w:color w:val="auto"/>
        </w:rPr>
        <w:t/>
      </w:r>
      <w:r>
        <w:rPr>
          <w:rFonts w:ascii="PMingLiU" w:cs="PMingLiU" w:eastAsia="PMingLiU" w:hAnsi="PMingLiU"/>
          <w:sz w:val="20"/>
          <w:szCs w:val="20"/>
          <w:color w:val="auto"/>
        </w:rPr>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color w:val="auto"/>
        </w:rPr>
        <w:t>4&amp;0)&amp;.2"%8</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&amp;$#%!!"#</w:t>
      </w:r>
    </w:p>
    <w:p>
      <w:pPr>
        <w:spacing w:after="0" w:line="191" w:lineRule="exact"/>
        <w:rPr>
          <w:sz w:val="20"/>
          <w:szCs w:val="20"/>
          <w:color w:val="auto"/>
        </w:rPr>
      </w:pPr>
    </w:p>
    <w:p>
      <w:pPr>
        <w:spacing w:after="0"/>
        <w:tabs>
          <w:tab w:leader="none" w:pos="820" w:val="left"/>
        </w:tabs>
        <w:rPr>
          <w:sz w:val="20"/>
          <w:szCs w:val="20"/>
          <w:color w:val="auto"/>
        </w:rPr>
      </w:pPr>
      <w:r>
        <w:rPr>
          <w:rFonts w:ascii="PMingLiU" w:cs="PMingLiU" w:eastAsia="PMingLiU" w:hAnsi="PMingLiU"/>
          <w:sz w:val="20"/>
          <w:szCs w:val="20"/>
          <w:color w:val="auto"/>
        </w:rPr>
        <w:t>"-5&amp;,</w:t>
        <w:tab/>
        <w:t>)*4*.()</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&amp;$#%!"#!</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20"/>
          <w:szCs w:val="20"/>
          <w:color w:val="auto"/>
        </w:rPr>
        <w:t>*$)/,"3"&amp;34"3</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 !##!#'</w:t>
      </w:r>
    </w:p>
    <w:p>
      <w:pPr>
        <w:spacing w:after="0"/>
        <w:rPr>
          <w:sz w:val="20"/>
          <w:szCs w:val="20"/>
          <w:color w:val="auto"/>
        </w:rPr>
      </w:pPr>
      <w:r>
        <w:rPr>
          <w:rFonts w:ascii="PMingLiU" w:cs="PMingLiU" w:eastAsia="PMingLiU" w:hAnsi="PMingLiU"/>
          <w:sz w:val="20"/>
          <w:szCs w:val="20"/>
          <w:i w:val="1"/>
          <w:iCs w:val="1"/>
          <w:color w:val="auto"/>
        </w:rPr>
        <w:t>! !#!#!'</w:t>
      </w:r>
    </w:p>
    <w:p>
      <w:pPr>
        <w:spacing w:after="0" w:line="30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 "#! $#"</w:t>
      </w:r>
    </w:p>
    <w:p>
      <w:pPr>
        <w:spacing w:after="0" w:line="230" w:lineRule="auto"/>
        <w:rPr>
          <w:sz w:val="20"/>
          <w:szCs w:val="20"/>
          <w:color w:val="auto"/>
        </w:rPr>
      </w:pPr>
      <w:r>
        <w:rPr>
          <w:rFonts w:ascii="PMingLiU" w:cs="PMingLiU" w:eastAsia="PMingLiU" w:hAnsi="PMingLiU"/>
          <w:sz w:val="20"/>
          <w:szCs w:val="20"/>
          <w:i w:val="1"/>
          <w:iCs w:val="1"/>
          <w:color w:val="auto"/>
        </w:rPr>
        <w:t>&amp;$#%!</w:t>
      </w:r>
    </w:p>
    <w:p>
      <w:pPr>
        <w:spacing w:after="0"/>
        <w:rPr>
          <w:sz w:val="20"/>
          <w:szCs w:val="20"/>
          <w:color w:val="auto"/>
        </w:rPr>
      </w:pPr>
      <w:r>
        <w:rPr>
          <w:rFonts w:ascii="PMingLiU" w:cs="PMingLiU" w:eastAsia="PMingLiU" w:hAnsi="PMingLiU"/>
          <w:sz w:val="20"/>
          <w:szCs w:val="20"/>
          <w:i w:val="1"/>
          <w:iCs w:val="1"/>
          <w:color w:val="auto"/>
        </w:rPr>
        <w:t>!'&amp;</w:t>
      </w:r>
    </w:p>
    <w:p>
      <w:pPr>
        <w:spacing w:after="0" w:line="186" w:lineRule="exact"/>
        <w:rPr>
          <w:sz w:val="20"/>
          <w:szCs w:val="20"/>
          <w:color w:val="auto"/>
        </w:rPr>
      </w:pPr>
    </w:p>
    <w:p>
      <w:pPr>
        <w:spacing w:after="0"/>
        <w:rPr>
          <w:sz w:val="20"/>
          <w:szCs w:val="20"/>
          <w:color w:val="auto"/>
        </w:rPr>
      </w:pPr>
      <w:r>
        <w:rPr>
          <w:rFonts w:ascii="PMingLiU" w:cs="PMingLiU" w:eastAsia="PMingLiU" w:hAnsi="PMingLiU"/>
          <w:sz w:val="20"/>
          <w:szCs w:val="20"/>
          <w:color w:val="auto"/>
        </w:rPr>
        <w:t>4&amp;0)&amp;.2"%8</w:t>
      </w:r>
    </w:p>
    <w:p>
      <w:pPr>
        <w:spacing w:after="0" w:line="21" w:lineRule="exact"/>
        <w:rPr>
          <w:sz w:val="20"/>
          <w:szCs w:val="20"/>
          <w:color w:val="auto"/>
        </w:rPr>
      </w:pPr>
    </w:p>
    <w:p>
      <w:pPr>
        <w:ind w:right="1220"/>
        <w:spacing w:after="0"/>
        <w:rPr>
          <w:sz w:val="20"/>
          <w:szCs w:val="20"/>
          <w:color w:val="auto"/>
        </w:rPr>
      </w:pPr>
      <w:r>
        <w:rPr>
          <w:rFonts w:ascii="PMingLiU" w:cs="PMingLiU" w:eastAsia="PMingLiU" w:hAnsi="PMingLiU"/>
          <w:sz w:val="20"/>
          <w:szCs w:val="20"/>
          <w:i w:val="1"/>
          <w:iCs w:val="1"/>
          <w:color w:val="auto"/>
        </w:rPr>
        <w:t>&amp;$#%!!"#  "#! $#"</w:t>
      </w:r>
    </w:p>
    <w:p>
      <w:pPr>
        <w:spacing w:after="0" w:line="200" w:lineRule="exact"/>
        <w:rPr>
          <w:sz w:val="20"/>
          <w:szCs w:val="20"/>
          <w:color w:val="auto"/>
        </w:rPr>
      </w:pPr>
    </w:p>
    <w:p>
      <w:pPr>
        <w:spacing w:after="0" w:line="221" w:lineRule="exact"/>
        <w:rPr>
          <w:sz w:val="20"/>
          <w:szCs w:val="20"/>
          <w:color w:val="auto"/>
        </w:rPr>
      </w:pPr>
    </w:p>
    <w:p>
      <w:pPr>
        <w:ind w:right="1420"/>
        <w:spacing w:after="0" w:line="250" w:lineRule="auto"/>
        <w:rPr>
          <w:sz w:val="20"/>
          <w:szCs w:val="20"/>
          <w:color w:val="auto"/>
        </w:rPr>
      </w:pPr>
      <w:r>
        <w:rPr>
          <w:rFonts w:ascii="PMingLiU" w:cs="PMingLiU" w:eastAsia="PMingLiU" w:hAnsi="PMingLiU"/>
          <w:sz w:val="20"/>
          <w:szCs w:val="20"/>
          <w:color w:val="auto"/>
        </w:rPr>
        <w:t xml:space="preserve">&amp;/''*$)/,) </w:t>
      </w:r>
      <w:r>
        <w:rPr>
          <w:rFonts w:ascii="PMingLiU" w:cs="PMingLiU" w:eastAsia="PMingLiU" w:hAnsi="PMingLiU"/>
          <w:sz w:val="20"/>
          <w:szCs w:val="20"/>
          <w:i w:val="1"/>
          <w:iCs w:val="1"/>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PMingLiU" w:cs="PMingLiU" w:eastAsia="PMingLiU" w:hAnsi="PMingLiU"/>
          <w:sz w:val="20"/>
          <w:szCs w:val="20"/>
          <w:color w:val="auto"/>
        </w:rPr>
        <w:t>)2*34*.&amp;&amp;,,*99"2*</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w:t>
      </w:r>
    </w:p>
    <w:p>
      <w:pPr>
        <w:spacing w:after="0"/>
        <w:rPr>
          <w:sz w:val="20"/>
          <w:szCs w:val="20"/>
          <w:color w:val="auto"/>
        </w:rPr>
      </w:pPr>
      <w:r>
        <w:rPr>
          <w:rFonts w:ascii="PMingLiU" w:cs="PMingLiU" w:eastAsia="PMingLiU" w:hAnsi="PMingLiU"/>
          <w:sz w:val="20"/>
          <w:szCs w:val="20"/>
          <w:i w:val="1"/>
          <w:iCs w:val="1"/>
          <w:color w:val="auto"/>
        </w:rPr>
        <w:t>!'</w:t>
      </w:r>
    </w:p>
    <w:p>
      <w:pPr>
        <w:spacing w:after="0" w:line="186" w:lineRule="exact"/>
        <w:rPr>
          <w:sz w:val="20"/>
          <w:szCs w:val="20"/>
          <w:color w:val="auto"/>
        </w:rPr>
      </w:pPr>
    </w:p>
    <w:p>
      <w:pPr>
        <w:spacing w:after="0"/>
        <w:rPr>
          <w:sz w:val="20"/>
          <w:szCs w:val="20"/>
          <w:color w:val="auto"/>
        </w:rPr>
      </w:pPr>
      <w:r>
        <w:rPr>
          <w:rFonts w:ascii="PMingLiU" w:cs="PMingLiU" w:eastAsia="PMingLiU" w:hAnsi="PMingLiU"/>
          <w:sz w:val="20"/>
          <w:szCs w:val="20"/>
          <w:color w:val="auto"/>
        </w:rPr>
        <w:t>/.*4*-".4/6</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w:t>
      </w:r>
    </w:p>
    <w:p>
      <w:pPr>
        <w:ind w:left="140"/>
        <w:spacing w:after="0"/>
        <w:rPr>
          <w:sz w:val="20"/>
          <w:szCs w:val="20"/>
          <w:color w:val="auto"/>
        </w:rPr>
      </w:pPr>
      <w:r>
        <w:rPr>
          <w:rFonts w:ascii="PMingLiU" w:cs="PMingLiU" w:eastAsia="PMingLiU" w:hAnsi="PMingLiU"/>
          <w:sz w:val="20"/>
          <w:szCs w:val="20"/>
          <w:i w:val="1"/>
          <w:iCs w:val="1"/>
          <w:color w:val="auto"/>
        </w:rP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20"/>
          <w:szCs w:val="20"/>
          <w:b w:val="1"/>
          <w:bCs w:val="1"/>
          <w:color w:val="auto"/>
        </w:rPr>
        <w:t/>
      </w:r>
    </w:p>
    <w:p>
      <w:pPr>
        <w:spacing w:after="0" w:line="113" w:lineRule="exact"/>
        <w:rPr>
          <w:sz w:val="20"/>
          <w:szCs w:val="20"/>
          <w:color w:val="auto"/>
        </w:rPr>
      </w:pPr>
    </w:p>
    <w:p>
      <w:pPr>
        <w:ind w:right="380"/>
        <w:spacing w:after="0" w:line="427" w:lineRule="auto"/>
        <w:rPr>
          <w:sz w:val="20"/>
          <w:szCs w:val="20"/>
          <w:color w:val="auto"/>
        </w:rPr>
      </w:pPr>
      <w:r>
        <w:rPr>
          <w:rFonts w:ascii="PMingLiU" w:cs="PMingLiU" w:eastAsia="PMingLiU" w:hAnsi="PMingLiU"/>
          <w:sz w:val="15"/>
          <w:szCs w:val="15"/>
          <w:color w:val="auto"/>
        </w:rPr>
        <w:t>52$/--/.34/$+*3,*34&amp;%/."3%"15.%&amp;24)&amp; 4*$+&amp;238-#/,:;</w:t>
      </w:r>
    </w:p>
    <w:p>
      <w:pPr>
        <w:spacing w:after="0" w:line="16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106" w:lineRule="exact"/>
        <w:rPr>
          <w:sz w:val="20"/>
          <w:szCs w:val="20"/>
          <w:color w:val="auto"/>
        </w:rPr>
      </w:pPr>
    </w:p>
    <w:p>
      <w:pPr>
        <w:ind w:left="200" w:right="1420" w:hanging="199"/>
        <w:spacing w:after="0" w:line="246" w:lineRule="auto"/>
        <w:rPr>
          <w:sz w:val="20"/>
          <w:szCs w:val="20"/>
          <w:color w:val="auto"/>
        </w:rPr>
      </w:pPr>
      <w:r>
        <w:rPr>
          <w:rFonts w:ascii="PMingLiU" w:cs="PMingLiU" w:eastAsia="PMingLiU" w:hAnsi="PMingLiU"/>
          <w:sz w:val="20"/>
          <w:szCs w:val="20"/>
          <w:b w:val="1"/>
          <w:bCs w:val="1"/>
          <w:color w:val="auto"/>
        </w:rPr>
        <w:t xml:space="preserve">+),10$./&amp; .$*2$/0+.$.2'"$/ </w:t>
      </w:r>
      <w:r>
        <w:rPr>
          <w:rFonts w:ascii="PMingLiU" w:cs="PMingLiU" w:eastAsia="PMingLiU" w:hAnsi="PMingLiU"/>
          <w:sz w:val="20"/>
          <w:szCs w:val="20"/>
          <w:color w:val="auto"/>
        </w:rPr>
        <w:t>"",,&amp;45*4&amp;</w:t>
      </w:r>
    </w:p>
    <w:p>
      <w:pPr>
        <w:spacing w:after="0" w:line="231" w:lineRule="auto"/>
        <w:rPr>
          <w:sz w:val="20"/>
          <w:szCs w:val="20"/>
          <w:color w:val="auto"/>
        </w:rPr>
      </w:pPr>
      <w:r>
        <w:rPr>
          <w:rFonts w:ascii="PMingLiU" w:cs="PMingLiU" w:eastAsia="PMingLiU" w:hAnsi="PMingLiU"/>
          <w:sz w:val="20"/>
          <w:szCs w:val="20"/>
          <w:color w:val="auto"/>
        </w:rPr>
        <w:t>)*$"(/</w:t>
      </w:r>
    </w:p>
    <w:p>
      <w:pPr>
        <w:spacing w:after="0" w:line="231" w:lineRule="auto"/>
        <w:rPr>
          <w:sz w:val="20"/>
          <w:szCs w:val="20"/>
          <w:color w:val="auto"/>
        </w:rPr>
      </w:pPr>
      <w:r>
        <w:rPr>
          <w:rFonts w:ascii="PMingLiU" w:cs="PMingLiU" w:eastAsia="PMingLiU" w:hAnsi="PMingLiU"/>
          <w:sz w:val="20"/>
          <w:szCs w:val="20"/>
          <w:b w:val="1"/>
          <w:bCs w:val="1"/>
          <w:color w:val="auto"/>
        </w:rPr>
        <w:t>333"+),10$./&amp; .$"+)</w:t>
      </w:r>
    </w:p>
    <w:p>
      <w:pPr>
        <w:spacing w:after="0"/>
        <w:tabs>
          <w:tab w:leader="none" w:pos="1140" w:val="left"/>
        </w:tabs>
        <w:rPr>
          <w:sz w:val="20"/>
          <w:szCs w:val="20"/>
          <w:color w:val="auto"/>
        </w:rPr>
      </w:pPr>
      <w:r>
        <w:rPr>
          <w:rFonts w:ascii="PMingLiU" w:cs="PMingLiU" w:eastAsia="PMingLiU" w:hAnsi="PMingLiU"/>
          <w:sz w:val="20"/>
          <w:szCs w:val="20"/>
          <w:b w:val="1"/>
          <w:bCs w:val="1"/>
          <w:color w:val="auto"/>
        </w:rPr>
        <w:t>3$!-1$.'$/</w:t>
        <w:tab/>
        <w:t>"+),10$./&amp; .$"+)</w:t>
      </w:r>
    </w:p>
    <w:p>
      <w:pPr>
        <w:spacing w:after="0" w:line="309" w:lineRule="exact"/>
        <w:rPr>
          <w:sz w:val="20"/>
          <w:szCs w:val="20"/>
          <w:color w:val="auto"/>
        </w:rPr>
      </w:pPr>
    </w:p>
    <w:p>
      <w:pPr>
        <w:ind w:right="640"/>
        <w:spacing w:after="0" w:line="254" w:lineRule="auto"/>
        <w:rPr>
          <w:sz w:val="20"/>
          <w:szCs w:val="20"/>
          <w:color w:val="auto"/>
        </w:rPr>
      </w:pPr>
      <w:r>
        <w:rPr>
          <w:rFonts w:ascii="PMingLiU" w:cs="PMingLiU" w:eastAsia="PMingLiU" w:hAnsi="PMingLiU"/>
          <w:sz w:val="20"/>
          <w:szCs w:val="20"/>
          <w:b w:val="1"/>
          <w:bCs w:val="1"/>
          <w:color w:val="auto"/>
        </w:rPr>
        <w:t> </w:t>
      </w:r>
    </w:p>
    <w:p>
      <w:pPr>
        <w:spacing w:after="0" w:line="329" w:lineRule="exact"/>
        <w:rPr>
          <w:sz w:val="20"/>
          <w:szCs w:val="20"/>
          <w:color w:val="auto"/>
        </w:rPr>
      </w:pPr>
    </w:p>
    <w:p>
      <w:pPr>
        <w:spacing w:after="0"/>
        <w:rPr>
          <w:sz w:val="20"/>
          <w:szCs w:val="20"/>
          <w:color w:val="auto"/>
        </w:rPr>
      </w:pPr>
      <w:r>
        <w:rPr>
          <w:rFonts w:ascii="PMingLiU" w:cs="PMingLiU" w:eastAsia="PMingLiU" w:hAnsi="PMingLiU"/>
          <w:sz w:val="20"/>
          <w:szCs w:val="20"/>
          <w:color w:val="auto"/>
        </w:rPr>
        <w:t>2.34!/5.()*$"(/</w:t>
      </w:r>
    </w:p>
    <w:p>
      <w:pPr>
        <w:spacing w:after="0" w:line="3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//,&amp;8</w:t>
      </w:r>
    </w:p>
    <w:p>
      <w:pPr>
        <w:spacing w:after="0" w:line="3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1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-DQXDU\"40-"$*'*$*-&amp;</w:t>
      </w:r>
    </w:p>
    <w:p>
      <w:pPr>
        <w:spacing w:after="0" w:line="243"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.,*.&amp;"4</w:t>
      </w:r>
    </w:p>
    <w:p>
      <w:pPr>
        <w:spacing w:after="0" w:line="2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3332'.01 (/&amp; .$&amp;+(#$.)$$0'*%"+)</w:t>
      </w:r>
    </w:p>
    <w:p>
      <w:pPr>
        <w:spacing w:after="0" w:line="30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113" w:lineRule="exact"/>
        <w:rPr>
          <w:sz w:val="20"/>
          <w:szCs w:val="20"/>
          <w:color w:val="auto"/>
        </w:rPr>
      </w:pPr>
    </w:p>
    <w:p>
      <w:pPr>
        <w:ind w:right="80"/>
        <w:spacing w:after="0" w:line="385" w:lineRule="auto"/>
        <w:rPr>
          <w:sz w:val="20"/>
          <w:szCs w:val="20"/>
          <w:color w:val="auto"/>
        </w:rPr>
      </w:pPr>
      <w:r>
        <w:rPr>
          <w:rFonts w:ascii="PMingLiU" w:cs="PMingLiU" w:eastAsia="PMingLiU" w:hAnsi="PMingLiU"/>
          <w:sz w:val="16"/>
          <w:szCs w:val="16"/>
          <w:color w:val="auto"/>
        </w:rPr>
        <w:t>$/08/'/52/2-'*,&amp;%7*4)4)&amp;7*,,#&amp; -"%&amp;"6"*,"#,&amp;4/",,34/$+)/,%&amp;23"4./$)"2(&amp;</w:t>
      </w:r>
    </w:p>
    <w:p>
      <w:pPr>
        <w:spacing w:after="0" w:line="71" w:lineRule="exact"/>
        <w:rPr>
          <w:sz w:val="20"/>
          <w:szCs w:val="20"/>
          <w:color w:val="auto"/>
        </w:rPr>
      </w:pPr>
    </w:p>
    <w:p>
      <w:pPr>
        <w:ind w:right="360"/>
        <w:spacing w:after="0" w:line="340" w:lineRule="auto"/>
        <w:rPr>
          <w:sz w:val="20"/>
          <w:szCs w:val="20"/>
          <w:color w:val="auto"/>
        </w:rPr>
      </w:pPr>
      <w:r>
        <w:rPr>
          <w:rFonts w:ascii="PMingLiU" w:cs="PMingLiU" w:eastAsia="PMingLiU" w:hAnsi="PMingLiU"/>
          <w:sz w:val="16"/>
          <w:szCs w:val="16"/>
          <w:color w:val="auto"/>
        </w:rPr>
        <w:t>)&amp;/2-",3/$".#&amp;"$$&amp;33&amp;%4)2/5()4)&amp; 7&amp;#3*4&amp;"4</w:t>
      </w:r>
      <w:r>
        <w:rPr>
          <w:rFonts w:ascii="PMingLiU" w:cs="PMingLiU" w:eastAsia="PMingLiU" w:hAnsi="PMingLiU"/>
          <w:sz w:val="16"/>
          <w:szCs w:val="16"/>
          <w:b w:val="1"/>
          <w:bCs w:val="1"/>
          <w:color w:val="auto"/>
        </w:rPr>
        <w:t>333/$"%+2</w:t>
      </w:r>
      <w:r>
        <w:rPr>
          <w:rFonts w:ascii="PMingLiU" w:cs="PMingLiU" w:eastAsia="PMingLiU" w:hAnsi="PMingLiU"/>
          <w:sz w:val="16"/>
          <w:szCs w:val="16"/>
          <w:color w:val="auto"/>
        </w:rPr>
        <w:t>/24)2/5()/52 .6&amp;34/27&amp;#3*4&amp;"4</w:t>
      </w:r>
      <w:r>
        <w:rPr>
          <w:rFonts w:ascii="PMingLiU" w:cs="PMingLiU" w:eastAsia="PMingLiU" w:hAnsi="PMingLiU"/>
          <w:sz w:val="16"/>
          <w:szCs w:val="16"/>
          <w:b w:val="1"/>
          <w:bCs w:val="1"/>
          <w:color w:val="auto"/>
        </w:rPr>
        <w:t>'.0$),$/004"+)</w:t>
      </w:r>
      <w:r>
        <w:rPr>
          <w:rFonts w:ascii="PMingLiU" w:cs="PMingLiU" w:eastAsia="PMingLiU" w:hAnsi="PMingLiU"/>
          <w:sz w:val="16"/>
          <w:szCs w:val="16"/>
          <w:color w:val="auto"/>
        </w:rPr>
        <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8"/>
          <w:szCs w:val="18"/>
          <w:color w:val="auto"/>
        </w:rPr>
        <w:t>/2&amp;$&amp;*6&amp;"$/08#8-"*,0,&amp;"3&amp;$/.4"$4</w:t>
      </w:r>
    </w:p>
    <w:p>
      <w:pPr>
        <w:spacing w:after="0" w:line="243" w:lineRule="exact"/>
        <w:rPr>
          <w:sz w:val="20"/>
          <w:szCs w:val="20"/>
          <w:color w:val="auto"/>
        </w:rPr>
      </w:pPr>
    </w:p>
    <w:p>
      <w:pPr>
        <w:ind w:left="540" w:right="720"/>
        <w:spacing w:after="0" w:line="238" w:lineRule="auto"/>
        <w:rPr>
          <w:sz w:val="20"/>
          <w:szCs w:val="20"/>
          <w:color w:val="auto"/>
        </w:rPr>
      </w:pPr>
      <w:r>
        <w:rPr>
          <w:rFonts w:ascii="PMingLiU" w:cs="PMingLiU" w:eastAsia="PMingLiU" w:hAnsi="PMingLiU"/>
          <w:sz w:val="20"/>
          <w:szCs w:val="20"/>
          <w:b w:val="1"/>
          <w:bCs w:val="1"/>
          <w:color w:val="auto"/>
        </w:rPr>
        <w:t xml:space="preserve">*2$/0+.$( 0'+*/ </w:t>
      </w:r>
      <w:r>
        <w:rPr>
          <w:rFonts w:ascii="PMingLiU" w:cs="PMingLiU" w:eastAsia="PMingLiU" w:hAnsi="PMingLiU"/>
          <w:sz w:val="20"/>
          <w:szCs w:val="20"/>
          <w:color w:val="auto"/>
        </w:rPr>
        <w:t>&amp;-0&amp;34)&amp;2"0&amp;54*$3.$ *&amp;22"/*.4"2+7"85*4&amp; 2*3#".&amp;</w:t>
      </w:r>
    </w:p>
    <w:p>
      <w:pPr>
        <w:spacing w:after="0" w:line="2" w:lineRule="exact"/>
        <w:rPr>
          <w:sz w:val="20"/>
          <w:szCs w:val="20"/>
          <w:color w:val="auto"/>
        </w:rPr>
      </w:pPr>
    </w:p>
    <w:p>
      <w:pPr>
        <w:ind w:left="540"/>
        <w:spacing w:after="0"/>
        <w:tabs>
          <w:tab w:leader="none" w:pos="880" w:val="left"/>
        </w:tabs>
        <w:rPr>
          <w:sz w:val="20"/>
          <w:szCs w:val="20"/>
          <w:color w:val="auto"/>
        </w:rPr>
      </w:pPr>
      <w:r>
        <w:rPr>
          <w:rFonts w:ascii="PMingLiU" w:cs="PMingLiU" w:eastAsia="PMingLiU" w:hAnsi="PMingLiU"/>
          <w:sz w:val="20"/>
          <w:szCs w:val="20"/>
          <w:b w:val="1"/>
          <w:bCs w:val="1"/>
          <w:color w:val="auto"/>
        </w:rPr>
        <w:t>""</w:t>
        <w:tab/>
        <w:t>0$),$/004"+)</w:t>
      </w:r>
    </w:p>
    <w:p>
      <w:pPr>
        <w:sectPr>
          <w:pgSz w:w="12240" w:h="15840" w:orient="portrait"/>
          <w:cols w:equalWidth="0" w:num="2">
            <w:col w:w="4320" w:space="720"/>
            <w:col w:w="4320"/>
          </w:cols>
          <w:pgMar w:left="1440" w:top="1415" w:right="1440" w:bottom="1440" w:gutter="0" w:footer="0" w:header="0"/>
        </w:sectPr>
      </w:pPr>
    </w:p>
    <w:bookmarkStart w:id="131" w:name="page132"/>
    <w:bookmarkEnd w:id="131"/>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շ"/>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3"/>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Roman"/>
      <w:start w:val="1"/>
    </w:lvl>
  </w:abstractNum>
  <w:abstractNum w:abstractNumId="40">
    <w:nsid w:val="725A06FB"/>
    <w:multiLevelType w:val="hybridMultilevel"/>
    <w:lvl w:ilvl="0">
      <w:lvlJc w:val="left"/>
      <w:lvlText w:val="%1."/>
      <w:numFmt w:val="decimal"/>
      <w:start w:val="7"/>
    </w:lvl>
  </w:abstractNum>
  <w:abstractNum w:abstractNumId="41">
    <w:nsid w:val="2CD89A32"/>
    <w:multiLevelType w:val="hybridMultilevel"/>
    <w:lvl w:ilvl="0">
      <w:lvlJc w:val="left"/>
      <w:lvlText w:val="%1."/>
      <w:numFmt w:val="decimal"/>
      <w:start w:val="8"/>
    </w:lvl>
  </w:abstractNum>
  <w:abstractNum w:abstractNumId="42">
    <w:nsid w:val="57E4CCAF"/>
    <w:multiLevelType w:val="hybridMultilevel"/>
    <w:lvl w:ilvl="0">
      <w:lvlJc w:val="left"/>
      <w:lvlText w:val="&amp;"/>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2025-12-31T15:23:58Z</dcterms:created>
  <dcterms:modified xsi:type="dcterms:W3CDTF">2025-12-31T15:23:58Z</dcterms:modified>
</cp:coreProperties>
</file>