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9080-8k_tempest.htm"/>
      <w:bookmarkStart w:id="1" w:name="ksea03090808k_tempest"/>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C_edei--DocumentType_c20261014__20"/>
      <w:bookmarkEnd w:id="2"/>
      <w:r>
        <w:rPr>
          <w:rFonts w:ascii="Times New Roman;Times;Serif" w:hAnsi="Times New Roman;Times;Serif"/>
          <w:b/>
          <w:i w:val="false"/>
          <w:caps w:val="false"/>
          <w:smallCaps w:val="false"/>
          <w:sz w:val="20"/>
        </w:rPr>
        <w:t xml:space="preserve">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 xml:space="preserve">October 14,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C_edei--EntityRegistrantName_c2026"/>
      <w:bookmarkEnd w:id="4"/>
      <w:r>
        <w:rPr>
          <w:rFonts w:ascii="Times New Roman;Times;Serif" w:hAnsi="Times New Roman;Times;Serif"/>
          <w:b/>
          <w:i w:val="false"/>
          <w:caps w:val="false"/>
          <w:smallCaps w:val="false"/>
          <w:sz w:val="20"/>
        </w:rPr>
        <w:t xml:space="preserve">Tempest Therapeutics,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2360"/>
        <w:gridCol w:w="60"/>
        <w:gridCol w:w="2300"/>
        <w:gridCol w:w="60"/>
        <w:gridCol w:w="1565"/>
      </w:tblGrid>
      <w:tr>
        <w:trPr/>
        <w:tc>
          <w:tcPr>
            <w:tcW w:w="2360" w:type="dxa"/>
            <w:tcBorders>
              <w:bottom w:val="single" w:sz="12" w:space="0" w:color="000000"/>
            </w:tcBorders>
            <w:vAlign w:val="center"/>
          </w:tcPr>
          <w:p>
            <w:pPr>
              <w:pStyle w:val="TableContents"/>
              <w:bidi w:val="0"/>
              <w:spacing w:before="0" w:after="283"/>
              <w:jc w:val="center"/>
              <w:rPr>
                <w:b/>
                <w:sz w:val="20"/>
              </w:rPr>
            </w:pPr>
            <w:bookmarkStart w:id="5" w:name="xdx_907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b/>
                <w:sz w:val="20"/>
              </w:rPr>
            </w:pPr>
            <w:bookmarkStart w:id="6" w:name="xdx_900_edei--EntityFileNumber_c20261014"/>
            <w:bookmarkEnd w:id="6"/>
            <w:r>
              <w:rPr>
                <w:b/>
                <w:sz w:val="20"/>
              </w:rPr>
              <w:t>001-35890</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b/>
                <w:sz w:val="20"/>
              </w:rPr>
            </w:pPr>
            <w:bookmarkStart w:id="7" w:name="xdx_90E_edei--EntityTaxIdentificationNum"/>
            <w:bookmarkEnd w:id="7"/>
            <w:r>
              <w:rPr>
                <w:b/>
                <w:sz w:val="20"/>
              </w:rPr>
              <w:t>45-1472564</w:t>
            </w:r>
          </w:p>
        </w:tc>
      </w:tr>
      <w:tr>
        <w:trPr/>
        <w:tc>
          <w:tcPr>
            <w:tcW w:w="236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b/>
                <w:sz w:val="20"/>
              </w:rPr>
            </w:pPr>
            <w:bookmarkStart w:id="8" w:name="xdx_901_edei--EntityAddressAddressLine1_"/>
            <w:bookmarkEnd w:id="8"/>
            <w:r>
              <w:rPr>
                <w:b/>
                <w:sz w:val="20"/>
              </w:rPr>
              <w:t xml:space="preserve">2000 Sierra Point Parkway, </w:t>
            </w:r>
            <w:bookmarkStart w:id="9" w:name="xdx_902_edei--EntityAddressAddressLine2_"/>
            <w:bookmarkEnd w:id="9"/>
            <w:r>
              <w:rPr>
                <w:b/>
                <w:sz w:val="20"/>
              </w:rPr>
              <w:t>Suite 400</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r>
      <w:tr>
        <w:trPr/>
        <w:tc>
          <w:tcPr>
            <w:tcW w:w="3395" w:type="dxa"/>
            <w:tcBorders>
              <w:bottom w:val="single" w:sz="12" w:space="0" w:color="000000"/>
            </w:tcBorders>
            <w:tcMar>
              <w:bottom w:w="28" w:type="dxa"/>
            </w:tcMar>
            <w:vAlign w:val="center"/>
          </w:tcPr>
          <w:p>
            <w:pPr>
              <w:pStyle w:val="TableContents"/>
              <w:bidi w:val="0"/>
              <w:spacing w:before="0" w:after="283"/>
              <w:jc w:val="center"/>
              <w:rPr>
                <w:b/>
                <w:sz w:val="20"/>
              </w:rPr>
            </w:pPr>
            <w:bookmarkStart w:id="10" w:name="xdx_90F_edei--EntityAddressCityOrTown_c2"/>
            <w:bookmarkEnd w:id="10"/>
            <w:r>
              <w:rPr>
                <w:b/>
                <w:sz w:val="20"/>
              </w:rPr>
              <w:t xml:space="preserve">Brisbane, </w:t>
            </w:r>
            <w:bookmarkStart w:id="11" w:name="xdx_904_edei--EntityAddressStateOrProvin"/>
            <w:bookmarkEnd w:id="11"/>
            <w:r>
              <w:rPr>
                <w:b/>
                <w:sz w:val="20"/>
              </w:rPr>
              <w:t>California</w:t>
            </w:r>
          </w:p>
        </w:tc>
        <w:tc>
          <w:tcPr>
            <w:tcW w:w="60" w:type="dxa"/>
            <w:tcBorders/>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center"/>
              <w:rPr>
                <w:b/>
                <w:sz w:val="20"/>
              </w:rPr>
            </w:pPr>
            <w:bookmarkStart w:id="12" w:name="xdx_908_edei--EntityAddressPostalZipCode"/>
            <w:bookmarkEnd w:id="12"/>
            <w:r>
              <w:rPr>
                <w:b/>
                <w:sz w:val="20"/>
              </w:rPr>
              <w:t>94005</w:t>
            </w:r>
          </w:p>
        </w:tc>
      </w:tr>
      <w:tr>
        <w:trPr/>
        <w:tc>
          <w:tcPr>
            <w:tcW w:w="3395" w:type="dxa"/>
            <w:tcBorders/>
            <w:vAlign w:val="center"/>
          </w:tcPr>
          <w:p>
            <w:pPr>
              <w:pStyle w:val="TableContents"/>
              <w:bidi w:val="0"/>
              <w:spacing w:before="0" w:after="283"/>
              <w:jc w:val="center"/>
              <w:rPr>
                <w:b/>
                <w:sz w:val="20"/>
              </w:rPr>
            </w:pPr>
            <w:r>
              <w:rPr>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8_edei--CityAreaCode_c20261014__20"/>
      <w:bookmarkEnd w:id="13"/>
      <w:r>
        <w:rPr>
          <w:rFonts w:ascii="Times New Roman;Times;Serif" w:hAnsi="Times New Roman;Times;Serif"/>
          <w:b/>
          <w:i w:val="false"/>
          <w:caps w:val="false"/>
          <w:smallCaps w:val="false"/>
          <w:sz w:val="20"/>
        </w:rPr>
        <w:t xml:space="preserve">415) </w:t>
      </w:r>
      <w:bookmarkStart w:id="14" w:name="xdx_904_edei--LocalPhoneNumber_c20261014"/>
      <w:bookmarkEnd w:id="14"/>
      <w:r>
        <w:rPr>
          <w:rFonts w:ascii="Times New Roman;Times;Serif" w:hAnsi="Times New Roman;Times;Serif"/>
          <w:b/>
          <w:i w:val="false"/>
          <w:caps w:val="false"/>
          <w:smallCaps w:val="false"/>
          <w:sz w:val="20"/>
        </w:rPr>
        <w:t xml:space="preserve">798-8589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489" w:right="0" w:hanging="49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7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489" w:right="0" w:hanging="49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B_edei--SolicitingMaterial_c202610"/>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48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7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48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7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70"/>
        <w:gridCol w:w="60"/>
        <w:gridCol w:w="1739"/>
        <w:gridCol w:w="60"/>
        <w:gridCol w:w="4476"/>
      </w:tblGrid>
      <w:tr>
        <w:trPr/>
        <w:tc>
          <w:tcPr>
            <w:tcW w:w="3870"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739" w:type="dxa"/>
            <w:tcBorders>
              <w:bottom w:val="single" w:sz="12" w:space="0" w:color="000000"/>
            </w:tcBorders>
            <w:vAlign w:val="center"/>
          </w:tcPr>
          <w:p>
            <w:pPr>
              <w:pStyle w:val="TableContents"/>
              <w:bidi w:val="0"/>
              <w:spacing w:before="0" w:after="283"/>
              <w:jc w:val="center"/>
              <w:rPr/>
            </w:pPr>
            <w:r>
              <w:rPr>
                <w:b/>
              </w:rPr>
              <w:t>Trading</w:t>
            </w:r>
            <w:r>
              <w:rPr/>
              <w:t xml:space="preserve"> </w:t>
            </w:r>
            <w:r>
              <w:rPr>
                <w:b/>
              </w:rPr>
              <w:t>Symbol(s)</w:t>
            </w:r>
          </w:p>
        </w:tc>
        <w:tc>
          <w:tcPr>
            <w:tcW w:w="60" w:type="dxa"/>
            <w:tcBorders/>
            <w:tcMar>
              <w:bottom w:w="0" w:type="dxa"/>
            </w:tcMar>
            <w:vAlign w:val="center"/>
          </w:tcPr>
          <w:p>
            <w:pPr>
              <w:pStyle w:val="TableContents"/>
              <w:bidi w:val="0"/>
              <w:spacing w:before="0" w:after="283"/>
              <w:jc w:val="left"/>
              <w:rPr/>
            </w:pPr>
            <w:r>
              <w:rPr/>
              <w:t> </w:t>
            </w:r>
          </w:p>
        </w:tc>
        <w:tc>
          <w:tcPr>
            <w:tcW w:w="4476"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870" w:type="dxa"/>
            <w:tcBorders/>
            <w:shd w:fill="CCEEFF" w:val="clear"/>
            <w:tcMar>
              <w:bottom w:w="0" w:type="dxa"/>
            </w:tcMar>
            <w:vAlign w:val="center"/>
          </w:tcPr>
          <w:p>
            <w:pPr>
              <w:pStyle w:val="TableContents"/>
              <w:bidi w:val="0"/>
              <w:spacing w:before="0" w:after="283"/>
              <w:jc w:val="center"/>
              <w:rPr>
                <w:sz w:val="20"/>
              </w:rPr>
            </w:pPr>
            <w:bookmarkStart w:id="19" w:name="xdx_90E_edei--Security12bTitle_c20261014"/>
            <w:bookmarkEnd w:id="19"/>
            <w:r>
              <w:rPr>
                <w:sz w:val="20"/>
              </w:rPr>
              <w:t>Common Stock, $0.001 par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9" w:type="dxa"/>
            <w:tcBorders/>
            <w:shd w:fill="CCEEFF" w:val="clear"/>
            <w:tcMar>
              <w:bottom w:w="0" w:type="dxa"/>
            </w:tcMar>
            <w:vAlign w:val="center"/>
          </w:tcPr>
          <w:p>
            <w:pPr>
              <w:pStyle w:val="TableContents"/>
              <w:bidi w:val="0"/>
              <w:spacing w:before="0" w:after="283"/>
              <w:jc w:val="center"/>
              <w:rPr>
                <w:sz w:val="20"/>
              </w:rPr>
            </w:pPr>
            <w:bookmarkStart w:id="20" w:name="xdx_904_edei--TradingSymbol_c20261014__2"/>
            <w:bookmarkEnd w:id="20"/>
            <w:r>
              <w:rPr>
                <w:sz w:val="20"/>
              </w:rPr>
              <w:t>TPST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6"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1" w:name="xdx_906_edei--SecurityExchangeName_c2026"/>
            <w:bookmarkEnd w:id="21"/>
            <w:r>
              <w:rPr>
                <w:sz w:val="20"/>
              </w:rPr>
              <w:t>Nasdaq Stock Market LLC</w:t>
            </w:r>
          </w:p>
        </w:tc>
      </w:tr>
      <w:tr>
        <w:trPr/>
        <w:tc>
          <w:tcPr>
            <w:tcW w:w="3870" w:type="dxa"/>
            <w:tcBorders/>
            <w:shd w:fill="FFFFFF" w:val="clear"/>
            <w:tcMar>
              <w:bottom w:w="0" w:type="dxa"/>
            </w:tcMar>
            <w:vAlign w:val="center"/>
          </w:tcPr>
          <w:p>
            <w:pPr>
              <w:pStyle w:val="TableContents"/>
              <w:bidi w:val="0"/>
              <w:spacing w:before="0" w:after="283"/>
              <w:jc w:val="center"/>
              <w:rPr>
                <w:sz w:val="20"/>
              </w:rPr>
            </w:pPr>
            <w:bookmarkStart w:id="22" w:name="xdx_903_edei--Security12bTitle_c20261014"/>
            <w:bookmarkEnd w:id="22"/>
            <w:r>
              <w:rPr>
                <w:sz w:val="20"/>
              </w:rPr>
              <w:t>Series A Junior Participating Preferred Purchase Rights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9" w:type="dxa"/>
            <w:tcBorders/>
            <w:shd w:fill="FFFFFF" w:val="clear"/>
            <w:tcMar>
              <w:bottom w:w="0" w:type="dxa"/>
            </w:tcMar>
            <w:vAlign w:val="center"/>
          </w:tcPr>
          <w:p>
            <w:pPr>
              <w:pStyle w:val="TableContents"/>
              <w:bidi w:val="0"/>
              <w:spacing w:before="0" w:after="283"/>
              <w:jc w:val="center"/>
              <w:rPr>
                <w:sz w:val="20"/>
              </w:rPr>
            </w:pPr>
            <w:r>
              <w:rPr>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6" w:type="dxa"/>
            <w:tcBorders/>
            <w:shd w:fill="FFFFFF" w:val="clear"/>
            <w:tcMar>
              <w:bottom w:w="0" w:type="dxa"/>
            </w:tcMar>
            <w:vAlign w:val="center"/>
          </w:tcPr>
          <w:p>
            <w:pPr>
              <w:pStyle w:val="TableContents"/>
              <w:bidi w:val="0"/>
              <w:spacing w:before="0" w:after="283"/>
              <w:jc w:val="center"/>
              <w:rPr>
                <w:sz w:val="20"/>
              </w:rPr>
            </w:pPr>
            <w:r>
              <w:rPr>
                <w:sz w:val="20"/>
              </w:rPr>
              <w:t xml:space="preserve">The </w:t>
            </w:r>
            <w:bookmarkStart w:id="23" w:name="xdx_901_edei--SecurityExchangeName_c2026"/>
            <w:bookmarkEnd w:id="23"/>
            <w:r>
              <w:rPr>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B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in Item 8.01 of this Current Report on Form 8-K is incorporated herein by reference.</w:t>
      </w:r>
    </w:p>
    <w:p>
      <w:pPr>
        <w:pStyle w:val="TextBody"/>
        <w:bidi w:val="0"/>
        <w:spacing w:before="0" w:after="0"/>
        <w:ind w:left="1346" w:right="0" w:hanging="122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Tempest Therapeutics, Inc. (the “Company”) called to order its reconvened special meeting of stockholders (the “Special Meeting”) originally convened and adjourned on July 27, 2026. The Special Meeting had previously been reconvened and adjourned on August 17, 2026, and September 15, 2026. The purpose of the Special Meeting is to approve a Certificate of Amendment to the Company’s Restated Certificate of Incorporation to replace specified supermajority voting requirements and permit stockholder action by written consent in the form attached as Exhibit A to the proxy statement previously distributed to the Company’s stockholders in connection with the Special Meeting (the “Proposal”).</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a total of 11,004,101 shares, or 74.3% of the 14,806,997 shares of common stock outstanding as of May 28, 2026, the record date for the Special Meeting, were present virtually or represented by proxy, constituting a quorum. However, because there were not sufficient votes to approve the Proposal at the time of the Special Meeting, the Company decided to adjourn the Special Meeting to provide stockholders with additional time to vote and to facilitate broader participation.</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reconvene on November 12, 2026 at 2:00 p.m. Eastern Time via live webcast at the following virtual meeting link, www.virtualshareholdermeeting.com/TPST2026SM2. Stockholders can use the same access code to attend the reconvened meeting on November 12, 2026 that was used for the originally scheduled Special Meeting convened on July 27, 2026.</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 requires the affirmative vote of the holders of at least seventy-five percent (75%) of the votes that all the stockholders would be entitled to cast in any annual election of directors or class of directors.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changes have been made to the Proposal to be voted on by the stockholders at the Special Meeting. The record date for determining stockholder eligibility to vote at the Special Meeting remains the close of business on May 28, 2026. Proxies previously submitted will be voted at the reconvened Special Meeting unless properly revoked, and stockholders who have already submitted a proxy or otherwise voted and do not wish to change their vote need not take any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Important Additional Information and Where to Find It: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a definitive proxy statement and other relevant documents with the U.S. Securities and Exchange Commission (“SEC”) in connection with the Special Meeting. INVESTORS AND SECURITY HOLDERS ARE URGED TO READ THE DEFINITIVE PROXY STATEMENT AND OTHER RELEVANT DOCUMENTS FILED WITH THE SEC CAREFULLY AND IN THEIR ENTIRETY because they contain important information about the matters to be voted on at the Special Meeting. Stockholders may obtain copies of these documents free of charge at the SEC’s website at www.sec.gov or on the Company’s website at https://www.tempesttx.com.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and executive officers may be deemed to be participants in the solicitation of proxies from the Company’s stockholders in connection with the Special Meeting. Information about the Company’s directors and executive officers is outlined in the Company’s Annual Report on Form 10-K for the year ended December 31, 2025, filed with the SEC on March 30, 2026, as updated by the Company’s Current Report on Form 8-K filed with the SEC on June 4, 2026, the Company’s Current Report on Form 8-K filed with the SEC on August 24, 2026, the Company’s Current Report on Form 8-K filed with the SEC on September 28, 2026, the Company’s Current Report on Form 8-K filed with the SEC on October 19, 2026, and information about their ownership of the Company’s common stock is outlined in the definitive proxy statement for the Special Meeting filed with the SEC on July 17, 2026. The Company has also engaged Sodali &amp; Co., a proxy solicitation firm, to assist with obtaining adequate votes to achieve the required quorum of a majority of the outstanding shares of the Company’s common stock entitled to vote at the Special Meeting.</w:t>
      </w:r>
    </w:p>
    <w:p>
      <w:pPr>
        <w:pStyle w:val="TextBody"/>
        <w:bidi w:val="0"/>
        <w:spacing w:before="0" w:after="0"/>
        <w:ind w:left="0" w:right="0" w:firstLine="576"/>
        <w:jc w:val="left"/>
        <w:rPr>
          <w:caps w:val="false"/>
          <w:smallCaps w:val="false"/>
        </w:rPr>
      </w:pPr>
      <w:r>
        <w:rPr>
          <w:caps w:val="false"/>
          <w:smallCaps w:val="false"/>
        </w:rPr>
        <w:t> </w:t>
      </w:r>
    </w:p>
    <w:p>
      <w:pPr>
        <w:pStyle w:val="TextBody"/>
        <w:bidi w:val="0"/>
        <w:spacing w:before="0" w:after="0"/>
        <w:ind w:left="0" w:right="0" w:firstLine="57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576"/>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565" w:type="dxa"/>
        <w:jc w:val="left"/>
        <w:tblInd w:w="0" w:type="dxa"/>
        <w:tblLayout w:type="fixed"/>
        <w:tblCellMar>
          <w:top w:w="0" w:type="dxa"/>
          <w:left w:w="0" w:type="dxa"/>
          <w:bottom w:w="0" w:type="dxa"/>
          <w:right w:w="0" w:type="dxa"/>
        </w:tblCellMar>
      </w:tblPr>
      <w:tblGrid>
        <w:gridCol w:w="1925"/>
        <w:gridCol w:w="545"/>
        <w:gridCol w:w="3095"/>
      </w:tblGrid>
      <w:tr>
        <w:trPr/>
        <w:tc>
          <w:tcPr>
            <w:tcW w:w="1925"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b/>
                <w:sz w:val="20"/>
              </w:rPr>
            </w:pPr>
            <w:r>
              <w:rPr>
                <w:b/>
                <w:sz w:val="20"/>
              </w:rPr>
              <w:t>TEMPEST THERAPEUTICS, INC.</w:t>
            </w:r>
          </w:p>
        </w:tc>
      </w:tr>
      <w:tr>
        <w:trPr/>
        <w:tc>
          <w:tcPr>
            <w:tcW w:w="19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sz w:val="20"/>
              </w:rPr>
            </w:pPr>
            <w:r>
              <w:rPr>
                <w:sz w:val="20"/>
              </w:rPr>
              <w:t>Date: October 20, 2026</w:t>
            </w:r>
          </w:p>
        </w:tc>
        <w:tc>
          <w:tcPr>
            <w:tcW w:w="545" w:type="dxa"/>
            <w:tcBorders/>
            <w:vAlign w:val="center"/>
          </w:tcPr>
          <w:p>
            <w:pPr>
              <w:pStyle w:val="TableContents"/>
              <w:bidi w:val="0"/>
              <w:spacing w:before="0" w:after="283"/>
              <w:jc w:val="left"/>
              <w:rPr>
                <w:sz w:val="20"/>
              </w:rPr>
            </w:pPr>
            <w:r>
              <w:rPr>
                <w:sz w:val="20"/>
              </w:rPr>
              <w:t>By:</w:t>
            </w:r>
          </w:p>
        </w:tc>
        <w:tc>
          <w:tcPr>
            <w:tcW w:w="3095" w:type="dxa"/>
            <w:tcBorders>
              <w:bottom w:val="single" w:sz="12" w:space="0" w:color="000000"/>
            </w:tcBorders>
            <w:tcMar>
              <w:bottom w:w="28" w:type="dxa"/>
            </w:tcMar>
            <w:vAlign w:val="center"/>
          </w:tcPr>
          <w:p>
            <w:pPr>
              <w:pStyle w:val="TableContents"/>
              <w:bidi w:val="0"/>
              <w:spacing w:before="0" w:after="283"/>
              <w:jc w:val="left"/>
              <w:rPr>
                <w:i/>
              </w:rPr>
            </w:pPr>
            <w:r>
              <w:rPr>
                <w:i/>
              </w:rPr>
              <w:t>/s/ Matthew Angel</w:t>
            </w:r>
          </w:p>
        </w:tc>
      </w:tr>
      <w:tr>
        <w:trPr/>
        <w:tc>
          <w:tcPr>
            <w:tcW w:w="19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095" w:type="dxa"/>
            <w:tcBorders/>
            <w:vAlign w:val="center"/>
          </w:tcPr>
          <w:p>
            <w:pPr>
              <w:pStyle w:val="TableContents"/>
              <w:bidi w:val="0"/>
              <w:spacing w:before="0" w:after="283"/>
              <w:jc w:val="left"/>
              <w:rPr>
                <w:sz w:val="20"/>
              </w:rPr>
            </w:pPr>
            <w:r>
              <w:rPr>
                <w:sz w:val="20"/>
              </w:rPr>
              <w:t>Matthew Angel</w:t>
            </w:r>
          </w:p>
        </w:tc>
      </w:tr>
      <w:tr>
        <w:trPr/>
        <w:tc>
          <w:tcPr>
            <w:tcW w:w="19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1056</Words>
  <Characters>5668</Characters>
  <CharactersWithSpaces>6739</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