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-232410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92710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74" w:lineRule="exact"/>
        <w:rPr>
          <w:sz w:val="24"/>
          <w:szCs w:val="24"/>
          <w:color w:val="auto"/>
        </w:rPr>
      </w:pPr>
    </w:p>
    <w:p>
      <w:pPr>
        <w:ind w:left="700" w:right="60" w:hanging="464"/>
        <w:spacing w:after="0" w:line="254"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6" w:lineRule="exact"/>
        <w:rPr>
          <w:sz w:val="24"/>
          <w:szCs w:val="24"/>
          <w:color w:val="auto"/>
        </w:rPr>
      </w:pPr>
    </w:p>
    <w:p>
      <w:pPr>
        <w:ind w:left="700" w:right="380" w:hanging="464"/>
        <w:spacing w:after="0" w:line="256" w:lineRule="auto"/>
        <w:tabs>
          <w:tab w:leader="none" w:pos="7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800"/>
        <w:spacing w:after="0"/>
        <w:tabs>
          <w:tab w:leader="none" w:pos="6560" w:val="left"/>
          <w:tab w:leader="none" w:pos="7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3742055</wp:posOffset>
            </wp:positionH>
            <wp:positionV relativeFrom="paragraph">
              <wp:posOffset>-4445</wp:posOffset>
            </wp:positionV>
            <wp:extent cx="960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001-35890</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-294640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77470</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64" w:lineRule="exact"/>
        <w:rPr>
          <w:sz w:val="24"/>
          <w:szCs w:val="24"/>
          <w:color w:val="auto"/>
        </w:rPr>
      </w:pPr>
    </w:p>
    <w:tbl>
      <w:tblPr>
        <w:tblLayout w:type="fixed"/>
        <w:tblInd w:w="2900" w:type="dxa"/>
        <w:tblCellMar>
          <w:top w:w="0" w:type="dxa"/>
          <w:left w:w="0" w:type="dxa"/>
          <w:bottom w:w="0" w:type="dxa"/>
          <w:right w:w="0" w:type="dxa"/>
        </w:tblCellMar>
      </w:tblPr>
      <w:tr>
        <w:trPr>
          <w:trHeight w:val="210"/>
        </w:trPr>
        <w:tc>
          <w:tcPr>
            <w:tcW w:w="3080" w:type="dxa"/>
            <w:vAlign w:val="bottom"/>
          </w:tcPr>
          <w:p>
            <w:pPr>
              <w:jc w:val="center"/>
              <w:ind w:right="359"/>
              <w:spacing w:after="0"/>
              <w:rPr>
                <w:sz w:val="20"/>
                <w:szCs w:val="20"/>
                <w:color w:val="auto"/>
              </w:rPr>
            </w:pPr>
            <w:r>
              <w:rPr>
                <w:rFonts w:ascii="Arial" w:cs="Arial" w:eastAsia="Arial" w:hAnsi="Arial"/>
                <w:sz w:val="16"/>
                <w:szCs w:val="16"/>
                <w:b w:val="1"/>
                <w:bCs w:val="1"/>
                <w:color w:val="auto"/>
                <w:w w:val="91"/>
              </w:rPr>
              <w:t>Delaware</w:t>
            </w: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45-1472564</w:t>
            </w: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color w:val="auto"/>
                <w:w w:val="92"/>
              </w:rPr>
              <w:t>(State or Other Jurisdiction of</w:t>
            </w:r>
          </w:p>
        </w:tc>
        <w:tc>
          <w:tcPr>
            <w:tcW w:w="1660" w:type="dxa"/>
            <w:vAlign w:val="bottom"/>
          </w:tcPr>
          <w:p>
            <w:pPr>
              <w:jc w:val="center"/>
              <w:ind w:left="359"/>
              <w:spacing w:after="0"/>
              <w:rPr>
                <w:sz w:val="20"/>
                <w:szCs w:val="20"/>
                <w:color w:val="auto"/>
              </w:rPr>
            </w:pPr>
            <w:r>
              <w:rPr>
                <w:rFonts w:ascii="Arial" w:cs="Arial" w:eastAsia="Arial" w:hAnsi="Arial"/>
                <w:sz w:val="16"/>
                <w:szCs w:val="16"/>
                <w:color w:val="auto"/>
                <w:w w:val="93"/>
              </w:rPr>
              <w:t>(I.R.S. Employer</w:t>
            </w:r>
          </w:p>
        </w:tc>
      </w:tr>
      <w:tr>
        <w:trPr>
          <w:trHeight w:val="297"/>
        </w:trPr>
        <w:tc>
          <w:tcPr>
            <w:tcW w:w="3080" w:type="dxa"/>
            <w:vAlign w:val="bottom"/>
          </w:tcPr>
          <w:p>
            <w:pPr>
              <w:jc w:val="center"/>
              <w:ind w:right="359"/>
              <w:spacing w:after="0"/>
              <w:rPr>
                <w:sz w:val="20"/>
                <w:szCs w:val="20"/>
                <w:color w:val="auto"/>
              </w:rPr>
            </w:pPr>
            <w:r>
              <w:rPr>
                <w:rFonts w:ascii="Arial" w:cs="Arial" w:eastAsia="Arial" w:hAnsi="Arial"/>
                <w:sz w:val="16"/>
                <w:szCs w:val="16"/>
                <w:color w:val="auto"/>
                <w:w w:val="94"/>
              </w:rPr>
              <w:t>Incorporation or Organization)</w:t>
            </w:r>
          </w:p>
        </w:tc>
        <w:tc>
          <w:tcPr>
            <w:tcW w:w="1660" w:type="dxa"/>
            <w:vAlign w:val="bottom"/>
          </w:tcPr>
          <w:p>
            <w:pPr>
              <w:jc w:val="center"/>
              <w:ind w:left="359"/>
              <w:spacing w:after="0"/>
              <w:rPr>
                <w:sz w:val="20"/>
                <w:szCs w:val="20"/>
                <w:color w:val="auto"/>
              </w:rPr>
            </w:pPr>
            <w:r>
              <w:rPr>
                <w:rFonts w:ascii="Arial" w:cs="Arial" w:eastAsia="Arial" w:hAnsi="Arial"/>
                <w:sz w:val="16"/>
                <w:szCs w:val="16"/>
                <w:color w:val="auto"/>
                <w:w w:val="97"/>
              </w:rPr>
              <w:t>Identification No.)</w:t>
            </w: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b w:val="1"/>
                <w:bCs w:val="1"/>
                <w:color w:val="auto"/>
                <w:w w:val="91"/>
              </w:rPr>
              <w:t>2000 Sierra Point Parkway, Suite 400</w:t>
            </w:r>
          </w:p>
        </w:tc>
        <w:tc>
          <w:tcPr>
            <w:tcW w:w="1660" w:type="dxa"/>
            <w:vAlign w:val="bottom"/>
          </w:tcPr>
          <w:p>
            <w:pPr>
              <w:spacing w:after="0"/>
              <w:rPr>
                <w:sz w:val="24"/>
                <w:szCs w:val="24"/>
                <w:color w:val="auto"/>
              </w:rPr>
            </w:pPr>
          </w:p>
        </w:tc>
      </w:tr>
      <w:tr>
        <w:trPr>
          <w:trHeight w:val="297"/>
        </w:trPr>
        <w:tc>
          <w:tcPr>
            <w:tcW w:w="308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Brisbane, California</w:t>
            </w: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94005</w:t>
            </w:r>
          </w:p>
        </w:tc>
      </w:tr>
      <w:tr>
        <w:trPr>
          <w:trHeight w:val="310"/>
        </w:trPr>
        <w:tc>
          <w:tcPr>
            <w:tcW w:w="3080" w:type="dxa"/>
            <w:vAlign w:val="bottom"/>
          </w:tcPr>
          <w:p>
            <w:pPr>
              <w:jc w:val="center"/>
              <w:ind w:right="359"/>
              <w:spacing w:after="0"/>
              <w:rPr>
                <w:sz w:val="20"/>
                <w:szCs w:val="20"/>
                <w:color w:val="auto"/>
              </w:rPr>
            </w:pPr>
            <w:r>
              <w:rPr>
                <w:rFonts w:ascii="Arial" w:cs="Arial" w:eastAsia="Arial" w:hAnsi="Arial"/>
                <w:sz w:val="16"/>
                <w:szCs w:val="16"/>
                <w:color w:val="auto"/>
                <w:w w:val="93"/>
              </w:rPr>
              <w:t>(Address of Principal Executive Offices)</w:t>
            </w:r>
          </w:p>
        </w:tc>
        <w:tc>
          <w:tcPr>
            <w:tcW w:w="1660" w:type="dxa"/>
            <w:vAlign w:val="bottom"/>
          </w:tcPr>
          <w:p>
            <w:pPr>
              <w:jc w:val="center"/>
              <w:ind w:left="359"/>
              <w:spacing w:after="0"/>
              <w:rPr>
                <w:sz w:val="20"/>
                <w:szCs w:val="20"/>
                <w:color w:val="auto"/>
              </w:rPr>
            </w:pPr>
            <w:r>
              <w:rPr>
                <w:rFonts w:ascii="Arial" w:cs="Arial" w:eastAsia="Arial" w:hAnsi="Arial"/>
                <w:sz w:val="16"/>
                <w:szCs w:val="16"/>
                <w:color w:val="auto"/>
                <w:w w:val="92"/>
              </w:rPr>
              <w:t>(Zip Code)</w:t>
            </w: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122"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62230</wp:posOffset>
            </wp:positionV>
            <wp:extent cx="1045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120" w:type="dxa"/>
        <w:tblCellMar>
          <w:top w:w="0" w:type="dxa"/>
          <w:left w:w="0" w:type="dxa"/>
          <w:bottom w:w="0" w:type="dxa"/>
          <w:right w:w="0" w:type="dxa"/>
        </w:tblCellMar>
      </w:tblPr>
      <w:tr>
        <w:trPr>
          <w:trHeight w:val="164"/>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2"/>
          </w:tcPr>
          <w:p>
            <w:pPr>
              <w:ind w:left="1560"/>
              <w:spacing w:after="0"/>
              <w:rPr>
                <w:sz w:val="20"/>
                <w:szCs w:val="20"/>
                <w:color w:val="auto"/>
              </w:rPr>
            </w:pPr>
            <w:r>
              <w:rPr>
                <w:rFonts w:ascii="Arial" w:cs="Arial" w:eastAsia="Arial" w:hAnsi="Arial"/>
                <w:sz w:val="13"/>
                <w:szCs w:val="13"/>
                <w:b w:val="1"/>
                <w:bCs w:val="1"/>
                <w:color w:val="auto"/>
              </w:rPr>
              <w:t>Trading</w:t>
            </w:r>
          </w:p>
        </w:tc>
        <w:tc>
          <w:tcPr>
            <w:tcW w:w="2560" w:type="dxa"/>
            <w:vAlign w:val="bottom"/>
          </w:tcPr>
          <w:p>
            <w:pPr>
              <w:jc w:val="center"/>
              <w:spacing w:after="0"/>
              <w:rPr>
                <w:sz w:val="20"/>
                <w:szCs w:val="20"/>
                <w:color w:val="auto"/>
              </w:rPr>
            </w:pPr>
            <w:r>
              <w:rPr>
                <w:rFonts w:ascii="Arial" w:cs="Arial" w:eastAsia="Arial" w:hAnsi="Arial"/>
                <w:sz w:val="13"/>
                <w:szCs w:val="13"/>
                <w:b w:val="1"/>
                <w:bCs w:val="1"/>
                <w:color w:val="auto"/>
                <w:w w:val="83"/>
              </w:rPr>
              <w:t>Name of each exchange</w:t>
            </w:r>
          </w:p>
        </w:tc>
      </w:tr>
      <w:tr>
        <w:trPr>
          <w:trHeight w:val="273"/>
        </w:trPr>
        <w:tc>
          <w:tcPr>
            <w:tcW w:w="356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Pr>
          <w:p>
            <w:pPr>
              <w:spacing w:after="0"/>
              <w:rPr>
                <w:sz w:val="23"/>
                <w:szCs w:val="23"/>
                <w:color w:val="auto"/>
              </w:rPr>
            </w:pPr>
          </w:p>
        </w:tc>
        <w:tc>
          <w:tcPr>
            <w:tcW w:w="334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Symbol(s)</w:t>
            </w:r>
          </w:p>
        </w:tc>
        <w:tc>
          <w:tcPr>
            <w:tcW w:w="220" w:type="dxa"/>
            <w:vAlign w:val="bottom"/>
          </w:tcPr>
          <w:p>
            <w:pPr>
              <w:spacing w:after="0"/>
              <w:rPr>
                <w:sz w:val="23"/>
                <w:szCs w:val="23"/>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on which registered</w:t>
            </w:r>
          </w:p>
        </w:tc>
      </w:tr>
      <w:tr>
        <w:trPr>
          <w:trHeight w:val="211"/>
        </w:trPr>
        <w:tc>
          <w:tcPr>
            <w:tcW w:w="3560" w:type="dxa"/>
            <w:vAlign w:val="bottom"/>
          </w:tcPr>
          <w:p>
            <w:pPr>
              <w:ind w:left="820"/>
              <w:spacing w:after="0"/>
              <w:rPr>
                <w:sz w:val="20"/>
                <w:szCs w:val="20"/>
                <w:color w:val="auto"/>
              </w:rPr>
            </w:pPr>
            <w:r>
              <w:rPr>
                <w:rFonts w:ascii="Arial" w:cs="Arial" w:eastAsia="Arial" w:hAnsi="Arial"/>
                <w:sz w:val="14"/>
                <w:szCs w:val="14"/>
                <w:color w:val="auto"/>
              </w:rPr>
              <w:t>Common Stock, $0.001 par value</w:t>
            </w:r>
          </w:p>
        </w:tc>
        <w:tc>
          <w:tcPr>
            <w:tcW w:w="220" w:type="dxa"/>
            <w:vAlign w:val="bottom"/>
          </w:tcPr>
          <w:p>
            <w:pPr>
              <w:spacing w:after="0"/>
              <w:rPr>
                <w:sz w:val="18"/>
                <w:szCs w:val="18"/>
                <w:color w:val="auto"/>
              </w:rPr>
            </w:pPr>
          </w:p>
        </w:tc>
        <w:tc>
          <w:tcPr>
            <w:tcW w:w="3560" w:type="dxa"/>
            <w:vAlign w:val="bottom"/>
            <w:gridSpan w:val="2"/>
          </w:tcPr>
          <w:p>
            <w:pPr>
              <w:ind w:left="1500"/>
              <w:spacing w:after="0"/>
              <w:rPr>
                <w:sz w:val="20"/>
                <w:szCs w:val="20"/>
                <w:color w:val="auto"/>
              </w:rPr>
            </w:pPr>
            <w:r>
              <w:rPr>
                <w:rFonts w:ascii="Arial" w:cs="Arial" w:eastAsia="Arial" w:hAnsi="Arial"/>
                <w:sz w:val="14"/>
                <w:szCs w:val="14"/>
                <w:color w:val="auto"/>
              </w:rPr>
              <w:t>TPST</w:t>
            </w:r>
          </w:p>
        </w:tc>
        <w:tc>
          <w:tcPr>
            <w:tcW w:w="256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88"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80" w:type="dxa"/>
        <w:tblCellMar>
          <w:top w:w="0" w:type="dxa"/>
          <w:left w:w="0" w:type="dxa"/>
          <w:bottom w:w="0" w:type="dxa"/>
          <w:right w:w="0" w:type="dxa"/>
        </w:tblCellMar>
      </w:tblPr>
      <w:tr>
        <w:trPr>
          <w:trHeight w:val="242"/>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4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77" w:lineRule="exact"/>
        <w:rPr>
          <w:sz w:val="24"/>
          <w:szCs w:val="24"/>
          <w:color w:val="auto"/>
        </w:rPr>
      </w:pPr>
    </w:p>
    <w:p>
      <w:pPr>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40" w:val="left"/>
          <w:tab w:leader="none" w:pos="6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$0.001 par value per share, outstanding as of August 7, 2023 was 13,324,065.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0" w:type="dxa"/>
            <w:vAlign w:val="bottom"/>
            <w:gridSpan w:val="10"/>
          </w:tcPr>
          <w:p>
            <w:pPr>
              <w:jc w:val="center"/>
              <w:ind w:right="3880"/>
              <w:spacing w:after="0"/>
              <w:rPr>
                <w:sz w:val="20"/>
                <w:szCs w:val="20"/>
                <w:color w:val="auto"/>
              </w:rPr>
            </w:pPr>
            <w:r>
              <w:rPr>
                <w:rFonts w:ascii="Arial" w:cs="Arial" w:eastAsia="Arial" w:hAnsi="Arial"/>
                <w:sz w:val="16"/>
                <w:szCs w:val="16"/>
                <w:b w:val="1"/>
                <w:bCs w:val="1"/>
                <w:color w:val="auto"/>
              </w:rPr>
              <w:t>INDEX TO FORM 10-Q</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52"/>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r>
      <w:tr>
        <w:trPr>
          <w:trHeight w:val="277"/>
        </w:trPr>
        <w:tc>
          <w:tcPr>
            <w:tcW w:w="10660" w:type="dxa"/>
            <w:vAlign w:val="bottom"/>
            <w:gridSpan w:val="22"/>
          </w:tcPr>
          <w:p>
            <w:pPr>
              <w:ind w:left="80"/>
              <w:spacing w:after="0"/>
              <w:rPr>
                <w:sz w:val="20"/>
                <w:szCs w:val="20"/>
                <w:color w:val="auto"/>
              </w:rPr>
            </w:pPr>
            <w:r>
              <w:rPr>
                <w:rFonts w:ascii="Arial" w:cs="Arial" w:eastAsia="Arial" w:hAnsi="Arial"/>
                <w:sz w:val="18"/>
                <w:szCs w:val="18"/>
                <w:color w:val="0000FF"/>
              </w:rPr>
              <w:t>Special Note Regarding Forward-Looking Statements</w:t>
            </w: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00FF"/>
                <w:w w:val="89"/>
              </w:rPr>
              <w:t>3</w:t>
            </w:r>
          </w:p>
        </w:tc>
        <w:tc>
          <w:tcPr>
            <w:tcW w:w="26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8"/>
              </w:rPr>
              <w:t>PART I — FINANCIAL INFORMATION</w:t>
            </w:r>
          </w:p>
        </w:tc>
        <w:tc>
          <w:tcPr>
            <w:tcW w:w="3300" w:type="dxa"/>
            <w:vAlign w:val="bottom"/>
            <w:gridSpan w:val="6"/>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5</w:t>
            </w:r>
          </w:p>
        </w:tc>
        <w:tc>
          <w:tcPr>
            <w:tcW w:w="260" w:type="dxa"/>
            <w:vAlign w:val="bottom"/>
          </w:tcPr>
          <w:p>
            <w:pPr>
              <w:spacing w:after="0"/>
              <w:rPr>
                <w:sz w:val="24"/>
                <w:szCs w:val="24"/>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5</w:t>
            </w:r>
          </w:p>
        </w:tc>
        <w:tc>
          <w:tcPr>
            <w:tcW w:w="2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as of June 30, 2023 and December 31, 2022</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5</w:t>
            </w:r>
          </w:p>
        </w:tc>
        <w:tc>
          <w:tcPr>
            <w:tcW w:w="2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2023 and 2022</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6</w:t>
            </w:r>
          </w:p>
        </w:tc>
        <w:tc>
          <w:tcPr>
            <w:tcW w:w="2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w w:val="94"/>
              </w:rPr>
              <w:t>Condensed Consolidated Statements of Stockholders’ Equity for the Three and Six Months Ended June 30, 2023 and 2022</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7</w:t>
            </w:r>
          </w:p>
        </w:tc>
        <w:tc>
          <w:tcPr>
            <w:tcW w:w="2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8</w:t>
            </w:r>
          </w:p>
        </w:tc>
        <w:tc>
          <w:tcPr>
            <w:tcW w:w="2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19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3.</w:t>
            </w:r>
          </w:p>
        </w:tc>
        <w:tc>
          <w:tcPr>
            <w:tcW w:w="930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27</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28</w:t>
            </w:r>
          </w:p>
        </w:tc>
        <w:tc>
          <w:tcPr>
            <w:tcW w:w="260" w:type="dxa"/>
            <w:vAlign w:val="bottom"/>
          </w:tcPr>
          <w:p>
            <w:pPr>
              <w:spacing w:after="0"/>
              <w:rPr>
                <w:sz w:val="24"/>
                <w:szCs w:val="24"/>
                <w:color w:val="auto"/>
              </w:rPr>
            </w:pPr>
          </w:p>
        </w:tc>
      </w:tr>
      <w:tr>
        <w:trPr>
          <w:trHeight w:val="574"/>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10"/>
          </w:tcPr>
          <w:p>
            <w:pPr>
              <w:jc w:val="center"/>
              <w:ind w:right="3460"/>
              <w:spacing w:after="0"/>
              <w:rPr>
                <w:sz w:val="20"/>
                <w:szCs w:val="20"/>
                <w:color w:val="auto"/>
              </w:rPr>
            </w:pPr>
            <w:r>
              <w:rPr>
                <w:rFonts w:ascii="Arial" w:cs="Arial" w:eastAsia="Arial" w:hAnsi="Arial"/>
                <w:sz w:val="18"/>
                <w:szCs w:val="18"/>
                <w:color w:val="0000FF"/>
                <w:w w:val="96"/>
              </w:rPr>
              <w:t>PART II — OTHER INFORMATION</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29</w:t>
            </w:r>
          </w:p>
        </w:tc>
        <w:tc>
          <w:tcPr>
            <w:tcW w:w="260" w:type="dxa"/>
            <w:vAlign w:val="bottom"/>
          </w:tcPr>
          <w:p>
            <w:pPr>
              <w:spacing w:after="0"/>
              <w:rPr>
                <w:sz w:val="24"/>
                <w:szCs w:val="24"/>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1.</w:t>
            </w:r>
          </w:p>
        </w:tc>
        <w:tc>
          <w:tcPr>
            <w:tcW w:w="310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740" w:type="dxa"/>
            <w:vAlign w:val="bottom"/>
            <w:tcBorders>
              <w:top w:val="single" w:sz="8" w:color="0000FF"/>
            </w:tcBorders>
            <w:gridSpan w:val="3"/>
          </w:tcPr>
          <w:p>
            <w:pPr>
              <w:spacing w:after="0"/>
              <w:rPr>
                <w:sz w:val="24"/>
                <w:szCs w:val="24"/>
                <w:color w:val="auto"/>
              </w:rPr>
            </w:pPr>
          </w:p>
        </w:tc>
        <w:tc>
          <w:tcPr>
            <w:tcW w:w="3460" w:type="dxa"/>
            <w:vAlign w:val="bottom"/>
            <w:gridSpan w:val="7"/>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29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1A.</w:t>
            </w:r>
          </w:p>
        </w:tc>
        <w:tc>
          <w:tcPr>
            <w:tcW w:w="930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29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79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3.</w:t>
            </w:r>
          </w:p>
        </w:tc>
        <w:tc>
          <w:tcPr>
            <w:tcW w:w="930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79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79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5.</w:t>
            </w:r>
          </w:p>
        </w:tc>
        <w:tc>
          <w:tcPr>
            <w:tcW w:w="93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79</w:t>
            </w:r>
          </w:p>
        </w:tc>
        <w:tc>
          <w:tcPr>
            <w:tcW w:w="26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Item 6.</w:t>
            </w:r>
          </w:p>
        </w:tc>
        <w:tc>
          <w:tcPr>
            <w:tcW w:w="930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320" w:type="dxa"/>
            <w:vAlign w:val="bottom"/>
          </w:tcPr>
          <w:p>
            <w:pPr>
              <w:jc w:val="center"/>
              <w:spacing w:after="0"/>
              <w:rPr>
                <w:sz w:val="20"/>
                <w:szCs w:val="20"/>
                <w:color w:val="auto"/>
              </w:rPr>
            </w:pPr>
            <w:r>
              <w:rPr>
                <w:rFonts w:ascii="Arial" w:cs="Arial" w:eastAsia="Arial" w:hAnsi="Arial"/>
                <w:sz w:val="16"/>
                <w:szCs w:val="16"/>
                <w:color w:val="0000FF"/>
                <w:w w:val="89"/>
              </w:rPr>
              <w:t>80</w:t>
            </w:r>
          </w:p>
        </w:tc>
        <w:tc>
          <w:tcPr>
            <w:tcW w:w="260" w:type="dxa"/>
            <w:vAlign w:val="bottom"/>
          </w:tcPr>
          <w:p>
            <w:pPr>
              <w:spacing w:after="0"/>
              <w:rPr>
                <w:sz w:val="24"/>
                <w:szCs w:val="24"/>
                <w:color w:val="auto"/>
              </w:rPr>
            </w:pPr>
          </w:p>
        </w:tc>
      </w:tr>
      <w:tr>
        <w:trPr>
          <w:trHeight w:val="277"/>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2"/>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320" w:type="dxa"/>
            <w:vAlign w:val="bottom"/>
            <w:gridSpan w:val="11"/>
          </w:tcPr>
          <w:p>
            <w:pPr>
              <w:jc w:val="right"/>
              <w:ind w:right="2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contained in this Quarterly Report on Form 10-Q include, but are not limited to, statements about:</w:t>
      </w:r>
    </w:p>
    <w:p>
      <w:pPr>
        <w:spacing w:after="0" w:line="198"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future growth and our ability to manage such growth;</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TPST-1495 and TPST-1120 and our future product candidates;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regulatory approval, efficacy and commercialization of competing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sales and marketing capabilities or enter into agreements with third parties to market and sell our product candidates;</w:t>
      </w:r>
    </w:p>
    <w:p>
      <w:pPr>
        <w:spacing w:after="0" w:line="20" w:lineRule="exact"/>
        <w:rPr>
          <w:rFonts w:ascii="Arial" w:cs="Arial" w:eastAsia="Arial" w:hAnsi="Arial"/>
          <w:sz w:val="17"/>
          <w:szCs w:val="17"/>
          <w:color w:val="auto"/>
        </w:rPr>
      </w:pPr>
    </w:p>
    <w:p>
      <w:pPr>
        <w:ind w:left="280" w:hanging="272"/>
        <w:spacing w:after="0" w:line="250"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regulatory approval for our product candidates or future product candidates in the United States and in any foreign countries in which we make seek to do business;</w:t>
      </w: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our board of directors, senior management, or operational personnel;</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period during which we will qualify as a smaller reporting company under the federal securities laws;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maintain our corporate infrastructure, including our ability to design and maintain an effective system of internal controls;</w:t>
      </w:r>
    </w:p>
    <w:p>
      <w:pPr>
        <w:spacing w:after="0" w:line="32" w:lineRule="exact"/>
        <w:rPr>
          <w:rFonts w:ascii="Arial" w:cs="Arial" w:eastAsia="Arial" w:hAnsi="Arial"/>
          <w:sz w:val="16"/>
          <w:szCs w:val="16"/>
          <w:color w:val="auto"/>
        </w:rPr>
      </w:pPr>
    </w:p>
    <w:p>
      <w:pPr>
        <w:ind w:left="280" w:hanging="272"/>
        <w:spacing w:after="0" w:line="260"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for any failure to comply with the covenants contained in such term loan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280" w:hanging="272"/>
        <w:spacing w:after="0" w:line="258"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and abroad, including as a result of bank failures, public health crises or geopolitical tensions; and</w:t>
      </w:r>
    </w:p>
    <w:p>
      <w:pPr>
        <w:spacing w:after="0" w:line="1" w:lineRule="exact"/>
        <w:rPr>
          <w:rFonts w:ascii="Arial" w:cs="Arial" w:eastAsia="Arial" w:hAnsi="Arial"/>
          <w:sz w:val="18"/>
          <w:szCs w:val="18"/>
          <w:color w:val="auto"/>
        </w:rPr>
      </w:pPr>
    </w:p>
    <w:p>
      <w:pPr>
        <w:ind w:left="280" w:hanging="272"/>
        <w:spacing w:after="0" w:line="290" w:lineRule="auto"/>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TEMPEST THERAPEUTICS, INC.</w:t>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9"/>
              </w:rPr>
              <w:t>June 30, 2023</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 2022</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17,604</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Insurance recovery of legal settlement</w:t>
            </w:r>
          </w:p>
        </w:tc>
        <w:tc>
          <w:tcPr>
            <w:tcW w:w="220" w:type="dxa"/>
            <w:vAlign w:val="bottom"/>
          </w:tcPr>
          <w:p>
            <w:pPr>
              <w:spacing w:after="0"/>
              <w:rPr>
                <w:sz w:val="20"/>
                <w:szCs w:val="20"/>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18,535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32,950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 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11,650</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30,742</w:t>
            </w:r>
          </w:p>
        </w:tc>
        <w:tc>
          <w:tcPr>
            <w:tcW w:w="3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legal settlement</w:t>
            </w:r>
          </w:p>
        </w:tc>
        <w:tc>
          <w:tcPr>
            <w:tcW w:w="220" w:type="dxa"/>
            <w:vAlign w:val="bottom"/>
          </w:tcPr>
          <w:p>
            <w:pPr>
              <w:spacing w:after="0"/>
              <w:rPr>
                <w:sz w:val="20"/>
                <w:szCs w:val="20"/>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Current loan payable (net of discount and issuance costs of $104 and nil,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payable</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8,638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7,277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payable (net of discount and issuance costs of $263 and $454, respectively)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10,371</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140" w:type="dxa"/>
            <w:vAlign w:val="bottom"/>
          </w:tcPr>
          <w:p>
            <w:pPr>
              <w:spacing w:after="0"/>
              <w:rPr>
                <w:sz w:val="21"/>
                <w:szCs w:val="21"/>
                <w:color w:val="auto"/>
              </w:rPr>
            </w:pPr>
          </w:p>
        </w:tc>
      </w:tr>
      <w:tr>
        <w:trPr>
          <w:trHeight w:val="23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25,730</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Common stock, $0.001 par value; 100,000,000 shares authorized; 12,583,833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w w:val="94"/>
              </w:rPr>
              <w:t>10,518,539 shares issued and outstanding at June 30, 2023 and December 31, 2022,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155,988</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153,872</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(150,989 )</w:t>
            </w:r>
          </w:p>
        </w:tc>
        <w:tc>
          <w:tcPr>
            <w:tcW w:w="12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(135,772 )</w:t>
            </w:r>
          </w:p>
        </w:tc>
      </w:tr>
      <w:tr>
        <w:trPr>
          <w:trHeight w:val="236"/>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5,012</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30,742</w:t>
            </w:r>
          </w:p>
        </w:tc>
        <w:tc>
          <w:tcPr>
            <w:tcW w:w="3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-4105910</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-4105910</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-3479800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-3479800</wp:posOffset>
            </wp:positionV>
            <wp:extent cx="8572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-1902460</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-1902460</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-1268095</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-1268095</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 w:name="page6"/>
    <w:bookmarkEnd w:id="5"/>
    <w:p>
      <w:pPr>
        <w:spacing w:after="0" w:line="223" w:lineRule="auto"/>
        <w:framePr w:w="880" w:h="160" w:wrap="auto" w:vAnchor="page" w:hAnchor="page" w:x="6460" w:y="6109"/>
        <w:rPr>
          <w:rFonts w:ascii="Arial" w:cs="Arial" w:eastAsia="Arial" w:hAnsi="Arial"/>
          <w:sz w:val="18"/>
          <w:szCs w:val="18"/>
          <w:color w:val="auto"/>
        </w:rPr>
      </w:pPr>
      <w:r>
        <w:rPr>
          <w:rFonts w:ascii="Arial" w:cs="Arial" w:eastAsia="Arial" w:hAnsi="Arial"/>
          <w:sz w:val="18"/>
          <w:szCs w:val="18"/>
          <w:color w:val="auto"/>
        </w:rPr>
        <w:t>14,102,211</w:t>
      </w:r>
    </w:p>
    <w:p>
      <w:pPr>
        <w:spacing w:after="0" w:line="223" w:lineRule="auto"/>
        <w:framePr w:w="880" w:h="160" w:wrap="auto" w:vAnchor="page" w:hAnchor="page" w:x="7960" w:y="6109"/>
        <w:rPr>
          <w:rFonts w:ascii="Arial" w:cs="Arial" w:eastAsia="Arial" w:hAnsi="Arial"/>
          <w:sz w:val="15"/>
          <w:szCs w:val="15"/>
          <w:color w:val="auto"/>
        </w:rPr>
      </w:pPr>
      <w:r>
        <w:rPr>
          <w:rFonts w:ascii="Arial" w:cs="Arial" w:eastAsia="Arial" w:hAnsi="Arial"/>
          <w:sz w:val="15"/>
          <w:szCs w:val="15"/>
          <w:color w:val="auto"/>
        </w:rPr>
        <w:t>11,573,432</w:t>
      </w:r>
    </w:p>
    <w:p>
      <w:pPr>
        <w:spacing w:after="0" w:line="327" w:lineRule="auto"/>
        <w:framePr w:w="5740" w:h="565" w:wrap="auto" w:vAnchor="page" w:hAnchor="page" w:x="3260" w:y="6554"/>
        <w:rPr>
          <w:rFonts w:ascii="Arial" w:cs="Arial" w:eastAsia="Arial" w:hAnsi="Arial"/>
          <w:sz w:val="18"/>
          <w:szCs w:val="18"/>
          <w:color w:val="auto"/>
        </w:rPr>
      </w:pPr>
      <w:r>
        <w:rPr>
          <w:rFonts w:ascii="Arial" w:cs="Arial" w:eastAsia="Arial" w:hAnsi="Arial"/>
          <w:sz w:val="18"/>
          <w:szCs w:val="18"/>
          <w:color w:val="auto"/>
        </w:rPr>
        <w:t>See accompanying Notes to the Condensed Consolidated Financial Statements 6</w:t>
      </w: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4560"/>
        <w:spacing w:after="0"/>
        <w:rPr>
          <w:sz w:val="20"/>
          <w:szCs w:val="20"/>
          <w:color w:val="auto"/>
        </w:rPr>
      </w:pPr>
      <w:r>
        <w:rPr>
          <w:rFonts w:ascii="Arial" w:cs="Arial" w:eastAsia="Arial" w:hAnsi="Arial"/>
          <w:sz w:val="16"/>
          <w:szCs w:val="16"/>
          <w:b w:val="1"/>
          <w:bCs w:val="1"/>
          <w:color w:val="auto"/>
        </w:rPr>
        <w:t>TEMPEST THERAPEUTICS, INC.</w:t>
      </w:r>
    </w:p>
    <w:p>
      <w:pPr>
        <w:spacing w:after="0" w:line="26" w:lineRule="exact"/>
        <w:rPr>
          <w:rFonts w:ascii="Arial" w:cs="Arial" w:eastAsia="Arial" w:hAnsi="Arial"/>
          <w:sz w:val="18"/>
          <w:szCs w:val="18"/>
          <w:color w:val="auto"/>
        </w:rPr>
      </w:pPr>
    </w:p>
    <w:p>
      <w:pPr>
        <w:ind w:left="386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rFonts w:ascii="Arial" w:cs="Arial" w:eastAsia="Arial" w:hAnsi="Arial"/>
          <w:sz w:val="18"/>
          <w:szCs w:val="18"/>
          <w:color w:val="auto"/>
        </w:rPr>
      </w:pPr>
    </w:p>
    <w:p>
      <w:pPr>
        <w:jc w:val="center"/>
        <w:ind w:left="360"/>
        <w:spacing w:after="0"/>
        <w:rPr>
          <w:sz w:val="20"/>
          <w:szCs w:val="20"/>
          <w:color w:val="auto"/>
        </w:rPr>
      </w:pPr>
      <w:r>
        <w:rPr>
          <w:rFonts w:ascii="Arial" w:cs="Arial" w:eastAsia="Arial" w:hAnsi="Arial"/>
          <w:sz w:val="16"/>
          <w:szCs w:val="16"/>
          <w:b w:val="1"/>
          <w:bCs w:val="1"/>
          <w:color w:val="auto"/>
        </w:rPr>
        <w:t>(Unaudited)</w:t>
      </w:r>
    </w:p>
    <w:p>
      <w:pPr>
        <w:spacing w:after="0" w:line="19" w:lineRule="exact"/>
        <w:rPr>
          <w:rFonts w:ascii="Arial" w:cs="Arial" w:eastAsia="Arial" w:hAnsi="Arial"/>
          <w:sz w:val="18"/>
          <w:szCs w:val="18"/>
          <w:color w:val="auto"/>
        </w:rPr>
      </w:pPr>
    </w:p>
    <w:p>
      <w:pPr>
        <w:jc w:val="center"/>
        <w:ind w:left="36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85"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7"/>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30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17"/>
        </w:trPr>
        <w:tc>
          <w:tcPr>
            <w:tcW w:w="57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0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(7,470 )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(8,774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(15,051 )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(16,935 )</w:t>
            </w: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(355 )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(464 )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(699 )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(797 )</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Interest income and 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3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(111 )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(166 )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(724 )</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(7,581 )</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(9,168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(15,217 )</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(17,659 )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Net loss per share of common stock and pre-funded warrants, basic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(0.54 )</w:t>
            </w:r>
          </w:p>
        </w:tc>
        <w:tc>
          <w:tcPr>
            <w:tcW w:w="160" w:type="dxa"/>
            <w:vAlign w:val="bottom"/>
            <w:shd w:val="clear" w:color="auto" w:fill="CFF0FC"/>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(0.79 )</w:t>
            </w:r>
          </w:p>
        </w:tc>
        <w:tc>
          <w:tcPr>
            <w:tcW w:w="1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(1.09 )</w:t>
            </w:r>
          </w:p>
        </w:tc>
        <w:tc>
          <w:tcPr>
            <w:tcW w:w="160" w:type="dxa"/>
            <w:vAlign w:val="bottom"/>
            <w:shd w:val="clear" w:color="auto" w:fill="CFF0FC"/>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diluted</w:t>
            </w:r>
          </w:p>
        </w:tc>
        <w:tc>
          <w:tcPr>
            <w:tcW w:w="22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color w:val="auto"/>
              </w:rPr>
              <w:t>Weighted-average shares of common stock and pre-funded warrants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13,933,629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9,382,515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5"/>
        </w:trPr>
        <w:tc>
          <w:tcPr>
            <w:tcW w:w="5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4436745</wp:posOffset>
            </wp:positionH>
            <wp:positionV relativeFrom="paragraph">
              <wp:posOffset>-2476500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-2476500</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-2476500</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-1851025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-1851025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-1851025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-1525270</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-1525270</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-1525270</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-1071245</wp:posOffset>
            </wp:positionV>
            <wp:extent cx="2700655" cy="454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0655" cy="4546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TEMPEST THERAPEUTICS, INC.</w:t>
      </w:r>
    </w:p>
    <w:p>
      <w:pPr>
        <w:spacing w:after="0" w:line="26"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20"/>
                <w:szCs w:val="20"/>
                <w:color w:val="auto"/>
              </w:rPr>
            </w:pPr>
            <w:r>
              <w:rPr>
                <w:rFonts w:ascii="Arial" w:cs="Arial" w:eastAsia="Arial" w:hAnsi="Arial"/>
                <w:sz w:val="16"/>
                <w:szCs w:val="16"/>
                <w:b w:val="1"/>
                <w:bCs w:val="1"/>
                <w:color w:val="auto"/>
              </w:rPr>
              <w:t>Three and Six Months Ended June 30, 2023</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3820" w:type="dxa"/>
            <w:vAlign w:val="bottom"/>
          </w:tcPr>
          <w:p>
            <w:pPr>
              <w:spacing w:after="0"/>
              <w:rPr>
                <w:sz w:val="24"/>
                <w:szCs w:val="24"/>
                <w:color w:val="auto"/>
              </w:rPr>
            </w:pPr>
          </w:p>
        </w:tc>
        <w:tc>
          <w:tcPr>
            <w:tcW w:w="2620" w:type="dxa"/>
            <w:vAlign w:val="bottom"/>
            <w:gridSpan w:val="4"/>
            <w:vMerge w:val="restart"/>
          </w:tcPr>
          <w:p>
            <w:pPr>
              <w:jc w:val="right"/>
              <w:ind w:right="687"/>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46"/>
              <w:spacing w:after="0"/>
              <w:rPr>
                <w:sz w:val="20"/>
                <w:szCs w:val="20"/>
                <w:color w:val="auto"/>
              </w:rPr>
            </w:pPr>
            <w:r>
              <w:rPr>
                <w:rFonts w:ascii="Arial" w:cs="Arial" w:eastAsia="Arial" w:hAnsi="Arial"/>
                <w:sz w:val="16"/>
                <w:szCs w:val="16"/>
                <w:b w:val="1"/>
                <w:bCs w:val="1"/>
                <w:color w:val="auto"/>
                <w:w w:val="94"/>
              </w:rPr>
              <w:t>Additional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262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26"/>
              <w:spacing w:after="0"/>
              <w:rPr>
                <w:sz w:val="20"/>
                <w:szCs w:val="20"/>
                <w:color w:val="auto"/>
              </w:rPr>
            </w:pPr>
            <w:r>
              <w:rPr>
                <w:rFonts w:ascii="Arial" w:cs="Arial" w:eastAsia="Arial" w:hAnsi="Arial"/>
                <w:sz w:val="16"/>
                <w:szCs w:val="16"/>
                <w:b w:val="1"/>
                <w:bCs w:val="1"/>
                <w:color w:val="auto"/>
                <w:w w:val="97"/>
              </w:rPr>
              <w:t>Paid-In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220" w:type="dxa"/>
            <w:vAlign w:val="bottom"/>
          </w:tcPr>
          <w:p>
            <w:pPr>
              <w:jc w:val="right"/>
              <w:ind w:right="307"/>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7"/>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26"/>
              <w:spacing w:after="0"/>
              <w:rPr>
                <w:sz w:val="20"/>
                <w:szCs w:val="20"/>
                <w:color w:val="auto"/>
              </w:rPr>
            </w:pPr>
            <w:r>
              <w:rPr>
                <w:rFonts w:ascii="Arial" w:cs="Arial" w:eastAsia="Arial" w:hAnsi="Arial"/>
                <w:sz w:val="16"/>
                <w:szCs w:val="16"/>
                <w:b w:val="1"/>
                <w:bCs w:val="1"/>
                <w:color w:val="auto"/>
                <w:w w:val="97"/>
              </w:rPr>
              <w:t>Capital</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8"/>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Equity (Deficit)</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10,518,539</w:t>
            </w: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153,872</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(135,772</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18,111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4"/>
                <w:szCs w:val="14"/>
                <w:color w:val="auto"/>
              </w:rPr>
              <w:t>Issuance of common stock for cash</w:t>
            </w:r>
          </w:p>
        </w:tc>
        <w:tc>
          <w:tcPr>
            <w:tcW w:w="1220" w:type="dxa"/>
            <w:vAlign w:val="bottom"/>
          </w:tcPr>
          <w:p>
            <w:pPr>
              <w:jc w:val="right"/>
              <w:spacing w:after="0"/>
              <w:rPr>
                <w:sz w:val="20"/>
                <w:szCs w:val="20"/>
                <w:color w:val="auto"/>
              </w:rPr>
            </w:pPr>
            <w:r>
              <w:rPr>
                <w:rFonts w:ascii="Arial" w:cs="Arial" w:eastAsia="Arial" w:hAnsi="Arial"/>
                <w:sz w:val="14"/>
                <w:szCs w:val="14"/>
                <w:color w:val="auto"/>
              </w:rPr>
              <w:t>43,161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(7,636 )</w:t>
            </w:r>
          </w:p>
        </w:tc>
        <w:tc>
          <w:tcPr>
            <w:tcW w:w="12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(7,636 )</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March 31,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10,561,700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154,362</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(143,408</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10,965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Arial" w:cs="Arial" w:eastAsia="Arial" w:hAnsi="Arial"/>
                <w:sz w:val="14"/>
                <w:szCs w:val="14"/>
                <w:color w:val="auto"/>
                <w:w w:val="95"/>
              </w:rPr>
              <w:t>Issuance of common stock for cash, net of issuance cost of $30</w:t>
            </w:r>
          </w:p>
        </w:tc>
        <w:tc>
          <w:tcPr>
            <w:tcW w:w="1220" w:type="dxa"/>
            <w:vAlign w:val="bottom"/>
          </w:tcPr>
          <w:p>
            <w:pPr>
              <w:jc w:val="right"/>
              <w:spacing w:after="0"/>
              <w:rPr>
                <w:sz w:val="20"/>
                <w:szCs w:val="20"/>
                <w:color w:val="auto"/>
              </w:rPr>
            </w:pPr>
            <w:r>
              <w:rPr>
                <w:rFonts w:ascii="Arial" w:cs="Arial" w:eastAsia="Arial" w:hAnsi="Arial"/>
                <w:sz w:val="14"/>
                <w:szCs w:val="14"/>
                <w:color w:val="auto"/>
              </w:rPr>
              <w:t>537,546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pre-funded warrants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1,484,174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(7,581 )</w:t>
            </w:r>
          </w:p>
        </w:tc>
        <w:tc>
          <w:tcPr>
            <w:tcW w:w="12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(7,581 )</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 June 30, 2023</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12,583,833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155,988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(150,989</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5,012</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3820" w:type="dxa"/>
            <w:vAlign w:val="bottom"/>
          </w:tcPr>
          <w:p>
            <w:pPr>
              <w:spacing w:after="0"/>
              <w:rPr>
                <w:sz w:val="20"/>
                <w:szCs w:val="20"/>
                <w:color w:val="auto"/>
              </w:rPr>
            </w:pPr>
            <w:r>
              <w:rPr>
                <w:rFonts w:ascii="Arial" w:cs="Arial" w:eastAsia="Arial" w:hAnsi="Arial"/>
                <w:sz w:val="16"/>
                <w:szCs w:val="16"/>
                <w:b w:val="1"/>
                <w:bCs w:val="1"/>
                <w:color w:val="auto"/>
              </w:rPr>
              <w:t>Three and Six Months Ended June 30, 2022</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20" w:type="dxa"/>
            <w:vAlign w:val="bottom"/>
          </w:tcPr>
          <w:p>
            <w:pPr>
              <w:spacing w:after="0"/>
              <w:rPr>
                <w:sz w:val="24"/>
                <w:szCs w:val="24"/>
                <w:color w:val="auto"/>
              </w:rPr>
            </w:pPr>
          </w:p>
        </w:tc>
        <w:tc>
          <w:tcPr>
            <w:tcW w:w="2620" w:type="dxa"/>
            <w:vAlign w:val="bottom"/>
            <w:gridSpan w:val="4"/>
            <w:vMerge w:val="restart"/>
          </w:tcPr>
          <w:p>
            <w:pPr>
              <w:jc w:val="right"/>
              <w:ind w:right="687"/>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46"/>
              <w:spacing w:after="0"/>
              <w:rPr>
                <w:sz w:val="20"/>
                <w:szCs w:val="20"/>
                <w:color w:val="auto"/>
              </w:rPr>
            </w:pPr>
            <w:r>
              <w:rPr>
                <w:rFonts w:ascii="Arial" w:cs="Arial" w:eastAsia="Arial" w:hAnsi="Arial"/>
                <w:sz w:val="16"/>
                <w:szCs w:val="16"/>
                <w:b w:val="1"/>
                <w:bCs w:val="1"/>
                <w:color w:val="auto"/>
                <w:w w:val="94"/>
              </w:rPr>
              <w:t>Additional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262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26"/>
              <w:spacing w:after="0"/>
              <w:rPr>
                <w:sz w:val="20"/>
                <w:szCs w:val="20"/>
                <w:color w:val="auto"/>
              </w:rPr>
            </w:pPr>
            <w:r>
              <w:rPr>
                <w:rFonts w:ascii="Arial" w:cs="Arial" w:eastAsia="Arial" w:hAnsi="Arial"/>
                <w:sz w:val="16"/>
                <w:szCs w:val="16"/>
                <w:b w:val="1"/>
                <w:bCs w:val="1"/>
                <w:color w:val="auto"/>
                <w:w w:val="97"/>
              </w:rPr>
              <w:t>Paid-In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220" w:type="dxa"/>
            <w:vAlign w:val="bottom"/>
          </w:tcPr>
          <w:p>
            <w:pPr>
              <w:jc w:val="right"/>
              <w:ind w:right="307"/>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7"/>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26"/>
              <w:spacing w:after="0"/>
              <w:rPr>
                <w:sz w:val="20"/>
                <w:szCs w:val="20"/>
                <w:color w:val="auto"/>
              </w:rPr>
            </w:pPr>
            <w:r>
              <w:rPr>
                <w:rFonts w:ascii="Arial" w:cs="Arial" w:eastAsia="Arial" w:hAnsi="Arial"/>
                <w:sz w:val="16"/>
                <w:szCs w:val="16"/>
                <w:b w:val="1"/>
                <w:bCs w:val="1"/>
                <w:color w:val="auto"/>
                <w:w w:val="97"/>
              </w:rPr>
              <w:t>Capital</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8"/>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Equity (Deficit)</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Arial" w:cs="Arial" w:eastAsia="Arial" w:hAnsi="Arial"/>
                <w:sz w:val="14"/>
                <w:szCs w:val="14"/>
                <w:color w:val="auto"/>
              </w:rPr>
              <w:t>BALANCE — December 31, 2021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6,910,324</w:t>
            </w: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136,173</w:t>
            </w:r>
          </w:p>
        </w:tc>
        <w:tc>
          <w:tcPr>
            <w:tcW w:w="2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(100,063</w:t>
            </w:r>
          </w:p>
        </w:tc>
        <w:tc>
          <w:tcPr>
            <w:tcW w:w="260" w:type="dxa"/>
            <w:vAlign w:val="bottom"/>
          </w:tcPr>
          <w:p>
            <w:pPr>
              <w:jc w:val="right"/>
              <w:ind w:right="12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for cash, net of issuance</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 of $44</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262,770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(8,491 )</w:t>
            </w: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(8,491 )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4"/>
                <w:szCs w:val="14"/>
                <w:color w:val="auto"/>
              </w:rPr>
              <w:t>BALANCE — March 31, 2022</w:t>
            </w:r>
          </w:p>
        </w:tc>
        <w:tc>
          <w:tcPr>
            <w:tcW w:w="1220" w:type="dxa"/>
            <w:vAlign w:val="bottom"/>
          </w:tcPr>
          <w:p>
            <w:pPr>
              <w:jc w:val="right"/>
              <w:spacing w:after="0"/>
              <w:rPr>
                <w:sz w:val="20"/>
                <w:szCs w:val="20"/>
                <w:color w:val="auto"/>
              </w:rPr>
            </w:pPr>
            <w:r>
              <w:rPr>
                <w:rFonts w:ascii="Arial" w:cs="Arial" w:eastAsia="Arial" w:hAnsi="Arial"/>
                <w:sz w:val="14"/>
                <w:szCs w:val="14"/>
                <w:color w:val="auto"/>
              </w:rPr>
              <w:t>7,173,094</w:t>
            </w:r>
          </w:p>
        </w:tc>
        <w:tc>
          <w:tcPr>
            <w:tcW w:w="24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137,904</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(108,554 )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29,357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for cash, net of issuance</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 of $343</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3,152,265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Issuance of pre-funded warrants, net of issuance cost of $283</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(9,168 )</w:t>
            </w:r>
          </w:p>
        </w:tc>
        <w:tc>
          <w:tcPr>
            <w:tcW w:w="12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(9,168 )</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 June 30, 2022</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10,325,359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152,644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(117,722</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34,932</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-2348230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-2331085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-2348230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-2331085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-2348230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-2331085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-2348230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-2331085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-2331085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-805180</wp:posOffset>
            </wp:positionV>
            <wp:extent cx="8572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-805180</wp:posOffset>
            </wp:positionV>
            <wp:extent cx="7683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-805180</wp:posOffset>
            </wp:positionV>
            <wp:extent cx="8572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-805180</wp:posOffset>
            </wp:positionV>
            <wp:extent cx="7747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-805180</wp:posOffset>
            </wp:positionV>
            <wp:extent cx="8572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-25400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TEMPEST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thousands)</w:t>
      </w:r>
    </w:p>
    <w:p>
      <w:pPr>
        <w:spacing w:after="0" w:line="267" w:lineRule="exact"/>
        <w:rPr>
          <w:sz w:val="20"/>
          <w:szCs w:val="20"/>
          <w:color w:val="auto"/>
        </w:rPr>
      </w:pPr>
    </w:p>
    <w:p>
      <w:pPr>
        <w:jc w:val="center"/>
        <w:ind w:left="7360"/>
        <w:spacing w:after="0"/>
        <w:rPr>
          <w:sz w:val="20"/>
          <w:szCs w:val="20"/>
          <w:color w:val="auto"/>
        </w:rPr>
      </w:pPr>
      <w:r>
        <w:rPr>
          <w:rFonts w:ascii="Arial" w:cs="Arial" w:eastAsia="Arial" w:hAnsi="Arial"/>
          <w:sz w:val="16"/>
          <w:szCs w:val="16"/>
          <w:b w:val="1"/>
          <w:bCs w:val="1"/>
          <w:color w:val="auto"/>
        </w:rPr>
        <w:t>For the Six Months</w:t>
      </w:r>
    </w:p>
    <w:p>
      <w:pPr>
        <w:spacing w:after="0" w:line="26" w:lineRule="exact"/>
        <w:rPr>
          <w:sz w:val="20"/>
          <w:szCs w:val="20"/>
          <w:color w:val="auto"/>
        </w:rPr>
      </w:pPr>
    </w:p>
    <w:p>
      <w:pPr>
        <w:jc w:val="center"/>
        <w:ind w:left="7360"/>
        <w:spacing w:after="0"/>
        <w:rPr>
          <w:sz w:val="20"/>
          <w:szCs w:val="20"/>
          <w:color w:val="auto"/>
        </w:rPr>
      </w:pPr>
      <w:r>
        <w:rPr>
          <w:rFonts w:ascii="Arial" w:cs="Arial" w:eastAsia="Arial" w:hAnsi="Arial"/>
          <w:sz w:val="16"/>
          <w:szCs w:val="16"/>
          <w:b w:val="1"/>
          <w:bCs w:val="1"/>
          <w:color w:val="auto"/>
        </w:rPr>
        <w:t>Ended 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(15,217 )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(17,659 )</w:t>
            </w: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and other expense, net</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(240 )</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(931 )</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8"/>
                <w:szCs w:val="18"/>
                <w:color w:val="auto"/>
              </w:rPr>
              <w:t>Interest payable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10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(721 )</w:t>
            </w:r>
          </w:p>
        </w:tc>
        <w:tc>
          <w:tcPr>
            <w:tcW w:w="3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(839 )</w:t>
            </w:r>
          </w:p>
        </w:tc>
      </w:tr>
      <w:tr>
        <w:trPr>
          <w:trHeight w:val="20"/>
        </w:trPr>
        <w:tc>
          <w:tcPr>
            <w:tcW w:w="7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520" w:type="dxa"/>
            <w:vAlign w:val="bottom"/>
          </w:tcPr>
          <w:p>
            <w:pPr>
              <w:ind w:left="560"/>
              <w:spacing w:after="0"/>
              <w:rPr>
                <w:sz w:val="20"/>
                <w:szCs w:val="20"/>
                <w:color w:val="auto"/>
              </w:rPr>
            </w:pPr>
            <w:r>
              <w:rPr>
                <w:rFonts w:ascii="Arial" w:cs="Arial" w:eastAsia="Arial" w:hAnsi="Arial"/>
                <w:sz w:val="18"/>
                <w:szCs w:val="18"/>
                <w:color w:val="auto"/>
              </w:rPr>
              <w:t>Cash used in operating activities</w:t>
            </w:r>
          </w:p>
        </w:tc>
        <w:tc>
          <w:tcPr>
            <w:tcW w:w="102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(14,695 )</w:t>
            </w:r>
          </w:p>
        </w:tc>
        <w:tc>
          <w:tcPr>
            <w:tcW w:w="3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(15,521 )</w:t>
            </w: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1020" w:type="dxa"/>
            <w:vAlign w:val="bottom"/>
          </w:tcPr>
          <w:p>
            <w:pPr>
              <w:spacing w:after="0"/>
              <w:rPr>
                <w:sz w:val="21"/>
                <w:szCs w:val="21"/>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(163 )</w:t>
            </w:r>
          </w:p>
        </w:tc>
        <w:tc>
          <w:tcPr>
            <w:tcW w:w="3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(98 )</w:t>
            </w:r>
          </w:p>
        </w:tc>
      </w:tr>
      <w:tr>
        <w:trPr>
          <w:trHeight w:val="236"/>
        </w:trPr>
        <w:tc>
          <w:tcPr>
            <w:tcW w:w="75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Cash used in investing activities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2"/>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common stock, net of issuance costs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14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the issuance of pre-funded warrants, net of issuance costs</w:t>
            </w:r>
          </w:p>
        </w:tc>
        <w:tc>
          <w:tcPr>
            <w:tcW w:w="1020" w:type="dxa"/>
            <w:vAlign w:val="bottom"/>
          </w:tcPr>
          <w:p>
            <w:pPr>
              <w:spacing w:after="0"/>
              <w:rPr>
                <w:sz w:val="21"/>
                <w:szCs w:val="21"/>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7,281</w:t>
            </w:r>
          </w:p>
        </w:tc>
        <w:tc>
          <w:tcPr>
            <w:tcW w:w="140" w:type="dxa"/>
            <w:vAlign w:val="bottom"/>
          </w:tcPr>
          <w:p>
            <w:pPr>
              <w:spacing w:after="0"/>
              <w:rPr>
                <w:sz w:val="21"/>
                <w:szCs w:val="21"/>
                <w:color w:val="auto"/>
              </w:rPr>
            </w:pPr>
          </w:p>
        </w:tc>
      </w:tr>
      <w:tr>
        <w:trPr>
          <w:trHeight w:val="237"/>
        </w:trPr>
        <w:tc>
          <w:tcPr>
            <w:tcW w:w="75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Cash provided by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14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(13,626 )</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r>
      <w:tr>
        <w:trPr>
          <w:trHeight w:val="24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31,598</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3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51,989</w:t>
            </w:r>
          </w:p>
        </w:tc>
        <w:tc>
          <w:tcPr>
            <w:tcW w:w="14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20"/>
                <w:szCs w:val="20"/>
                <w:color w:val="auto"/>
              </w:rPr>
            </w:pPr>
          </w:p>
        </w:tc>
      </w:tr>
      <w:tr>
        <w:trPr>
          <w:trHeight w:val="23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paid for income taxes</w:t>
            </w:r>
          </w:p>
        </w:tc>
        <w:tc>
          <w:tcPr>
            <w:tcW w:w="1020" w:type="dxa"/>
            <w:vAlign w:val="bottom"/>
            <w:tcBorders>
              <w:bottom w:val="single" w:sz="8" w:color="auto"/>
            </w:tcBorders>
            <w:shd w:val="clear" w:color="auto" w:fill="CFF0FC"/>
          </w:tcPr>
          <w:p>
            <w:pPr>
              <w:jc w:val="right"/>
              <w:ind w:right="83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 xml:space="preserve">Non-cash operating activities: </w:t>
            </w:r>
            <w:r>
              <w:rPr>
                <w:rFonts w:ascii="Arial" w:cs="Arial" w:eastAsia="Arial" w:hAnsi="Arial"/>
                <w:sz w:val="18"/>
                <w:szCs w:val="18"/>
                <w:color w:val="auto"/>
              </w:rPr>
              <w:t>Lease modification</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20"/>
                <w:szCs w:val="20"/>
                <w:color w:val="auto"/>
              </w:rPr>
            </w:pPr>
          </w:p>
        </w:tc>
      </w:tr>
      <w:tr>
        <w:trPr>
          <w:trHeight w:val="276"/>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Non-cash investing activities: </w:t>
            </w:r>
            <w:r>
              <w:rPr>
                <w:rFonts w:ascii="Arial" w:cs="Arial" w:eastAsia="Arial" w:hAnsi="Arial"/>
                <w:sz w:val="18"/>
                <w:szCs w:val="18"/>
                <w:color w:val="auto"/>
              </w:rPr>
              <w:t>Property and equipment in accounts payable</w:t>
            </w:r>
          </w:p>
        </w:tc>
        <w:tc>
          <w:tcPr>
            <w:tcW w:w="1020" w:type="dxa"/>
            <w:vAlign w:val="bottom"/>
            <w:tcBorders>
              <w:top w:val="single" w:sz="8" w:color="auto"/>
              <w:bottom w:val="single" w:sz="8" w:color="auto"/>
            </w:tcBorders>
            <w:shd w:val="clear" w:color="auto" w:fill="CFF0FC"/>
          </w:tcPr>
          <w:p>
            <w:pPr>
              <w:jc w:val="right"/>
              <w:ind w:right="83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-2605405</wp:posOffset>
            </wp:positionV>
            <wp:extent cx="8572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-2605405</wp:posOffset>
            </wp:positionV>
            <wp:extent cx="857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-1962785</wp:posOffset>
            </wp:positionV>
            <wp:extent cx="8572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-1962785</wp:posOffset>
            </wp:positionV>
            <wp:extent cx="857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-1019810</wp:posOffset>
            </wp:positionV>
            <wp:extent cx="857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-1019810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-676910</wp:posOffset>
            </wp:positionV>
            <wp:extent cx="8572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-676910</wp:posOffset>
            </wp:positionV>
            <wp:extent cx="857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-351155</wp:posOffset>
            </wp:positionV>
            <wp:extent cx="8572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are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Tempest Therapeutics, Inc. (“Tempest” or the “Company”)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an orally available inhibitor of TREX-1, a target that controls activation of the cGAS/STING pathway. Tempest is headquartered in Brisbane, California.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252"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auto"/>
        </w:rPr>
        <w:t>The Company has not yet generated product sales and as a result has experienced operating losses since inception. As of June 30, 2023, the Company had cash and cash equivalents of $17.6 million. The Company expects to incur additional losses in the future as it advances its product candidates through clinical trials and, based on the Company’s business strategy, its existing cash and cash equivalents as of June 30, 2023 will not be sufficient to fund the Company’s projected operating expenses and capital expenditure requirements, and to meet its obligations as they come due, beyond the second quarter 2024. Accordingly, there is substantial doubt about the Company’s ability to continue to operate as a going concern. To continue to fund the operations of the Company beyond this time period, management has developed plans, which primarily consist of raising capital through the issuance of additional equity or debt, including identifying strategic collaborations, licensing or other arrangements to support development of the Company’s product candidates. There are no assurances that the Company's efforts to meet its operating cash flow requirements will be successful. If the Company is unable to obtain adequate capital, it will have to significantly delay, scale back or discontinue research and development programs, or it could be forced to cease operations.</w:t>
      </w:r>
    </w:p>
    <w:p>
      <w:pPr>
        <w:spacing w:after="0" w:line="185"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These financial statements have been prepared on a going concern basis and do not include any adjustments to the amounts and classification of assets and liabilities that may be necessary in the event that the Company can no longer continue as a going concern.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225" w:lineRule="exact"/>
        <w:rPr>
          <w:sz w:val="20"/>
          <w:szCs w:val="20"/>
          <w:color w:val="auto"/>
        </w:rPr>
      </w:pPr>
    </w:p>
    <w:p>
      <w:pPr>
        <w:jc w:val="both"/>
        <w:ind w:right="380"/>
        <w:spacing w:after="0" w:line="293" w:lineRule="auto"/>
        <w:rPr>
          <w:sz w:val="20"/>
          <w:szCs w:val="20"/>
          <w:color w:val="auto"/>
        </w:rPr>
      </w:pPr>
      <w:r>
        <w:rPr>
          <w:rFonts w:ascii="Arial" w:cs="Arial" w:eastAsia="Arial" w:hAnsi="Arial"/>
          <w:sz w:val="16"/>
          <w:szCs w:val="16"/>
          <w:color w:val="auto"/>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Significant Accounting Policies -- </w:t>
      </w:r>
      <w:r>
        <w:rPr>
          <w:rFonts w:ascii="Arial" w:cs="Arial" w:eastAsia="Arial" w:hAnsi="Arial"/>
          <w:sz w:val="18"/>
          <w:szCs w:val="18"/>
          <w:color w:val="auto"/>
        </w:rPr>
        <w:t>The Company’s significant accounting policies are described in Note 2, “Summary of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Annual Report on Form 10-K filed with the U.S. Securities and Exchange Commission (“SEC”) on March 22, 2023. There have been no material changes to the significant accounting policies during the period ended June 30, 2023.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unaudited interim Condensed Consolidated Financial Statements have been prepared pursuant to the rules and regulations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2022.</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As of June 30, 2023</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33"/>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840" w:type="dxa"/>
            <w:vAlign w:val="bottom"/>
            <w:gridSpan w:val="2"/>
          </w:tcPr>
          <w:p>
            <w:pPr>
              <w:jc w:val="center"/>
              <w:ind w:left="214"/>
              <w:spacing w:after="0"/>
              <w:rPr>
                <w:sz w:val="20"/>
                <w:szCs w:val="20"/>
                <w:color w:val="auto"/>
              </w:rPr>
            </w:pPr>
            <w:r>
              <w:rPr>
                <w:rFonts w:ascii="Arial" w:cs="Arial" w:eastAsia="Arial" w:hAnsi="Arial"/>
                <w:sz w:val="16"/>
                <w:szCs w:val="16"/>
                <w:b w:val="1"/>
                <w:bCs w:val="1"/>
                <w:color w:val="auto"/>
                <w:w w:val="92"/>
              </w:rPr>
              <w:t>Level 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w w:val="72"/>
              </w:rPr>
              <w:t>—</w:t>
            </w:r>
          </w:p>
        </w:tc>
        <w:tc>
          <w:tcPr>
            <w:tcW w:w="180" w:type="dxa"/>
            <w:vAlign w:val="bottom"/>
            <w:tcBorders>
              <w:left w:val="single" w:sz="8" w:color="CFF0FC"/>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w w:val="96"/>
              </w:rPr>
              <w:t>As of December 31, 2022</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33"/>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840" w:type="dxa"/>
            <w:vAlign w:val="bottom"/>
            <w:gridSpan w:val="2"/>
          </w:tcPr>
          <w:p>
            <w:pPr>
              <w:jc w:val="center"/>
              <w:ind w:left="214"/>
              <w:spacing w:after="0"/>
              <w:rPr>
                <w:sz w:val="20"/>
                <w:szCs w:val="20"/>
                <w:color w:val="auto"/>
              </w:rPr>
            </w:pPr>
            <w:r>
              <w:rPr>
                <w:rFonts w:ascii="Arial" w:cs="Arial" w:eastAsia="Arial" w:hAnsi="Arial"/>
                <w:sz w:val="16"/>
                <w:szCs w:val="16"/>
                <w:b w:val="1"/>
                <w:bCs w:val="1"/>
                <w:color w:val="auto"/>
                <w:w w:val="92"/>
              </w:rPr>
              <w:t>Level 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w w:val="72"/>
              </w:rPr>
              <w:t>—</w:t>
            </w:r>
          </w:p>
        </w:tc>
        <w:tc>
          <w:tcPr>
            <w:tcW w:w="180" w:type="dxa"/>
            <w:vAlign w:val="bottom"/>
            <w:tcBorders>
              <w:left w:val="single" w:sz="8" w:color="CFF0FC"/>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31,230</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31,230</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w w:val="96"/>
              </w:rPr>
              <w:t>Prepaid expenses and other current assets consist of the following:</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4"/>
          </w:tcPr>
          <w:p>
            <w:pPr>
              <w:ind w:left="50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192"/>
              <w:spacing w:after="0"/>
              <w:rPr>
                <w:sz w:val="20"/>
                <w:szCs w:val="20"/>
                <w:color w:val="auto"/>
              </w:rPr>
            </w:pPr>
            <w:r>
              <w:rPr>
                <w:rFonts w:ascii="Arial" w:cs="Arial" w:eastAsia="Arial" w:hAnsi="Arial"/>
                <w:sz w:val="16"/>
                <w:szCs w:val="16"/>
                <w:b w:val="1"/>
                <w:bCs w:val="1"/>
                <w:color w:val="auto"/>
                <w:w w:val="97"/>
              </w:rPr>
              <w:t>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93"/>
              </w:rPr>
              <w:t>292</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Prepaid research and development costs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2"/>
          </w:tcPr>
          <w:p>
            <w:pPr>
              <w:jc w:val="center"/>
              <w:ind w:left="632"/>
              <w:spacing w:after="0"/>
              <w:rPr>
                <w:sz w:val="20"/>
                <w:szCs w:val="20"/>
                <w:color w:val="auto"/>
              </w:rPr>
            </w:pPr>
            <w:r>
              <w:rPr>
                <w:rFonts w:ascii="Arial" w:cs="Arial" w:eastAsia="Arial" w:hAnsi="Arial"/>
                <w:sz w:val="18"/>
                <w:szCs w:val="18"/>
                <w:color w:val="auto"/>
                <w:w w:val="93"/>
              </w:rPr>
              <w:t>246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93"/>
              </w:rPr>
              <w:t>393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left w:val="single" w:sz="8" w:color="CCEEFF"/>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center"/>
              <w:ind w:left="632"/>
              <w:spacing w:after="0"/>
              <w:rPr>
                <w:sz w:val="20"/>
                <w:szCs w:val="20"/>
                <w:color w:val="auto"/>
              </w:rPr>
            </w:pPr>
            <w:r>
              <w:rPr>
                <w:rFonts w:ascii="Arial" w:cs="Arial" w:eastAsia="Arial" w:hAnsi="Arial"/>
                <w:sz w:val="18"/>
                <w:szCs w:val="18"/>
                <w:color w:val="auto"/>
                <w:w w:val="93"/>
              </w:rPr>
              <w:t>931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16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-3051175</wp:posOffset>
            </wp:positionV>
            <wp:extent cx="85725" cy="3340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-3051175</wp:posOffset>
            </wp:positionV>
            <wp:extent cx="85725" cy="3340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-3051175</wp:posOffset>
            </wp:positionV>
            <wp:extent cx="85725" cy="3340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-3051175</wp:posOffset>
            </wp:positionV>
            <wp:extent cx="85725" cy="6343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63436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-2262505</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-2262505</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-2262505</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-2262505</wp:posOffset>
            </wp:positionV>
            <wp:extent cx="857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-650875</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r>
      <w:tr>
        <w:trPr>
          <w:trHeight w:val="223"/>
        </w:trPr>
        <w:tc>
          <w:tcPr>
            <w:tcW w:w="7660" w:type="dxa"/>
            <w:vAlign w:val="bottom"/>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10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21"/>
                <w:szCs w:val="21"/>
                <w:color w:val="auto"/>
              </w:rPr>
            </w:pPr>
          </w:p>
        </w:tc>
      </w:tr>
      <w:tr>
        <w:trPr>
          <w:trHeight w:val="237"/>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w:t>
            </w: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40" w:type="dxa"/>
            <w:vAlign w:val="bottom"/>
            <w:shd w:val="clear" w:color="auto" w:fill="CCEEFF"/>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40" w:type="dxa"/>
            <w:vAlign w:val="bottom"/>
            <w:shd w:val="clear" w:color="auto" w:fill="CCEEFF"/>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(1,565 )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(1,361 )</w:t>
            </w:r>
          </w:p>
        </w:tc>
      </w:tr>
      <w:tr>
        <w:trPr>
          <w:trHeight w:val="27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equipment—net</w:t>
            </w: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expense for the three and six months ended June 30, 2023 were $83 and $208, respectively. Depreciation expense for the three and six months ended June 30, 2022 were $112 and $220,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c>
          <w:tcPr>
            <w:tcW w:w="140" w:type="dxa"/>
            <w:vAlign w:val="bottom"/>
          </w:tcPr>
          <w:p>
            <w:pPr>
              <w:spacing w:after="0"/>
              <w:rPr>
                <w:sz w:val="17"/>
                <w:szCs w:val="17"/>
                <w:color w:val="auto"/>
              </w:rPr>
            </w:pPr>
          </w:p>
        </w:tc>
      </w:tr>
      <w:tr>
        <w:trPr>
          <w:trHeight w:val="223"/>
        </w:trPr>
        <w:tc>
          <w:tcPr>
            <w:tcW w:w="7660" w:type="dxa"/>
            <w:vAlign w:val="bottom"/>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other liabilities</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Accrued clinical trial liability</w:t>
            </w: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1,451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40" w:type="dxa"/>
            <w:vAlign w:val="bottom"/>
          </w:tcPr>
          <w:p>
            <w:pPr>
              <w:spacing w:after="0"/>
              <w:rPr>
                <w:sz w:val="21"/>
                <w:szCs w:val="21"/>
                <w:color w:val="auto"/>
              </w:rPr>
            </w:pPr>
          </w:p>
        </w:tc>
      </w:tr>
      <w:tr>
        <w:trPr>
          <w:trHeight w:val="27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Facilities Lease Agreements</w:t>
      </w:r>
      <w:r>
        <w:rPr>
          <w:rFonts w:ascii="Arial" w:cs="Arial" w:eastAsia="Arial" w:hAnsi="Arial"/>
          <w:sz w:val="18"/>
          <w:szCs w:val="18"/>
          <w:color w:val="auto"/>
        </w:rPr>
        <w:t>—In February 2019, the Company entered into a 5-year office lease agreement for a 9,780 square feet facility in South San</w:t>
      </w:r>
      <w:r>
        <w:rPr>
          <w:rFonts w:ascii="Arial" w:cs="Arial" w:eastAsia="Arial" w:hAnsi="Arial"/>
          <w:sz w:val="18"/>
          <w:szCs w:val="18"/>
          <w:b w:val="1"/>
          <w:bCs w:val="1"/>
          <w:color w:val="auto"/>
        </w:rPr>
        <w:t xml:space="preserve"> </w:t>
      </w:r>
      <w:r>
        <w:rPr>
          <w:rFonts w:ascii="Arial" w:cs="Arial" w:eastAsia="Arial" w:hAnsi="Arial"/>
          <w:sz w:val="18"/>
          <w:szCs w:val="18"/>
          <w:color w:val="auto"/>
        </w:rPr>
        <w:t>Francisco, California. The 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spacing w:after="0" w:line="184"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On March 29, 2021, TempestTx, Inc. (“Private Tempest”) entered into an Agreement and Plan of Merger (the “Merger Agreement”) with Millendo Therapeutics, Inc. (“Millendo”). On June 25, 2021, Private Tempest completed the merger with Millendo and as a result of the merger, the Company assumed Millendo’s noncancelable operating leases for office space which have remaining lease terms of approximately 0.9 years. In February 2019 and October 2018, Millendo entered into two noncancellable operating leases for office space in Ann Arbor, Michigan (“Ann Arbor Leases”), one that Millendo took possession of in April 2019 and the other that Millendo took possession of in July 2019, respectively. The Ann Arbor Leases expire in June 2024 and March 2024.</w:t>
      </w:r>
    </w:p>
    <w:p>
      <w:pPr>
        <w:spacing w:after="0" w:line="192"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In January 2022, the Company entered into a new 8-year office lease agreement for a 20,116 square feet facility in Brisbane, California ("Brisbane Lease"). The lease commenced in December 2022.</w:t>
      </w:r>
    </w:p>
    <w:p>
      <w:pPr>
        <w:spacing w:after="0" w:line="170" w:lineRule="exact"/>
        <w:rPr>
          <w:sz w:val="20"/>
          <w:szCs w:val="20"/>
          <w:color w:val="auto"/>
        </w:rPr>
      </w:pPr>
    </w:p>
    <w:p>
      <w:pPr>
        <w:jc w:val="both"/>
        <w:ind w:right="380"/>
        <w:spacing w:after="0" w:line="308" w:lineRule="auto"/>
        <w:rPr>
          <w:sz w:val="20"/>
          <w:szCs w:val="20"/>
          <w:color w:val="auto"/>
        </w:rPr>
      </w:pPr>
      <w:r>
        <w:rPr>
          <w:rFonts w:ascii="Arial" w:cs="Arial" w:eastAsia="Arial" w:hAnsi="Arial"/>
          <w:sz w:val="17"/>
          <w:szCs w:val="17"/>
          <w:color w:val="auto"/>
        </w:rPr>
        <w:t>As of June 30, 2023 and December 31, 2022, the balance of the operating lease right of use assets were $10,804 and $11,650, respectively, and the related operating lease liability were $11,022 and $11,744, respectively, as shown in the accompanying Consolidated Balance Sheets.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 expense was $659 and $1,369 for three and six months ended June 30, 2023, respectively. Rent expense was $345 and $704 for three and six months ended June 30, 2022,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future minimum lease payments under the Brisbane Lease and Ann Arbor Leases were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Year Ending</w:t>
            </w:r>
          </w:p>
        </w:tc>
        <w:tc>
          <w:tcPr>
            <w:tcW w:w="220" w:type="dxa"/>
            <w:vAlign w:val="bottom"/>
          </w:tcPr>
          <w:p>
            <w:pPr>
              <w:spacing w:after="0"/>
              <w:rPr>
                <w:sz w:val="19"/>
                <w:szCs w:val="19"/>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Total Commitment</w:t>
            </w:r>
          </w:p>
        </w:tc>
      </w:tr>
      <w:tr>
        <w:trPr>
          <w:trHeight w:val="24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(excluding six months ended June 30, 2023)</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FF0FC"/>
          </w:tcPr>
          <w:p>
            <w:pPr>
              <w:spacing w:after="0"/>
              <w:rPr>
                <w:sz w:val="20"/>
                <w:szCs w:val="20"/>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1,926</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40" w:type="dxa"/>
            <w:vAlign w:val="bottom"/>
            <w:shd w:val="clear" w:color="auto" w:fill="CFF0FC"/>
          </w:tcPr>
          <w:p>
            <w:pPr>
              <w:spacing w:after="0"/>
              <w:rPr>
                <w:sz w:val="21"/>
                <w:szCs w:val="21"/>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2028 and beyond</w:t>
            </w: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40" w:type="dxa"/>
            <w:vAlign w:val="bottom"/>
          </w:tcPr>
          <w:p>
            <w:pPr>
              <w:spacing w:after="0"/>
              <w:rPr>
                <w:sz w:val="21"/>
                <w:szCs w:val="21"/>
                <w:color w:val="auto"/>
              </w:rPr>
            </w:pPr>
          </w:p>
        </w:tc>
      </w:tr>
      <w:tr>
        <w:trPr>
          <w:trHeight w:val="236"/>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15,567</w:t>
            </w:r>
          </w:p>
        </w:tc>
        <w:tc>
          <w:tcPr>
            <w:tcW w:w="140" w:type="dxa"/>
            <w:vAlign w:val="bottom"/>
            <w:shd w:val="clear" w:color="auto" w:fill="CFF0FC"/>
          </w:tcPr>
          <w:p>
            <w:pPr>
              <w:spacing w:after="0"/>
              <w:rPr>
                <w:sz w:val="20"/>
                <w:szCs w:val="20"/>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(4,545 )</w:t>
            </w:r>
          </w:p>
        </w:tc>
      </w:tr>
      <w:tr>
        <w:trPr>
          <w:trHeight w:val="237"/>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Present value of operating lease obligations</w:t>
            </w:r>
          </w:p>
        </w:tc>
        <w:tc>
          <w:tcPr>
            <w:tcW w:w="22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shd w:val="clear" w:color="auto" w:fill="CFF0FC"/>
          </w:tcPr>
          <w:p>
            <w:pPr>
              <w:spacing w:after="0"/>
              <w:rPr>
                <w:sz w:val="20"/>
                <w:szCs w:val="20"/>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(1,414 )</w:t>
            </w:r>
          </w:p>
        </w:tc>
      </w:tr>
      <w:tr>
        <w:trPr>
          <w:trHeight w:val="277"/>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operating lease obligations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Related to this Brisbane Lease agreement, the Company entered into a letter of credit with a bank to deposit $368 in a separate account that is classified as restricted cash to serve as security rent deposit. This amount is included in other noncurrent assets in the accompanying Consolidated Balance Sheets as of June 30, 2023.</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Guarantees and Indemnifications</w:t>
      </w:r>
      <w:r>
        <w:rPr>
          <w:rFonts w:ascii="Arial" w:cs="Arial" w:eastAsia="Arial" w:hAnsi="Arial"/>
          <w:sz w:val="18"/>
          <w:szCs w:val="18"/>
          <w:color w:val="auto"/>
        </w:rPr>
        <w:t>—In the normal course of business, the Company enters into agreements that contain a variety of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2023 and December 31, 2022, the Company did not have any material indemnification claims that were probable or reasonably possible and consequently has not recorded related liabilities.</w:t>
      </w:r>
    </w:p>
    <w:p>
      <w:pPr>
        <w:spacing w:after="0" w:line="1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Liabilities for loss contingencies arising from claims, assessments, litigation, fines, penalties, and other sources are recorded when it</w:t>
      </w:r>
      <w:r>
        <w:rPr>
          <w:rFonts w:ascii="Arial" w:cs="Arial" w:eastAsia="Arial" w:hAnsi="Arial"/>
          <w:sz w:val="17"/>
          <w:szCs w:val="17"/>
          <w:b w:val="1"/>
          <w:bCs w:val="1"/>
          <w:color w:val="auto"/>
        </w:rPr>
        <w:t xml:space="preserve"> </w:t>
      </w:r>
      <w:r>
        <w:rPr>
          <w:rFonts w:ascii="Arial" w:cs="Arial" w:eastAsia="Arial" w:hAnsi="Arial"/>
          <w:sz w:val="17"/>
          <w:szCs w:val="17"/>
          <w:color w:val="auto"/>
        </w:rPr>
        <w:t>is probable that a liability has been 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90-day nisi order. On December 14, 2022, the court extended that order for 60 days to February 20, 2023. On February 17, 2023, the court extended the order until March 22, 2023 and set a court appearance for March 23, 2023. On March 23, 2023, the court granted preliminary approval of the settlement and set a final fairness hearing for June 12, 2023. By order dated June 12, 2023, the court granted final approval of the settlement.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On February 14, 2023, the parties informed the court that, subject to court approval, they had reached an agreement to settle Chiu v. Dipp as well as Cima v. Dipp. The parties requested a 90-day stay in order to present the settlement to the state court in Cima v. Dipp first. On February 16, 2023, the court granted the 90-day stay. On May 2, 2023 the court extended the stay through July 12, 2023. After final approval of the Cima settlement, the parties filed a stipulation and proposed order to dismiss the Chiu Action with prejudice on June 27, 2023. By order dated July 5, 2023, the court dismissed the Chiu Action with prejudice.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the Company entered into a loan agreement with Oxford Finance LLC (the "Lender") to borrow a term loan amount of $35,000 to be funded in three tranches. Tranche A of $15,000 was wired to the Company on January 15, 2021. Tranche B of $10,000 expired on March 31, 2022. Tranche C of $10,000 is available at the Lender’s option.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23, 2022, the Company entered into a First Amendment to the loan agreement. The amendment modified the agreement as follows: (i) each of the Company and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amendment to the loan agreement, the term loan matures on August 1, 2025 and has an annual floating interest rate of 7.15% which is an Index Rate plus 7.10%. Index Rate is the greater of (i) 1-Month CME Term SOFR or (ii) 0.05%. Monthly principal payments of $513 will begin on January 1, 2024. Related to this borrowing, the Company recorded loan discounts totaling $898 and paid $95 of debt issuance costs. These amounts would be amortized as additional interest expense over the life of the loan. As of June 30, 2023, the balance of the loan payable (net of debt issuance costs) was $10.5 million. The carrying value of the loan approximates fair value (Level 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total interest expense was $356 and $700, respectively. For the three and six months ended June 30, 2022, total interest expense was $464 and $797, respectively.</w:t>
      </w:r>
    </w:p>
    <w:p>
      <w:pPr>
        <w:spacing w:after="0" w:line="139" w:lineRule="exact"/>
        <w:rPr>
          <w:sz w:val="20"/>
          <w:szCs w:val="20"/>
          <w:color w:val="auto"/>
        </w:rPr>
      </w:pPr>
    </w:p>
    <w:p>
      <w:pPr>
        <w:ind w:right="8740" w:firstLine="8"/>
        <w:spacing w:after="0" w:line="479"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2023 and December 31, 2022, the Company was authorized to issue 100,000,000 shares of common stock and 5,000,000 shares of preferred stock, each with a par value of $0.001 per share. Of the common stock shares authorized, 12,583,833 and 10,518,539 were issued and outstanding at June 30, 2023 and December 31, 2022,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was no preferred stock issued nor outstanding as of June 30, 2023 and December 31, 2022.</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preferred stockholders, the holders of common stock vote together with preferred stockholders and have the right to elect one member of the Company’s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23, 2021, the Company entered into a sales agreement with Jefferies LLC, pursuant to which the Company may sell, from time to time, up to an aggregate sales price of $100,000,000 of its common stock through Jefferies LLC (the "ATM Program"). The Company's ability to sell securities under the ATM program will be limited until it is no longer subject to the SEC’s “baby shelf” limitations.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2022, the Company completed a PIPE financing, which included the issuance of pre-funded warrants to purchase up to 3,206,020 shares of its common stock at a price per pre-funded warrant of $2.359 to the PIPE Investors.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 As of June 30, 2023, 1,485,000 of the pre-funded warrants were exercised, leaving 1,721,020 remaining pre-funded warrants unexercised.</w:t>
      </w:r>
    </w:p>
    <w:p>
      <w:pPr>
        <w:spacing w:after="0" w:line="120" w:lineRule="exact"/>
        <w:rPr>
          <w:sz w:val="20"/>
          <w:szCs w:val="20"/>
          <w:color w:val="auto"/>
        </w:rPr>
      </w:pPr>
    </w:p>
    <w:p>
      <w:pPr>
        <w:ind w:right="8240" w:firstLine="8"/>
        <w:spacing w:after="0" w:line="479"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Equity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will be a successor to, and replacement of, the 2019 Plan. The number of shares of the Company's common stock reserved for issuance under the A&amp;R 2019 Plan will automatically increase on January 1st of each year, for a period of 10 years, from January 1, 2020 continuing through January 1, 2029, by 4% of the total number of shares of the Company's common stock outstanding on December 31 of the preceding calendar year, or a lesser number of shares as may be determined by the Board of Directors. On January 1, 2023, the common stock reserved for issuance was increased by 420,742 shares.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 of the preceding calendar year, or a lesser number of shares as may be determined by the Board of Directors. As of June 30, 2023, there were 1,741,827 shares available for future grant under the 2023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June 30, 2023, there were 1,150,000 shares available for future grant under the 2023 Inducement Plan.</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measures employee and non-employee stock-based awards at grant date fair value and records compensation expense on a straight-line basis over the vesting period of the award.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 On January 1, 2023, the common stock reserved for issuance was increased by 157,778 shares.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253,097 shares of common stock remained available for future issuance under the 2019 ESPP. During the three and six months ended June 30, 2023, nil and 41,778 shares of common stock had been issued under the 2019 ESPP.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the merger with Millendo, the grant date fair market value of the shares of common stock underlying stock options was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shows the stock option activities for the six months ended June 30, 2023 and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51"/>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Options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center"/>
              <w:ind w:right="351"/>
              <w:spacing w:after="0"/>
              <w:rPr>
                <w:sz w:val="20"/>
                <w:szCs w:val="20"/>
                <w:color w:val="auto"/>
              </w:rPr>
            </w:pPr>
            <w:r>
              <w:rPr>
                <w:rFonts w:ascii="Arial" w:cs="Arial" w:eastAsia="Arial" w:hAnsi="Arial"/>
                <w:sz w:val="16"/>
                <w:szCs w:val="16"/>
                <w:b w:val="1"/>
                <w:bCs w:val="1"/>
                <w:color w:val="auto"/>
                <w:w w:val="88"/>
              </w:rPr>
              <w:t>Exercise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gridSpan w:val="4"/>
          </w:tcPr>
          <w:p>
            <w:pPr>
              <w:ind w:left="380"/>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471"/>
              <w:spacing w:after="0"/>
              <w:rPr>
                <w:sz w:val="20"/>
                <w:szCs w:val="20"/>
                <w:color w:val="auto"/>
              </w:rPr>
            </w:pPr>
            <w:r>
              <w:rPr>
                <w:rFonts w:ascii="Arial" w:cs="Arial" w:eastAsia="Arial" w:hAnsi="Arial"/>
                <w:sz w:val="16"/>
                <w:szCs w:val="16"/>
                <w:b w:val="1"/>
                <w:bCs w:val="1"/>
                <w:color w:val="auto"/>
                <w:w w:val="91"/>
              </w:rPr>
              <w:t>Price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Balance—December 31, 2022</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1,553,041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679,150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(413 )</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8"/>
                <w:szCs w:val="18"/>
                <w:color w:val="auto"/>
              </w:rPr>
              <w:t>Cancelled and forfeited</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(44,075 )</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Balance—June 30, 2023</w:t>
            </w:r>
          </w:p>
        </w:tc>
        <w:tc>
          <w:tcPr>
            <w:tcW w:w="1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2,187,703</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580" w:type="dxa"/>
            <w:vAlign w:val="bottom"/>
          </w:tcPr>
          <w:p>
            <w:pPr>
              <w:ind w:left="20"/>
              <w:spacing w:after="0"/>
              <w:rPr>
                <w:sz w:val="20"/>
                <w:szCs w:val="20"/>
                <w:color w:val="auto"/>
              </w:rPr>
            </w:pPr>
            <w:r>
              <w:rPr>
                <w:rFonts w:ascii="Arial" w:cs="Arial" w:eastAsia="Arial" w:hAnsi="Arial"/>
                <w:sz w:val="18"/>
                <w:szCs w:val="18"/>
                <w:color w:val="auto"/>
              </w:rPr>
              <w:t>Balance—December 31, 2021</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790,637</w:t>
            </w: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893,527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Cancelled and forfeited</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(34,703 )</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Balance—June 30, 2022</w:t>
            </w:r>
          </w:p>
        </w:tc>
        <w:tc>
          <w:tcPr>
            <w:tcW w:w="12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1,649,461</w:t>
            </w: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8.72</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w w:val="93"/>
              </w:rPr>
              <w:t>The following table summarizes information about stock options outstanding at June 30, 2023:</w:t>
            </w: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4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7"/>
                <w:szCs w:val="17"/>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7"/>
                <w:szCs w:val="17"/>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1"/>
              <w:spacing w:after="0"/>
              <w:rPr>
                <w:sz w:val="20"/>
                <w:szCs w:val="20"/>
                <w:color w:val="auto"/>
              </w:rPr>
            </w:pPr>
            <w:r>
              <w:rPr>
                <w:rFonts w:ascii="Arial" w:cs="Arial" w:eastAsia="Arial" w:hAnsi="Arial"/>
                <w:sz w:val="16"/>
                <w:szCs w:val="16"/>
                <w:b w:val="1"/>
                <w:bCs w:val="1"/>
                <w:color w:val="auto"/>
                <w:w w:val="95"/>
              </w:rPr>
              <w:t>Aggregate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Life (In Years)</w:t>
            </w:r>
          </w:p>
        </w:tc>
        <w:tc>
          <w:tcPr>
            <w:tcW w:w="260" w:type="dxa"/>
            <w:vAlign w:val="bottom"/>
          </w:tcPr>
          <w:p>
            <w:pPr>
              <w:spacing w:after="0"/>
              <w:rPr>
                <w:sz w:val="19"/>
                <w:szCs w:val="19"/>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Exercise Price</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Intrinsic Value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2,187,703</w:t>
            </w:r>
          </w:p>
        </w:tc>
        <w:tc>
          <w:tcPr>
            <w:tcW w:w="260" w:type="dxa"/>
            <w:vAlign w:val="bottom"/>
            <w:shd w:val="clear" w:color="auto" w:fill="CFF0FC"/>
          </w:tcPr>
          <w:p>
            <w:pPr>
              <w:spacing w:after="0"/>
              <w:rPr>
                <w:sz w:val="21"/>
                <w:szCs w:val="21"/>
                <w:color w:val="auto"/>
              </w:rPr>
            </w:pPr>
          </w:p>
        </w:tc>
        <w:tc>
          <w:tcPr>
            <w:tcW w:w="1220" w:type="dxa"/>
            <w:vAlign w:val="bottom"/>
            <w:tcBorders>
              <w:top w:val="single" w:sz="8" w:color="auto"/>
            </w:tcBorders>
            <w:gridSpan w:val="2"/>
            <w:shd w:val="clear" w:color="auto" w:fill="CFF0FC"/>
          </w:tcPr>
          <w:p>
            <w:pPr>
              <w:ind w:left="880"/>
              <w:spacing w:after="0"/>
              <w:rPr>
                <w:sz w:val="20"/>
                <w:szCs w:val="20"/>
                <w:color w:val="auto"/>
              </w:rPr>
            </w:pPr>
            <w:r>
              <w:rPr>
                <w:rFonts w:ascii="Arial" w:cs="Arial" w:eastAsia="Arial" w:hAnsi="Arial"/>
                <w:sz w:val="18"/>
                <w:szCs w:val="18"/>
                <w:color w:val="auto"/>
                <w:w w:val="91"/>
              </w:rPr>
              <w:t>8.52</w:t>
            </w:r>
          </w:p>
        </w:tc>
        <w:tc>
          <w:tcPr>
            <w:tcW w:w="260" w:type="dxa"/>
            <w:vAlign w:val="bottom"/>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6"/>
              </w:rPr>
              <w:t>5.04</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Vested and expected to vest</w:t>
            </w:r>
          </w:p>
        </w:tc>
        <w:tc>
          <w:tcPr>
            <w:tcW w:w="1200" w:type="dxa"/>
            <w:vAlign w:val="bottom"/>
          </w:tcPr>
          <w:p>
            <w:pPr>
              <w:jc w:val="right"/>
              <w:spacing w:after="0"/>
              <w:rPr>
                <w:sz w:val="20"/>
                <w:szCs w:val="20"/>
                <w:color w:val="auto"/>
              </w:rPr>
            </w:pPr>
            <w:r>
              <w:rPr>
                <w:rFonts w:ascii="Arial" w:cs="Arial" w:eastAsia="Arial" w:hAnsi="Arial"/>
                <w:sz w:val="18"/>
                <w:szCs w:val="18"/>
                <w:color w:val="auto"/>
              </w:rPr>
              <w:t>2,187,703</w:t>
            </w:r>
          </w:p>
        </w:tc>
        <w:tc>
          <w:tcPr>
            <w:tcW w:w="26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8.52</w:t>
            </w:r>
          </w:p>
        </w:tc>
        <w:tc>
          <w:tcPr>
            <w:tcW w:w="920" w:type="dxa"/>
            <w:vAlign w:val="bottom"/>
            <w:gridSpan w:val="2"/>
          </w:tcPr>
          <w:p>
            <w:pPr>
              <w:jc w:val="right"/>
              <w:ind w:right="4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6"/>
              </w:rPr>
              <w:t>5.04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793,765</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w w:val="91"/>
              </w:rPr>
              <w:t>7.70</w:t>
            </w:r>
          </w:p>
        </w:tc>
        <w:tc>
          <w:tcPr>
            <w:tcW w:w="920" w:type="dxa"/>
            <w:vAlign w:val="bottom"/>
            <w:gridSpan w:val="2"/>
            <w:shd w:val="clear" w:color="auto" w:fill="CFF0FC"/>
          </w:tcPr>
          <w:p>
            <w:pPr>
              <w:jc w:val="right"/>
              <w:ind w:right="4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6.98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-2545715</wp:posOffset>
            </wp:positionV>
            <wp:extent cx="85725" cy="334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3346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-1748155</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six months ended June 30, 2023 and 2022, the Company granted employees and non-employees stock options to purchase 679,150 and 893,527 shares of common stock with a weighted-average grant date fair value of $1.08 and $2.81 per share, respectively. As of June 30, 2023 and 2022, total unrecognized compensation costs related to unvested employee stock options were $3,775 and $4,919, respectively. These costs are expected to be recognized over a weighted-average period of approximately 2.4 years and 3.1 years, respectively.</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six months ended June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166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16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5.5 - 6.1</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5.5 - 6.1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109% - 111%</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 - 112%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- 3.9%</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- 3.4%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w w:val="81"/>
              </w:rPr>
              <w:t>— %</w:t>
            </w:r>
          </w:p>
        </w:tc>
        <w:tc>
          <w:tcPr>
            <w:tcW w:w="20" w:type="dxa"/>
            <w:vAlign w:val="bottom"/>
          </w:tcPr>
          <w:p>
            <w:pPr>
              <w:spacing w:after="0"/>
              <w:rPr>
                <w:sz w:val="20"/>
                <w:szCs w:val="20"/>
                <w:color w:val="auto"/>
              </w:rPr>
            </w:pPr>
          </w:p>
        </w:tc>
      </w:tr>
    </w:tbl>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Due to the lack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exercise history, the expected term of the Company’s employee stock options has been determined utilizing the simplified method for awards that qualify as plain-vanilla options.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—The expected stock price volatility assumption was determined by examining the historical volatilities for industry peers,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18"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the Company’s stock options.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stock-based compensation expense recognized in the Company’s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six months ended June 30,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258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8"/>
                <w:szCs w:val="18"/>
                <w:b w:val="1"/>
                <w:bCs w:val="1"/>
                <w:color w:val="auto"/>
                <w:w w:val="91"/>
              </w:rPr>
              <w:t>Six Months Ended June 30,</w:t>
            </w:r>
          </w:p>
        </w:tc>
        <w:tc>
          <w:tcPr>
            <w:tcW w:w="140" w:type="dxa"/>
            <w:vAlign w:val="bottom"/>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1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20"/>
                <w:szCs w:val="20"/>
                <w:color w:val="auto"/>
              </w:rPr>
            </w:pP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six months ended June 30, 2023, the Company contributed $35 and $92, respectively, to the 401(k) Plan. During the three and six months ended June 30, 2022, the Company contributed $37 and $61, respectively, to the 401(k)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the Company’s basis in diluted net loss per share for the three and six months ended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9"/>
                <w:szCs w:val="19"/>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230"/>
        </w:trPr>
        <w:tc>
          <w:tcPr>
            <w:tcW w:w="5500" w:type="dxa"/>
            <w:vAlign w:val="bottom"/>
            <w:tcBorders>
              <w:top w:val="single" w:sz="8" w:color="CCEEFF"/>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(7,581 )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(9,168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(15,217 )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(17,659 )</w:t>
            </w:r>
          </w:p>
        </w:tc>
        <w:tc>
          <w:tcPr>
            <w:tcW w:w="0" w:type="dxa"/>
            <w:vAlign w:val="bottom"/>
          </w:tcPr>
          <w:p>
            <w:pPr>
              <w:spacing w:after="0"/>
              <w:rPr>
                <w:sz w:val="1"/>
                <w:szCs w:val="1"/>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14,102,211</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11,573,432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13,933,629</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9,382,515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Weighted-average shares used in computing basic and diluted net loss per</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14,102,211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11,573,432</w:t>
            </w:r>
          </w:p>
        </w:tc>
        <w:tc>
          <w:tcPr>
            <w:tcW w:w="14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13,933,629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9,382,515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share</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line="192" w:lineRule="exact"/>
              <w:rPr>
                <w:sz w:val="20"/>
                <w:szCs w:val="20"/>
                <w:color w:val="auto"/>
              </w:rPr>
            </w:pPr>
            <w:r>
              <w:rPr>
                <w:rFonts w:ascii="Arial" w:cs="Arial" w:eastAsia="Arial" w:hAnsi="Arial"/>
                <w:sz w:val="18"/>
                <w:szCs w:val="18"/>
                <w:b w:val="1"/>
                <w:bCs w:val="1"/>
                <w:color w:val="auto"/>
                <w:w w:val="94"/>
              </w:rPr>
              <w:t>Net loss per share attributable to common stockholders—basic and</w:t>
            </w:r>
          </w:p>
        </w:tc>
        <w:tc>
          <w:tcPr>
            <w:tcW w:w="16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(0.54 )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(0.79 )</w:t>
            </w:r>
          </w:p>
        </w:tc>
        <w:tc>
          <w:tcPr>
            <w:tcW w:w="14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(1.09 )</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(1.88 )</w:t>
            </w:r>
          </w:p>
        </w:tc>
        <w:tc>
          <w:tcPr>
            <w:tcW w:w="0" w:type="dxa"/>
            <w:vAlign w:val="bottom"/>
          </w:tcPr>
          <w:p>
            <w:pPr>
              <w:spacing w:after="0"/>
              <w:rPr>
                <w:sz w:val="1"/>
                <w:szCs w:val="1"/>
                <w:color w:val="auto"/>
              </w:rPr>
            </w:pPr>
          </w:p>
        </w:tc>
      </w:tr>
      <w:tr>
        <w:trPr>
          <w:trHeight w:val="207"/>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1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17</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-1542415</wp:posOffset>
            </wp:positionV>
            <wp:extent cx="8572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-1542415</wp:posOffset>
            </wp:positionV>
            <wp:extent cx="8572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-1542415</wp:posOffset>
            </wp:positionV>
            <wp:extent cx="8572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-796290</wp:posOffset>
            </wp:positionV>
            <wp:extent cx="2820670" cy="316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20670"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2023 and 2022,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June 30, 2023 and 2022, the Company excluded the following potential common shares from the computation of diluted net loss per share attributable to common stockholders because including them would have had an anti-dilutive effect:</w:t>
      </w:r>
    </w:p>
    <w:p>
      <w:pPr>
        <w:spacing w:after="0" w:line="213"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520" w:type="dxa"/>
            <w:vAlign w:val="bottom"/>
            <w:gridSpan w:val="2"/>
          </w:tcPr>
          <w:p>
            <w:pPr>
              <w:spacing w:after="0"/>
              <w:rPr>
                <w:sz w:val="20"/>
                <w:szCs w:val="20"/>
                <w:color w:val="auto"/>
              </w:rPr>
            </w:pPr>
          </w:p>
        </w:tc>
        <w:tc>
          <w:tcPr>
            <w:tcW w:w="1640" w:type="dxa"/>
            <w:vAlign w:val="bottom"/>
            <w:tcBorders>
              <w:top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2023</w:t>
            </w:r>
          </w:p>
        </w:tc>
        <w:tc>
          <w:tcPr>
            <w:tcW w:w="190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r>
      <w:tr>
        <w:trPr>
          <w:trHeight w:val="243"/>
        </w:trPr>
        <w:tc>
          <w:tcPr>
            <w:tcW w:w="4040" w:type="dxa"/>
            <w:vAlign w:val="bottom"/>
            <w:tcBorders>
              <w:top w:val="single" w:sz="8" w:color="CCEEFF"/>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3380" w:type="dxa"/>
            <w:vAlign w:val="bottom"/>
            <w:tcBorders>
              <w:top w:val="single" w:sz="8" w:color="CCEEFF"/>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2,187,703</w:t>
            </w:r>
          </w:p>
        </w:tc>
        <w:tc>
          <w:tcPr>
            <w:tcW w:w="28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1,649,461</w:t>
            </w:r>
          </w:p>
        </w:tc>
        <w:tc>
          <w:tcPr>
            <w:tcW w:w="140" w:type="dxa"/>
            <w:vAlign w:val="bottom"/>
            <w:shd w:val="clear" w:color="auto" w:fill="CFF0FC"/>
          </w:tcPr>
          <w:p>
            <w:pPr>
              <w:spacing w:after="0"/>
              <w:rPr>
                <w:sz w:val="21"/>
                <w:szCs w:val="2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5160" w:type="dxa"/>
            <w:vAlign w:val="bottom"/>
            <w:gridSpan w:val="3"/>
          </w:tcPr>
          <w:p>
            <w:pPr>
              <w:jc w:val="right"/>
              <w:spacing w:after="0"/>
              <w:rPr>
                <w:sz w:val="20"/>
                <w:szCs w:val="20"/>
                <w:color w:val="auto"/>
              </w:rPr>
            </w:pPr>
            <w:r>
              <w:rPr>
                <w:rFonts w:ascii="Arial" w:cs="Arial" w:eastAsia="Arial" w:hAnsi="Arial"/>
                <w:sz w:val="18"/>
                <w:szCs w:val="18"/>
                <w:color w:val="auto"/>
              </w:rPr>
              <w:t>6,036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140" w:type="dxa"/>
            <w:vAlign w:val="bottom"/>
          </w:tcPr>
          <w:p>
            <w:pPr>
              <w:spacing w:after="0"/>
              <w:rPr>
                <w:sz w:val="21"/>
                <w:szCs w:val="21"/>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FF0FC"/>
            </w:tcBorders>
            <w:gridSpan w:val="2"/>
            <w:shd w:val="clear" w:color="auto" w:fill="CFF0FC"/>
          </w:tcPr>
          <w:p>
            <w:pPr>
              <w:spacing w:after="0"/>
              <w:rPr>
                <w:sz w:val="24"/>
                <w:szCs w:val="2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2,193,739</w:t>
            </w:r>
          </w:p>
        </w:tc>
        <w:tc>
          <w:tcPr>
            <w:tcW w:w="2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1,655,497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02"/>
        </w:trPr>
        <w:tc>
          <w:tcPr>
            <w:tcW w:w="4040" w:type="dxa"/>
            <w:vAlign w:val="bottom"/>
          </w:tcPr>
          <w:p>
            <w:pPr>
              <w:spacing w:after="0"/>
              <w:rPr>
                <w:sz w:val="24"/>
                <w:szCs w:val="24"/>
                <w:color w:val="auto"/>
              </w:rPr>
            </w:pPr>
          </w:p>
        </w:tc>
        <w:tc>
          <w:tcPr>
            <w:tcW w:w="3380" w:type="dxa"/>
            <w:vAlign w:val="bottom"/>
          </w:tcPr>
          <w:p>
            <w:pPr>
              <w:jc w:val="right"/>
              <w:ind w:right="161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-505460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-488315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2022, filed with the U.S. Securities and Exchange Commission ("SEC") on March 22, 2023.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good ideas and creative science, but also upon the efficient translation of those ideas into therapies that will improve patients’ lives. To this end, we are advancing TPST-1120 and TPST-1495, two product candidates in clinical trials that we believe are the first clinical-stage molecules designed to inhibit their respective targets; as well as two preclinical programs, including one that could be the first to target TREX-1, a key cellular enzyme that regulates the innate immune response in tumors.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TPST-1120 is a selective antagonist of peroxisome proliferator-activated receptor alpha, or PPARα. Clinical data from initial Phase 1 trials, both as a monotherapy and in combination with an anti-PD1 therapy, nivolumab, were reported at a podium presentation at the American Society of Clinical Oncology (ASCO) annual meeting in June 2022. RECIST responses were observed at the two highest TPST-1120 doses in combination with standard dose nivolumab for an objective response rate ("ORR") of those cohorts of 30% (3 of 10 patients), including in patients who previously progressed on anti-PD-1 (-L1) therapy. TPST-1120 is also being studied in an ongoing global randomized Phase 1b/2 trial in combination with the standard-of-care first-line regimen of atezolizumab and bevacizumab in patients with advanced or metastatic hepatocellular carcinoma, or HCC. The study has fully enrolled (targeting 40 patients in each arm), and early results from a February 2023 data cutoff were reported in April 2023 and demonstrated clinically meaningful improvement in multiple categories in the combination TPST-1120 arm when compared to the standard-of-care arm alone. Data from 40 patients in the TPST-1120 arm randomized per protocol against 29 evaluable (30 total) patients in the control arm showed a 74.4% and a 69.9% relative improvement in ORR in unconfirmed (30% vs. 17.2%) and confirmed (17.5% vs. 10.3%) responses, respectively. Additionally, 47.5% of the TPST-1120 arm patients remained on treatment vs. 23.3% in the control arm, while 80% of the TPST-1120 arm patients remained on study vs. 50% in the control arm. We expect more mature ORR data and potentially progression-free-survival (PFS) and overall survival (OS) data to be available in the second half of 2023 or first half of 2024. Our second clinical program, TPST-1495, a dual antagonist of the EP2 and EP4 receptors of prostaglandin E2, is in an ongoing Phase 1 monotherapy and combination trial in solid tumors. Data from the TPST-1495 Phase 1 trial was presented at the ASCO annual meeting in June 2023. Further, data on the unique mechanism of TPST-1495 was published in Cancer Research Communications, a journal of the American Association for Cancer Research in July 2023. Additionally, we have what we believe to be exciting third and fourth preclinical programs targeting the three prime repair exonuclease (“TREX-1”) and a novel oncology drug target in a newly defined pathway, respectfully. Beyond these four ongoing programs, we plan to continue to leverage our drug development and company-building experience along with academic relationships to identify promising new targets that may feed new programs into our pipeline.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From inception to June 30, 2023, we have raised $166.8 million, through sales of our capital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been profitable and have incurred operating losses in each period since inception. Our net losses were $15.2 million and $17.7 million for the six months ended June 30, 2023 and 2022, respectively. As of June 30, 2023, we had an accumulated deficit of $151.0 million. Substantially all of the operating losses resulted from expenses incurred in connection with our research and development programs and from general and administrative costs associated with our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business strategy, our existing cash and cash equivalents of $17.6 million as of June 30, 2023 will not be sufficient to fund the projected operating expenses and capital expenditure requirements, and to meet our obligations as they come due, beyond the second quarter of 2024. Accordingly, there is substantial doubt about our ability to continue as a going concern.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taken measures to defer or reduce costs in the near term in order to preserve capital and increase financial flexibility. These cash preservation measures may impact our ability and the timing to execute our strategy, including our ability to achieve the anticipated milestones for our preclinical and clinical programs. To continue to fund our operations, management has developed plans, which primarily consist of raising additional capital through the issuance of additional equity or debt, including identifying strategic collaborations, licensing or other arrangements to support development of the Company’s product candidates. There is no assurance, however,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address our liquidity needs, including to explore other strategic options, continue to further reduce operating expense or to delay, reduce the scope of, discontinue or alter our research and development activities, or we could be forced to cease operations. For additional information, see “—Liquidity”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represent costs incurred to conduct research and development, such as the development of our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recognize all research and development costs as they are incurred. Research and development expenses consist primarily of the following:</w:t>
      </w:r>
    </w:p>
    <w:p>
      <w:pPr>
        <w:spacing w:after="0" w:line="237" w:lineRule="exact"/>
        <w:rPr>
          <w:sz w:val="20"/>
          <w:szCs w:val="20"/>
          <w:color w:val="auto"/>
        </w:rPr>
      </w:pPr>
    </w:p>
    <w:p>
      <w:pPr>
        <w:ind w:left="1500" w:hanging="369"/>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benefits and stock-based compensation;</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licensing costs;</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occupancy;</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materials and supplies;</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contracted research and manufacturing;</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arrangements;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500" w:hanging="369"/>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incur additional expenses as a result of becoming a public company following completion of the merger with Millendo, including expenses related to compliance with the rules and regulations of the SEC and Nasdaq, additional insurance, investor relations and other administrative expenses and professional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620"/>
        <w:spacing w:after="0" w:line="461" w:lineRule="auto"/>
        <w:rPr>
          <w:sz w:val="20"/>
          <w:szCs w:val="20"/>
          <w:color w:val="auto"/>
        </w:rPr>
      </w:pPr>
      <w:r>
        <w:rPr>
          <w:rFonts w:ascii="Arial" w:cs="Arial" w:eastAsia="Arial" w:hAnsi="Arial"/>
          <w:sz w:val="18"/>
          <w:szCs w:val="18"/>
          <w:color w:val="auto"/>
        </w:rPr>
        <w:t xml:space="preserve">Other income (expense), net consists primarily of interest expense, interest income, and various income or expense items of a non-recurring nature. </w:t>
      </w:r>
      <w:r>
        <w:rPr>
          <w:rFonts w:ascii="Arial" w:cs="Arial" w:eastAsia="Arial" w:hAnsi="Arial"/>
          <w:sz w:val="18"/>
          <w:szCs w:val="18"/>
          <w:b w:val="1"/>
          <w:bCs w:val="1"/>
          <w:color w:val="auto"/>
        </w:rPr>
        <w:t>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results for the three months ended June 30, 2023 and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4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20"/>
        </w:trPr>
        <w:tc>
          <w:tcPr>
            <w:tcW w:w="4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6"/>
                <w:szCs w:val="16"/>
                <w:b w:val="1"/>
                <w:bCs w:val="1"/>
                <w:color w:val="auto"/>
              </w:rPr>
              <w:t>(in</w:t>
            </w:r>
          </w:p>
        </w:tc>
        <w:tc>
          <w:tcPr>
            <w:tcW w:w="94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w w:val="76"/>
              </w:rPr>
              <w:t>thousands)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29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98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4,416</w:t>
            </w:r>
          </w:p>
        </w:tc>
        <w:tc>
          <w:tcPr>
            <w:tcW w:w="3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5,651</w:t>
            </w:r>
          </w:p>
        </w:tc>
        <w:tc>
          <w:tcPr>
            <w:tcW w:w="140" w:type="dxa"/>
            <w:vAlign w:val="bottom"/>
          </w:tcPr>
          <w:p>
            <w:pPr>
              <w:spacing w:after="0"/>
              <w:rPr>
                <w:sz w:val="20"/>
                <w:szCs w:val="20"/>
                <w:color w:val="auto"/>
              </w:rPr>
            </w:pPr>
          </w:p>
        </w:tc>
      </w:tr>
      <w:tr>
        <w:trPr>
          <w:trHeight w:val="249"/>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9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3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5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2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w:t>
            </w:r>
          </w:p>
        </w:tc>
        <w:tc>
          <w:tcPr>
            <w:tcW w:w="3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140" w:type="dxa"/>
            <w:vAlign w:val="bottom"/>
          </w:tcPr>
          <w:p>
            <w:pPr>
              <w:spacing w:after="0"/>
              <w:rPr>
                <w:sz w:val="20"/>
                <w:szCs w:val="20"/>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29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w:t>
            </w:r>
          </w:p>
        </w:tc>
        <w:tc>
          <w:tcPr>
            <w:tcW w:w="38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gridSpan w:val="2"/>
          </w:tcPr>
          <w:p>
            <w:pPr>
              <w:jc w:val="right"/>
              <w:ind w:right="213"/>
              <w:spacing w:after="0"/>
              <w:rPr>
                <w:sz w:val="20"/>
                <w:szCs w:val="20"/>
                <w:color w:val="auto"/>
              </w:rPr>
            </w:pPr>
            <w:r>
              <w:rPr>
                <w:rFonts w:ascii="Arial" w:cs="Arial" w:eastAsia="Arial" w:hAnsi="Arial"/>
                <w:sz w:val="18"/>
                <w:szCs w:val="18"/>
                <w:color w:val="auto"/>
              </w:rPr>
              <w:t>(355 )</w:t>
            </w:r>
          </w:p>
        </w:tc>
        <w:tc>
          <w:tcPr>
            <w:tcW w:w="5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(464 )</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29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3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77"/>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9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8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380" w:type="dxa"/>
            <w:vAlign w:val="bottom"/>
            <w:tcBorders>
              <w:bottom w:val="single" w:sz="8" w:color="CFF0FC"/>
            </w:tcBorders>
            <w:shd w:val="clear" w:color="auto" w:fill="CFF0FC"/>
          </w:tcPr>
          <w:p>
            <w:pPr>
              <w:jc w:val="right"/>
              <w:ind w:right="21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588"/>
        </w:trPr>
        <w:tc>
          <w:tcPr>
            <w:tcW w:w="4500" w:type="dxa"/>
            <w:vAlign w:val="bottom"/>
          </w:tcPr>
          <w:p>
            <w:pPr>
              <w:spacing w:after="0"/>
              <w:rPr>
                <w:sz w:val="24"/>
                <w:szCs w:val="24"/>
                <w:color w:val="auto"/>
              </w:rPr>
            </w:pPr>
          </w:p>
        </w:tc>
        <w:tc>
          <w:tcPr>
            <w:tcW w:w="2900" w:type="dxa"/>
            <w:vAlign w:val="bottom"/>
          </w:tcPr>
          <w:p>
            <w:pPr>
              <w:jc w:val="right"/>
              <w:ind w:right="159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-1448435</wp:posOffset>
            </wp:positionV>
            <wp:extent cx="857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-1448435</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-496570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-479425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-479425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for the three months ended June 30, 2023 and 2022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7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6"/>
                <w:szCs w:val="16"/>
                <w:b w:val="1"/>
                <w:bCs w:val="1"/>
                <w:color w:val="auto"/>
              </w:rPr>
              <w:t>(in</w:t>
            </w:r>
          </w:p>
        </w:tc>
        <w:tc>
          <w:tcPr>
            <w:tcW w:w="98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76"/>
              </w:rPr>
              <w:t>thousands)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TPST-1120</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TPST-1495</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20"/>
                <w:szCs w:val="20"/>
                <w:color w:val="auto"/>
              </w:rPr>
            </w:pPr>
          </w:p>
        </w:tc>
      </w:tr>
      <w:tr>
        <w:trPr>
          <w:trHeight w:val="249"/>
        </w:trPr>
        <w:tc>
          <w:tcPr>
            <w:tcW w:w="7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Preclinical and other</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Total candidate specific research costs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4,068</w:t>
            </w:r>
          </w:p>
        </w:tc>
        <w:tc>
          <w:tcPr>
            <w:tcW w:w="140" w:type="dxa"/>
            <w:vAlign w:val="bottom"/>
          </w:tcPr>
          <w:p>
            <w:pPr>
              <w:spacing w:after="0"/>
              <w:rPr>
                <w:sz w:val="20"/>
                <w:szCs w:val="20"/>
                <w:color w:val="auto"/>
              </w:rPr>
            </w:pPr>
          </w:p>
        </w:tc>
      </w:tr>
      <w:tr>
        <w:trPr>
          <w:trHeight w:val="249"/>
        </w:trPr>
        <w:tc>
          <w:tcPr>
            <w:tcW w:w="7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Personnel and other costs</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spacing w:after="0"/>
              <w:rPr>
                <w:sz w:val="21"/>
                <w:szCs w:val="21"/>
                <w:color w:val="auto"/>
              </w:rPr>
            </w:pP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and depreciation</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1"/>
                <w:szCs w:val="21"/>
                <w:color w:val="auto"/>
              </w:rPr>
            </w:pPr>
          </w:p>
        </w:tc>
      </w:tr>
      <w:tr>
        <w:trPr>
          <w:trHeight w:val="27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-659130</wp:posOffset>
            </wp:positionV>
            <wp:extent cx="8572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decreased by $1.2 million to $4.4 million for the three months ended June 30, 2023, compared to the prior year period, which was primarily attributable to a decrease in costs incurred from contract research organizations and third-party vendors, partially offset by an increase in personnel costs, as well as facilities expenses. The following table summarizes our research and development expenses for the three months ended June 30, 2023 and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74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74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0"/>
        </w:trPr>
        <w:tc>
          <w:tcPr>
            <w:tcW w:w="7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6"/>
                <w:szCs w:val="16"/>
                <w:b w:val="1"/>
                <w:bCs w:val="1"/>
                <w:color w:val="auto"/>
              </w:rPr>
              <w:t>(in</w:t>
            </w:r>
          </w:p>
        </w:tc>
        <w:tc>
          <w:tcPr>
            <w:tcW w:w="98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76"/>
              </w:rPr>
              <w:t>thousands)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outside services</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40" w:type="dxa"/>
            <w:vAlign w:val="bottom"/>
            <w:shd w:val="clear" w:color="auto" w:fill="CCEEFF"/>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20"/>
                <w:szCs w:val="20"/>
                <w:color w:val="auto"/>
              </w:rPr>
            </w:pPr>
          </w:p>
        </w:tc>
      </w:tr>
      <w:tr>
        <w:trPr>
          <w:trHeight w:val="249"/>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740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14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8572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decreased by $0.1 million to $3.1 million for the three months ended June 30, 2023, compared to the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a decrease in consulting and professional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2023 and 2022, other income (expense), net consisted of total interest expense of $355 thousand and $464 thousand, respectively, related to the Oxford Loan, and interest income of $244 thousand and $70 thousand,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results for the six months ended June 30, 2023 and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7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4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20"/>
        </w:trPr>
        <w:tc>
          <w:tcPr>
            <w:tcW w:w="7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Arial" w:cs="Arial" w:eastAsia="Arial" w:hAnsi="Arial"/>
                <w:sz w:val="16"/>
                <w:szCs w:val="16"/>
                <w:b w:val="1"/>
                <w:bCs w:val="1"/>
                <w:color w:val="auto"/>
              </w:rPr>
              <w:t>(in</w:t>
            </w:r>
          </w:p>
        </w:tc>
        <w:tc>
          <w:tcPr>
            <w:tcW w:w="90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76"/>
              </w:rPr>
              <w:t>thousands)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9,094</w:t>
            </w:r>
          </w:p>
        </w:tc>
        <w:tc>
          <w:tcPr>
            <w:tcW w:w="3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10,760</w:t>
            </w:r>
          </w:p>
        </w:tc>
        <w:tc>
          <w:tcPr>
            <w:tcW w:w="140" w:type="dxa"/>
            <w:vAlign w:val="bottom"/>
          </w:tcPr>
          <w:p>
            <w:pPr>
              <w:spacing w:after="0"/>
              <w:rPr>
                <w:sz w:val="20"/>
                <w:szCs w:val="20"/>
                <w:color w:val="auto"/>
              </w:rPr>
            </w:pPr>
          </w:p>
        </w:tc>
      </w:tr>
      <w:tr>
        <w:trPr>
          <w:trHeight w:val="249"/>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3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15,051</w:t>
            </w:r>
          </w:p>
        </w:tc>
        <w:tc>
          <w:tcPr>
            <w:tcW w:w="3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16,935</w:t>
            </w:r>
          </w:p>
        </w:tc>
        <w:tc>
          <w:tcPr>
            <w:tcW w:w="140" w:type="dxa"/>
            <w:vAlign w:val="bottom"/>
          </w:tcPr>
          <w:p>
            <w:pPr>
              <w:spacing w:after="0"/>
              <w:rPr>
                <w:sz w:val="20"/>
                <w:szCs w:val="20"/>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(15,051</w:t>
            </w:r>
          </w:p>
        </w:tc>
        <w:tc>
          <w:tcPr>
            <w:tcW w:w="38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0"/>
                <w:szCs w:val="20"/>
                <w:color w:val="auto"/>
              </w:rPr>
            </w:pPr>
          </w:p>
        </w:tc>
        <w:tc>
          <w:tcPr>
            <w:tcW w:w="1000" w:type="dxa"/>
            <w:vAlign w:val="bottom"/>
            <w:gridSpan w:val="2"/>
          </w:tcPr>
          <w:p>
            <w:pPr>
              <w:jc w:val="right"/>
              <w:ind w:right="213"/>
              <w:spacing w:after="0"/>
              <w:rPr>
                <w:sz w:val="20"/>
                <w:szCs w:val="20"/>
                <w:color w:val="auto"/>
              </w:rPr>
            </w:pPr>
            <w:r>
              <w:rPr>
                <w:rFonts w:ascii="Arial" w:cs="Arial" w:eastAsia="Arial" w:hAnsi="Arial"/>
                <w:sz w:val="18"/>
                <w:szCs w:val="18"/>
                <w:color w:val="auto"/>
              </w:rPr>
              <w:t>(699 )</w:t>
            </w:r>
          </w:p>
        </w:tc>
        <w:tc>
          <w:tcPr>
            <w:tcW w:w="5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(797 )</w:t>
            </w: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21"/>
                <w:szCs w:val="21"/>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76"/>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(15,217</w:t>
            </w:r>
          </w:p>
        </w:tc>
        <w:tc>
          <w:tcPr>
            <w:tcW w:w="380" w:type="dxa"/>
            <w:vAlign w:val="bottom"/>
            <w:tcBorders>
              <w:bottom w:val="single" w:sz="8" w:color="CFF0FC"/>
            </w:tcBorders>
            <w:shd w:val="clear" w:color="auto" w:fill="CFF0FC"/>
          </w:tcPr>
          <w:p>
            <w:pPr>
              <w:jc w:val="right"/>
              <w:ind w:right="21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-976630</wp:posOffset>
            </wp:positionV>
            <wp:extent cx="8572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for the six months ended June 30, 2023 and 2022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9"/>
              </w:rPr>
              <w:t>Six Months Ended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7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6"/>
                <w:szCs w:val="16"/>
                <w:b w:val="1"/>
                <w:bCs w:val="1"/>
                <w:color w:val="auto"/>
              </w:rPr>
              <w:t>(in</w:t>
            </w:r>
          </w:p>
        </w:tc>
        <w:tc>
          <w:tcPr>
            <w:tcW w:w="94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76"/>
              </w:rPr>
              <w:t>thousands)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TPST-1120</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TPST-1495</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0"/>
                <w:szCs w:val="20"/>
                <w:color w:val="auto"/>
              </w:rPr>
            </w:pPr>
          </w:p>
        </w:tc>
      </w:tr>
      <w:tr>
        <w:trPr>
          <w:trHeight w:val="249"/>
        </w:trPr>
        <w:tc>
          <w:tcPr>
            <w:tcW w:w="7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Preclinical and other</w:t>
            </w: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Total candidate specific research costs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7,586</w:t>
            </w:r>
          </w:p>
        </w:tc>
        <w:tc>
          <w:tcPr>
            <w:tcW w:w="140" w:type="dxa"/>
            <w:vAlign w:val="bottom"/>
          </w:tcPr>
          <w:p>
            <w:pPr>
              <w:spacing w:after="0"/>
              <w:rPr>
                <w:sz w:val="20"/>
                <w:szCs w:val="20"/>
                <w:color w:val="auto"/>
              </w:rPr>
            </w:pPr>
          </w:p>
        </w:tc>
      </w:tr>
      <w:tr>
        <w:trPr>
          <w:trHeight w:val="249"/>
        </w:trPr>
        <w:tc>
          <w:tcPr>
            <w:tcW w:w="7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Personnel and other costs</w:t>
            </w: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40" w:type="dxa"/>
            <w:vAlign w:val="bottom"/>
            <w:shd w:val="clear" w:color="auto" w:fill="CCEEFF"/>
          </w:tcPr>
          <w:p>
            <w:pPr>
              <w:spacing w:after="0"/>
              <w:rPr>
                <w:sz w:val="21"/>
                <w:szCs w:val="21"/>
                <w:color w:val="auto"/>
              </w:rPr>
            </w:pP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and depreciation</w:t>
            </w: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1"/>
                <w:szCs w:val="21"/>
                <w:color w:val="auto"/>
              </w:rPr>
            </w:pPr>
          </w:p>
        </w:tc>
      </w:tr>
      <w:tr>
        <w:trPr>
          <w:trHeight w:val="277"/>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-659130</wp:posOffset>
            </wp:positionV>
            <wp:extent cx="85725"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decreased by $1.7 million to $9.1 million for the six months ended June 30, 2023, compared to the prior year period, which was primarily attributable to a decrease in costs incurred from contract research organizations and third-party vendors, partially offset by an increase in personnel costs, as well as facilities expenses. The following table summarizes our research and development expenses for the six months ended June 30, 2023 and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9"/>
              </w:rPr>
              <w:t>Six Months Ended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74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7400" w:type="dxa"/>
            <w:vAlign w:val="bottom"/>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0"/>
        </w:trPr>
        <w:tc>
          <w:tcPr>
            <w:tcW w:w="7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6"/>
                <w:szCs w:val="16"/>
                <w:b w:val="1"/>
                <w:bCs w:val="1"/>
                <w:color w:val="auto"/>
              </w:rPr>
              <w:t>(in</w:t>
            </w:r>
          </w:p>
        </w:tc>
        <w:tc>
          <w:tcPr>
            <w:tcW w:w="94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76"/>
              </w:rPr>
              <w:t>thousands)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outside services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20"/>
                <w:szCs w:val="20"/>
                <w:color w:val="auto"/>
              </w:rPr>
            </w:pPr>
          </w:p>
        </w:tc>
      </w:tr>
      <w:tr>
        <w:trPr>
          <w:trHeight w:val="249"/>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740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14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857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decreased by $0.2 million to $6.0 million for the six months ended June 30, 2023, compared to the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a decrease in consulting and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and 2022, other income (expense), net consisted of total interest expense of $699 thousand and $797 thousand, respectively, related to the Oxford Loan, and interest income of $533 thousand and $73 thousand,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through June 30, 2023, our operations have been financed primarily by net cash proceeds from the sale of our common stock, convertible preferred stock and issuance of debt. As of June 30, 2023, we had $17.6 million in cash and cash equivalents and an accumulated deficit of $151.0 million. We expect that our research and development and general and administrative expenses will increase, and, as a result, we anticipate that we will continue to incur increasing losses in the foreseeable future.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current business strategy and our measures to preserve capital, our existing cash and cash equivalents as of June 30, 2023 will not be sufficient to fund the projected operating expenses and capital expenditure requirements, and to meet our obligations as they come due, beyond the second quarter of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Oxford Finance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we entered into a loan and security agreement with Oxford to borrow a term loan amount of $35.0 million to be funded in three tranches (the "Loan Agreement"). Tranche A of $15.0 million was funded on January 15, 2021. Tranche B of $10.0 million expired on March 31, 2022. Tranche C of $10.0 million is available at Oxford’s option.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intellectual property, was granted to the Lender. In addition, the Lender permitted a one-time prepayment in the amount of $5.0 million which the Company paid on December 23, 2022.</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 loan matures on August 1, 2025 and has an annual floating interest rate of 7.15% which is an Index Rate plus 7.10%. Index Rate is the greater of (i) 1-Month CME Term SOFR or (ii) 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23, 2021, we entered into a sales agreement (the “Sales Agreement”) with Jefferies LLC (the “Agent”), pursuant to which we may sell, from time to time, up to an aggregate sales price of $100.0 million of our common stock through the Agent in a series of one or more ATM equity offerings. As of December 31, 2022, our calculated public float was less than $75.0 million. Under current SEC regulations, if at any time our public float is less than $75.0 million, and for so long as our public float remains less than $75.0 million, the amount we can raise through primary public offerings of securities in any twelve-month period using shelf registration statements is limited to an aggregate of one-third of our public float, which is referred to as the “baby shelf” limitations. As of June 30, 2023, we sold 1,239,272 shares of common stock under the ATM Program for net proceeds of $6.8 million.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2022, we completed a private investment in public equity (“PIPE”) financing from the sale of 3,149,912 shares of our common stock at a price per share of $2.36 and, in lieu of shares of common stock, pre-funded warrants to purchase up to 3,206,020 shares of our common stock at a price per pre-funded warrant of $2.359 to EcoR1 Capital, LLC and Versant Venture Capital (the “PIPE Investors”). Net proceeds from the PIPE financings totaled approximately $14.5 million, after deducting offering expenses.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We entered into a registration rights agreement with the PIPE Investors pursuant to which we filed a registration statement with the SEC registering the resale of the 3,149,912 shares common stock and the 3,206,020 shares of common stock underlying the pre-funded warrants issued in the PIPE financing.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2023 and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7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6"/>
        </w:trPr>
        <w:tc>
          <w:tcPr>
            <w:tcW w:w="7400" w:type="dxa"/>
            <w:vAlign w:val="bottom"/>
            <w:tcBorders>
              <w:bottom w:val="single" w:sz="8" w:color="CCEEFF"/>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0"/>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operating activities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88"/>
              </w:rPr>
              <w:t>(14,695 )</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(15,521 )</w:t>
            </w:r>
          </w:p>
        </w:tc>
      </w:tr>
      <w:tr>
        <w:trPr>
          <w:trHeight w:val="237"/>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(163 )</w:t>
            </w:r>
          </w:p>
        </w:tc>
        <w:tc>
          <w:tcPr>
            <w:tcW w:w="5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(98 )</w:t>
            </w:r>
          </w:p>
        </w:tc>
      </w:tr>
      <w:tr>
        <w:trPr>
          <w:trHeight w:val="249"/>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3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(13,626 )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for the six months ended June 30, 2023 was $14.7 million, consisting of a net loss of $15.2 million, add back of non-cash adjustments for depreciation, stock-based compensation, non-cash operating lease expense and other non-cash items totaling $2.0 million, plus changes in operating assets and liabilities of $1.5 million.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for the six months ended June 30, 2022 was $15.5 million consisting of a net loss of $17.7 million, add back of non-cash adjustments for depreciation, stock-based compensation, non-cash operating lease expense and other non-cash items totaling $1.8 million, plus changes in operating assets and liabilities of $0.4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six months ended June 30, 2023 and 2022 was related to purchases of property and equipment, primarily related to office, laboratory and computer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for the six months ended June 30, 2023 was related to proceeds from the issuance of common stock of $1.2 million from the ATM program.</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six months ended June 30, 2022 was $15.8 million, primarily related to proceeds from the issuance of common stock of $1.3 million from the ATM program, and issuance of common stock of $7.2 million and pre-funded warrants of $7.3 million related to the PIPE financing.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financial statements have been prepared in conformity with generally accepted accounting principles which contemplate continuation of the Company on a going concern basis. The going concern basis assumes that assets are realized, and liabilities are extinguished in the ordinary course of business at amounts disclosed in the financial statements. We have not yet generated product sales and, as a result, have experienced operating losses since inception. 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current business strategy and our measures to preserve capital, our existing cash and cash equivalents as of June 30, 2023 will not be sufficient to fund the projected operating expenses and capital expenditure requirements, and to meet our obligations as they come due, beyond the second quarter of 2024. We have taken measures to defer or reduce costs in the near term in order to preserve capital and increase financial flexibility. These cash preservation measures may impact our ability and the timing to execute our strategy, including our ability to achieve the anticipated milestones for our preclinical and clinical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225" w:lineRule="exact"/>
        <w:rPr>
          <w:sz w:val="20"/>
          <w:szCs w:val="20"/>
          <w:color w:val="auto"/>
        </w:rPr>
      </w:pPr>
    </w:p>
    <w:p>
      <w:pPr>
        <w:ind w:left="1020" w:right="2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the scope, progress and results of discovery, preclinical development, laboratory testing and clinical trials for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 candidates;</w:t>
      </w:r>
    </w:p>
    <w:p>
      <w:pPr>
        <w:spacing w:after="0" w:line="225"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related to the extent to which we enter into partnerships or other arrangements with third parties to further develop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product candidates or technologies;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 and</w:t>
      </w:r>
    </w:p>
    <w:p>
      <w:pPr>
        <w:spacing w:after="0" w:line="170"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material cash requirements as of June 30, 2023 primarily relate to the maturities of the principal obligations under our long-term debt, operating leases for office space, trade payables, and accrued expenses. As of June 30, 2023, we have $8.6 million payable within 12 months. Refer to Notes 5 and 6 to our Consolidated Financial Statements for additional information. 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significant changes to our critical accounting policies since December 31, 2022.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our Condensed Consolidated Financial Statements for a description of recent accounting pronouncements applicable to our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Status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Vice-President, Strategy and Finance (principal financial officer), evaluated the effectiveness of our disclosure controls and procedures (as defined in Rules 13a-15(e) and 15d-15(e) under the Exchange Act), as of the end of the period covered by this Quarterly Report. Based on such evaluation, our Chief Executive Officer and Vice-President, Strategy and Finance have concluded that as of June 30, 2023, our disclosure controls and procedures were effective at the reasonable assurance level.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quarter ended June 30, 2023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pertaining to legal proceedings is provided in Note 5 to the Condensed Consolidated Financial Statements contained in this report and is incorporated by reference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risks described below, together with all of the other information contained in this Annual Report on Form 10-K,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Risks Associated with Our Business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46" w:lineRule="exact"/>
        <w:rPr>
          <w:sz w:val="20"/>
          <w:szCs w:val="20"/>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capital may be limited by applicable laws and regulations.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Raising additional capital may cause dilution to our stockholders, restrict our operations or require us to relinquish proprietary rights.</w:t>
      </w:r>
    </w:p>
    <w:p>
      <w:pPr>
        <w:spacing w:after="0" w:line="236"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83"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to expand our development and regulatory capabilities, and as a result, we may encounter difficulties in managing our growth, which could disrupt our operations.</w:t>
      </w:r>
    </w:p>
    <w:p>
      <w:pPr>
        <w:spacing w:after="0" w:line="170"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product candidates and develop marketable products.</w:t>
      </w:r>
    </w:p>
    <w:p>
      <w:pPr>
        <w:spacing w:after="0" w:line="225" w:lineRule="exact"/>
        <w:rPr>
          <w:rFonts w:ascii="Arial" w:cs="Arial" w:eastAsia="Arial" w:hAnsi="Arial"/>
          <w:sz w:val="18"/>
          <w:szCs w:val="18"/>
          <w:color w:val="auto"/>
        </w:rPr>
      </w:pPr>
    </w:p>
    <w:p>
      <w:pPr>
        <w:ind w:left="1020" w:right="720" w:hanging="503"/>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46" w:lineRule="exact"/>
        <w:rPr>
          <w:rFonts w:ascii="Arial" w:cs="Arial" w:eastAsia="Arial" w:hAnsi="Arial"/>
          <w:sz w:val="17"/>
          <w:szCs w:val="17"/>
          <w:color w:val="auto"/>
        </w:rPr>
      </w:pPr>
    </w:p>
    <w:p>
      <w:pPr>
        <w:ind w:left="1020" w:right="1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rely on third parties to manufacture our clinical product supplies, and we may have to rely on third parties to produce and process our product candidates, if approved.</w:t>
      </w:r>
    </w:p>
    <w:p>
      <w:pPr>
        <w:spacing w:after="0" w:line="170" w:lineRule="exact"/>
        <w:rPr>
          <w:rFonts w:ascii="Arial" w:cs="Arial" w:eastAsia="Arial" w:hAnsi="Arial"/>
          <w:sz w:val="18"/>
          <w:szCs w:val="18"/>
          <w:color w:val="auto"/>
        </w:rPr>
      </w:pPr>
    </w:p>
    <w:p>
      <w:pPr>
        <w:ind w:left="1020" w:right="260" w:hanging="503"/>
        <w:spacing w:after="0" w:line="31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spacing w:after="0" w:line="148" w:lineRule="exact"/>
        <w:rPr>
          <w:rFonts w:ascii="Arial" w:cs="Arial" w:eastAsia="Arial" w:hAnsi="Arial"/>
          <w:sz w:val="16"/>
          <w:szCs w:val="16"/>
          <w:color w:val="auto"/>
        </w:rPr>
      </w:pPr>
    </w:p>
    <w:p>
      <w:pPr>
        <w:ind w:left="1020" w:right="5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establish sales and marketing capabilities or enter into agreements with third parties to market and sell our product candidates, we may be unable to generate any revenues.</w:t>
      </w:r>
    </w:p>
    <w:p>
      <w:pPr>
        <w:spacing w:after="0" w:line="170"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70"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Food and Drug Administration (“FDA”) regulatory approval process is lengthy and time-consuming, and we may experience significant delays in the clinical development and regulatory approval of our product candidates.</w:t>
      </w:r>
    </w:p>
    <w:p>
      <w:pPr>
        <w:spacing w:after="0" w:line="170"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70"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owned and in-licensed patents and patent applications may not provide sufficient protection of our product candidates or result in any competitive advantage.</w:t>
      </w:r>
    </w:p>
    <w:p>
      <w:pPr>
        <w:spacing w:after="0" w:line="170"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is likely to continue to be volatile, and purchasers of our common stock could incur substantial losses.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Unstable market and economic conditions may have serious adverse consequences on our business, financial condition and share price.</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stock is thinly traded and our stockholders may be unable to sell their shares quickly or at market price.</w:t>
      </w:r>
    </w:p>
    <w:p>
      <w:pPr>
        <w:spacing w:after="0" w:line="22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executive officers, directors and principal stockholders have the ability to control or significantly influence all matters submitted to our stockholders for approval.</w:t>
      </w:r>
    </w:p>
    <w:p>
      <w:pPr>
        <w:spacing w:after="0" w:line="170"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controls, our ability to produce accurate financial statements on a timely basis could be impaired.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8"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current business strategy, there is substantial doubt concerning our ability to continue as a going concern. Our existing cash as of June 30, 2023 will not allow us to fund our operations beyond the second quarter of 2024. We have taken measures to defer or reduce costs in the near term in order to preserve capital and increase financial flexibility. These cash preservation measures may impact our ability and the timing to execute our strategy. Our ability to continue as a going concern will depend on our ability to obtain additional funding, as to which no assurances can be given. We continue to analyze various alternatives, including debt or equity financings or other arrangements.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spacing w:after="0" w:line="17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progress, costs and results of our ongoing preclinical studies and clinical trials of our product candidates;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reimbursement and distribution, for any of our product candidates for which we may receive marketing approval;</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may receive marketing approval;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any milestone and royalty payments with respect to any approved product candidates;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Russia-Ukraine war.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$15.2 million and $17.7 million for the six months ended June 30, 2023 and 2022, respectively. As of June 30, 2023, we had an accumulated deficit of $151.0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operations have consumed significant amounts of cash since inception. We expect our expenses to increase in connection with our ongoing and planned activities, particularly as we continue to develop and potentially commercialize our product candidates, in addition to costs associated with the acquisition or in-licensing of any additional product candidates we may pursue. Our expenses could increase beyond expectations if the FDA or comparable foreign regulatory authorities require us to perform clinical and other studies in addition to those that we currently anticipate. In addition, if we obtain marketing approval for our product candidates, we expect to incur significant expenses related to sales, marketing, manufacturing and distribution.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2023, we had cash and cash equivalents of $17.6 million. We believe that our cash and cash equivalents as of June 30, 2023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It also does not reflect the possibility that we may not be able to access a portion of our existing cash, cash equivalents and investments due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unforeseen market conditions. For example, on March 10, 2023, the Federal Deposit Insurance Corporation took control and was appointed receiver of Silicon Valley Bank. Similarly, on March 12, 2023, Signature Bank and Silvergate Capital Corp. were each swept into receivership.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any event, we will require substantial additional capital to develop our product candidates. Such 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 Any additional capital raising efforts may divert our management from their day-to-day activities, which may adversely affect our ability to develop and commercialize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proprietary rights.</w:t>
      </w:r>
    </w:p>
    <w:p>
      <w:pPr>
        <w:spacing w:after="0" w:line="23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July 2021, we entered into Sales Agreement, or the ATM Agreement, with Jefferies LLC, for an at-the-market offering program that allows us to sell up to an aggregate of $100 million of our common stock. To the extent that we raise additional capital through the sale of equity or convertible debt securities, your ownership interest may be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and security agreement, or Loan Agreement, with Oxford Finance LLC, or Oxford Finance,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7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may be limited by applicable laws and regulations.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is limited to one-third of our public float, we may conduct such an offering pursuant to an exemption from registration under the Securities Act or under a Form S-1 registration statement, and we would expect either of those alternatives to increase the cost of raising additional capital relative to utilizing a Form S-3 registration statement.</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2021, we entered into a Loan Agreement with Oxford Finance that provided us with up to $35.0 million of borrowing capacity across three potential tranches, which was subsequently amended in December 2022. The initial tranche of $15.0 million was funded at the closing of the Loan Agreement. As of June 30, 2023, a total of $10.0 million in borrowing capacity remained available at the option of Oxford Finance.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we default under the Loan Agreement, Oxford Finance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Finance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Finance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Finance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tax credit carryforwards may be subject to limitations.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highly skilled employees to succeed.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Stephen Brady, our President, Thomas Dubensky and our Chief Medical Officer, Sam Whiting. The loss of services of Messrs. Brady, Dubensky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be unable to continue to attract and retain qualified personnel necessary for the development of our business or to recruit suitable replacement personnel.</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78"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236"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 Development and Regulatory Approval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obtain regulatory approval for and commercialize TPST-1495 and TPST-1120 and our future product candidates, or if we experience significant delays in doing so, our business will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during 2023.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TPST-1495 and TPST-1120 and our other product candidates depends on multiple factors, including:</w:t>
      </w:r>
    </w:p>
    <w:p>
      <w:pPr>
        <w:spacing w:after="0" w:line="225" w:lineRule="exact"/>
        <w:rPr>
          <w:sz w:val="20"/>
          <w:szCs w:val="20"/>
          <w:color w:val="auto"/>
        </w:rPr>
      </w:pPr>
    </w:p>
    <w:p>
      <w:pPr>
        <w:jc w:val="both"/>
        <w:ind w:left="1020" w:right="1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83"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70"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70"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70"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70"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including those necessary for pricing and reimbursement of our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 regulatory exclusivity for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launch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patient advocacy groups, third-party payors and the general medical community;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compete with developers of other therapies available in the market;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and maintenance of adequate reimbursement from third-party payors for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acquire or in-license additional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prosecution, maintenance, enforcement and defense of intellectual property rights and claims;</w:t>
      </w:r>
    </w:p>
    <w:p>
      <w:pPr>
        <w:spacing w:after="0" w:line="225"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factors surrounding the approval process, such as government shutdowns; or</w:t>
      </w:r>
    </w:p>
    <w:p>
      <w:pPr>
        <w:spacing w:after="0" w:line="225"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Russia-Ukraine war, natural disasters including earthquakes, typhoons, floods and fires, and public health crises.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8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risk that patients enrolled in our clinical trials will drop out of the trials before the infusion of our product candidates or trial completion.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may delay or prevent patients from enrolling or from receiving treatment in accordance with the protocol and the required timelines, which could delay our clinical trials, or prevent us from completing our clinical trials at all.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Approval of TPST-1495 and TPST-1120 and our other product candidates may be delayed or refused for many reasons, including:</w:t>
      </w:r>
    </w:p>
    <w:p>
      <w:pPr>
        <w:spacing w:after="0" w:line="225"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populations studied in clinical trials may not be sufficiently broad or representative to assure efficacy and safety in the populations for which we seek approval;</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facilities of third-party manufacturers with which we contract or procure certain service or raw materials, may not be adequate to support approval of our product candidates;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if we or others later identify undesirable side effects caused by our product candidates, several potentially significant negative consequences could result, including: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in the product labeling;</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these occurrences may harm our business, financial condition, results of operations and prospects significantly.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product candidates and develop marketable products.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drug products and their facilities are subject to continual review and periodic, unannounced inspections by the FDA and other regulatory authorities for compliance with cGMP.</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70"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such product candidates, manufacturers or manufacturing processes;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any approved product from the market;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 of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penalties. Similarly, failure to comply with Canada’s or Europe’s requirements regarding the protection of personal information can also lead to significant penalties and sanctions.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and Manufacturing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technologies developed by our competitors may render our current or future product candidates uneconomical or obsolete, and we may not be successful in marketing our product candidates against competitors.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9" w:lineRule="exact"/>
        <w:rPr>
          <w:sz w:val="20"/>
          <w:szCs w:val="20"/>
          <w:color w:val="auto"/>
        </w:rPr>
      </w:pPr>
    </w:p>
    <w:p>
      <w:pPr>
        <w:jc w:val="both"/>
        <w:ind w:left="1020" w:hanging="503"/>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78"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75"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replacement suppliers capable of production in a timely manner at a substantially equivalent cost, our clinical trials may be delayed or we could lose potential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experience delays in obtaining regulatory approvals, including but not limited to:</w:t>
      </w:r>
    </w:p>
    <w:p>
      <w:pPr>
        <w:spacing w:after="0" w:line="225"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authorization to begin a trial, if applicable;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redesigning our study protocols and need to conduct additional studies as may be required by a regulator;</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the terms of any collaboration agreements we may choose to initiate or conclude;</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 including GCPs;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recruit and enroll suitable patients to participate in a trial;</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add new clinical trial sites; or</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the data generated from our preclinical or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establishing, expanding and scaling manufacturing capabilities;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manufacture, or obtain from third parties, sufficient quantities of qualified materials under cGMP, for the completion in pre-clinical and clinical studies;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biopharmaceutical product candidate storage, stability and distribution resulting in global supply chain disruptions;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70"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restrictions on trade, import or export restrictions, or public health crises.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3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could compromise our ability to perform our day-to-day operations, which could harm our ability to conduct business or delay our financial reporting. Such failures could materially adversely affect our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For example, California enacted the California Consumer Privacy Act (the “CCPA”), which took effect on January 1, 2020 and the California Privacy Rights Act (“CPRA”), which went into effect on January 1, 2023.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CPRA significantly expanded the CCPA. For example, the CPRA requires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The CCPA and CPRA may increase our compliance costs and potential liability.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As more companies and individuals work online and work remotely,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93"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64" w:lineRule="exact"/>
        <w:rPr>
          <w:rFonts w:ascii="Arial" w:cs="Arial" w:eastAsia="Arial" w:hAnsi="Arial"/>
          <w:sz w:val="16"/>
          <w:szCs w:val="16"/>
          <w:color w:val="auto"/>
        </w:rPr>
      </w:pPr>
    </w:p>
    <w:p>
      <w:pPr>
        <w:jc w:val="both"/>
        <w:ind w:left="1020" w:hanging="503"/>
        <w:spacing w:after="0" w:line="275"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76" w:lineRule="exact"/>
        <w:rPr>
          <w:rFonts w:ascii="Arial" w:cs="Arial" w:eastAsia="Arial" w:hAnsi="Arial"/>
          <w:sz w:val="17"/>
          <w:szCs w:val="17"/>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6"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86"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chiropractors), other healthcare professionals (such as physician assistants and nurse practitioners), and, teaching hospitals, as well as certain ownership and investment interests held by physicians and their immediate family;</w:t>
      </w:r>
    </w:p>
    <w:p>
      <w:pPr>
        <w:spacing w:after="0" w:line="170" w:lineRule="exact"/>
        <w:rPr>
          <w:sz w:val="20"/>
          <w:szCs w:val="20"/>
          <w:color w:val="auto"/>
        </w:rPr>
      </w:pPr>
    </w:p>
    <w:p>
      <w:pPr>
        <w:ind w:left="1020" w:right="56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83"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65" w:lineRule="exact"/>
        <w:rPr>
          <w:rFonts w:ascii="Arial" w:cs="Arial" w:eastAsia="Arial" w:hAnsi="Arial"/>
          <w:sz w:val="17"/>
          <w:szCs w:val="17"/>
          <w:color w:val="auto"/>
        </w:rPr>
      </w:pPr>
    </w:p>
    <w:p>
      <w:pPr>
        <w:jc w:val="both"/>
        <w:ind w:left="1020" w:hanging="503"/>
        <w:spacing w:after="0" w:line="289"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7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royalty, milestone or other payment obligations that may result from the advancement or commercial sale of any of our product candidates;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2043,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0" w:lineRule="exact"/>
        <w:rPr>
          <w:sz w:val="20"/>
          <w:szCs w:val="20"/>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active compositions of our product candidates but that are not covered by the claims of our patents;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current or future licensors, as the case may be, might not have been the first to file patent applications for certain inventions;</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as the case may be, or parts of our owned or in-licensed patents;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current or future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adequately cover our product candidates;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70"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3"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8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financial conditions, results of operations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obtaining rights to key technologies through in-licenses may not be successful.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Third-party claims of intellectual property infringement may prevent, delay or otherwise interfere with our product discovery and development efforts.</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their intellectual property rights, we may face a number of issues, including, but not limited to:</w:t>
      </w:r>
    </w:p>
    <w:p>
      <w:pPr>
        <w:spacing w:after="0" w:line="62" w:lineRule="exact"/>
        <w:rPr>
          <w:sz w:val="20"/>
          <w:szCs w:val="20"/>
          <w:color w:val="auto"/>
        </w:rPr>
      </w:pPr>
    </w:p>
    <w:p>
      <w:pPr>
        <w:ind w:left="1020" w:right="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that, regardless of merit, may be expensive and time-consuming to litigate and may divert our management’s attention from our core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0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redesign our product candidates or processes so they do not infringe, which may not be possible or may require substantial monetary expenditures and time; and</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that event, we would be unable to further develop and commercialize our product candidates, which could significantly harm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 of our common stock. Any of the foregoing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further example, beginning June 1, 2023 European patent applications and patents may be subjected to the jurisdiction of the Unified Patent Court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any product candidates it may develop, our business may be materially harmed.</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Intellectual property discovered through government funded programs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has been and is likely to continue to be volatile. Some of the factors that may cause the market price of our common stock to fluctuate include:</w:t>
      </w:r>
    </w:p>
    <w:p>
      <w:pPr>
        <w:spacing w:after="0" w:line="170"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of our product candidates, or those of our competitors or our existing or future collaborators;</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236"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w:t>
      </w:r>
    </w:p>
    <w:p>
      <w:pPr>
        <w:spacing w:after="0" w:line="22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the Russia-Ukraine war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thinly traded and our stockholders may be unable to sell their shares quickly or at market price.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some investors find our common stock less attractive as a result, there may be a less active trading market for our common stock and our stock price may be more volatile.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Public Company and Other General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continue to incur significant legal, accounting and other expenses.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material weaknesses were identified in our internal control over financial reporting, which have been remediated. We cannot assure you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collaborators;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for nominations to our board of directors;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actions by our stockholders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that stockholder actions be effected at a duly called stockholders meeting;</w:t>
      </w:r>
    </w:p>
    <w:p>
      <w:pPr>
        <w:spacing w:after="0" w:line="117" w:lineRule="exact"/>
        <w:rPr>
          <w:rFonts w:ascii="Arial" w:cs="Arial" w:eastAsia="Arial" w:hAnsi="Arial"/>
          <w:sz w:val="18"/>
          <w:szCs w:val="18"/>
          <w:color w:val="auto"/>
        </w:rPr>
      </w:pPr>
    </w:p>
    <w:p>
      <w:pPr>
        <w:jc w:val="both"/>
        <w:ind w:left="760" w:right="40" w:hanging="378"/>
        <w:spacing w:after="0" w:line="26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exposed to increased litigation, including stockholder litigation, which could have an adverse effect on our business and operations.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the Annual Report on Form 10-K.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8"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30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43180</wp:posOffset>
            </wp:positionV>
            <wp:extent cx="28892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Filed or</w:t>
            </w:r>
          </w:p>
        </w:tc>
        <w:tc>
          <w:tcPr>
            <w:tcW w:w="0" w:type="dxa"/>
            <w:vAlign w:val="bottom"/>
          </w:tcPr>
          <w:p>
            <w:pPr>
              <w:spacing w:after="0"/>
              <w:rPr>
                <w:sz w:val="1"/>
                <w:szCs w:val="1"/>
                <w:color w:val="auto"/>
              </w:rPr>
            </w:pPr>
          </w:p>
        </w:tc>
      </w:tr>
      <w:tr>
        <w:trPr>
          <w:trHeight w:val="203"/>
        </w:trPr>
        <w:tc>
          <w:tcPr>
            <w:tcW w:w="94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Furnished</w:t>
            </w:r>
          </w:p>
        </w:tc>
        <w:tc>
          <w:tcPr>
            <w:tcW w:w="0" w:type="dxa"/>
            <w:vAlign w:val="bottom"/>
          </w:tcPr>
          <w:p>
            <w:pPr>
              <w:spacing w:after="0"/>
              <w:rPr>
                <w:sz w:val="1"/>
                <w:szCs w:val="1"/>
                <w:color w:val="auto"/>
              </w:rPr>
            </w:pPr>
          </w:p>
        </w:tc>
      </w:tr>
      <w:tr>
        <w:trPr>
          <w:trHeight w:val="210"/>
        </w:trPr>
        <w:tc>
          <w:tcPr>
            <w:tcW w:w="940" w:type="dxa"/>
            <w:vAlign w:val="bottom"/>
          </w:tcPr>
          <w:p>
            <w:pPr>
              <w:ind w:left="180"/>
              <w:spacing w:after="0"/>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940" w:type="dxa"/>
            <w:vAlign w:val="bottom"/>
            <w:gridSpan w:val="17"/>
          </w:tcPr>
          <w:p>
            <w:pPr>
              <w:ind w:left="1320"/>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File Number</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47"/>
        </w:trPr>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5720" w:type="dxa"/>
            <w:vAlign w:val="bottom"/>
            <w:gridSpan w:val="19"/>
          </w:tcPr>
          <w:p>
            <w:pPr>
              <w:spacing w:after="0"/>
              <w:rPr>
                <w:rFonts w:ascii="Arial" w:cs="Arial" w:eastAsia="Arial" w:hAnsi="Arial"/>
                <w:sz w:val="16"/>
                <w:szCs w:val="16"/>
                <w:color w:val="0000FF"/>
              </w:rPr>
            </w:pPr>
            <w:hyperlink r:id="rId231">
              <w:r>
                <w:rPr>
                  <w:rFonts w:ascii="Arial" w:cs="Arial" w:eastAsia="Arial" w:hAnsi="Arial"/>
                  <w:sz w:val="16"/>
                  <w:szCs w:val="16"/>
                  <w:color w:val="0000FF"/>
                </w:rPr>
                <w:t>Restated Certificate of Incorporation of the Registrant, as amended</w:t>
              </w:r>
            </w:hyperlink>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20" w:type="dxa"/>
            <w:vAlign w:val="bottom"/>
          </w:tcPr>
          <w:p>
            <w:pPr>
              <w:jc w:val="right"/>
              <w:spacing w:after="0"/>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5/15/2019</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spacing w:after="0"/>
              <w:rPr>
                <w:sz w:val="22"/>
                <w:szCs w:val="22"/>
                <w:color w:val="auto"/>
              </w:rPr>
            </w:pPr>
          </w:p>
        </w:tc>
        <w:tc>
          <w:tcPr>
            <w:tcW w:w="5700" w:type="dxa"/>
            <w:vAlign w:val="bottom"/>
            <w:tcBorders>
              <w:bottom w:val="single" w:sz="8" w:color="0000FF"/>
            </w:tcBorders>
            <w:gridSpan w:val="18"/>
          </w:tcPr>
          <w:p>
            <w:pPr>
              <w:spacing w:after="0"/>
              <w:rPr>
                <w:rFonts w:ascii="Arial" w:cs="Arial" w:eastAsia="Arial" w:hAnsi="Arial"/>
                <w:sz w:val="16"/>
                <w:szCs w:val="16"/>
                <w:color w:val="0000FF"/>
                <w:w w:val="93"/>
              </w:rPr>
            </w:pPr>
            <w:hyperlink r:id="rId232">
              <w:r>
                <w:rPr>
                  <w:rFonts w:ascii="Arial" w:cs="Arial" w:eastAsia="Arial" w:hAnsi="Arial"/>
                  <w:sz w:val="16"/>
                  <w:szCs w:val="16"/>
                  <w:color w:val="0000FF"/>
                  <w:w w:val="93"/>
                </w:rPr>
                <w:t>Certificate of Amendment to the Restated Certificate of Incorporation of the Company,</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89"/>
              </w:rPr>
              <w:t>3.2</w:t>
            </w:r>
          </w:p>
        </w:tc>
        <w:tc>
          <w:tcPr>
            <w:tcW w:w="5000" w:type="dxa"/>
            <w:vAlign w:val="bottom"/>
            <w:tcBorders>
              <w:bottom w:val="single" w:sz="8" w:color="0000FF"/>
            </w:tcBorders>
            <w:gridSpan w:val="11"/>
          </w:tcPr>
          <w:p>
            <w:pPr>
              <w:spacing w:after="0" w:line="183" w:lineRule="exact"/>
              <w:rPr>
                <w:rFonts w:ascii="Arial" w:cs="Arial" w:eastAsia="Arial" w:hAnsi="Arial"/>
                <w:sz w:val="16"/>
                <w:szCs w:val="16"/>
                <w:color w:val="0000FF"/>
                <w:w w:val="91"/>
              </w:rPr>
            </w:pPr>
            <w:hyperlink r:id="rId232">
              <w:r>
                <w:rPr>
                  <w:rFonts w:ascii="Arial" w:cs="Arial" w:eastAsia="Arial" w:hAnsi="Arial"/>
                  <w:sz w:val="16"/>
                  <w:szCs w:val="16"/>
                  <w:color w:val="0000FF"/>
                  <w:w w:val="91"/>
                </w:rPr>
                <w:t>as filed with the Secretary of State of the State of Delaware on June 24, 2021</w:t>
              </w:r>
            </w:hyperlink>
          </w:p>
        </w:tc>
        <w:tc>
          <w:tcPr>
            <w:tcW w:w="20" w:type="dxa"/>
            <w:vAlign w:val="bottom"/>
            <w:tcBorders>
              <w:bottom w:val="single" w:sz="8" w:color="0000EE"/>
            </w:tcBorders>
          </w:tcPr>
          <w:p>
            <w:pPr>
              <w:spacing w:after="0"/>
              <w:rPr>
                <w:sz w:val="15"/>
                <w:szCs w:val="15"/>
                <w:color w:val="auto"/>
              </w:rPr>
            </w:pPr>
          </w:p>
        </w:tc>
        <w:tc>
          <w:tcPr>
            <w:tcW w:w="7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rPr>
              <w:t>8-K</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6/28/2021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5700" w:type="dxa"/>
            <w:vAlign w:val="bottom"/>
            <w:tcBorders>
              <w:bottom w:val="single" w:sz="8" w:color="0000FF"/>
            </w:tcBorders>
            <w:gridSpan w:val="18"/>
          </w:tcPr>
          <w:p>
            <w:pPr>
              <w:spacing w:after="0"/>
              <w:rPr>
                <w:rFonts w:ascii="Arial" w:cs="Arial" w:eastAsia="Arial" w:hAnsi="Arial"/>
                <w:sz w:val="16"/>
                <w:szCs w:val="16"/>
                <w:color w:val="0000FF"/>
                <w:w w:val="93"/>
              </w:rPr>
            </w:pPr>
            <w:hyperlink r:id="rId233">
              <w:r>
                <w:rPr>
                  <w:rFonts w:ascii="Arial" w:cs="Arial" w:eastAsia="Arial" w:hAnsi="Arial"/>
                  <w:sz w:val="16"/>
                  <w:szCs w:val="16"/>
                  <w:color w:val="0000FF"/>
                  <w:w w:val="93"/>
                </w:rPr>
                <w:t>Certificate of Amendment to the Restated Certificate of Incorporation of the Company,</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89"/>
              </w:rPr>
              <w:t>3.3</w:t>
            </w:r>
          </w:p>
        </w:tc>
        <w:tc>
          <w:tcPr>
            <w:tcW w:w="5000" w:type="dxa"/>
            <w:vAlign w:val="bottom"/>
            <w:tcBorders>
              <w:bottom w:val="single" w:sz="8" w:color="0000FF"/>
            </w:tcBorders>
            <w:gridSpan w:val="11"/>
          </w:tcPr>
          <w:p>
            <w:pPr>
              <w:spacing w:after="0" w:line="183" w:lineRule="exact"/>
              <w:rPr>
                <w:rFonts w:ascii="Arial" w:cs="Arial" w:eastAsia="Arial" w:hAnsi="Arial"/>
                <w:sz w:val="16"/>
                <w:szCs w:val="16"/>
                <w:color w:val="0000FF"/>
                <w:w w:val="91"/>
              </w:rPr>
            </w:pPr>
            <w:hyperlink r:id="rId233">
              <w:r>
                <w:rPr>
                  <w:rFonts w:ascii="Arial" w:cs="Arial" w:eastAsia="Arial" w:hAnsi="Arial"/>
                  <w:sz w:val="16"/>
                  <w:szCs w:val="16"/>
                  <w:color w:val="0000FF"/>
                  <w:w w:val="91"/>
                </w:rPr>
                <w:t>as filed with the Secretary of State of the State of Delaware on June 25, 2021</w:t>
              </w:r>
            </w:hyperlink>
          </w:p>
        </w:tc>
        <w:tc>
          <w:tcPr>
            <w:tcW w:w="72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rPr>
              <w:t>8-K</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w w:val="89"/>
              </w:rPr>
              <w:t>3.2</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6/28/2021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3160" w:type="dxa"/>
            <w:vAlign w:val="bottom"/>
            <w:tcBorders>
              <w:bottom w:val="single" w:sz="8" w:color="0000FF"/>
            </w:tcBorders>
            <w:gridSpan w:val="4"/>
          </w:tcPr>
          <w:p>
            <w:pPr>
              <w:spacing w:after="0"/>
              <w:rPr>
                <w:rFonts w:ascii="Arial" w:cs="Arial" w:eastAsia="Arial" w:hAnsi="Arial"/>
                <w:sz w:val="16"/>
                <w:szCs w:val="16"/>
                <w:color w:val="0000FF"/>
                <w:w w:val="90"/>
              </w:rPr>
            </w:pPr>
            <w:hyperlink r:id="rId234">
              <w:r>
                <w:rPr>
                  <w:rFonts w:ascii="Arial" w:cs="Arial" w:eastAsia="Arial" w:hAnsi="Arial"/>
                  <w:sz w:val="16"/>
                  <w:szCs w:val="16"/>
                  <w:color w:val="0000FF"/>
                  <w:w w:val="90"/>
                </w:rPr>
                <w:t>Amended and Restated Bylaws of the Registrant</w:t>
              </w:r>
            </w:hyperlink>
          </w:p>
        </w:tc>
        <w:tc>
          <w:tcPr>
            <w:tcW w:w="20" w:type="dxa"/>
            <w:vAlign w:val="bottom"/>
            <w:tcBorders>
              <w:bottom w:val="single" w:sz="8" w:color="0000EE"/>
            </w:tcBorders>
          </w:tcPr>
          <w:p>
            <w:pPr>
              <w:spacing w:after="0"/>
              <w:rPr>
                <w:sz w:val="24"/>
                <w:szCs w:val="24"/>
                <w:color w:val="auto"/>
              </w:rPr>
            </w:pPr>
          </w:p>
        </w:tc>
        <w:tc>
          <w:tcPr>
            <w:tcW w:w="25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tcPr>
          <w:p>
            <w:pPr>
              <w:jc w:val="right"/>
              <w:spacing w:after="0"/>
              <w:rPr>
                <w:sz w:val="20"/>
                <w:szCs w:val="20"/>
                <w:color w:val="auto"/>
              </w:rPr>
            </w:pPr>
            <w:r>
              <w:rPr>
                <w:rFonts w:ascii="Arial" w:cs="Arial" w:eastAsia="Arial" w:hAnsi="Arial"/>
                <w:sz w:val="16"/>
                <w:szCs w:val="16"/>
                <w:color w:val="auto"/>
              </w:rPr>
              <w:t>001-35890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9/24/2021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51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0"/>
              </w:rPr>
              <w:t>Tempest Therapeutics, Inc. Amended and Restated 2023 Equity Incentive Plan</w:t>
            </w:r>
          </w:p>
        </w:tc>
        <w:tc>
          <w:tcPr>
            <w:tcW w:w="20" w:type="dxa"/>
            <w:vAlign w:val="bottom"/>
            <w:tcBorders>
              <w:bottom w:val="single" w:sz="8" w:color="0000EE"/>
            </w:tcBorders>
          </w:tcPr>
          <w:p>
            <w:pPr>
              <w:spacing w:after="0"/>
              <w:rPr>
                <w:sz w:val="24"/>
                <w:szCs w:val="24"/>
                <w:color w:val="auto"/>
              </w:rPr>
            </w:pPr>
          </w:p>
        </w:tc>
        <w:tc>
          <w:tcPr>
            <w:tcW w:w="6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572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1"/>
              </w:rPr>
              <w:t>Form of Option Grant Package under the Amended and Restated 2023 Equity Incentive</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30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w w:val="87"/>
              </w:rPr>
              <w:t>Plan</w:t>
            </w:r>
          </w:p>
        </w:tc>
        <w:tc>
          <w:tcPr>
            <w:tcW w:w="5420" w:type="dxa"/>
            <w:vAlign w:val="bottom"/>
            <w:gridSpan w:val="18"/>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04"/>
        </w:trPr>
        <w:tc>
          <w:tcPr>
            <w:tcW w:w="9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32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0"/>
              </w:rPr>
              <w:t>Tempest Therapeutics, Inc. 2023 Inducement Plan</w:t>
            </w:r>
          </w:p>
        </w:tc>
        <w:tc>
          <w:tcPr>
            <w:tcW w:w="20" w:type="dxa"/>
            <w:vAlign w:val="bottom"/>
            <w:tcBorders>
              <w:bottom w:val="single" w:sz="8" w:color="0000EE"/>
            </w:tcBorders>
          </w:tcPr>
          <w:p>
            <w:pPr>
              <w:spacing w:after="0"/>
              <w:rPr>
                <w:sz w:val="24"/>
                <w:szCs w:val="24"/>
                <w:color w:val="auto"/>
              </w:rPr>
            </w:pPr>
          </w:p>
        </w:tc>
        <w:tc>
          <w:tcPr>
            <w:tcW w:w="24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04"/>
        </w:trPr>
        <w:tc>
          <w:tcPr>
            <w:tcW w:w="94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41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1"/>
              </w:rPr>
              <w:t>Form of Option Grant Package under the 2023 Inducement Plan</w:t>
            </w:r>
          </w:p>
        </w:tc>
        <w:tc>
          <w:tcPr>
            <w:tcW w:w="20" w:type="dxa"/>
            <w:vAlign w:val="bottom"/>
            <w:tcBorders>
              <w:bottom w:val="single" w:sz="8" w:color="0000EE"/>
            </w:tcBorders>
          </w:tcPr>
          <w:p>
            <w:pPr>
              <w:spacing w:after="0"/>
              <w:rPr>
                <w:sz w:val="24"/>
                <w:szCs w:val="24"/>
                <w:color w:val="auto"/>
              </w:rPr>
            </w:pPr>
          </w:p>
        </w:tc>
        <w:tc>
          <w:tcPr>
            <w:tcW w:w="15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566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3"/>
              </w:rPr>
              <w:t>Certification of Principal Executive Officer pursuant to Rules 13a-14(a) and 15d-14(a)</w:t>
            </w:r>
          </w:p>
        </w:tc>
        <w:tc>
          <w:tcPr>
            <w:tcW w:w="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720" w:type="dxa"/>
            <w:vAlign w:val="bottom"/>
            <w:tcBorders>
              <w:bottom w:val="single" w:sz="8" w:color="0000FF"/>
            </w:tcBorders>
            <w:gridSpan w:val="19"/>
          </w:tcPr>
          <w:p>
            <w:pPr>
              <w:spacing w:after="0" w:line="183" w:lineRule="exact"/>
              <w:rPr>
                <w:sz w:val="20"/>
                <w:szCs w:val="20"/>
                <w:color w:val="auto"/>
              </w:rPr>
            </w:pPr>
            <w:r>
              <w:rPr>
                <w:rFonts w:ascii="Arial" w:cs="Arial" w:eastAsia="Arial" w:hAnsi="Arial"/>
                <w:sz w:val="16"/>
                <w:szCs w:val="16"/>
                <w:color w:val="0000FF"/>
                <w:w w:val="90"/>
              </w:rPr>
              <w:t>promulgated under the Securities Exchange Act of 1934, as adopted pursuant to Section</w:t>
            </w:r>
          </w:p>
        </w:tc>
        <w:tc>
          <w:tcPr>
            <w:tcW w:w="20" w:type="dxa"/>
            <w:vAlign w:val="bottom"/>
            <w:tcBorders>
              <w:bottom w:val="single" w:sz="8" w:color="0000FF"/>
            </w:tcBorders>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89"/>
              </w:rPr>
              <w:t>31.1</w:t>
            </w:r>
          </w:p>
        </w:tc>
        <w:tc>
          <w:tcPr>
            <w:tcW w:w="5720" w:type="dxa"/>
            <w:vAlign w:val="bottom"/>
            <w:gridSpan w:val="19"/>
          </w:tcPr>
          <w:p>
            <w:pPr>
              <w:spacing w:after="0" w:line="183" w:lineRule="exact"/>
              <w:rPr>
                <w:sz w:val="20"/>
                <w:szCs w:val="20"/>
                <w:color w:val="auto"/>
              </w:rPr>
            </w:pPr>
            <w:r>
              <w:rPr>
                <w:rFonts w:ascii="Arial" w:cs="Arial" w:eastAsia="Arial" w:hAnsi="Arial"/>
                <w:sz w:val="16"/>
                <w:szCs w:val="16"/>
                <w:color w:val="0000FF"/>
              </w:rPr>
              <w:t>302 of the Sarbanes-Oxley Act of 2002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spacing w:after="0"/>
              <w:rPr>
                <w:sz w:val="22"/>
                <w:szCs w:val="22"/>
                <w:color w:val="auto"/>
              </w:rPr>
            </w:pPr>
          </w:p>
        </w:tc>
        <w:tc>
          <w:tcPr>
            <w:tcW w:w="562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3"/>
              </w:rPr>
              <w:t>Certification of Principal Financial Officer pursuant to Rules 13a-14(a) and 15d-14(a)</w:t>
            </w:r>
          </w:p>
        </w:tc>
        <w:tc>
          <w:tcPr>
            <w:tcW w:w="10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720" w:type="dxa"/>
            <w:vAlign w:val="bottom"/>
            <w:tcBorders>
              <w:bottom w:val="single" w:sz="8" w:color="0000FF"/>
            </w:tcBorders>
            <w:gridSpan w:val="19"/>
          </w:tcPr>
          <w:p>
            <w:pPr>
              <w:spacing w:after="0" w:line="183" w:lineRule="exact"/>
              <w:rPr>
                <w:sz w:val="20"/>
                <w:szCs w:val="20"/>
                <w:color w:val="auto"/>
              </w:rPr>
            </w:pPr>
            <w:r>
              <w:rPr>
                <w:rFonts w:ascii="Arial" w:cs="Arial" w:eastAsia="Arial" w:hAnsi="Arial"/>
                <w:sz w:val="16"/>
                <w:szCs w:val="16"/>
                <w:color w:val="0000FF"/>
                <w:w w:val="91"/>
              </w:rPr>
              <w:t>promulgated under the Securities Exchange Act of 1934, as adopted pursuant to section</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89"/>
              </w:rPr>
              <w:t>31.2</w:t>
            </w:r>
          </w:p>
        </w:tc>
        <w:tc>
          <w:tcPr>
            <w:tcW w:w="5720" w:type="dxa"/>
            <w:vAlign w:val="bottom"/>
            <w:gridSpan w:val="19"/>
          </w:tcPr>
          <w:p>
            <w:pPr>
              <w:spacing w:after="0" w:line="183" w:lineRule="exact"/>
              <w:rPr>
                <w:sz w:val="20"/>
                <w:szCs w:val="20"/>
                <w:color w:val="auto"/>
              </w:rPr>
            </w:pPr>
            <w:r>
              <w:rPr>
                <w:rFonts w:ascii="Arial" w:cs="Arial" w:eastAsia="Arial" w:hAnsi="Arial"/>
                <w:sz w:val="16"/>
                <w:szCs w:val="16"/>
                <w:color w:val="0000FF"/>
              </w:rPr>
              <w:t>302 of the Sarbanes-Oxley Act of 2002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1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56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5"/>
              </w:rPr>
              <w:t>Certification of Principal Executive Officer and Principal Financial Officer pursuant to</w:t>
            </w:r>
          </w:p>
        </w:tc>
        <w:tc>
          <w:tcPr>
            <w:tcW w:w="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720" w:type="dxa"/>
            <w:vAlign w:val="bottom"/>
            <w:tcBorders>
              <w:bottom w:val="single" w:sz="8" w:color="0000FF"/>
            </w:tcBorders>
            <w:gridSpan w:val="19"/>
          </w:tcPr>
          <w:p>
            <w:pPr>
              <w:spacing w:after="0" w:line="183" w:lineRule="exact"/>
              <w:rPr>
                <w:sz w:val="20"/>
                <w:szCs w:val="20"/>
                <w:color w:val="auto"/>
              </w:rPr>
            </w:pPr>
            <w:r>
              <w:rPr>
                <w:rFonts w:ascii="Arial" w:cs="Arial" w:eastAsia="Arial" w:hAnsi="Arial"/>
                <w:sz w:val="16"/>
                <w:szCs w:val="16"/>
                <w:color w:val="0000FF"/>
                <w:w w:val="91"/>
              </w:rPr>
              <w:t>Rules 13a-14(b) and 15d-14(b) promulgated under the Securities Exchange Act of 1934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0"/>
              </w:rPr>
              <w:t>32.1</w:t>
            </w:r>
            <w:r>
              <w:rPr>
                <w:rFonts w:ascii="Arial" w:cs="Arial" w:eastAsia="Arial" w:hAnsi="Arial"/>
                <w:sz w:val="21"/>
                <w:szCs w:val="21"/>
                <w:color w:val="auto"/>
                <w:w w:val="90"/>
                <w:vertAlign w:val="superscript"/>
              </w:rPr>
              <w:t>^</w:t>
            </w:r>
          </w:p>
        </w:tc>
        <w:tc>
          <w:tcPr>
            <w:tcW w:w="5700" w:type="dxa"/>
            <w:vAlign w:val="bottom"/>
            <w:tcBorders>
              <w:bottom w:val="single" w:sz="8" w:color="0000FF"/>
            </w:tcBorders>
            <w:gridSpan w:val="18"/>
          </w:tcPr>
          <w:p>
            <w:pPr>
              <w:spacing w:after="0" w:line="183" w:lineRule="exact"/>
              <w:rPr>
                <w:sz w:val="20"/>
                <w:szCs w:val="20"/>
                <w:color w:val="auto"/>
              </w:rPr>
            </w:pPr>
            <w:r>
              <w:rPr>
                <w:rFonts w:ascii="Arial" w:cs="Arial" w:eastAsia="Arial" w:hAnsi="Arial"/>
                <w:sz w:val="16"/>
                <w:szCs w:val="16"/>
                <w:color w:val="0000FF"/>
                <w:w w:val="90"/>
              </w:rPr>
              <w:t>and 18 U.S.C. Section 1350, as adopted pursuant to section 906 of The Sarbanes-Oxley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vMerge w:val="continue"/>
          </w:tcPr>
          <w:p>
            <w:pPr>
              <w:spacing w:after="0"/>
              <w:rPr>
                <w:sz w:val="15"/>
                <w:szCs w:val="15"/>
                <w:color w:val="auto"/>
              </w:rPr>
            </w:pPr>
          </w:p>
        </w:tc>
        <w:tc>
          <w:tcPr>
            <w:tcW w:w="780" w:type="dxa"/>
            <w:vAlign w:val="bottom"/>
            <w:tcBorders>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3"/>
              </w:rPr>
              <w:t>Act of 2002</w:t>
            </w:r>
          </w:p>
        </w:tc>
        <w:tc>
          <w:tcPr>
            <w:tcW w:w="494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39"/>
        </w:trPr>
        <w:tc>
          <w:tcPr>
            <w:tcW w:w="940" w:type="dxa"/>
            <w:vAlign w:val="bottom"/>
          </w:tcPr>
          <w:p>
            <w:pPr>
              <w:ind w:left="200"/>
              <w:spacing w:after="0"/>
              <w:rPr>
                <w:sz w:val="20"/>
                <w:szCs w:val="20"/>
                <w:color w:val="auto"/>
              </w:rPr>
            </w:pPr>
            <w:r>
              <w:rPr>
                <w:rFonts w:ascii="Arial" w:cs="Arial" w:eastAsia="Arial" w:hAnsi="Arial"/>
                <w:sz w:val="16"/>
                <w:szCs w:val="16"/>
                <w:color w:val="auto"/>
              </w:rPr>
              <w:t>101.INS</w:t>
            </w:r>
          </w:p>
        </w:tc>
        <w:tc>
          <w:tcPr>
            <w:tcW w:w="5720" w:type="dxa"/>
            <w:vAlign w:val="bottom"/>
            <w:gridSpan w:val="19"/>
          </w:tcPr>
          <w:p>
            <w:pPr>
              <w:spacing w:after="0"/>
              <w:rPr>
                <w:sz w:val="20"/>
                <w:szCs w:val="20"/>
                <w:color w:val="auto"/>
              </w:rPr>
            </w:pPr>
            <w:r>
              <w:rPr>
                <w:rFonts w:ascii="Arial" w:cs="Arial" w:eastAsia="Arial" w:hAnsi="Arial"/>
                <w:sz w:val="16"/>
                <w:szCs w:val="16"/>
                <w:color w:val="auto"/>
              </w:rPr>
              <w:t>Inline XBRL Instance Document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60"/>
              <w:spacing w:after="0"/>
              <w:rPr>
                <w:sz w:val="20"/>
                <w:szCs w:val="20"/>
                <w:color w:val="auto"/>
              </w:rPr>
            </w:pPr>
            <w:r>
              <w:rPr>
                <w:rFonts w:ascii="Arial" w:cs="Arial" w:eastAsia="Arial" w:hAnsi="Arial"/>
                <w:sz w:val="16"/>
                <w:szCs w:val="16"/>
                <w:color w:val="auto"/>
              </w:rPr>
              <w:t>101.SCH</w:t>
            </w:r>
          </w:p>
        </w:tc>
        <w:tc>
          <w:tcPr>
            <w:tcW w:w="572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 Document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60"/>
              <w:spacing w:after="0"/>
              <w:rPr>
                <w:sz w:val="20"/>
                <w:szCs w:val="20"/>
                <w:color w:val="auto"/>
              </w:rPr>
            </w:pPr>
            <w:r>
              <w:rPr>
                <w:rFonts w:ascii="Arial" w:cs="Arial" w:eastAsia="Arial" w:hAnsi="Arial"/>
                <w:sz w:val="16"/>
                <w:szCs w:val="16"/>
                <w:color w:val="auto"/>
              </w:rPr>
              <w:t>101.CAL</w:t>
            </w:r>
          </w:p>
        </w:tc>
        <w:tc>
          <w:tcPr>
            <w:tcW w:w="572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60"/>
              <w:spacing w:after="0"/>
              <w:rPr>
                <w:sz w:val="20"/>
                <w:szCs w:val="20"/>
                <w:color w:val="auto"/>
              </w:rPr>
            </w:pPr>
            <w:r>
              <w:rPr>
                <w:rFonts w:ascii="Arial" w:cs="Arial" w:eastAsia="Arial" w:hAnsi="Arial"/>
                <w:sz w:val="16"/>
                <w:szCs w:val="16"/>
                <w:color w:val="auto"/>
              </w:rPr>
              <w:t>101.DEF</w:t>
            </w:r>
          </w:p>
        </w:tc>
        <w:tc>
          <w:tcPr>
            <w:tcW w:w="572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60"/>
              <w:spacing w:after="0"/>
              <w:rPr>
                <w:sz w:val="20"/>
                <w:szCs w:val="20"/>
                <w:color w:val="auto"/>
              </w:rPr>
            </w:pPr>
            <w:r>
              <w:rPr>
                <w:rFonts w:ascii="Arial" w:cs="Arial" w:eastAsia="Arial" w:hAnsi="Arial"/>
                <w:sz w:val="16"/>
                <w:szCs w:val="16"/>
                <w:color w:val="auto"/>
              </w:rPr>
              <w:t>101.LAB</w:t>
            </w:r>
          </w:p>
        </w:tc>
        <w:tc>
          <w:tcPr>
            <w:tcW w:w="572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80"/>
              <w:spacing w:after="0"/>
              <w:rPr>
                <w:sz w:val="20"/>
                <w:szCs w:val="20"/>
                <w:color w:val="auto"/>
              </w:rPr>
            </w:pPr>
            <w:r>
              <w:rPr>
                <w:rFonts w:ascii="Arial" w:cs="Arial" w:eastAsia="Arial" w:hAnsi="Arial"/>
                <w:sz w:val="16"/>
                <w:szCs w:val="16"/>
                <w:color w:val="auto"/>
              </w:rPr>
              <w:t>101.PRE</w:t>
            </w:r>
          </w:p>
        </w:tc>
        <w:tc>
          <w:tcPr>
            <w:tcW w:w="572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cover page from the Company’s Quarterly Report on Form 10-Q for the quarter</w:t>
      </w:r>
    </w:p>
    <w:p>
      <w:pPr>
        <w:spacing w:after="0" w:line="22" w:lineRule="exact"/>
        <w:rPr>
          <w:sz w:val="20"/>
          <w:szCs w:val="20"/>
          <w:color w:val="auto"/>
        </w:rPr>
      </w:pPr>
    </w:p>
    <w:p>
      <w:pPr>
        <w:ind w:left="940" w:hanging="599"/>
        <w:spacing w:after="0"/>
        <w:tabs>
          <w:tab w:leader="none" w:pos="9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ended June 30, 2023, has been formatted in Inline XBRL.</w:t>
      </w:r>
    </w:p>
    <w:p>
      <w:pPr>
        <w:spacing w:after="0" w:line="50" w:lineRule="exact"/>
        <w:rPr>
          <w:rFonts w:ascii="Arial" w:cs="Arial" w:eastAsia="Arial" w:hAnsi="Arial"/>
          <w:sz w:val="16"/>
          <w:szCs w:val="16"/>
          <w:color w:val="auto"/>
        </w:rPr>
      </w:pPr>
    </w:p>
    <w:p>
      <w:pPr>
        <w:jc w:val="both"/>
        <w:ind w:firstLine="8"/>
        <w:spacing w:after="0" w:line="255" w:lineRule="auto"/>
        <w:tabs>
          <w:tab w:leader="none" w:pos="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TEMPEST THERAPEUTICS, INC.</w:t>
      </w:r>
    </w:p>
    <w:p>
      <w:pPr>
        <w:spacing w:after="0" w:line="279" w:lineRule="exact"/>
        <w:rPr>
          <w:sz w:val="20"/>
          <w:szCs w:val="20"/>
          <w:color w:val="auto"/>
        </w:rPr>
      </w:pPr>
    </w:p>
    <w:p>
      <w:pPr>
        <w:ind w:left="59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23495</wp:posOffset>
            </wp:positionV>
            <wp:extent cx="28975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Stephen Brady</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22" w:lineRule="exact"/>
        <w:rPr>
          <w:sz w:val="20"/>
          <w:szCs w:val="20"/>
          <w:color w:val="auto"/>
        </w:rPr>
      </w:pPr>
    </w:p>
    <w:p>
      <w:pPr>
        <w:ind w:left="59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23495</wp:posOffset>
            </wp:positionV>
            <wp:extent cx="28975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Nicholas Maestas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Vice-President, Strategy and Finance (Principal</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2023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28, 2023 (</w:t>
      </w:r>
      <w:r>
        <w:rPr>
          <w:rFonts w:ascii="Arial" w:cs="Arial" w:eastAsia="Arial" w:hAnsi="Arial"/>
          <w:sz w:val="12"/>
          <w:szCs w:val="12"/>
          <w:b w:val="1"/>
          <w:b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w:t>
      </w:r>
      <w:r>
        <w:rPr>
          <w:rFonts w:ascii="Arial" w:cs="Arial" w:eastAsia="Arial" w:hAnsi="Arial"/>
          <w:sz w:val="12"/>
          <w:szCs w:val="12"/>
          <w:b w:val="1"/>
          <w:bCs w:val="1"/>
          <w:i w:val="1"/>
          <w:iCs w:val="1"/>
          <w:color w:val="auto"/>
        </w:rPr>
        <w:t>doption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w:t>
      </w:r>
      <w:r>
        <w:rPr>
          <w:rFonts w:ascii="Arial" w:cs="Arial" w:eastAsia="Arial" w:hAnsi="Arial"/>
          <w:sz w:val="12"/>
          <w:szCs w:val="12"/>
          <w:b w:val="1"/>
          <w:bCs w:val="1"/>
          <w:i w:val="1"/>
          <w:iCs w:val="1"/>
          <w:color w:val="auto"/>
        </w:rPr>
        <w:t>ate</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15, 2023</w:t>
      </w:r>
    </w:p>
    <w:p>
      <w:pPr>
        <w:spacing w:after="0" w:line="315"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60" w:firstLine="1505"/>
        <w:spacing w:after="0" w:line="270" w:lineRule="auto"/>
        <w:tabs>
          <w:tab w:leader="none" w:pos="1721" w:val="left"/>
        </w:tabs>
        <w:numPr>
          <w:ilvl w:val="2"/>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 to and Continuation of the 2019 Plan. </w:t>
      </w:r>
      <w:r>
        <w:rPr>
          <w:rFonts w:ascii="Arial" w:cs="Arial" w:eastAsia="Arial" w:hAnsi="Arial"/>
          <w:sz w:val="17"/>
          <w:szCs w:val="17"/>
          <w:color w:val="auto"/>
        </w:rPr>
        <w:t>The Plan is intended as the successor to and continuation of the Tempest</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Inc., Amended and Restated 2019 Equity Incentive Plan, as amended (the “</w:t>
      </w:r>
      <w:r>
        <w:rPr>
          <w:rFonts w:ascii="Arial" w:cs="Arial" w:eastAsia="Arial" w:hAnsi="Arial"/>
          <w:sz w:val="17"/>
          <w:szCs w:val="17"/>
          <w:b w:val="1"/>
          <w:bCs w:val="1"/>
          <w:i w:val="1"/>
          <w:iCs w:val="1"/>
          <w:color w:val="auto"/>
        </w:rPr>
        <w:t>2019 Plan</w:t>
      </w:r>
      <w:r>
        <w:rPr>
          <w:rFonts w:ascii="Arial" w:cs="Arial" w:eastAsia="Arial" w:hAnsi="Arial"/>
          <w:sz w:val="17"/>
          <w:szCs w:val="17"/>
          <w:color w:val="auto"/>
        </w:rPr>
        <w:t>”) (which included any shares available for issuance under the Millendo Therapeutics, Inc. 2012 Stock Plan and the Ovascience, Inc. 2012 Stock Incentive Plan (each, as amended, and together with the 2019 Plan, the “</w:t>
      </w:r>
      <w:r>
        <w:rPr>
          <w:rFonts w:ascii="Arial" w:cs="Arial" w:eastAsia="Arial" w:hAnsi="Arial"/>
          <w:sz w:val="17"/>
          <w:szCs w:val="17"/>
          <w:b w:val="1"/>
          <w:bCs w:val="1"/>
          <w:i w:val="1"/>
          <w:iCs w:val="1"/>
          <w:color w:val="auto"/>
        </w:rPr>
        <w:t>Prior Plans</w:t>
      </w:r>
      <w:r>
        <w:rPr>
          <w:rFonts w:ascii="Arial" w:cs="Arial" w:eastAsia="Arial" w:hAnsi="Arial"/>
          <w:sz w:val="17"/>
          <w:szCs w:val="17"/>
          <w:color w:val="auto"/>
        </w:rPr>
        <w:t>”)). All Awards granted on or after 12:01 a.m. Eastern time on the Effective Date will be granted under this Plan and no additional stock awards will be granted under the Prior Plans. Any shares remaining available for issuance under the 2019 Plan as of the Effective Date (the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Available Reserve</w:t>
      </w:r>
      <w:r>
        <w:rPr>
          <w:rFonts w:ascii="Arial" w:cs="Arial" w:eastAsia="Arial" w:hAnsi="Arial"/>
          <w:sz w:val="17"/>
          <w:szCs w:val="17"/>
          <w:color w:val="auto"/>
        </w:rPr>
        <w:t>”) shall become available for issuance pursuant to Awards granted under the Plan. All stock awards granted under the Prior Plans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remain subject to the terms of the applicable Prior Plan;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shares subject to any outstanding Award under a Prior Plan, on or after the Effective Date, that expires or terminates for any reason prior to the exercise or settlement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shall become available for issuance pursuant to Awards granted under the Plan. The Plan amends and restates the Tempest Therapeutics, Inc. Amended and Restated 2019 Equity Incentive Plan in its entirety.</w:t>
      </w:r>
    </w:p>
    <w:p>
      <w:pPr>
        <w:spacing w:after="0" w:line="68" w:lineRule="exact"/>
        <w:rPr>
          <w:rFonts w:ascii="Arial" w:cs="Arial" w:eastAsia="Arial" w:hAnsi="Arial"/>
          <w:sz w:val="17"/>
          <w:szCs w:val="17"/>
          <w:b w:val="1"/>
          <w:bCs w:val="1"/>
          <w:color w:val="auto"/>
        </w:rPr>
      </w:pPr>
    </w:p>
    <w:p>
      <w:pPr>
        <w:ind w:left="1000" w:hanging="243"/>
        <w:spacing w:after="0"/>
        <w:tabs>
          <w:tab w:leader="none" w:pos="100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117" w:lineRule="exact"/>
        <w:rPr>
          <w:rFonts w:ascii="Arial" w:cs="Arial" w:eastAsia="Arial" w:hAnsi="Arial"/>
          <w:sz w:val="18"/>
          <w:szCs w:val="18"/>
          <w:b w:val="1"/>
          <w:bCs w:val="1"/>
          <w:color w:val="auto"/>
        </w:rPr>
      </w:pPr>
    </w:p>
    <w:p>
      <w:pPr>
        <w:ind w:right="40" w:firstLine="757"/>
        <w:spacing w:after="0" w:line="314" w:lineRule="auto"/>
        <w:tabs>
          <w:tab w:leader="none" w:pos="962" w:val="left"/>
        </w:tabs>
        <w:numPr>
          <w:ilvl w:val="1"/>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Available Awards. </w:t>
      </w:r>
      <w:r>
        <w:rPr>
          <w:rFonts w:ascii="Arial" w:cs="Arial" w:eastAsia="Arial" w:hAnsi="Arial"/>
          <w:sz w:val="16"/>
          <w:szCs w:val="16"/>
          <w:color w:val="auto"/>
        </w:rPr>
        <w:t>The Plan provides for the grant of the following Awards: (i) Incentive Stock Options, (ii) Nonstatutory Stock Options, (iii)</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Rights, (iv) Restricted Stock Awards, (v) Restricted Stock Unit Awards, (vi) Performance Stock Awards, (vii) Performance Cash Awards, and (viii) Other Stock Awards.</w:t>
      </w:r>
    </w:p>
    <w:p>
      <w:pPr>
        <w:spacing w:after="0" w:line="33" w:lineRule="exact"/>
        <w:rPr>
          <w:rFonts w:ascii="Arial" w:cs="Arial" w:eastAsia="Arial" w:hAnsi="Arial"/>
          <w:sz w:val="16"/>
          <w:szCs w:val="16"/>
          <w:b w:val="1"/>
          <w:bCs w:val="1"/>
          <w:color w:val="auto"/>
        </w:rPr>
      </w:pPr>
    </w:p>
    <w:p>
      <w:pPr>
        <w:jc w:val="both"/>
        <w:ind w:right="120" w:firstLine="757"/>
        <w:spacing w:after="0" w:line="289" w:lineRule="auto"/>
        <w:tabs>
          <w:tab w:leader="none" w:pos="982"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Plan, through the grant of Awards, is intended to help the Company secure and retain the services of eligible award recipients,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incentives for such persons to exert maximum efforts for the success of the Company and any Affiliate, and provide a means by which the eligible recipients may benefit from increases in value of the Common Stock.</w:t>
      </w:r>
    </w:p>
    <w:p>
      <w:pPr>
        <w:spacing w:after="0" w:line="49" w:lineRule="exact"/>
        <w:rPr>
          <w:rFonts w:ascii="Arial" w:cs="Arial" w:eastAsia="Arial" w:hAnsi="Arial"/>
          <w:sz w:val="17"/>
          <w:szCs w:val="17"/>
          <w:b w:val="1"/>
          <w:bCs w:val="1"/>
          <w:color w:val="auto"/>
        </w:rPr>
      </w:pPr>
    </w:p>
    <w:p>
      <w:pPr>
        <w:ind w:left="380" w:hanging="372"/>
        <w:spacing w:after="0"/>
        <w:tabs>
          <w:tab w:leader="none" w:pos="3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17" w:lineRule="exact"/>
        <w:rPr>
          <w:rFonts w:ascii="Arial" w:cs="Arial" w:eastAsia="Arial" w:hAnsi="Arial"/>
          <w:sz w:val="18"/>
          <w:szCs w:val="18"/>
          <w:b w:val="1"/>
          <w:bCs w:val="1"/>
          <w:color w:val="auto"/>
        </w:rPr>
      </w:pPr>
    </w:p>
    <w:p>
      <w:pPr>
        <w:ind w:right="600" w:firstLine="757"/>
        <w:spacing w:after="0" w:line="312" w:lineRule="auto"/>
        <w:tabs>
          <w:tab w:leader="none" w:pos="972"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by Board. </w:t>
      </w:r>
      <w:r>
        <w:rPr>
          <w:rFonts w:ascii="Arial" w:cs="Arial" w:eastAsia="Arial" w:hAnsi="Arial"/>
          <w:sz w:val="17"/>
          <w:szCs w:val="17"/>
          <w:color w:val="auto"/>
        </w:rPr>
        <w:t>The Board will administer the Plan. The Board may delegate administration of the Plan to a Committee or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as provided in Section 2(c).</w:t>
      </w:r>
    </w:p>
    <w:p>
      <w:pPr>
        <w:spacing w:after="0" w:line="31" w:lineRule="exact"/>
        <w:rPr>
          <w:rFonts w:ascii="Arial" w:cs="Arial" w:eastAsia="Arial" w:hAnsi="Arial"/>
          <w:sz w:val="17"/>
          <w:szCs w:val="17"/>
          <w:b w:val="1"/>
          <w:bCs w:val="1"/>
          <w:color w:val="auto"/>
        </w:rPr>
      </w:pPr>
    </w:p>
    <w:p>
      <w:pPr>
        <w:ind w:left="1000" w:hanging="243"/>
        <w:spacing w:after="0"/>
        <w:tabs>
          <w:tab w:leader="none" w:pos="100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right="60" w:firstLine="1505"/>
        <w:spacing w:after="0" w:line="259" w:lineRule="auto"/>
        <w:tabs>
          <w:tab w:leader="none" w:pos="1681"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79" w:lineRule="exact"/>
        <w:rPr>
          <w:sz w:val="20"/>
          <w:szCs w:val="20"/>
          <w:color w:val="auto"/>
        </w:rPr>
      </w:pPr>
    </w:p>
    <w:p>
      <w:pPr>
        <w:ind w:right="60" w:firstLine="1505"/>
        <w:spacing w:after="0" w:line="259" w:lineRule="auto"/>
        <w:tabs>
          <w:tab w:leader="none" w:pos="173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78" w:lineRule="exact"/>
        <w:rPr>
          <w:rFonts w:ascii="Arial" w:cs="Arial" w:eastAsia="Arial" w:hAnsi="Arial"/>
          <w:sz w:val="18"/>
          <w:szCs w:val="18"/>
          <w:b w:val="1"/>
          <w:bCs w:val="1"/>
          <w:color w:val="auto"/>
        </w:rPr>
      </w:pPr>
    </w:p>
    <w:p>
      <w:pPr>
        <w:ind w:left="1780" w:hanging="275"/>
        <w:spacing w:after="0"/>
        <w:tabs>
          <w:tab w:leader="none" w:pos="17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ind w:right="420" w:firstLine="1505"/>
        <w:spacing w:after="0" w:line="308" w:lineRule="auto"/>
        <w:tabs>
          <w:tab w:leader="none" w:pos="1771"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To accelerate, in whole or in part, the time at which an Award may be exercised or vest (or the time at which cash or shares of Common Stock may be issued in settlement thereof).</w:t>
      </w:r>
    </w:p>
    <w:p>
      <w:pPr>
        <w:spacing w:after="0" w:line="38" w:lineRule="exact"/>
        <w:rPr>
          <w:rFonts w:ascii="Arial" w:cs="Arial" w:eastAsia="Arial" w:hAnsi="Arial"/>
          <w:sz w:val="17"/>
          <w:szCs w:val="17"/>
          <w:b w:val="1"/>
          <w:bCs w:val="1"/>
          <w:color w:val="auto"/>
        </w:rPr>
      </w:pPr>
    </w:p>
    <w:p>
      <w:pPr>
        <w:ind w:right="460" w:firstLine="1505"/>
        <w:spacing w:after="0" w:line="308" w:lineRule="auto"/>
        <w:tabs>
          <w:tab w:leader="none" w:pos="1721"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To suspend or terminate the Plan at any time. Except as otherwise provided in the Plan or an Award Agreement, suspension or termination of the Plan will not materially impair a Participant’s rights under the</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284710136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Participant’s then-outstanding Award without the Participant’s written consent, except as provided in subsection (viii) below.</w:t>
      </w:r>
    </w:p>
    <w:p>
      <w:pPr>
        <w:spacing w:after="0" w:line="117" w:lineRule="exact"/>
        <w:rPr>
          <w:sz w:val="20"/>
          <w:szCs w:val="20"/>
          <w:color w:val="auto"/>
        </w:rPr>
      </w:pPr>
    </w:p>
    <w:p>
      <w:pPr>
        <w:ind w:right="20" w:firstLine="1505"/>
        <w:spacing w:after="0" w:line="288" w:lineRule="auto"/>
        <w:tabs>
          <w:tab w:leader="none" w:pos="1771"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60" w:lineRule="exact"/>
        <w:rPr>
          <w:rFonts w:ascii="Arial" w:cs="Arial" w:eastAsia="Arial" w:hAnsi="Arial"/>
          <w:sz w:val="16"/>
          <w:szCs w:val="16"/>
          <w:b w:val="1"/>
          <w:bCs w:val="1"/>
          <w:color w:val="auto"/>
        </w:rPr>
      </w:pPr>
    </w:p>
    <w:p>
      <w:pPr>
        <w:ind w:right="100" w:firstLine="1505"/>
        <w:spacing w:after="0" w:line="308" w:lineRule="auto"/>
        <w:tabs>
          <w:tab w:leader="none" w:pos="1821"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38" w:lineRule="exact"/>
        <w:rPr>
          <w:rFonts w:ascii="Arial" w:cs="Arial" w:eastAsia="Arial" w:hAnsi="Arial"/>
          <w:sz w:val="17"/>
          <w:szCs w:val="17"/>
          <w:b w:val="1"/>
          <w:bCs w:val="1"/>
          <w:color w:val="auto"/>
        </w:rPr>
      </w:pPr>
    </w:p>
    <w:p>
      <w:pPr>
        <w:ind w:right="20" w:firstLine="1505"/>
        <w:spacing w:after="0" w:line="269" w:lineRule="auto"/>
        <w:tabs>
          <w:tab w:leader="none" w:pos="1871"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73" w:lineRule="exact"/>
        <w:rPr>
          <w:rFonts w:ascii="Arial" w:cs="Arial" w:eastAsia="Arial" w:hAnsi="Arial"/>
          <w:sz w:val="17"/>
          <w:szCs w:val="17"/>
          <w:b w:val="1"/>
          <w:bCs w:val="1"/>
          <w:color w:val="auto"/>
        </w:rPr>
      </w:pPr>
    </w:p>
    <w:p>
      <w:pPr>
        <w:ind w:right="580" w:firstLine="1505"/>
        <w:spacing w:after="0" w:line="308" w:lineRule="auto"/>
        <w:tabs>
          <w:tab w:leader="none" w:pos="1771"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 and that are not in conflict with the provisions of the Plan or Awards.</w:t>
      </w:r>
    </w:p>
    <w:p>
      <w:pPr>
        <w:spacing w:after="0" w:line="38" w:lineRule="exact"/>
        <w:rPr>
          <w:rFonts w:ascii="Arial" w:cs="Arial" w:eastAsia="Arial" w:hAnsi="Arial"/>
          <w:sz w:val="17"/>
          <w:szCs w:val="17"/>
          <w:b w:val="1"/>
          <w:bCs w:val="1"/>
          <w:color w:val="auto"/>
        </w:rPr>
      </w:pPr>
    </w:p>
    <w:p>
      <w:pPr>
        <w:ind w:right="80" w:firstLine="1505"/>
        <w:spacing w:after="0" w:line="286" w:lineRule="auto"/>
        <w:tabs>
          <w:tab w:leader="none" w:pos="1721"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53" w:lineRule="exact"/>
        <w:rPr>
          <w:rFonts w:ascii="Arial" w:cs="Arial" w:eastAsia="Arial" w:hAnsi="Arial"/>
          <w:sz w:val="17"/>
          <w:szCs w:val="17"/>
          <w:b w:val="1"/>
          <w:bCs w:val="1"/>
          <w:color w:val="auto"/>
        </w:rPr>
      </w:pPr>
    </w:p>
    <w:p>
      <w:pPr>
        <w:ind w:left="980" w:hanging="223"/>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firstLine="1505"/>
        <w:spacing w:after="0" w:line="273" w:lineRule="auto"/>
        <w:tabs>
          <w:tab w:leader="none" w:pos="1681"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63" w:lineRule="exact"/>
        <w:rPr>
          <w:rFonts w:ascii="Arial" w:cs="Arial" w:eastAsia="Arial" w:hAnsi="Arial"/>
          <w:sz w:val="17"/>
          <w:szCs w:val="17"/>
          <w:b w:val="1"/>
          <w:bCs w:val="1"/>
          <w:color w:val="auto"/>
        </w:rPr>
      </w:pPr>
    </w:p>
    <w:p>
      <w:pPr>
        <w:ind w:left="1740" w:hanging="235"/>
        <w:spacing w:after="0"/>
        <w:tabs>
          <w:tab w:leader="none" w:pos="1740"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The Committee may consist solely of two or more Non-Employee Directors in accordance with Rule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16b-3.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firstLine="757"/>
        <w:spacing w:after="0" w:line="289" w:lineRule="auto"/>
        <w:tabs>
          <w:tab w:leader="none" w:pos="982"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Persons or Body. </w:t>
      </w:r>
      <w:r>
        <w:rPr>
          <w:rFonts w:ascii="Arial" w:cs="Arial" w:eastAsia="Arial" w:hAnsi="Arial"/>
          <w:sz w:val="16"/>
          <w:szCs w:val="16"/>
          <w:color w:val="auto"/>
        </w:rPr>
        <w:t>The Board or any Committee may delegate to one (1) or more persons or bodies the authority to do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following to the extent permitted by applicable law: (i) designate recipients, other than Officers, to receive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person or body and that such person or body may not grant a Stock Award to themself. Unless otherwise provided in the Board or Committee action regarding such delegation, each Stock Award granted pursuant to this section will be granted on the form of Stock Award Agreement most recently approved for use by the Committee or the Board, with any modifications necessary to incorporate or reflect the terms of such Stock Award. Notwithstanding anything to the contrary herein, neither the Board nor any Committee may delegate authority to any person or body (who is not a Director or that is not comprised solely of Directors, respectively) the authority to determine the Fair Market Value pursuant to Section 13(x)(iii) below.</w:t>
      </w:r>
    </w:p>
    <w:p>
      <w:pPr>
        <w:spacing w:after="0" w:line="52" w:lineRule="exact"/>
        <w:rPr>
          <w:rFonts w:ascii="Arial" w:cs="Arial" w:eastAsia="Arial" w:hAnsi="Arial"/>
          <w:sz w:val="16"/>
          <w:szCs w:val="16"/>
          <w:b w:val="1"/>
          <w:bCs w:val="1"/>
          <w:color w:val="auto"/>
        </w:rPr>
      </w:pPr>
    </w:p>
    <w:p>
      <w:pPr>
        <w:ind w:right="460" w:firstLine="757"/>
        <w:spacing w:after="0" w:line="347" w:lineRule="auto"/>
        <w:tabs>
          <w:tab w:leader="none" w:pos="962"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Board’s Decision. </w:t>
      </w:r>
      <w:r>
        <w:rPr>
          <w:rFonts w:ascii="Arial" w:cs="Arial" w:eastAsia="Arial" w:hAnsi="Arial"/>
          <w:sz w:val="16"/>
          <w:szCs w:val="16"/>
          <w:color w:val="auto"/>
        </w:rPr>
        <w:t>All determinations, interpretations and constructions made by the Board in good faith will not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review by any person and will be final, binding and conclusive on all persons.</w:t>
      </w:r>
    </w:p>
    <w:p>
      <w:pPr>
        <w:spacing w:after="0" w:line="7" w:lineRule="exact"/>
        <w:rPr>
          <w:rFonts w:ascii="Arial" w:cs="Arial" w:eastAsia="Arial" w:hAnsi="Arial"/>
          <w:sz w:val="16"/>
          <w:szCs w:val="16"/>
          <w:b w:val="1"/>
          <w:bCs w:val="1"/>
          <w:color w:val="auto"/>
        </w:rPr>
      </w:pPr>
    </w:p>
    <w:p>
      <w:pPr>
        <w:ind w:right="220" w:firstLine="757"/>
        <w:spacing w:after="0" w:line="261" w:lineRule="auto"/>
        <w:tabs>
          <w:tab w:leader="none" w:pos="942"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 Repricing of Awards</w:t>
      </w:r>
      <w:r>
        <w:rPr>
          <w:rFonts w:ascii="Arial" w:cs="Arial" w:eastAsia="Arial" w:hAnsi="Arial"/>
          <w:sz w:val="18"/>
          <w:szCs w:val="18"/>
          <w:color w:val="auto"/>
        </w:rPr>
        <w:t>. Neither the Board nor any Committee will have the authority to (i) reduce the exercise or strike price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 or SAR or (ii) cancel any outstanding Option or SAR that has an exercise or strike price (per share) greater than the then-current Fair Market Value of the Common Stock in exchange for cash or other Stock Awards under the Plan, unless the stockholders of the Company have approved such an action within 12 months prior to such an event.</w:t>
      </w:r>
    </w:p>
    <w:p>
      <w:pPr>
        <w:spacing w:after="0" w:line="71" w:lineRule="exact"/>
        <w:rPr>
          <w:rFonts w:ascii="Arial" w:cs="Arial" w:eastAsia="Arial" w:hAnsi="Arial"/>
          <w:sz w:val="18"/>
          <w:szCs w:val="18"/>
          <w:b w:val="1"/>
          <w:bCs w:val="1"/>
          <w:color w:val="auto"/>
        </w:rPr>
      </w:pPr>
    </w:p>
    <w:p>
      <w:pPr>
        <w:ind w:left="380" w:hanging="372"/>
        <w:spacing w:after="0"/>
        <w:tabs>
          <w:tab w:leader="none" w:pos="3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17" w:lineRule="exact"/>
        <w:rPr>
          <w:sz w:val="20"/>
          <w:szCs w:val="20"/>
          <w:color w:val="auto"/>
        </w:rPr>
      </w:pPr>
    </w:p>
    <w:p>
      <w:pPr>
        <w:ind w:right="20" w:firstLine="866"/>
        <w:spacing w:after="0" w:line="277" w:lineRule="auto"/>
        <w:tabs>
          <w:tab w:leader="none" w:pos="108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Section 9(a) relating to Capitalization Adjustments, and the following sentence regarding the annual increase,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shares of Common Stock that may be issued pursuant to Stock Awards from and after the Effective Date will not exceed 5,080,815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xml:space="preserve">”), which number includes (1) the Prior Available Reserve, (2) an additional 2,300,000 shares of Common Stock that were approved by the Company’s stockholders at the 2023 Annual Meeting of Stockholders, </w:t>
      </w:r>
      <w:r>
        <w:rPr>
          <w:rFonts w:ascii="Arial" w:cs="Arial" w:eastAsia="Arial" w:hAnsi="Arial"/>
          <w:sz w:val="17"/>
          <w:szCs w:val="17"/>
          <w:i w:val="1"/>
          <w:iCs w:val="1"/>
          <w:color w:val="auto"/>
        </w:rPr>
        <w:t>plus</w:t>
      </w:r>
      <w:r>
        <w:rPr>
          <w:rFonts w:ascii="Arial" w:cs="Arial" w:eastAsia="Arial" w:hAnsi="Arial"/>
          <w:sz w:val="17"/>
          <w:szCs w:val="17"/>
          <w:color w:val="auto"/>
        </w:rPr>
        <w:t xml:space="preserve"> (3) Returning Shares, if any, as such shares become available from time to time.</w:t>
      </w:r>
    </w:p>
    <w:p>
      <w:pPr>
        <w:spacing w:after="0" w:line="64" w:lineRule="exact"/>
        <w:rPr>
          <w:sz w:val="20"/>
          <w:szCs w:val="20"/>
          <w:color w:val="auto"/>
        </w:rPr>
      </w:pPr>
    </w:p>
    <w:p>
      <w:pPr>
        <w:ind w:right="140" w:firstLine="858"/>
        <w:spacing w:after="0" w:line="275" w:lineRule="auto"/>
        <w:rPr>
          <w:sz w:val="20"/>
          <w:szCs w:val="20"/>
          <w:color w:val="auto"/>
        </w:rPr>
      </w:pPr>
      <w:r>
        <w:rPr>
          <w:rFonts w:ascii="Arial" w:cs="Arial" w:eastAsia="Arial" w:hAnsi="Arial"/>
          <w:sz w:val="17"/>
          <w:szCs w:val="17"/>
          <w:color w:val="auto"/>
        </w:rPr>
        <w:t>In addition, the Share Reserve will automatically increase on January 1st of each year, for a period commencing on January 1st of the year following the Effective Date and ending on (and including) January 1, 2033, in 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w:t>
      </w:r>
    </w:p>
    <w:p>
      <w:pPr>
        <w:spacing w:after="0" w:line="68" w:lineRule="exact"/>
        <w:rPr>
          <w:sz w:val="20"/>
          <w:szCs w:val="20"/>
          <w:color w:val="auto"/>
        </w:rPr>
      </w:pPr>
    </w:p>
    <w:p>
      <w:pPr>
        <w:ind w:right="140" w:firstLine="858"/>
        <w:spacing w:after="0" w:line="301" w:lineRule="auto"/>
        <w:rPr>
          <w:sz w:val="20"/>
          <w:szCs w:val="20"/>
          <w:color w:val="auto"/>
        </w:rPr>
      </w:pPr>
      <w:r>
        <w:rPr>
          <w:rFonts w:ascii="Arial" w:cs="Arial" w:eastAsia="Arial" w:hAnsi="Arial"/>
          <w:sz w:val="16"/>
          <w:szCs w:val="16"/>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45" w:lineRule="exact"/>
        <w:rPr>
          <w:sz w:val="20"/>
          <w:szCs w:val="20"/>
          <w:color w:val="auto"/>
        </w:rPr>
      </w:pPr>
    </w:p>
    <w:p>
      <w:pPr>
        <w:ind w:right="40" w:firstLine="757"/>
        <w:spacing w:after="0" w:line="296" w:lineRule="auto"/>
        <w:tabs>
          <w:tab w:leader="none" w:pos="982"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to the Share Reserve. </w:t>
      </w:r>
      <w:r>
        <w:rPr>
          <w:rFonts w:ascii="Arial" w:cs="Arial" w:eastAsia="Arial" w:hAnsi="Arial"/>
          <w:sz w:val="16"/>
          <w:szCs w:val="16"/>
          <w:color w:val="auto"/>
        </w:rPr>
        <w:t>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 Any Returning Shares subject to an outstanding Award under a Prior Plan shall become available for issuance pursuant to Awards granted under the Plan.</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5" w:name="page86"/>
    <w:bookmarkEnd w:id="85"/>
    <w:p>
      <w:pPr>
        <w:ind w:right="200" w:firstLine="757"/>
        <w:spacing w:after="0" w:line="347" w:lineRule="auto"/>
        <w:tabs>
          <w:tab w:leader="none" w:pos="962"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 </w:t>
      </w:r>
      <w:r>
        <w:rPr>
          <w:rFonts w:ascii="Arial" w:cs="Arial" w:eastAsia="Arial" w:hAnsi="Arial"/>
          <w:sz w:val="16"/>
          <w:szCs w:val="16"/>
          <w:color w:val="auto"/>
        </w:rPr>
        <w:t>Subject to the provisions of Section 9(a) relating to Capitalization Adjustments, the aggregate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that may be issued pursuant to the exercise of Incentive Stock Options will be 16,000,000 shares of Common Stock.</w:t>
      </w:r>
    </w:p>
    <w:p>
      <w:pPr>
        <w:spacing w:after="0" w:line="7" w:lineRule="exact"/>
        <w:rPr>
          <w:rFonts w:ascii="Arial" w:cs="Arial" w:eastAsia="Arial" w:hAnsi="Arial"/>
          <w:sz w:val="16"/>
          <w:szCs w:val="16"/>
          <w:b w:val="1"/>
          <w:bCs w:val="1"/>
          <w:color w:val="auto"/>
        </w:rPr>
      </w:pPr>
    </w:p>
    <w:p>
      <w:pPr>
        <w:ind w:right="120" w:firstLine="757"/>
        <w:spacing w:after="0" w:line="298" w:lineRule="auto"/>
        <w:tabs>
          <w:tab w:leader="none" w:pos="982"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on Compensation to Non-Employee Directors. </w:t>
      </w:r>
      <w:r>
        <w:rPr>
          <w:rFonts w:ascii="Arial" w:cs="Arial" w:eastAsia="Arial" w:hAnsi="Arial"/>
          <w:sz w:val="16"/>
          <w:szCs w:val="16"/>
          <w:color w:val="auto"/>
        </w:rPr>
        <w:t>The aggregate value of all compensation granted or paid,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Awards granted and cash fees paid by the Company during any one calendar year to any Non-Employee Director, taken together with any cash fees paid by the Company to such Non-Employee Director during such calendar year for service on the Board beginning with calendar year 2023,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spacing w:after="0" w:line="45" w:lineRule="exact"/>
        <w:rPr>
          <w:rFonts w:ascii="Arial" w:cs="Arial" w:eastAsia="Arial" w:hAnsi="Arial"/>
          <w:sz w:val="16"/>
          <w:szCs w:val="16"/>
          <w:b w:val="1"/>
          <w:bCs w:val="1"/>
          <w:color w:val="auto"/>
        </w:rPr>
      </w:pPr>
    </w:p>
    <w:p>
      <w:pPr>
        <w:ind w:right="60" w:firstLine="757"/>
        <w:spacing w:after="0" w:line="347" w:lineRule="auto"/>
        <w:tabs>
          <w:tab w:leader="none" w:pos="962"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Source of Shares. </w:t>
      </w:r>
      <w:r>
        <w:rPr>
          <w:rFonts w:ascii="Arial" w:cs="Arial" w:eastAsia="Arial" w:hAnsi="Arial"/>
          <w:sz w:val="16"/>
          <w:szCs w:val="16"/>
          <w:color w:val="auto"/>
        </w:rPr>
        <w:t>The stock issuable under the Plan will be shares of authorized but unissued or reacquired Common Stock, including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 by the Company on the open market or otherwise.</w:t>
      </w:r>
    </w:p>
    <w:p>
      <w:pPr>
        <w:spacing w:after="0" w:line="7" w:lineRule="exact"/>
        <w:rPr>
          <w:rFonts w:ascii="Arial" w:cs="Arial" w:eastAsia="Arial" w:hAnsi="Arial"/>
          <w:sz w:val="16"/>
          <w:szCs w:val="16"/>
          <w:b w:val="1"/>
          <w:bCs w:val="1"/>
          <w:color w:val="auto"/>
        </w:rPr>
      </w:pPr>
    </w:p>
    <w:p>
      <w:pPr>
        <w:ind w:left="380" w:hanging="372"/>
        <w:spacing w:after="0"/>
        <w:tabs>
          <w:tab w:leader="none" w:pos="3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7" w:lineRule="exact"/>
        <w:rPr>
          <w:rFonts w:ascii="Arial" w:cs="Arial" w:eastAsia="Arial" w:hAnsi="Arial"/>
          <w:sz w:val="18"/>
          <w:szCs w:val="18"/>
          <w:b w:val="1"/>
          <w:bCs w:val="1"/>
          <w:color w:val="auto"/>
        </w:rPr>
      </w:pPr>
    </w:p>
    <w:p>
      <w:pPr>
        <w:ind w:right="40" w:firstLine="757"/>
        <w:spacing w:after="0" w:line="287" w:lineRule="auto"/>
        <w:tabs>
          <w:tab w:leader="none" w:pos="972"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for Specific Stock Awards. </w:t>
      </w:r>
      <w:r>
        <w:rPr>
          <w:rFonts w:ascii="Arial" w:cs="Arial" w:eastAsia="Arial" w:hAnsi="Arial"/>
          <w:sz w:val="16"/>
          <w:szCs w:val="16"/>
          <w:color w:val="auto"/>
        </w:rPr>
        <w:t>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of the Securities Act, unless</w:t>
      </w:r>
    </w:p>
    <w:p>
      <w:pPr>
        <w:spacing w:after="0" w:line="2" w:lineRule="exact"/>
        <w:rPr>
          <w:rFonts w:ascii="Arial" w:cs="Arial" w:eastAsia="Arial" w:hAnsi="Arial"/>
          <w:sz w:val="16"/>
          <w:szCs w:val="16"/>
          <w:b w:val="1"/>
          <w:bCs w:val="1"/>
          <w:color w:val="auto"/>
        </w:rPr>
      </w:pPr>
    </w:p>
    <w:p>
      <w:pPr>
        <w:jc w:val="both"/>
        <w:ind w:right="12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64" w:lineRule="exact"/>
        <w:rPr>
          <w:rFonts w:ascii="Arial" w:cs="Arial" w:eastAsia="Arial" w:hAnsi="Arial"/>
          <w:sz w:val="16"/>
          <w:szCs w:val="16"/>
          <w:b w:val="1"/>
          <w:bCs w:val="1"/>
          <w:color w:val="auto"/>
        </w:rPr>
      </w:pPr>
    </w:p>
    <w:p>
      <w:pPr>
        <w:ind w:right="20" w:firstLine="757"/>
        <w:spacing w:after="0" w:line="347" w:lineRule="auto"/>
        <w:tabs>
          <w:tab w:leader="none" w:pos="982"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of such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is at least 110% of the Fair Market Value on the date of grant and the Option is not exercisable after the expiration of five years from the date of grant.</w:t>
      </w:r>
    </w:p>
    <w:p>
      <w:pPr>
        <w:spacing w:after="0" w:line="7" w:lineRule="exact"/>
        <w:rPr>
          <w:rFonts w:ascii="Arial" w:cs="Arial" w:eastAsia="Arial" w:hAnsi="Arial"/>
          <w:sz w:val="16"/>
          <w:szCs w:val="16"/>
          <w:b w:val="1"/>
          <w:bCs w:val="1"/>
          <w:color w:val="auto"/>
        </w:rPr>
      </w:pPr>
    </w:p>
    <w:p>
      <w:pPr>
        <w:ind w:left="380" w:hanging="372"/>
        <w:spacing w:after="0"/>
        <w:tabs>
          <w:tab w:leader="none" w:pos="3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RELATING TO OPTIONS AND STOCK APPRECIATION RIGHTS.</w:t>
      </w:r>
    </w:p>
    <w:p>
      <w:pPr>
        <w:spacing w:after="0" w:line="121"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Award Agreement will conform to (through incorporation of provisions hereof by reference in the applicable Award Agreement or otherwise) the substance of each of the following provisions:</w:t>
      </w:r>
    </w:p>
    <w:p>
      <w:pPr>
        <w:spacing w:after="0" w:line="65" w:lineRule="exact"/>
        <w:rPr>
          <w:sz w:val="20"/>
          <w:szCs w:val="20"/>
          <w:color w:val="auto"/>
        </w:rPr>
      </w:pPr>
    </w:p>
    <w:p>
      <w:pPr>
        <w:ind w:firstLine="757"/>
        <w:spacing w:after="0" w:line="312" w:lineRule="auto"/>
        <w:tabs>
          <w:tab w:leader="none" w:pos="97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Subject to the provisions of Section 4(b) regarding Ten Percent Stockholders, no Option or SAR will be exercisable after the expiration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ten years from the date of its grant or such shorter period specified in the Award Agreement.</w:t>
      </w:r>
    </w:p>
    <w:p>
      <w:pPr>
        <w:spacing w:after="0" w:line="31" w:lineRule="exact"/>
        <w:rPr>
          <w:rFonts w:ascii="Arial" w:cs="Arial" w:eastAsia="Arial" w:hAnsi="Arial"/>
          <w:sz w:val="17"/>
          <w:szCs w:val="17"/>
          <w:b w:val="1"/>
          <w:bCs w:val="1"/>
          <w:color w:val="auto"/>
        </w:rPr>
      </w:pPr>
    </w:p>
    <w:p>
      <w:pPr>
        <w:ind w:right="240" w:firstLine="757"/>
        <w:spacing w:after="0" w:line="274" w:lineRule="auto"/>
        <w:tabs>
          <w:tab w:leader="none" w:pos="98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Ten Percent Stockholders, the exercise or strike price of each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65" w:lineRule="exact"/>
        <w:rPr>
          <w:rFonts w:ascii="Arial" w:cs="Arial" w:eastAsia="Arial" w:hAnsi="Arial"/>
          <w:sz w:val="17"/>
          <w:szCs w:val="17"/>
          <w:b w:val="1"/>
          <w:bCs w:val="1"/>
          <w:color w:val="auto"/>
        </w:rPr>
      </w:pPr>
    </w:p>
    <w:p>
      <w:pPr>
        <w:ind w:right="80" w:firstLine="757"/>
        <w:spacing w:after="0" w:line="314" w:lineRule="auto"/>
        <w:tabs>
          <w:tab w:leader="none" w:pos="96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Common Stock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6" w:name="page87"/>
    <w:bookmarkEnd w:id="86"/>
    <w:p>
      <w:pPr>
        <w:ind w:right="60"/>
        <w:spacing w:after="0" w:line="277" w:lineRule="auto"/>
        <w:rPr>
          <w:sz w:val="20"/>
          <w:szCs w:val="20"/>
          <w:color w:val="auto"/>
        </w:rPr>
      </w:pPr>
      <w:r>
        <w:rPr>
          <w:rFonts w:ascii="Arial" w:cs="Arial" w:eastAsia="Arial" w:hAnsi="Arial"/>
          <w:sz w:val="18"/>
          <w:szCs w:val="18"/>
          <w:color w:val="auto"/>
        </w:rPr>
        <w:t>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62" w:lineRule="exact"/>
        <w:rPr>
          <w:sz w:val="20"/>
          <w:szCs w:val="20"/>
          <w:color w:val="auto"/>
        </w:rPr>
      </w:pPr>
    </w:p>
    <w:p>
      <w:pPr>
        <w:ind w:left="1680" w:hanging="175"/>
        <w:spacing w:after="0"/>
        <w:tabs>
          <w:tab w:leader="none" w:pos="168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ind w:firstLine="1505"/>
        <w:spacing w:after="0" w:line="263" w:lineRule="auto"/>
        <w:tabs>
          <w:tab w:leader="none" w:pos="1731"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5" w:lineRule="exact"/>
        <w:rPr>
          <w:rFonts w:ascii="Arial" w:cs="Arial" w:eastAsia="Arial" w:hAnsi="Arial"/>
          <w:sz w:val="18"/>
          <w:szCs w:val="18"/>
          <w:b w:val="1"/>
          <w:bCs w:val="1"/>
          <w:color w:val="auto"/>
        </w:rPr>
      </w:pPr>
    </w:p>
    <w:p>
      <w:pPr>
        <w:ind w:left="1780" w:hanging="275"/>
        <w:spacing w:after="0"/>
        <w:tabs>
          <w:tab w:leader="none" w:pos="178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ind w:right="20" w:firstLine="1505"/>
        <w:spacing w:after="0" w:line="272" w:lineRule="auto"/>
        <w:tabs>
          <w:tab w:leader="none" w:pos="1771"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69" w:lineRule="exact"/>
        <w:rPr>
          <w:rFonts w:ascii="Arial" w:cs="Arial" w:eastAsia="Arial" w:hAnsi="Arial"/>
          <w:sz w:val="17"/>
          <w:szCs w:val="17"/>
          <w:b w:val="1"/>
          <w:bCs w:val="1"/>
          <w:color w:val="auto"/>
        </w:rPr>
      </w:pPr>
    </w:p>
    <w:p>
      <w:pPr>
        <w:ind w:left="1720" w:hanging="215"/>
        <w:spacing w:after="0"/>
        <w:tabs>
          <w:tab w:leader="none" w:pos="1720"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in any other form of legal consideration that may be acceptable to the Board and specified in the applicable Award Agreement.</w:t>
      </w:r>
    </w:p>
    <w:p>
      <w:pPr>
        <w:spacing w:after="0" w:line="136" w:lineRule="exact"/>
        <w:rPr>
          <w:rFonts w:ascii="Arial" w:cs="Arial" w:eastAsia="Arial" w:hAnsi="Arial"/>
          <w:sz w:val="16"/>
          <w:szCs w:val="16"/>
          <w:b w:val="1"/>
          <w:bCs w:val="1"/>
          <w:color w:val="auto"/>
        </w:rPr>
      </w:pPr>
    </w:p>
    <w:p>
      <w:pPr>
        <w:ind w:right="80" w:firstLine="757"/>
        <w:spacing w:after="0" w:line="292" w:lineRule="auto"/>
        <w:tabs>
          <w:tab w:leader="none" w:pos="98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53" w:lineRule="exact"/>
        <w:rPr>
          <w:rFonts w:ascii="Arial" w:cs="Arial" w:eastAsia="Arial" w:hAnsi="Arial"/>
          <w:sz w:val="16"/>
          <w:szCs w:val="16"/>
          <w:b w:val="1"/>
          <w:bCs w:val="1"/>
          <w:color w:val="auto"/>
        </w:rPr>
      </w:pPr>
    </w:p>
    <w:p>
      <w:pPr>
        <w:jc w:val="both"/>
        <w:ind w:right="180" w:firstLine="757"/>
        <w:spacing w:after="0" w:line="314" w:lineRule="auto"/>
        <w:tabs>
          <w:tab w:leader="none" w:pos="96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and SARs. </w:t>
      </w:r>
      <w:r>
        <w:rPr>
          <w:rFonts w:ascii="Arial" w:cs="Arial" w:eastAsia="Arial" w:hAnsi="Arial"/>
          <w:sz w:val="16"/>
          <w:szCs w:val="16"/>
          <w:color w:val="auto"/>
        </w:rPr>
        <w:t>The Board may, in its sole discretion, impose such limitations on the transferability of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SARs as the Board will determine. In the absence of such a determination by the Board to the contrary, the following restrictions on the transferability of Options and SARs will apply:</w:t>
      </w:r>
    </w:p>
    <w:p>
      <w:pPr>
        <w:spacing w:after="0" w:line="33" w:lineRule="exact"/>
        <w:rPr>
          <w:rFonts w:ascii="Arial" w:cs="Arial" w:eastAsia="Arial" w:hAnsi="Arial"/>
          <w:sz w:val="16"/>
          <w:szCs w:val="16"/>
          <w:b w:val="1"/>
          <w:bCs w:val="1"/>
          <w:color w:val="auto"/>
        </w:rPr>
      </w:pPr>
    </w:p>
    <w:p>
      <w:pPr>
        <w:ind w:right="120" w:firstLine="1505"/>
        <w:spacing w:after="0" w:line="261" w:lineRule="auto"/>
        <w:tabs>
          <w:tab w:leader="none" w:pos="1681"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71" w:lineRule="exact"/>
        <w:rPr>
          <w:rFonts w:ascii="Arial" w:cs="Arial" w:eastAsia="Arial" w:hAnsi="Arial"/>
          <w:sz w:val="18"/>
          <w:szCs w:val="18"/>
          <w:b w:val="1"/>
          <w:bCs w:val="1"/>
          <w:color w:val="auto"/>
        </w:rPr>
      </w:pPr>
    </w:p>
    <w:p>
      <w:pPr>
        <w:ind w:right="100" w:firstLine="1505"/>
        <w:spacing w:after="0" w:line="261" w:lineRule="auto"/>
        <w:tabs>
          <w:tab w:leader="none" w:pos="1731"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71" w:lineRule="exact"/>
        <w:rPr>
          <w:rFonts w:ascii="Arial" w:cs="Arial" w:eastAsia="Arial" w:hAnsi="Arial"/>
          <w:sz w:val="18"/>
          <w:szCs w:val="18"/>
          <w:b w:val="1"/>
          <w:bCs w:val="1"/>
          <w:color w:val="auto"/>
        </w:rPr>
      </w:pPr>
    </w:p>
    <w:p>
      <w:pPr>
        <w:ind w:right="40" w:firstLine="1505"/>
        <w:spacing w:after="0" w:line="258" w:lineRule="auto"/>
        <w:tabs>
          <w:tab w:leader="none" w:pos="1781"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Subject to the approval of the Board or a duly authorized Officer, a Participant may, by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7" w:name="page88"/>
    <w:bookmarkEnd w:id="87"/>
    <w:p>
      <w:pPr>
        <w:ind w:right="260"/>
        <w:spacing w:after="0" w:line="277" w:lineRule="auto"/>
        <w:rPr>
          <w:sz w:val="20"/>
          <w:szCs w:val="20"/>
          <w:color w:val="auto"/>
        </w:rPr>
      </w:pPr>
      <w:r>
        <w:rPr>
          <w:rFonts w:ascii="Arial" w:cs="Arial" w:eastAsia="Arial" w:hAnsi="Arial"/>
          <w:sz w:val="18"/>
          <w:szCs w:val="18"/>
          <w:color w:val="auto"/>
        </w:rPr>
        <w:t>from such exercise. However, the Company may prohibit designation of a beneficiary at any time, including due to any conclusion by the Company that such designation would be inconsistent with the provisions of applicable laws.</w:t>
      </w:r>
    </w:p>
    <w:p>
      <w:pPr>
        <w:spacing w:after="0" w:line="58" w:lineRule="exact"/>
        <w:rPr>
          <w:sz w:val="20"/>
          <w:szCs w:val="20"/>
          <w:color w:val="auto"/>
        </w:rPr>
      </w:pPr>
    </w:p>
    <w:p>
      <w:pPr>
        <w:ind w:right="80" w:firstLine="757"/>
        <w:spacing w:after="0" w:line="277" w:lineRule="auto"/>
        <w:tabs>
          <w:tab w:leader="none" w:pos="942"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59" w:lineRule="exact"/>
        <w:rPr>
          <w:rFonts w:ascii="Arial" w:cs="Arial" w:eastAsia="Arial" w:hAnsi="Arial"/>
          <w:sz w:val="17"/>
          <w:szCs w:val="17"/>
          <w:b w:val="1"/>
          <w:bCs w:val="1"/>
          <w:color w:val="auto"/>
        </w:rPr>
      </w:pPr>
    </w:p>
    <w:p>
      <w:pPr>
        <w:ind w:right="60" w:firstLine="757"/>
        <w:spacing w:after="0" w:line="292" w:lineRule="auto"/>
        <w:tabs>
          <w:tab w:leader="none" w:pos="97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53" w:lineRule="exact"/>
        <w:rPr>
          <w:rFonts w:ascii="Arial" w:cs="Arial" w:eastAsia="Arial" w:hAnsi="Arial"/>
          <w:sz w:val="16"/>
          <w:szCs w:val="16"/>
          <w:b w:val="1"/>
          <w:bCs w:val="1"/>
          <w:color w:val="auto"/>
        </w:rPr>
      </w:pPr>
    </w:p>
    <w:p>
      <w:pPr>
        <w:ind w:firstLine="757"/>
        <w:spacing w:after="0" w:line="288" w:lineRule="auto"/>
        <w:tabs>
          <w:tab w:leader="none" w:pos="98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If the exercise of an Option or SAR following the termination of the Participant’s Continuous Service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55" w:lineRule="exact"/>
        <w:rPr>
          <w:rFonts w:ascii="Arial" w:cs="Arial" w:eastAsia="Arial" w:hAnsi="Arial"/>
          <w:sz w:val="16"/>
          <w:szCs w:val="16"/>
          <w:b w:val="1"/>
          <w:bCs w:val="1"/>
          <w:color w:val="auto"/>
        </w:rPr>
      </w:pPr>
    </w:p>
    <w:p>
      <w:pPr>
        <w:ind w:right="200" w:firstLine="757"/>
        <w:spacing w:after="0" w:line="255" w:lineRule="auto"/>
        <w:tabs>
          <w:tab w:leader="none" w:pos="9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80" w:lineRule="exact"/>
        <w:rPr>
          <w:rFonts w:ascii="Arial" w:cs="Arial" w:eastAsia="Arial" w:hAnsi="Arial"/>
          <w:sz w:val="18"/>
          <w:szCs w:val="18"/>
          <w:b w:val="1"/>
          <w:bCs w:val="1"/>
          <w:color w:val="auto"/>
        </w:rPr>
      </w:pPr>
    </w:p>
    <w:p>
      <w:pPr>
        <w:ind w:right="40" w:firstLine="757"/>
        <w:spacing w:after="0" w:line="291" w:lineRule="auto"/>
        <w:tabs>
          <w:tab w:leader="none" w:pos="94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ind w:right="140" w:firstLine="757"/>
        <w:spacing w:after="0" w:line="261" w:lineRule="auto"/>
        <w:tabs>
          <w:tab w:leader="none" w:pos="982"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71" w:lineRule="exact"/>
        <w:rPr>
          <w:rFonts w:ascii="Arial" w:cs="Arial" w:eastAsia="Arial" w:hAnsi="Arial"/>
          <w:sz w:val="18"/>
          <w:szCs w:val="18"/>
          <w:b w:val="1"/>
          <w:bCs w:val="1"/>
          <w:color w:val="auto"/>
        </w:rPr>
      </w:pPr>
    </w:p>
    <w:p>
      <w:pPr>
        <w:ind w:firstLine="757"/>
        <w:spacing w:after="0" w:line="269" w:lineRule="auto"/>
        <w:tabs>
          <w:tab w:leader="none" w:pos="932" w:val="left"/>
        </w:tabs>
        <w:numPr>
          <w:ilvl w:val="1"/>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Employees. </w:t>
      </w:r>
      <w:r>
        <w:rPr>
          <w:rFonts w:ascii="Arial" w:cs="Arial" w:eastAsia="Arial" w:hAnsi="Arial"/>
          <w:sz w:val="17"/>
          <w:szCs w:val="17"/>
          <w:color w:val="auto"/>
        </w:rPr>
        <w:t>If an Option or SAR is granted to an Employee who is a non-exempt employee for purposes of the Fair Labor</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70" w:lineRule="exact"/>
        <w:rPr>
          <w:rFonts w:ascii="Arial" w:cs="Arial" w:eastAsia="Arial" w:hAnsi="Arial"/>
          <w:sz w:val="17"/>
          <w:szCs w:val="17"/>
          <w:b w:val="1"/>
          <w:bCs w:val="1"/>
          <w:color w:val="auto"/>
        </w:rPr>
      </w:pPr>
    </w:p>
    <w:p>
      <w:pPr>
        <w:ind w:left="380" w:hanging="372"/>
        <w:spacing w:after="0"/>
        <w:tabs>
          <w:tab w:leader="none" w:pos="3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p>
    <w:p>
      <w:pPr>
        <w:spacing w:after="0" w:line="117" w:lineRule="exact"/>
        <w:rPr>
          <w:rFonts w:ascii="Arial" w:cs="Arial" w:eastAsia="Arial" w:hAnsi="Arial"/>
          <w:sz w:val="18"/>
          <w:szCs w:val="18"/>
          <w:b w:val="1"/>
          <w:bCs w:val="1"/>
          <w:color w:val="auto"/>
        </w:rPr>
      </w:pPr>
    </w:p>
    <w:p>
      <w:pPr>
        <w:ind w:right="60" w:firstLine="757"/>
        <w:spacing w:after="0" w:line="273" w:lineRule="auto"/>
        <w:tabs>
          <w:tab w:leader="none" w:pos="972" w:val="left"/>
        </w:tabs>
        <w:numPr>
          <w:ilvl w:val="1"/>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63" w:lineRule="exact"/>
        <w:rPr>
          <w:rFonts w:ascii="Arial" w:cs="Arial" w:eastAsia="Arial" w:hAnsi="Arial"/>
          <w:sz w:val="17"/>
          <w:szCs w:val="17"/>
          <w:b w:val="1"/>
          <w:bCs w:val="1"/>
          <w:color w:val="auto"/>
        </w:rPr>
      </w:pPr>
    </w:p>
    <w:p>
      <w:pPr>
        <w:ind w:right="100" w:firstLine="1505"/>
        <w:spacing w:after="0" w:line="266" w:lineRule="auto"/>
        <w:tabs>
          <w:tab w:leader="none" w:pos="1681" w:val="left"/>
        </w:tabs>
        <w:numPr>
          <w:ilvl w:val="2"/>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(B) past or future services to the Company or an Affiliate, or (C) any other form of legal consideration that may be acceptable to the Board, in its sole discretion, and permissible under applicable law.</w:t>
      </w:r>
    </w:p>
    <w:p>
      <w:pPr>
        <w:spacing w:after="0" w:line="67" w:lineRule="exact"/>
        <w:rPr>
          <w:rFonts w:ascii="Arial" w:cs="Arial" w:eastAsia="Arial" w:hAnsi="Arial"/>
          <w:sz w:val="18"/>
          <w:szCs w:val="18"/>
          <w:b w:val="1"/>
          <w:bCs w:val="1"/>
          <w:color w:val="auto"/>
        </w:rPr>
      </w:pPr>
    </w:p>
    <w:p>
      <w:pPr>
        <w:ind w:right="580" w:firstLine="1505"/>
        <w:spacing w:after="0" w:line="282" w:lineRule="auto"/>
        <w:tabs>
          <w:tab w:leader="none" w:pos="1731" w:val="left"/>
        </w:tabs>
        <w:numPr>
          <w:ilvl w:val="2"/>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53" w:lineRule="exact"/>
        <w:rPr>
          <w:rFonts w:ascii="Arial" w:cs="Arial" w:eastAsia="Arial" w:hAnsi="Arial"/>
          <w:sz w:val="18"/>
          <w:szCs w:val="18"/>
          <w:b w:val="1"/>
          <w:bCs w:val="1"/>
          <w:color w:val="auto"/>
        </w:rPr>
      </w:pPr>
    </w:p>
    <w:p>
      <w:pPr>
        <w:jc w:val="both"/>
        <w:ind w:right="180" w:firstLine="1505"/>
        <w:spacing w:after="0" w:line="266" w:lineRule="auto"/>
        <w:tabs>
          <w:tab w:leader="none" w:pos="1781" w:val="left"/>
        </w:tabs>
        <w:numPr>
          <w:ilvl w:val="2"/>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67" w:lineRule="exact"/>
        <w:rPr>
          <w:rFonts w:ascii="Arial" w:cs="Arial" w:eastAsia="Arial" w:hAnsi="Arial"/>
          <w:sz w:val="18"/>
          <w:szCs w:val="18"/>
          <w:b w:val="1"/>
          <w:bCs w:val="1"/>
          <w:color w:val="auto"/>
        </w:rPr>
      </w:pPr>
    </w:p>
    <w:p>
      <w:pPr>
        <w:ind w:right="180" w:firstLine="1505"/>
        <w:spacing w:after="0" w:line="281" w:lineRule="auto"/>
        <w:tabs>
          <w:tab w:leader="none" w:pos="1771" w:val="left"/>
        </w:tabs>
        <w:numPr>
          <w:ilvl w:val="2"/>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Rights to acquire shares of Common Stock under the Restricted Stock Award Agreement will be transferable by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56" w:lineRule="exact"/>
        <w:rPr>
          <w:rFonts w:ascii="Arial" w:cs="Arial" w:eastAsia="Arial" w:hAnsi="Arial"/>
          <w:sz w:val="17"/>
          <w:szCs w:val="17"/>
          <w:b w:val="1"/>
          <w:bCs w:val="1"/>
          <w:color w:val="auto"/>
        </w:rPr>
      </w:pPr>
    </w:p>
    <w:p>
      <w:pPr>
        <w:ind w:right="160" w:firstLine="1505"/>
        <w:spacing w:after="0" w:line="312" w:lineRule="auto"/>
        <w:tabs>
          <w:tab w:leader="none" w:pos="1721" w:val="left"/>
        </w:tabs>
        <w:numPr>
          <w:ilvl w:val="2"/>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A Restricted Stock Award Agreement may provide that any dividends paid on Restricted Stock Awards will be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same vesting and forfeiture restrictions as apply to the shares subject to the Restricted Stock Award to which they relate.</w:t>
      </w:r>
    </w:p>
    <w:p>
      <w:pPr>
        <w:spacing w:after="0" w:line="31" w:lineRule="exact"/>
        <w:rPr>
          <w:rFonts w:ascii="Arial" w:cs="Arial" w:eastAsia="Arial" w:hAnsi="Arial"/>
          <w:sz w:val="17"/>
          <w:szCs w:val="17"/>
          <w:b w:val="1"/>
          <w:bCs w:val="1"/>
          <w:color w:val="auto"/>
        </w:rPr>
      </w:pPr>
    </w:p>
    <w:p>
      <w:pPr>
        <w:ind w:right="760" w:firstLine="757"/>
        <w:spacing w:after="0" w:line="312" w:lineRule="auto"/>
        <w:tabs>
          <w:tab w:leader="none" w:pos="982" w:val="left"/>
        </w:tabs>
        <w:numPr>
          <w:ilvl w:val="1"/>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Unit Awards. </w:t>
      </w:r>
      <w:r>
        <w:rPr>
          <w:rFonts w:ascii="Arial" w:cs="Arial" w:eastAsia="Arial" w:hAnsi="Arial"/>
          <w:sz w:val="17"/>
          <w:szCs w:val="17"/>
          <w:color w:val="auto"/>
        </w:rPr>
        <w:t>Each Restricted Stock Unit Award Agreement will be in such form and will contain such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as the Board will deem appropriate. The terms and conditions of Restricted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9" w:name="page90"/>
    <w:bookmarkEnd w:id="89"/>
    <w:p>
      <w:pPr>
        <w:jc w:val="both"/>
        <w:ind w:right="180"/>
        <w:spacing w:after="0" w:line="263" w:lineRule="auto"/>
        <w:rPr>
          <w:sz w:val="20"/>
          <w:szCs w:val="20"/>
          <w:color w:val="auto"/>
        </w:rPr>
      </w:pPr>
      <w:r>
        <w:rPr>
          <w:rFonts w:ascii="Arial" w:cs="Arial" w:eastAsia="Arial" w:hAnsi="Arial"/>
          <w:sz w:val="18"/>
          <w:szCs w:val="18"/>
          <w:color w:val="auto"/>
        </w:rPr>
        <w:t>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Restricted Stock Unit Agreement or otherwise) the substance of each of the following provisions:</w:t>
      </w:r>
    </w:p>
    <w:p>
      <w:pPr>
        <w:spacing w:after="0" w:line="72" w:lineRule="exact"/>
        <w:rPr>
          <w:sz w:val="20"/>
          <w:szCs w:val="20"/>
          <w:color w:val="auto"/>
        </w:rPr>
      </w:pPr>
    </w:p>
    <w:p>
      <w:pPr>
        <w:ind w:right="80" w:firstLine="1505"/>
        <w:spacing w:after="0" w:line="261" w:lineRule="auto"/>
        <w:tabs>
          <w:tab w:leader="none" w:pos="1681"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71" w:lineRule="exact"/>
        <w:rPr>
          <w:rFonts w:ascii="Arial" w:cs="Arial" w:eastAsia="Arial" w:hAnsi="Arial"/>
          <w:sz w:val="18"/>
          <w:szCs w:val="18"/>
          <w:b w:val="1"/>
          <w:bCs w:val="1"/>
          <w:color w:val="auto"/>
        </w:rPr>
      </w:pPr>
    </w:p>
    <w:p>
      <w:pPr>
        <w:ind w:right="140" w:firstLine="1505"/>
        <w:spacing w:after="0" w:line="282" w:lineRule="auto"/>
        <w:tabs>
          <w:tab w:leader="none" w:pos="1731"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53" w:lineRule="exact"/>
        <w:rPr>
          <w:rFonts w:ascii="Arial" w:cs="Arial" w:eastAsia="Arial" w:hAnsi="Arial"/>
          <w:sz w:val="18"/>
          <w:szCs w:val="18"/>
          <w:b w:val="1"/>
          <w:bCs w:val="1"/>
          <w:color w:val="auto"/>
        </w:rPr>
      </w:pPr>
    </w:p>
    <w:p>
      <w:pPr>
        <w:ind w:right="280" w:firstLine="1505"/>
        <w:spacing w:after="0" w:line="347" w:lineRule="auto"/>
        <w:tabs>
          <w:tab w:leader="none" w:pos="1781"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7" w:lineRule="exact"/>
        <w:rPr>
          <w:rFonts w:ascii="Arial" w:cs="Arial" w:eastAsia="Arial" w:hAnsi="Arial"/>
          <w:sz w:val="16"/>
          <w:szCs w:val="16"/>
          <w:b w:val="1"/>
          <w:bCs w:val="1"/>
          <w:color w:val="auto"/>
        </w:rPr>
      </w:pPr>
    </w:p>
    <w:p>
      <w:pPr>
        <w:ind w:right="220" w:firstLine="1505"/>
        <w:spacing w:after="0" w:line="289" w:lineRule="auto"/>
        <w:tabs>
          <w:tab w:leader="none" w:pos="1771"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Restrictions. </w:t>
      </w:r>
      <w:r>
        <w:rPr>
          <w:rFonts w:ascii="Arial" w:cs="Arial" w:eastAsia="Arial" w:hAnsi="Arial"/>
          <w:sz w:val="17"/>
          <w:szCs w:val="17"/>
          <w:color w:val="auto"/>
        </w:rPr>
        <w:t>At the time of the grant of a Restricted Stock Unit Award, the Board, as it deems appropriate, may</w:t>
      </w:r>
      <w:r>
        <w:rPr>
          <w:rFonts w:ascii="Arial" w:cs="Arial" w:eastAsia="Arial" w:hAnsi="Arial"/>
          <w:sz w:val="17"/>
          <w:szCs w:val="17"/>
          <w:b w:val="1"/>
          <w:bCs w:val="1"/>
          <w:color w:val="auto"/>
        </w:rPr>
        <w:t xml:space="preserve"> </w:t>
      </w:r>
      <w:r>
        <w:rPr>
          <w:rFonts w:ascii="Arial" w:cs="Arial" w:eastAsia="Arial" w:hAnsi="Arial"/>
          <w:sz w:val="17"/>
          <w:szCs w:val="17"/>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49" w:lineRule="exact"/>
        <w:rPr>
          <w:rFonts w:ascii="Arial" w:cs="Arial" w:eastAsia="Arial" w:hAnsi="Arial"/>
          <w:sz w:val="17"/>
          <w:szCs w:val="17"/>
          <w:b w:val="1"/>
          <w:bCs w:val="1"/>
          <w:color w:val="auto"/>
        </w:rPr>
      </w:pPr>
    </w:p>
    <w:p>
      <w:pPr>
        <w:ind w:right="60" w:firstLine="1505"/>
        <w:spacing w:after="0" w:line="277" w:lineRule="auto"/>
        <w:tabs>
          <w:tab w:leader="none" w:pos="1721"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59" w:lineRule="exact"/>
        <w:rPr>
          <w:rFonts w:ascii="Arial" w:cs="Arial" w:eastAsia="Arial" w:hAnsi="Arial"/>
          <w:sz w:val="17"/>
          <w:szCs w:val="17"/>
          <w:b w:val="1"/>
          <w:bCs w:val="1"/>
          <w:color w:val="auto"/>
        </w:rPr>
      </w:pPr>
    </w:p>
    <w:p>
      <w:pPr>
        <w:ind w:right="120" w:firstLine="1505"/>
        <w:spacing w:after="0" w:line="347" w:lineRule="auto"/>
        <w:tabs>
          <w:tab w:leader="none" w:pos="1771"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such portion of the Restricted Stock Unit Award that has not vested will be forfeited upon the Participant’s termination of Continuous Service.</w:t>
      </w:r>
    </w:p>
    <w:p>
      <w:pPr>
        <w:spacing w:after="0" w:line="7" w:lineRule="exact"/>
        <w:rPr>
          <w:rFonts w:ascii="Arial" w:cs="Arial" w:eastAsia="Arial" w:hAnsi="Arial"/>
          <w:sz w:val="16"/>
          <w:szCs w:val="16"/>
          <w:b w:val="1"/>
          <w:bCs w:val="1"/>
          <w:color w:val="auto"/>
        </w:rPr>
      </w:pPr>
    </w:p>
    <w:p>
      <w:pPr>
        <w:ind w:left="980" w:hanging="223"/>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p>
    <w:p>
      <w:pPr>
        <w:spacing w:after="0" w:line="117" w:lineRule="exact"/>
        <w:rPr>
          <w:rFonts w:ascii="Arial" w:cs="Arial" w:eastAsia="Arial" w:hAnsi="Arial"/>
          <w:sz w:val="18"/>
          <w:szCs w:val="18"/>
          <w:b w:val="1"/>
          <w:bCs w:val="1"/>
          <w:color w:val="auto"/>
        </w:rPr>
      </w:pPr>
    </w:p>
    <w:p>
      <w:pPr>
        <w:ind w:firstLine="1505"/>
        <w:spacing w:after="0" w:line="294" w:lineRule="auto"/>
        <w:tabs>
          <w:tab w:leader="none" w:pos="1681"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Stock Awards</w:t>
      </w:r>
      <w:r>
        <w:rPr>
          <w:rFonts w:ascii="Arial" w:cs="Arial" w:eastAsia="Arial" w:hAnsi="Arial"/>
          <w:sz w:val="16"/>
          <w:szCs w:val="16"/>
          <w:color w:val="auto"/>
        </w:rPr>
        <w:t>. A Performance Stock Award is a Stock Award that is payable (including that may be granted, may vest</w:t>
      </w:r>
      <w:r>
        <w:rPr>
          <w:rFonts w:ascii="Arial" w:cs="Arial" w:eastAsia="Arial" w:hAnsi="Arial"/>
          <w:sz w:val="16"/>
          <w:szCs w:val="16"/>
          <w:b w:val="1"/>
          <w:bCs w:val="1"/>
          <w:color w:val="auto"/>
        </w:rPr>
        <w:t xml:space="preserve"> </w:t>
      </w:r>
      <w:r>
        <w:rPr>
          <w:rFonts w:ascii="Arial" w:cs="Arial" w:eastAsia="Arial" w:hAnsi="Arial"/>
          <w:sz w:val="16"/>
          <w:szCs w:val="16"/>
          <w:color w:val="auto"/>
        </w:rPr>
        <w:t>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pacing w:after="0" w:line="51" w:lineRule="exact"/>
        <w:rPr>
          <w:rFonts w:ascii="Arial" w:cs="Arial" w:eastAsia="Arial" w:hAnsi="Arial"/>
          <w:sz w:val="16"/>
          <w:szCs w:val="16"/>
          <w:b w:val="1"/>
          <w:bCs w:val="1"/>
          <w:color w:val="auto"/>
        </w:rPr>
      </w:pPr>
    </w:p>
    <w:p>
      <w:pPr>
        <w:ind w:right="80" w:firstLine="1505"/>
        <w:spacing w:after="0" w:line="292" w:lineRule="auto"/>
        <w:tabs>
          <w:tab w:leader="none" w:pos="1731"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Cash Awards. </w:t>
      </w:r>
      <w:r>
        <w:rPr>
          <w:rFonts w:ascii="Arial" w:cs="Arial" w:eastAsia="Arial" w:hAnsi="Arial"/>
          <w:sz w:val="16"/>
          <w:szCs w:val="16"/>
          <w:color w:val="auto"/>
        </w:rPr>
        <w:t>A Performance Cash Award is a cash award that is payable contingent upon the attainment during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spacing w:after="0" w:line="53" w:lineRule="exact"/>
        <w:rPr>
          <w:rFonts w:ascii="Arial" w:cs="Arial" w:eastAsia="Arial" w:hAnsi="Arial"/>
          <w:sz w:val="16"/>
          <w:szCs w:val="16"/>
          <w:b w:val="1"/>
          <w:bCs w:val="1"/>
          <w:color w:val="auto"/>
        </w:rPr>
      </w:pPr>
    </w:p>
    <w:p>
      <w:pPr>
        <w:ind w:right="80" w:firstLine="1505"/>
        <w:spacing w:after="0" w:line="266" w:lineRule="auto"/>
        <w:tabs>
          <w:tab w:leader="none" w:pos="1781"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Discretion. </w:t>
      </w:r>
      <w:r>
        <w:rPr>
          <w:rFonts w:ascii="Arial" w:cs="Arial" w:eastAsia="Arial" w:hAnsi="Arial"/>
          <w:sz w:val="18"/>
          <w:szCs w:val="18"/>
          <w:color w:val="auto"/>
        </w:rPr>
        <w:t>The Board (or Committee, as the case may be) retains the discretion to adjust or eliminate the compensation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benefit due upon attainment of Performance Goals and to define the manner of calculating the Performance Criteria it selects to use for a Performance Period. Partial achievement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ind w:right="260"/>
        <w:spacing w:after="0" w:line="277" w:lineRule="auto"/>
        <w:rPr>
          <w:sz w:val="20"/>
          <w:szCs w:val="20"/>
          <w:color w:val="auto"/>
        </w:rPr>
      </w:pPr>
      <w:r>
        <w:rPr>
          <w:rFonts w:ascii="Arial" w:cs="Arial" w:eastAsia="Arial" w:hAnsi="Arial"/>
          <w:sz w:val="18"/>
          <w:szCs w:val="18"/>
          <w:color w:val="auto"/>
        </w:rPr>
        <w:t>the specified criteria may result in the payment or vesting corresponding to the degree of achievement as specified in the Stock Award Agreement or the written terms of a Performance Cash Award.</w:t>
      </w:r>
    </w:p>
    <w:p>
      <w:pPr>
        <w:spacing w:after="0" w:line="58" w:lineRule="exact"/>
        <w:rPr>
          <w:sz w:val="20"/>
          <w:szCs w:val="20"/>
          <w:color w:val="auto"/>
        </w:rPr>
      </w:pPr>
    </w:p>
    <w:p>
      <w:pPr>
        <w:ind w:right="20" w:firstLine="757"/>
        <w:spacing w:after="0" w:line="274" w:lineRule="auto"/>
        <w:tabs>
          <w:tab w:leader="none" w:pos="982" w:val="left"/>
        </w:tabs>
        <w:numPr>
          <w:ilvl w:val="1"/>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65" w:lineRule="exact"/>
        <w:rPr>
          <w:rFonts w:ascii="Arial" w:cs="Arial" w:eastAsia="Arial" w:hAnsi="Arial"/>
          <w:sz w:val="17"/>
          <w:szCs w:val="17"/>
          <w:b w:val="1"/>
          <w:bCs w:val="1"/>
          <w:color w:val="auto"/>
        </w:rPr>
      </w:pPr>
    </w:p>
    <w:p>
      <w:pPr>
        <w:ind w:left="380" w:hanging="372"/>
        <w:spacing w:after="0"/>
        <w:tabs>
          <w:tab w:leader="none" w:pos="3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17" w:lineRule="exact"/>
        <w:rPr>
          <w:rFonts w:ascii="Arial" w:cs="Arial" w:eastAsia="Arial" w:hAnsi="Arial"/>
          <w:sz w:val="18"/>
          <w:szCs w:val="18"/>
          <w:b w:val="1"/>
          <w:bCs w:val="1"/>
          <w:color w:val="auto"/>
        </w:rPr>
      </w:pPr>
    </w:p>
    <w:p>
      <w:pPr>
        <w:ind w:right="140" w:firstLine="757"/>
        <w:spacing w:after="0" w:line="312" w:lineRule="auto"/>
        <w:tabs>
          <w:tab w:leader="none" w:pos="972"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Availability of Shares. </w:t>
      </w:r>
      <w:r>
        <w:rPr>
          <w:rFonts w:ascii="Arial" w:cs="Arial" w:eastAsia="Arial" w:hAnsi="Arial"/>
          <w:sz w:val="17"/>
          <w:szCs w:val="17"/>
          <w:color w:val="auto"/>
        </w:rPr>
        <w:t>The Company will keep available at all times the number of shares of Common Stock reasonably required to satisfy</w:t>
      </w:r>
      <w:r>
        <w:rPr>
          <w:rFonts w:ascii="Arial" w:cs="Arial" w:eastAsia="Arial" w:hAnsi="Arial"/>
          <w:sz w:val="17"/>
          <w:szCs w:val="17"/>
          <w:b w:val="1"/>
          <w:bCs w:val="1"/>
          <w:color w:val="auto"/>
        </w:rPr>
        <w:t xml:space="preserve"> </w:t>
      </w:r>
      <w:r>
        <w:rPr>
          <w:rFonts w:ascii="Arial" w:cs="Arial" w:eastAsia="Arial" w:hAnsi="Arial"/>
          <w:sz w:val="17"/>
          <w:szCs w:val="17"/>
          <w:color w:val="auto"/>
        </w:rPr>
        <w:t>then-outstanding Awards.</w:t>
      </w:r>
    </w:p>
    <w:p>
      <w:pPr>
        <w:spacing w:after="0" w:line="31" w:lineRule="exact"/>
        <w:rPr>
          <w:rFonts w:ascii="Arial" w:cs="Arial" w:eastAsia="Arial" w:hAnsi="Arial"/>
          <w:sz w:val="17"/>
          <w:szCs w:val="17"/>
          <w:b w:val="1"/>
          <w:bCs w:val="1"/>
          <w:color w:val="auto"/>
        </w:rPr>
      </w:pPr>
    </w:p>
    <w:p>
      <w:pPr>
        <w:ind w:right="140" w:firstLine="757"/>
        <w:spacing w:after="0" w:line="291" w:lineRule="auto"/>
        <w:tabs>
          <w:tab w:leader="none" w:pos="982"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will seek to obtain from each regulatory commission or agency, as necessary, such authority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required to grant Stock Awards and to issue and sell shares of Common Stock upon exercise or vesting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51" w:lineRule="exact"/>
        <w:rPr>
          <w:rFonts w:ascii="Arial" w:cs="Arial" w:eastAsia="Arial" w:hAnsi="Arial"/>
          <w:sz w:val="16"/>
          <w:szCs w:val="16"/>
          <w:b w:val="1"/>
          <w:bCs w:val="1"/>
          <w:color w:val="auto"/>
        </w:rPr>
      </w:pPr>
    </w:p>
    <w:p>
      <w:pPr>
        <w:ind w:firstLine="757"/>
        <w:spacing w:after="0" w:line="303" w:lineRule="auto"/>
        <w:tabs>
          <w:tab w:leader="none" w:pos="962"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w:t>
      </w:r>
      <w:r>
        <w:rPr>
          <w:rFonts w:ascii="Arial" w:cs="Arial" w:eastAsia="Arial" w:hAnsi="Arial"/>
          <w:sz w:val="16"/>
          <w:szCs w:val="16"/>
          <w:color w:val="auto"/>
        </w:rPr>
        <w:t>The Company will have no duty or obligation to any Participant to advise such holder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42" w:lineRule="exact"/>
        <w:rPr>
          <w:rFonts w:ascii="Arial" w:cs="Arial" w:eastAsia="Arial" w:hAnsi="Arial"/>
          <w:sz w:val="16"/>
          <w:szCs w:val="16"/>
          <w:b w:val="1"/>
          <w:bCs w:val="1"/>
          <w:color w:val="auto"/>
        </w:rPr>
      </w:pPr>
    </w:p>
    <w:p>
      <w:pPr>
        <w:ind w:left="380" w:hanging="372"/>
        <w:spacing w:after="0"/>
        <w:tabs>
          <w:tab w:leader="none" w:pos="3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right="460" w:firstLine="757"/>
        <w:spacing w:after="0" w:line="312" w:lineRule="auto"/>
        <w:tabs>
          <w:tab w:leader="none" w:pos="972"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Proceeds from Sales of Common Stock. </w:t>
      </w:r>
      <w:r>
        <w:rPr>
          <w:rFonts w:ascii="Arial" w:cs="Arial" w:eastAsia="Arial" w:hAnsi="Arial"/>
          <w:sz w:val="17"/>
          <w:szCs w:val="17"/>
          <w:color w:val="auto"/>
        </w:rPr>
        <w:t>Proceeds from the sale of shares of Common Stock pursuant to Awards will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funds of the Company.</w:t>
      </w:r>
    </w:p>
    <w:p>
      <w:pPr>
        <w:spacing w:after="0" w:line="31" w:lineRule="exact"/>
        <w:rPr>
          <w:rFonts w:ascii="Arial" w:cs="Arial" w:eastAsia="Arial" w:hAnsi="Arial"/>
          <w:sz w:val="17"/>
          <w:szCs w:val="17"/>
          <w:b w:val="1"/>
          <w:bCs w:val="1"/>
          <w:color w:val="auto"/>
        </w:rPr>
      </w:pPr>
    </w:p>
    <w:p>
      <w:pPr>
        <w:ind w:firstLine="757"/>
        <w:spacing w:after="0" w:line="273" w:lineRule="auto"/>
        <w:tabs>
          <w:tab w:leader="none" w:pos="982"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63" w:lineRule="exact"/>
        <w:rPr>
          <w:rFonts w:ascii="Arial" w:cs="Arial" w:eastAsia="Arial" w:hAnsi="Arial"/>
          <w:sz w:val="17"/>
          <w:szCs w:val="17"/>
          <w:b w:val="1"/>
          <w:bCs w:val="1"/>
          <w:color w:val="auto"/>
        </w:rPr>
      </w:pPr>
    </w:p>
    <w:p>
      <w:pPr>
        <w:ind w:right="40" w:firstLine="757"/>
        <w:spacing w:after="0" w:line="303" w:lineRule="auto"/>
        <w:tabs>
          <w:tab w:leader="none" w:pos="962"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42" w:lineRule="exact"/>
        <w:rPr>
          <w:rFonts w:ascii="Arial" w:cs="Arial" w:eastAsia="Arial" w:hAnsi="Arial"/>
          <w:sz w:val="16"/>
          <w:szCs w:val="16"/>
          <w:b w:val="1"/>
          <w:bCs w:val="1"/>
          <w:color w:val="auto"/>
        </w:rPr>
      </w:pPr>
    </w:p>
    <w:p>
      <w:pPr>
        <w:ind w:right="80" w:firstLine="757"/>
        <w:spacing w:after="0" w:line="281" w:lineRule="auto"/>
        <w:tabs>
          <w:tab w:leader="none" w:pos="982"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18"/>
          <w:szCs w:val="18"/>
          <w:color w:val="auto"/>
        </w:rPr>
        <w:t>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72" w:lineRule="exact"/>
        <w:rPr>
          <w:sz w:val="20"/>
          <w:szCs w:val="20"/>
          <w:color w:val="auto"/>
        </w:rPr>
      </w:pPr>
    </w:p>
    <w:p>
      <w:pPr>
        <w:ind w:firstLine="757"/>
        <w:spacing w:after="0" w:line="292" w:lineRule="auto"/>
        <w:tabs>
          <w:tab w:leader="none" w:pos="962"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53" w:lineRule="exact"/>
        <w:rPr>
          <w:rFonts w:ascii="Arial" w:cs="Arial" w:eastAsia="Arial" w:hAnsi="Arial"/>
          <w:sz w:val="16"/>
          <w:szCs w:val="16"/>
          <w:b w:val="1"/>
          <w:bCs w:val="1"/>
          <w:color w:val="auto"/>
        </w:rPr>
      </w:pPr>
    </w:p>
    <w:p>
      <w:pPr>
        <w:ind w:right="100" w:firstLine="757"/>
        <w:spacing w:after="0" w:line="298" w:lineRule="auto"/>
        <w:tabs>
          <w:tab w:leader="none" w:pos="942"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45" w:lineRule="exact"/>
        <w:rPr>
          <w:rFonts w:ascii="Arial" w:cs="Arial" w:eastAsia="Arial" w:hAnsi="Arial"/>
          <w:sz w:val="16"/>
          <w:szCs w:val="16"/>
          <w:b w:val="1"/>
          <w:bCs w:val="1"/>
          <w:color w:val="auto"/>
        </w:rPr>
      </w:pPr>
    </w:p>
    <w:p>
      <w:pPr>
        <w:ind w:left="980" w:hanging="223"/>
        <w:spacing w:after="0"/>
        <w:tabs>
          <w:tab w:leader="none" w:pos="980"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w:t>
      </w:r>
    </w:p>
    <w:p>
      <w:pPr>
        <w:spacing w:after="0" w:line="50" w:lineRule="exact"/>
        <w:rPr>
          <w:rFonts w:ascii="Arial" w:cs="Arial" w:eastAsia="Arial" w:hAnsi="Arial"/>
          <w:sz w:val="16"/>
          <w:szCs w:val="16"/>
          <w:b w:val="1"/>
          <w:bCs w:val="1"/>
          <w:color w:val="auto"/>
        </w:rPr>
      </w:pPr>
    </w:p>
    <w:p>
      <w:pPr>
        <w:ind w:right="60" w:firstLine="8"/>
        <w:spacing w:after="0" w:line="286" w:lineRule="auto"/>
        <w:tabs>
          <w:tab w:leader="none" w:pos="2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7" w:lineRule="exact"/>
        <w:rPr>
          <w:rFonts w:ascii="Arial" w:cs="Arial" w:eastAsia="Arial" w:hAnsi="Arial"/>
          <w:sz w:val="16"/>
          <w:szCs w:val="16"/>
          <w:color w:val="auto"/>
        </w:rPr>
      </w:pPr>
    </w:p>
    <w:p>
      <w:pPr>
        <w:ind w:right="20" w:firstLine="757"/>
        <w:spacing w:after="0" w:line="272" w:lineRule="auto"/>
        <w:tabs>
          <w:tab w:leader="none" w:pos="982"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The Company may, in its sole discretion, satisfy any Tax-Related Items withholding obligation relating to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by any of the following means or by a combination of such means: (i) causing the Participant to tender a cash payment; (ii) withholding shares of Common Stock from the shares of Common Stock issued or otherwise issuable to the Participant in connection with the Award (provided that for tax purposes, the Participant will be deemed to have been issued the full number of shares subject to the Award, notwithstanding that a number of the shares is held back solely for the purpose of paying the Tax-Related Items); (iii) withholding cash from an Award settled in cash; (iv) withholding payment from any amounts otherwise payable to the Participant; or (v) by such other method as may be set forth in the Award Agreement. The Company and/or its Affiliate may withhold or account for Tax-Related Items by considering statutory or other withholding rates, including minimum or maximum rates applicable in a Participant’s jurisdiction.</w:t>
      </w:r>
    </w:p>
    <w:p>
      <w:pPr>
        <w:spacing w:after="0" w:line="63" w:lineRule="exact"/>
        <w:rPr>
          <w:rFonts w:ascii="Arial" w:cs="Arial" w:eastAsia="Arial" w:hAnsi="Arial"/>
          <w:sz w:val="17"/>
          <w:szCs w:val="17"/>
          <w:b w:val="1"/>
          <w:bCs w:val="1"/>
          <w:color w:val="auto"/>
        </w:rPr>
      </w:pPr>
    </w:p>
    <w:p>
      <w:pPr>
        <w:ind w:right="260" w:firstLine="757"/>
        <w:spacing w:after="0" w:line="266" w:lineRule="auto"/>
        <w:tabs>
          <w:tab w:leader="none" w:pos="932"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w:t>
      </w:r>
      <w:r>
        <w:rPr>
          <w:rFonts w:ascii="Arial" w:cs="Arial" w:eastAsia="Arial" w:hAnsi="Arial"/>
          <w:sz w:val="18"/>
          <w:szCs w:val="18"/>
          <w:color w:val="auto"/>
        </w:rPr>
        <w:t>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67" w:lineRule="exact"/>
        <w:rPr>
          <w:rFonts w:ascii="Arial" w:cs="Arial" w:eastAsia="Arial" w:hAnsi="Arial"/>
          <w:sz w:val="18"/>
          <w:szCs w:val="18"/>
          <w:b w:val="1"/>
          <w:bCs w:val="1"/>
          <w:color w:val="auto"/>
        </w:rPr>
      </w:pPr>
    </w:p>
    <w:p>
      <w:pPr>
        <w:ind w:right="80" w:firstLine="757"/>
        <w:spacing w:after="0" w:line="281" w:lineRule="auto"/>
        <w:tabs>
          <w:tab w:leader="none" w:pos="942"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2" w:name="page93"/>
    <w:bookmarkEnd w:id="92"/>
    <w:p>
      <w:pPr>
        <w:ind w:right="200"/>
        <w:spacing w:after="0" w:line="286" w:lineRule="auto"/>
        <w:rPr>
          <w:sz w:val="20"/>
          <w:szCs w:val="20"/>
          <w:color w:val="auto"/>
        </w:rPr>
      </w:pPr>
      <w:r>
        <w:rPr>
          <w:rFonts w:ascii="Arial" w:cs="Arial" w:eastAsia="Arial" w:hAnsi="Arial"/>
          <w:sz w:val="17"/>
          <w:szCs w:val="17"/>
          <w:color w:val="auto"/>
        </w:rPr>
        <w:t>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53" w:lineRule="exact"/>
        <w:rPr>
          <w:sz w:val="20"/>
          <w:szCs w:val="20"/>
          <w:color w:val="auto"/>
        </w:rPr>
      </w:pPr>
    </w:p>
    <w:p>
      <w:pPr>
        <w:ind w:firstLine="757"/>
        <w:spacing w:after="0" w:line="287" w:lineRule="auto"/>
        <w:tabs>
          <w:tab w:leader="none" w:pos="982"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55" w:lineRule="exact"/>
        <w:rPr>
          <w:rFonts w:ascii="Arial" w:cs="Arial" w:eastAsia="Arial" w:hAnsi="Arial"/>
          <w:sz w:val="16"/>
          <w:szCs w:val="16"/>
          <w:b w:val="1"/>
          <w:bCs w:val="1"/>
          <w:color w:val="auto"/>
        </w:rPr>
      </w:pPr>
    </w:p>
    <w:p>
      <w:pPr>
        <w:ind w:right="160" w:firstLine="757"/>
        <w:spacing w:after="0" w:line="273" w:lineRule="auto"/>
        <w:tabs>
          <w:tab w:leader="none" w:pos="932" w:val="left"/>
        </w:tabs>
        <w:numPr>
          <w:ilvl w:val="1"/>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Clawback/Recovery. </w:t>
      </w:r>
      <w:r>
        <w:rPr>
          <w:rFonts w:ascii="Arial" w:cs="Arial" w:eastAsia="Arial" w:hAnsi="Arial"/>
          <w:sz w:val="17"/>
          <w:szCs w:val="17"/>
          <w:color w:val="auto"/>
        </w:rPr>
        <w:t>All Awards granted under the Plan will be subject to recoupment in accordance with any clawback policy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63" w:lineRule="exact"/>
        <w:rPr>
          <w:rFonts w:ascii="Arial" w:cs="Arial" w:eastAsia="Arial" w:hAnsi="Arial"/>
          <w:sz w:val="17"/>
          <w:szCs w:val="17"/>
          <w:b w:val="1"/>
          <w:bCs w:val="1"/>
          <w:color w:val="auto"/>
        </w:rPr>
      </w:pPr>
    </w:p>
    <w:p>
      <w:pPr>
        <w:ind w:left="380" w:hanging="372"/>
        <w:spacing w:after="0"/>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p>
    <w:p>
      <w:pPr>
        <w:spacing w:after="0" w:line="117" w:lineRule="exact"/>
        <w:rPr>
          <w:rFonts w:ascii="Arial" w:cs="Arial" w:eastAsia="Arial" w:hAnsi="Arial"/>
          <w:sz w:val="18"/>
          <w:szCs w:val="18"/>
          <w:b w:val="1"/>
          <w:bCs w:val="1"/>
          <w:color w:val="auto"/>
        </w:rPr>
      </w:pPr>
    </w:p>
    <w:p>
      <w:pPr>
        <w:jc w:val="both"/>
        <w:ind w:right="60" w:firstLine="757"/>
        <w:spacing w:after="0" w:line="277" w:lineRule="auto"/>
        <w:tabs>
          <w:tab w:leader="none" w:pos="972"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Capitalization Adjustments. </w:t>
      </w:r>
      <w:r>
        <w:rPr>
          <w:rFonts w:ascii="Arial" w:cs="Arial" w:eastAsia="Arial" w:hAnsi="Arial"/>
          <w:sz w:val="17"/>
          <w:szCs w:val="17"/>
          <w:color w:val="auto"/>
        </w:rPr>
        <w:t>In the event of a Capitalization Adjustment, the Board will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w:t>
      </w:r>
    </w:p>
    <w:p>
      <w:pPr>
        <w:spacing w:after="0" w:line="59" w:lineRule="exact"/>
        <w:rPr>
          <w:rFonts w:ascii="Arial" w:cs="Arial" w:eastAsia="Arial" w:hAnsi="Arial"/>
          <w:sz w:val="17"/>
          <w:szCs w:val="17"/>
          <w:b w:val="1"/>
          <w:bCs w:val="1"/>
          <w:color w:val="auto"/>
        </w:rPr>
      </w:pPr>
    </w:p>
    <w:p>
      <w:pPr>
        <w:ind w:firstLine="757"/>
        <w:spacing w:after="0" w:line="273" w:lineRule="auto"/>
        <w:tabs>
          <w:tab w:leader="none" w:pos="982"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w:t>
      </w:r>
      <w:r>
        <w:rPr>
          <w:rFonts w:ascii="Arial" w:cs="Arial" w:eastAsia="Arial" w:hAnsi="Arial"/>
          <w:sz w:val="17"/>
          <w:szCs w:val="17"/>
          <w:color w:val="auto"/>
        </w:rPr>
        <w:t>Except as otherwise provided in the Stock Award Agreement, in the event of a Dissolution of the Company, all outstanding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63" w:lineRule="exact"/>
        <w:rPr>
          <w:rFonts w:ascii="Arial" w:cs="Arial" w:eastAsia="Arial" w:hAnsi="Arial"/>
          <w:sz w:val="17"/>
          <w:szCs w:val="17"/>
          <w:b w:val="1"/>
          <w:bCs w:val="1"/>
          <w:color w:val="auto"/>
        </w:rPr>
      </w:pPr>
    </w:p>
    <w:p>
      <w:pPr>
        <w:ind w:right="60" w:firstLine="757"/>
        <w:spacing w:after="0" w:line="303" w:lineRule="auto"/>
        <w:tabs>
          <w:tab w:leader="none" w:pos="962" w:val="left"/>
        </w:tabs>
        <w:numPr>
          <w:ilvl w:val="1"/>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Transaction. </w:t>
      </w:r>
      <w:r>
        <w:rPr>
          <w:rFonts w:ascii="Arial" w:cs="Arial" w:eastAsia="Arial" w:hAnsi="Arial"/>
          <w:sz w:val="16"/>
          <w:szCs w:val="16"/>
          <w:color w:val="auto"/>
        </w:rPr>
        <w:t>The following provisions shall apply to Stock Awards in the event of a Transaction unless otherwise provided in the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right="140" w:firstLine="1505"/>
        <w:spacing w:after="0" w:line="263" w:lineRule="auto"/>
        <w:tabs>
          <w:tab w:leader="none" w:pos="1681"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75" w:lineRule="exact"/>
        <w:rPr>
          <w:rFonts w:ascii="Arial" w:cs="Arial" w:eastAsia="Arial" w:hAnsi="Arial"/>
          <w:sz w:val="18"/>
          <w:szCs w:val="18"/>
          <w:b w:val="1"/>
          <w:bCs w:val="1"/>
          <w:color w:val="auto"/>
        </w:rPr>
      </w:pPr>
    </w:p>
    <w:p>
      <w:pPr>
        <w:ind w:right="460" w:firstLine="1505"/>
        <w:spacing w:after="0" w:line="342" w:lineRule="auto"/>
        <w:tabs>
          <w:tab w:leader="none" w:pos="1731"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5" w:lineRule="exact"/>
        <w:rPr>
          <w:rFonts w:ascii="Arial" w:cs="Arial" w:eastAsia="Arial" w:hAnsi="Arial"/>
          <w:sz w:val="16"/>
          <w:szCs w:val="16"/>
          <w:b w:val="1"/>
          <w:bCs w:val="1"/>
          <w:color w:val="auto"/>
        </w:rPr>
      </w:pPr>
    </w:p>
    <w:p>
      <w:pPr>
        <w:ind w:right="100" w:firstLine="1505"/>
        <w:spacing w:after="0" w:line="259" w:lineRule="auto"/>
        <w:tabs>
          <w:tab w:leader="none" w:pos="1781"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78" w:lineRule="exact"/>
        <w:rPr>
          <w:rFonts w:ascii="Arial" w:cs="Arial" w:eastAsia="Arial" w:hAnsi="Arial"/>
          <w:sz w:val="18"/>
          <w:szCs w:val="18"/>
          <w:b w:val="1"/>
          <w:bCs w:val="1"/>
          <w:color w:val="auto"/>
        </w:rPr>
      </w:pPr>
    </w:p>
    <w:p>
      <w:pPr>
        <w:ind w:left="1780" w:hanging="275"/>
        <w:spacing w:after="0"/>
        <w:tabs>
          <w:tab w:leader="none" w:pos="178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b w:val="1"/>
          <w:bCs w:val="1"/>
          <w:color w:val="auto"/>
        </w:rPr>
      </w:pPr>
    </w:p>
    <w:p>
      <w:pPr>
        <w:ind w:right="120" w:firstLine="1505"/>
        <w:spacing w:after="0" w:line="308" w:lineRule="auto"/>
        <w:tabs>
          <w:tab w:leader="none" w:pos="1721"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38" w:lineRule="exact"/>
        <w:rPr>
          <w:rFonts w:ascii="Arial" w:cs="Arial" w:eastAsia="Arial" w:hAnsi="Arial"/>
          <w:sz w:val="17"/>
          <w:szCs w:val="17"/>
          <w:b w:val="1"/>
          <w:bCs w:val="1"/>
          <w:color w:val="auto"/>
        </w:rPr>
      </w:pPr>
    </w:p>
    <w:p>
      <w:pPr>
        <w:ind w:right="40" w:firstLine="1505"/>
        <w:spacing w:after="0" w:line="275" w:lineRule="auto"/>
        <w:tabs>
          <w:tab w:leader="none" w:pos="1771"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extesnt that payment of consideration to the holders of Common Stock in connection with the Transaction is delayed as a result of escrows, earn outs, holdbacks or other contingencies.</w:t>
      </w:r>
    </w:p>
    <w:p>
      <w:pPr>
        <w:spacing w:after="0" w:line="68"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6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 the event of a Transaction in which the surviving corporation or acquiring corporation (or its parent company) does not assume or continue such outstanding Stock Awards or substitute similar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Stock Awards (and, with respect to Options and Stock Appreciation Rights, the time when such Stock Awards may be exercised) will be accelerated in full to a date prior to the effective time of such Transaction (contingent upon the effectiveness of the Transaction) as the Board determines (or, if the Board does not determine such a date, to the date that is five (5) 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 With respect to the vesting of Performance Stock Awards that will accelerate upon the occurrence of a Transaction pursuant to this paragraph and that have multiple vesting levels depending on the level of performance, unless otherwise provided in the Stock Award Agreement or unless otherwise provided by the Board, the vesting of such Performance Stock Awards will accelerate at 100% of the target level upon the occurrence of the Transaction in which the Stock Awards are not assumed or continued or for which substitute awards are issued. With respect to the vesting of Stock Awards that will accelerate upon the occurrence of a Transaction pursuant to this paragraph and are settled in the form of a cash payment, such cash payment will be made no later than 30 days following the occurrence of the Transaction or such later date as required by Section 409A of the Code.</w:t>
      </w:r>
    </w:p>
    <w:p>
      <w:pPr>
        <w:spacing w:after="0" w:line="6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In the event of a Transaction in which the surviving corporation or acquiring corporation (or its parent company) does not assume or continue such outstanding Stock Awards or substitute similar awards for such outstanding Awards, then with respect to Stock Awards that have not been assumed, continued or substituted and that are held by persons other than Current Participants, such Stock Awards will terminate if not exercised (if applicable) prior to the occurrence of the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reacquisition or repurchase rights held by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Company with respect to such Stock Awards will not terminate and may continue to be exercised notwithstanding the Transaction.</w:t>
      </w:r>
    </w:p>
    <w:p>
      <w:pPr>
        <w:spacing w:after="0" w:line="113" w:lineRule="exact"/>
        <w:rPr>
          <w:sz w:val="20"/>
          <w:szCs w:val="20"/>
          <w:color w:val="auto"/>
        </w:rPr>
      </w:pPr>
    </w:p>
    <w:p>
      <w:pPr>
        <w:ind w:right="100" w:firstLine="757"/>
        <w:spacing w:after="0" w:line="289" w:lineRule="auto"/>
        <w:tabs>
          <w:tab w:leader="none" w:pos="982" w:val="left"/>
        </w:tabs>
        <w:numPr>
          <w:ilvl w:val="1"/>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w:t>
      </w:r>
    </w:p>
    <w:p>
      <w:pPr>
        <w:spacing w:after="0" w:line="49" w:lineRule="exact"/>
        <w:rPr>
          <w:rFonts w:ascii="Arial" w:cs="Arial" w:eastAsia="Arial" w:hAnsi="Arial"/>
          <w:sz w:val="17"/>
          <w:szCs w:val="17"/>
          <w:b w:val="1"/>
          <w:bCs w:val="1"/>
          <w:color w:val="auto"/>
        </w:rPr>
      </w:pPr>
    </w:p>
    <w:p>
      <w:pPr>
        <w:ind w:left="380" w:hanging="372"/>
        <w:spacing w:after="0"/>
        <w:tabs>
          <w:tab w:leader="none" w:pos="3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PLAN TERM; EARLIER TERMINATION OR SUSPENSION OF THE PLAN.</w:t>
      </w:r>
    </w:p>
    <w:p>
      <w:pPr>
        <w:spacing w:after="0" w:line="121"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w:t>
      </w:r>
    </w:p>
    <w:p>
      <w:pPr>
        <w:spacing w:after="0" w:line="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tab/>
        <w:t>EXISTENCE OF THE PLAN; TIMING OF FIRST GRANT OR EXERCISE.</w:t>
      </w:r>
    </w:p>
    <w:p>
      <w:pPr>
        <w:spacing w:after="0" w:line="121"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 xml:space="preserve">The Plan will come into existence on the Adoption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Stock Award may be granted prior to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5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CHOICE OF LAW.</w:t>
      </w:r>
    </w:p>
    <w:p>
      <w:pPr>
        <w:spacing w:after="0" w:line="121"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this Plan, without regard to that state’s conflict of laws rules.</w:t>
      </w:r>
    </w:p>
    <w:p>
      <w:pPr>
        <w:spacing w:after="0" w:line="58"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definitions will apply to the capitalized terms indicated below:</w:t>
      </w:r>
    </w:p>
    <w:p>
      <w:pPr>
        <w:spacing w:after="0" w:line="121" w:lineRule="exact"/>
        <w:rPr>
          <w:rFonts w:ascii="Arial" w:cs="Arial" w:eastAsia="Arial" w:hAnsi="Arial"/>
          <w:sz w:val="18"/>
          <w:szCs w:val="18"/>
          <w:b w:val="1"/>
          <w:bCs w:val="1"/>
          <w:color w:val="auto"/>
        </w:rPr>
      </w:pPr>
    </w:p>
    <w:p>
      <w:pPr>
        <w:ind w:right="40" w:firstLine="757"/>
        <w:spacing w:after="0" w:line="286" w:lineRule="auto"/>
        <w:tabs>
          <w:tab w:leader="none" w:pos="972"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57" w:lineRule="exact"/>
        <w:rPr>
          <w:rFonts w:ascii="Arial" w:cs="Arial" w:eastAsia="Arial" w:hAnsi="Arial"/>
          <w:sz w:val="17"/>
          <w:szCs w:val="17"/>
          <w:b w:val="1"/>
          <w:bCs w:val="1"/>
          <w:color w:val="auto"/>
        </w:rPr>
      </w:pPr>
    </w:p>
    <w:p>
      <w:pPr>
        <w:ind w:left="1000" w:hanging="243"/>
        <w:spacing w:after="0"/>
        <w:tabs>
          <w:tab w:leader="none" w:pos="100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117" w:lineRule="exact"/>
        <w:rPr>
          <w:rFonts w:ascii="Arial" w:cs="Arial" w:eastAsia="Arial" w:hAnsi="Arial"/>
          <w:sz w:val="18"/>
          <w:szCs w:val="18"/>
          <w:b w:val="1"/>
          <w:bCs w:val="1"/>
          <w:color w:val="auto"/>
        </w:rPr>
      </w:pPr>
    </w:p>
    <w:p>
      <w:pPr>
        <w:ind w:left="980" w:hanging="223"/>
        <w:spacing w:after="0"/>
        <w:tabs>
          <w:tab w:leader="none" w:pos="980" w:val="left"/>
        </w:tabs>
        <w:numPr>
          <w:ilvl w:val="1"/>
          <w:numId w:val="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140" w:lineRule="exact"/>
        <w:rPr>
          <w:rFonts w:ascii="Arial" w:cs="Arial" w:eastAsia="Arial" w:hAnsi="Arial"/>
          <w:sz w:val="16"/>
          <w:szCs w:val="16"/>
          <w:b w:val="1"/>
          <w:bCs w:val="1"/>
          <w:color w:val="auto"/>
        </w:rPr>
      </w:pPr>
    </w:p>
    <w:p>
      <w:pPr>
        <w:ind w:left="1000" w:hanging="243"/>
        <w:spacing w:after="0"/>
        <w:tabs>
          <w:tab w:leader="none" w:pos="100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left="980" w:hanging="223"/>
        <w:spacing w:after="0"/>
        <w:tabs>
          <w:tab w:leader="none" w:pos="98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117" w:lineRule="exact"/>
        <w:rPr>
          <w:rFonts w:ascii="Arial" w:cs="Arial" w:eastAsia="Arial" w:hAnsi="Arial"/>
          <w:sz w:val="18"/>
          <w:szCs w:val="18"/>
          <w:b w:val="1"/>
          <w:bCs w:val="1"/>
          <w:color w:val="auto"/>
        </w:rPr>
      </w:pPr>
    </w:p>
    <w:p>
      <w:pPr>
        <w:ind w:right="40" w:firstLine="757"/>
        <w:spacing w:after="0" w:line="293" w:lineRule="auto"/>
        <w:tabs>
          <w:tab w:leader="none" w:pos="942" w:val="left"/>
        </w:tabs>
        <w:numPr>
          <w:ilvl w:val="1"/>
          <w:numId w:val="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6" w:lineRule="exact"/>
        <w:rPr>
          <w:rFonts w:ascii="Arial" w:cs="Arial" w:eastAsia="Arial" w:hAnsi="Arial"/>
          <w:sz w:val="16"/>
          <w:szCs w:val="16"/>
          <w:b w:val="1"/>
          <w:bCs w:val="1"/>
          <w:color w:val="auto"/>
        </w:rPr>
      </w:pPr>
    </w:p>
    <w:p>
      <w:pPr>
        <w:jc w:val="both"/>
        <w:ind w:right="40" w:firstLine="757"/>
        <w:spacing w:after="0" w:line="291" w:lineRule="auto"/>
        <w:tabs>
          <w:tab w:leader="none" w:pos="972" w:val="left"/>
        </w:tabs>
        <w:numPr>
          <w:ilvl w:val="1"/>
          <w:numId w:val="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w:t>
      </w:r>
    </w:p>
    <w:p>
      <w:pPr>
        <w:ind w:right="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(i) such Participant’s commission of any felony or any crime involving fraud, dishonesty or moral turpitude under the laws of the United States or any state thereof; (ii) such Participant’s attempted commission of, or participation in, a fraud or act of dishonesty against 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5" w:name="page96"/>
    <w:bookmarkEnd w:id="95"/>
    <w:p>
      <w:pPr>
        <w:ind w:right="140"/>
        <w:spacing w:after="0" w:line="301" w:lineRule="auto"/>
        <w:rPr>
          <w:sz w:val="20"/>
          <w:szCs w:val="20"/>
          <w:color w:val="auto"/>
        </w:rPr>
      </w:pPr>
      <w:r>
        <w:rPr>
          <w:rFonts w:ascii="Arial" w:cs="Arial" w:eastAsia="Arial" w:hAnsi="Arial"/>
          <w:sz w:val="16"/>
          <w:szCs w:val="16"/>
          <w:color w:val="auto"/>
        </w:rPr>
        <w:t>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49" w:lineRule="exact"/>
        <w:rPr>
          <w:sz w:val="20"/>
          <w:szCs w:val="20"/>
          <w:color w:val="auto"/>
        </w:rPr>
      </w:pPr>
    </w:p>
    <w:p>
      <w:pPr>
        <w:ind w:left="1000" w:hanging="243"/>
        <w:spacing w:after="0"/>
        <w:tabs>
          <w:tab w:leader="none" w:pos="100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103" w:lineRule="exact"/>
        <w:rPr>
          <w:sz w:val="20"/>
          <w:szCs w:val="20"/>
          <w:color w:val="auto"/>
        </w:rPr>
      </w:pPr>
    </w:p>
    <w:p>
      <w:pPr>
        <w:ind w:firstLine="1505"/>
        <w:spacing w:after="0" w:line="287" w:lineRule="auto"/>
        <w:tabs>
          <w:tab w:leader="none" w:pos="1681"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63" w:lineRule="exact"/>
        <w:rPr>
          <w:rFonts w:ascii="Arial" w:cs="Arial" w:eastAsia="Arial" w:hAnsi="Arial"/>
          <w:sz w:val="16"/>
          <w:szCs w:val="16"/>
          <w:b w:val="1"/>
          <w:bCs w:val="1"/>
          <w:color w:val="auto"/>
        </w:rPr>
      </w:pPr>
    </w:p>
    <w:p>
      <w:pPr>
        <w:ind w:right="200" w:firstLine="1505"/>
        <w:spacing w:after="0" w:line="273" w:lineRule="auto"/>
        <w:tabs>
          <w:tab w:leader="none" w:pos="1731"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9" w:lineRule="exact"/>
        <w:rPr>
          <w:rFonts w:ascii="Arial" w:cs="Arial" w:eastAsia="Arial" w:hAnsi="Arial"/>
          <w:sz w:val="17"/>
          <w:szCs w:val="17"/>
          <w:b w:val="1"/>
          <w:bCs w:val="1"/>
          <w:color w:val="auto"/>
        </w:rPr>
      </w:pPr>
    </w:p>
    <w:p>
      <w:pPr>
        <w:ind w:right="100" w:firstLine="1505"/>
        <w:spacing w:after="0" w:line="257" w:lineRule="auto"/>
        <w:tabs>
          <w:tab w:leader="none" w:pos="1781"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79" w:lineRule="exact"/>
        <w:rPr>
          <w:rFonts w:ascii="Arial" w:cs="Arial" w:eastAsia="Arial" w:hAnsi="Arial"/>
          <w:sz w:val="18"/>
          <w:szCs w:val="18"/>
          <w:b w:val="1"/>
          <w:bCs w:val="1"/>
          <w:color w:val="auto"/>
        </w:rPr>
      </w:pPr>
    </w:p>
    <w:p>
      <w:pPr>
        <w:ind w:right="20" w:firstLine="1505"/>
        <w:spacing w:after="0" w:line="308" w:lineRule="auto"/>
        <w:tabs>
          <w:tab w:leader="none" w:pos="1771"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38" w:lineRule="exact"/>
        <w:rPr>
          <w:rFonts w:ascii="Arial" w:cs="Arial" w:eastAsia="Arial" w:hAnsi="Arial"/>
          <w:sz w:val="17"/>
          <w:szCs w:val="17"/>
          <w:b w:val="1"/>
          <w:bCs w:val="1"/>
          <w:color w:val="auto"/>
        </w:rPr>
      </w:pPr>
    </w:p>
    <w:p>
      <w:pPr>
        <w:jc w:val="both"/>
        <w:ind w:right="220" w:firstLine="1505"/>
        <w:spacing w:after="0" w:line="279" w:lineRule="auto"/>
        <w:tabs>
          <w:tab w:leader="none" w:pos="1721"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63"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ind w:firstLine="749"/>
        <w:spacing w:after="0" w:line="311" w:lineRule="auto"/>
        <w:rPr>
          <w:sz w:val="20"/>
          <w:szCs w:val="20"/>
          <w:color w:val="auto"/>
        </w:rPr>
      </w:pPr>
      <w:r>
        <w:rPr>
          <w:rFonts w:ascii="Arial" w:cs="Arial" w:eastAsia="Arial" w:hAnsi="Arial"/>
          <w:sz w:val="16"/>
          <w:szCs w:val="16"/>
          <w:color w:val="auto"/>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w:t>
      </w:r>
    </w:p>
    <w:p>
      <w:pPr>
        <w:spacing w:after="0" w:line="41" w:lineRule="exact"/>
        <w:rPr>
          <w:sz w:val="20"/>
          <w:szCs w:val="20"/>
          <w:color w:val="auto"/>
        </w:rPr>
      </w:pPr>
    </w:p>
    <w:p>
      <w:pPr>
        <w:ind w:left="940" w:hanging="183"/>
        <w:spacing w:after="0"/>
        <w:tabs>
          <w:tab w:leader="none" w:pos="94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left="960" w:hanging="203"/>
        <w:spacing w:after="0"/>
        <w:tabs>
          <w:tab w:leader="none" w:pos="960"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2(c).</w:t>
      </w:r>
    </w:p>
    <w:p>
      <w:pPr>
        <w:spacing w:after="0" w:line="103" w:lineRule="exact"/>
        <w:rPr>
          <w:sz w:val="20"/>
          <w:szCs w:val="20"/>
          <w:color w:val="auto"/>
        </w:rPr>
      </w:pPr>
    </w:p>
    <w:p>
      <w:pPr>
        <w:ind w:left="1000" w:hanging="243"/>
        <w:spacing w:after="0"/>
        <w:tabs>
          <w:tab w:leader="none" w:pos="100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having one vote per share.</w:t>
      </w:r>
    </w:p>
    <w:p>
      <w:pPr>
        <w:spacing w:after="0" w:line="117" w:lineRule="exact"/>
        <w:rPr>
          <w:rFonts w:ascii="Arial" w:cs="Arial" w:eastAsia="Arial" w:hAnsi="Arial"/>
          <w:sz w:val="18"/>
          <w:szCs w:val="18"/>
          <w:b w:val="1"/>
          <w:bCs w:val="1"/>
          <w:color w:val="auto"/>
        </w:rPr>
      </w:pPr>
    </w:p>
    <w:p>
      <w:pPr>
        <w:ind w:left="940" w:hanging="183"/>
        <w:spacing w:after="0"/>
        <w:tabs>
          <w:tab w:leader="none" w:pos="9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Tempest Therapeutics, Inc., a Delaware corporation, and successor to Millendo Therapeutics, Inc.</w:t>
      </w:r>
    </w:p>
    <w:p>
      <w:pPr>
        <w:spacing w:after="0" w:line="117" w:lineRule="exact"/>
        <w:rPr>
          <w:rFonts w:ascii="Arial" w:cs="Arial" w:eastAsia="Arial" w:hAnsi="Arial"/>
          <w:sz w:val="18"/>
          <w:szCs w:val="18"/>
          <w:b w:val="1"/>
          <w:bCs w:val="1"/>
          <w:color w:val="auto"/>
        </w:rPr>
      </w:pPr>
    </w:p>
    <w:p>
      <w:pPr>
        <w:ind w:right="120" w:firstLine="757"/>
        <w:spacing w:after="0" w:line="275" w:lineRule="auto"/>
        <w:tabs>
          <w:tab w:leader="none" w:pos="1032"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8" w:lineRule="exact"/>
        <w:rPr>
          <w:rFonts w:ascii="Arial" w:cs="Arial" w:eastAsia="Arial" w:hAnsi="Arial"/>
          <w:sz w:val="17"/>
          <w:szCs w:val="17"/>
          <w:b w:val="1"/>
          <w:bCs w:val="1"/>
          <w:color w:val="auto"/>
        </w:rPr>
      </w:pPr>
    </w:p>
    <w:p>
      <w:pPr>
        <w:ind w:firstLine="757"/>
        <w:spacing w:after="0" w:line="269" w:lineRule="auto"/>
        <w:tabs>
          <w:tab w:leader="none" w:pos="982"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73" w:lineRule="exact"/>
        <w:rPr>
          <w:rFonts w:ascii="Arial" w:cs="Arial" w:eastAsia="Arial" w:hAnsi="Arial"/>
          <w:sz w:val="17"/>
          <w:szCs w:val="17"/>
          <w:b w:val="1"/>
          <w:bCs w:val="1"/>
          <w:color w:val="auto"/>
        </w:rPr>
      </w:pPr>
    </w:p>
    <w:p>
      <w:pPr>
        <w:ind w:right="360" w:firstLine="757"/>
        <w:spacing w:after="0" w:line="342" w:lineRule="auto"/>
        <w:tabs>
          <w:tab w:leader="none" w:pos="972"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 events:</w:t>
      </w:r>
    </w:p>
    <w:p>
      <w:pPr>
        <w:spacing w:after="0" w:line="15" w:lineRule="exact"/>
        <w:rPr>
          <w:rFonts w:ascii="Arial" w:cs="Arial" w:eastAsia="Arial" w:hAnsi="Arial"/>
          <w:sz w:val="16"/>
          <w:szCs w:val="16"/>
          <w:b w:val="1"/>
          <w:bCs w:val="1"/>
          <w:color w:val="auto"/>
        </w:rPr>
      </w:pPr>
    </w:p>
    <w:p>
      <w:pPr>
        <w:ind w:right="180" w:firstLine="1505"/>
        <w:spacing w:after="0" w:line="277" w:lineRule="auto"/>
        <w:tabs>
          <w:tab w:leader="none" w:pos="1681"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740" w:hanging="235"/>
        <w:spacing w:after="0"/>
        <w:tabs>
          <w:tab w:leader="none" w:pos="174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1780" w:hanging="275"/>
        <w:spacing w:after="0"/>
        <w:tabs>
          <w:tab w:leader="none" w:pos="178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right="320" w:firstLine="1505"/>
        <w:spacing w:after="0" w:line="286" w:lineRule="auto"/>
        <w:tabs>
          <w:tab w:leader="none" w:pos="1771"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57" w:lineRule="exact"/>
        <w:rPr>
          <w:rFonts w:ascii="Arial" w:cs="Arial" w:eastAsia="Arial" w:hAnsi="Arial"/>
          <w:sz w:val="17"/>
          <w:szCs w:val="17"/>
          <w:b w:val="1"/>
          <w:bCs w:val="1"/>
          <w:color w:val="auto"/>
        </w:rPr>
      </w:pPr>
    </w:p>
    <w:p>
      <w:pPr>
        <w:ind w:left="1000" w:hanging="243"/>
        <w:spacing w:after="0"/>
        <w:tabs>
          <w:tab w:leader="none" w:pos="100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firstLine="757"/>
        <w:spacing w:after="0" w:line="286" w:lineRule="auto"/>
        <w:tabs>
          <w:tab w:leader="none" w:pos="982"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ind w:right="200"/>
        <w:spacing w:after="0" w:line="277" w:lineRule="auto"/>
        <w:rPr>
          <w:sz w:val="20"/>
          <w:szCs w:val="20"/>
          <w:color w:val="auto"/>
        </w:rPr>
      </w:pPr>
      <w:r>
        <w:rPr>
          <w:rFonts w:ascii="Arial" w:cs="Arial" w:eastAsia="Arial" w:hAnsi="Arial"/>
          <w:sz w:val="18"/>
          <w:szCs w:val="18"/>
          <w:color w:val="auto"/>
        </w:rPr>
        <w:t>months, as provided in Sections 22(e)(3) and 409A(a)(2)(c)(i) of the Code, and will be determined by the Board on the basis of such medical evidence as the Board deems warranted under the circumstances.</w:t>
      </w:r>
    </w:p>
    <w:p>
      <w:pPr>
        <w:spacing w:after="0" w:line="62" w:lineRule="exact"/>
        <w:rPr>
          <w:sz w:val="20"/>
          <w:szCs w:val="20"/>
          <w:color w:val="auto"/>
        </w:rPr>
      </w:pPr>
    </w:p>
    <w:p>
      <w:pPr>
        <w:jc w:val="both"/>
        <w:ind w:right="300" w:firstLine="757"/>
        <w:spacing w:after="0" w:line="263" w:lineRule="auto"/>
        <w:tabs>
          <w:tab w:leader="none" w:pos="962"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Dissolution</w:t>
      </w:r>
      <w:r>
        <w:rPr>
          <w:rFonts w:ascii="Arial" w:cs="Arial" w:eastAsia="Arial" w:hAnsi="Arial"/>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75" w:lineRule="exact"/>
        <w:rPr>
          <w:rFonts w:ascii="Arial" w:cs="Arial" w:eastAsia="Arial" w:hAnsi="Arial"/>
          <w:sz w:val="18"/>
          <w:szCs w:val="18"/>
          <w:b w:val="1"/>
          <w:bCs w:val="1"/>
          <w:color w:val="auto"/>
        </w:rPr>
      </w:pPr>
    </w:p>
    <w:p>
      <w:pPr>
        <w:ind w:right="220" w:firstLine="757"/>
        <w:spacing w:after="0" w:line="342" w:lineRule="auto"/>
        <w:tabs>
          <w:tab w:leader="none" w:pos="952"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of the Company shareholders approve this Plan, which is the date of the annual meeting of shareholders of the Company held on June 15, 2023, provided this Plan is approved by the Company’s shareholders at such meeting.</w:t>
      </w:r>
    </w:p>
    <w:p>
      <w:pPr>
        <w:spacing w:after="0" w:line="15" w:lineRule="exact"/>
        <w:rPr>
          <w:rFonts w:ascii="Arial" w:cs="Arial" w:eastAsia="Arial" w:hAnsi="Arial"/>
          <w:sz w:val="16"/>
          <w:szCs w:val="16"/>
          <w:b w:val="1"/>
          <w:bCs w:val="1"/>
          <w:color w:val="auto"/>
        </w:rPr>
      </w:pPr>
    </w:p>
    <w:p>
      <w:pPr>
        <w:ind w:right="120" w:firstLine="757"/>
        <w:spacing w:after="0" w:line="277" w:lineRule="auto"/>
        <w:tabs>
          <w:tab w:leader="none" w:pos="942"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1000" w:hanging="243"/>
        <w:spacing w:after="0"/>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980" w:hanging="223"/>
        <w:spacing w:after="0"/>
        <w:tabs>
          <w:tab w:leader="none" w:pos="98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8" w:lineRule="exact"/>
        <w:rPr>
          <w:rFonts w:ascii="Arial" w:cs="Arial" w:eastAsia="Arial" w:hAnsi="Arial"/>
          <w:sz w:val="17"/>
          <w:szCs w:val="17"/>
          <w:b w:val="1"/>
          <w:bCs w:val="1"/>
          <w:color w:val="auto"/>
        </w:rPr>
      </w:pPr>
    </w:p>
    <w:p>
      <w:pPr>
        <w:ind w:firstLine="757"/>
        <w:spacing w:after="0" w:line="291" w:lineRule="auto"/>
        <w:tabs>
          <w:tab w:leader="none" w:pos="1012"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58" w:lineRule="exact"/>
        <w:rPr>
          <w:rFonts w:ascii="Arial" w:cs="Arial" w:eastAsia="Arial" w:hAnsi="Arial"/>
          <w:sz w:val="16"/>
          <w:szCs w:val="16"/>
          <w:b w:val="1"/>
          <w:bCs w:val="1"/>
          <w:color w:val="auto"/>
        </w:rPr>
      </w:pPr>
    </w:p>
    <w:p>
      <w:pPr>
        <w:ind w:left="980" w:hanging="223"/>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right="40" w:firstLine="1505"/>
        <w:spacing w:after="0" w:line="259" w:lineRule="auto"/>
        <w:tabs>
          <w:tab w:leader="none" w:pos="1681"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78" w:lineRule="exact"/>
        <w:rPr>
          <w:rFonts w:ascii="Arial" w:cs="Arial" w:eastAsia="Arial" w:hAnsi="Arial"/>
          <w:sz w:val="18"/>
          <w:szCs w:val="18"/>
          <w:b w:val="1"/>
          <w:bCs w:val="1"/>
          <w:color w:val="auto"/>
        </w:rPr>
      </w:pPr>
    </w:p>
    <w:p>
      <w:pPr>
        <w:ind w:right="60" w:firstLine="1505"/>
        <w:spacing w:after="0" w:line="277" w:lineRule="auto"/>
        <w:tabs>
          <w:tab w:leader="none" w:pos="1731"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right="40" w:firstLine="1505"/>
        <w:spacing w:after="0" w:line="277" w:lineRule="auto"/>
        <w:tabs>
          <w:tab w:leader="none" w:pos="1781"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right="380" w:firstLine="757"/>
        <w:spacing w:after="0" w:line="308" w:lineRule="auto"/>
        <w:tabs>
          <w:tab w:leader="none" w:pos="972"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granted pursuant to Section 5 of the Plan that is intended to be, and qualifies as, an “incentive stock option” within the meaning of Section 422 of the Code.</w:t>
      </w:r>
    </w:p>
    <w:p>
      <w:pPr>
        <w:spacing w:after="0" w:line="38" w:lineRule="exact"/>
        <w:rPr>
          <w:rFonts w:ascii="Arial" w:cs="Arial" w:eastAsia="Arial" w:hAnsi="Arial"/>
          <w:sz w:val="17"/>
          <w:szCs w:val="17"/>
          <w:b w:val="1"/>
          <w:bCs w:val="1"/>
          <w:color w:val="auto"/>
        </w:rPr>
      </w:pPr>
    </w:p>
    <w:p>
      <w:pPr>
        <w:ind w:left="1000" w:hanging="243"/>
        <w:spacing w:after="0"/>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117" w:lineRule="exact"/>
        <w:rPr>
          <w:sz w:val="20"/>
          <w:szCs w:val="20"/>
          <w:color w:val="auto"/>
        </w:rPr>
      </w:pPr>
    </w:p>
    <w:p>
      <w:pPr>
        <w:ind w:firstLine="757"/>
        <w:spacing w:after="0" w:line="273" w:lineRule="auto"/>
        <w:tabs>
          <w:tab w:leader="none" w:pos="1062"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7"/>
          <w:szCs w:val="17"/>
          <w:b w:val="1"/>
          <w:bCs w:val="1"/>
          <w:i w:val="1"/>
          <w:iCs w:val="1"/>
          <w:color w:val="auto"/>
        </w:rPr>
        <w:t>Regulation S-K</w:t>
      </w:r>
      <w:r>
        <w:rPr>
          <w:rFonts w:ascii="Arial" w:cs="Arial" w:eastAsia="Arial" w:hAnsi="Arial"/>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69" w:lineRule="exact"/>
        <w:rPr>
          <w:rFonts w:ascii="Arial" w:cs="Arial" w:eastAsia="Arial" w:hAnsi="Arial"/>
          <w:sz w:val="17"/>
          <w:szCs w:val="17"/>
          <w:b w:val="1"/>
          <w:bCs w:val="1"/>
          <w:color w:val="auto"/>
        </w:rPr>
      </w:pPr>
    </w:p>
    <w:p>
      <w:pPr>
        <w:ind w:left="1100" w:hanging="343"/>
        <w:spacing w:after="0"/>
        <w:tabs>
          <w:tab w:leader="none" w:pos="1100"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5 of the Plan that does not qualify as an Incentive Stock</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Option.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8" w:name="page99"/>
    <w:bookmarkEnd w:id="98"/>
    <w:p>
      <w:pPr>
        <w:ind w:left="1060" w:hanging="303"/>
        <w:spacing w:after="0"/>
        <w:tabs>
          <w:tab w:leader="none" w:pos="106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 person who is an officer of the Company within the meaning of Section 16 of the Exchange Act.</w:t>
      </w:r>
    </w:p>
    <w:p>
      <w:pPr>
        <w:spacing w:after="0" w:line="128" w:lineRule="exact"/>
        <w:rPr>
          <w:rFonts w:ascii="Arial" w:cs="Arial" w:eastAsia="Arial" w:hAnsi="Arial"/>
          <w:sz w:val="17"/>
          <w:szCs w:val="17"/>
          <w:b w:val="1"/>
          <w:bCs w:val="1"/>
          <w:color w:val="auto"/>
        </w:rPr>
      </w:pPr>
    </w:p>
    <w:p>
      <w:pPr>
        <w:ind w:left="1100" w:hanging="343"/>
        <w:spacing w:after="0"/>
        <w:tabs>
          <w:tab w:leader="none" w:pos="110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right="460" w:firstLine="757"/>
        <w:spacing w:after="0" w:line="342" w:lineRule="auto"/>
        <w:tabs>
          <w:tab w:leader="none" w:pos="1042"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means a written agreement between the Company and an Optionholder evidencing the terms and conditions of an Option grant. Each Option Agreement will be subject to the terms and conditions of the Plan.</w:t>
      </w:r>
    </w:p>
    <w:p>
      <w:pPr>
        <w:spacing w:after="0" w:line="15" w:lineRule="exact"/>
        <w:rPr>
          <w:rFonts w:ascii="Arial" w:cs="Arial" w:eastAsia="Arial" w:hAnsi="Arial"/>
          <w:sz w:val="16"/>
          <w:szCs w:val="16"/>
          <w:b w:val="1"/>
          <w:bCs w:val="1"/>
          <w:color w:val="auto"/>
        </w:rPr>
      </w:pPr>
    </w:p>
    <w:p>
      <w:pPr>
        <w:ind w:right="720" w:firstLine="757"/>
        <w:spacing w:after="0" w:line="277" w:lineRule="auto"/>
        <w:tabs>
          <w:tab w:leader="none" w:pos="1002"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62" w:lineRule="exact"/>
        <w:rPr>
          <w:rFonts w:ascii="Arial" w:cs="Arial" w:eastAsia="Arial" w:hAnsi="Arial"/>
          <w:sz w:val="18"/>
          <w:szCs w:val="18"/>
          <w:b w:val="1"/>
          <w:bCs w:val="1"/>
          <w:color w:val="auto"/>
        </w:rPr>
      </w:pPr>
    </w:p>
    <w:p>
      <w:pPr>
        <w:ind w:right="220" w:firstLine="757"/>
        <w:spacing w:after="0" w:line="342" w:lineRule="auto"/>
        <w:tabs>
          <w:tab w:leader="none" w:pos="1062"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w:t>
      </w:r>
      <w:r>
        <w:rPr>
          <w:rFonts w:ascii="Arial" w:cs="Arial" w:eastAsia="Arial" w:hAnsi="Arial"/>
          <w:sz w:val="16"/>
          <w:szCs w:val="16"/>
          <w:color w:val="auto"/>
        </w:rPr>
        <w:t>” means an award based in whole or in part by reference to the Common Stock which is granted pursuant to the terms and conditions of Section 6(d).</w:t>
      </w:r>
    </w:p>
    <w:p>
      <w:pPr>
        <w:spacing w:after="0" w:line="15" w:lineRule="exact"/>
        <w:rPr>
          <w:rFonts w:ascii="Arial" w:cs="Arial" w:eastAsia="Arial" w:hAnsi="Arial"/>
          <w:sz w:val="16"/>
          <w:szCs w:val="16"/>
          <w:b w:val="1"/>
          <w:bCs w:val="1"/>
          <w:color w:val="auto"/>
        </w:rPr>
      </w:pPr>
    </w:p>
    <w:p>
      <w:pPr>
        <w:ind w:right="240" w:firstLine="757"/>
        <w:spacing w:after="0" w:line="342" w:lineRule="auto"/>
        <w:tabs>
          <w:tab w:leader="none" w:pos="1082"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 w:lineRule="exact"/>
        <w:rPr>
          <w:rFonts w:ascii="Arial" w:cs="Arial" w:eastAsia="Arial" w:hAnsi="Arial"/>
          <w:sz w:val="16"/>
          <w:szCs w:val="16"/>
          <w:b w:val="1"/>
          <w:bCs w:val="1"/>
          <w:color w:val="auto"/>
        </w:rPr>
      </w:pPr>
    </w:p>
    <w:p>
      <w:pPr>
        <w:ind w:right="100" w:firstLine="757"/>
        <w:spacing w:after="0" w:line="286" w:lineRule="auto"/>
        <w:tabs>
          <w:tab w:leader="none" w:pos="982" w:val="left"/>
        </w:tabs>
        <w:numPr>
          <w:ilvl w:val="1"/>
          <w:numId w:val="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left="1020" w:hanging="263"/>
        <w:spacing w:after="0"/>
        <w:tabs>
          <w:tab w:leader="none" w:pos="102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 Award.</w:t>
      </w:r>
    </w:p>
    <w:p>
      <w:pPr>
        <w:spacing w:after="0" w:line="102" w:lineRule="exact"/>
        <w:rPr>
          <w:rFonts w:ascii="Arial" w:cs="Arial" w:eastAsia="Arial" w:hAnsi="Arial"/>
          <w:sz w:val="16"/>
          <w:szCs w:val="16"/>
          <w:b w:val="1"/>
          <w:bCs w:val="1"/>
          <w:color w:val="auto"/>
        </w:rPr>
      </w:pPr>
    </w:p>
    <w:p>
      <w:pPr>
        <w:ind w:left="1100" w:hanging="343"/>
        <w:spacing w:after="0"/>
        <w:tabs>
          <w:tab w:leader="none" w:pos="11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117" w:lineRule="exact"/>
        <w:rPr>
          <w:rFonts w:ascii="Arial" w:cs="Arial" w:eastAsia="Arial" w:hAnsi="Arial"/>
          <w:sz w:val="18"/>
          <w:szCs w:val="18"/>
          <w:b w:val="1"/>
          <w:bCs w:val="1"/>
          <w:color w:val="auto"/>
        </w:rPr>
      </w:pPr>
    </w:p>
    <w:p>
      <w:pPr>
        <w:ind w:right="40" w:firstLine="757"/>
        <w:spacing w:after="0" w:line="284" w:lineRule="auto"/>
        <w:tabs>
          <w:tab w:leader="none" w:pos="982"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w:t>
      </w:r>
    </w:p>
    <w:p>
      <w:pPr>
        <w:spacing w:after="0" w:line="4" w:lineRule="exact"/>
        <w:rPr>
          <w:rFonts w:ascii="Arial" w:cs="Arial" w:eastAsia="Arial" w:hAnsi="Arial"/>
          <w:sz w:val="16"/>
          <w:szCs w:val="16"/>
          <w:b w:val="1"/>
          <w:bCs w:val="1"/>
          <w:color w:val="auto"/>
        </w:rPr>
      </w:pPr>
    </w:p>
    <w:p>
      <w:pPr>
        <w:ind w:firstLine="8"/>
        <w:spacing w:after="0" w:line="266" w:lineRule="auto"/>
        <w:tabs>
          <w:tab w:leader="none" w:pos="345"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 (xxvii) debt levels; (xxviii) operating profit or net operating profit; (xxix) workforce diversity; (xxx) growth of net income or operating income; (xxxi) 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ind w:right="300"/>
        <w:spacing w:after="0" w:line="277" w:lineRule="auto"/>
        <w:rPr>
          <w:sz w:val="20"/>
          <w:szCs w:val="20"/>
          <w:color w:val="auto"/>
        </w:rPr>
      </w:pPr>
      <w:r>
        <w:rPr>
          <w:rFonts w:ascii="Arial" w:cs="Arial" w:eastAsia="Arial" w:hAnsi="Arial"/>
          <w:sz w:val="18"/>
          <w:szCs w:val="18"/>
          <w:color w:val="auto"/>
        </w:rPr>
        <w:t>co-marketing, profit sharing, joint venture or other similar arrangements; (lviii) individual performance goals; (lix) corporate development and planning goals; and (lx) other measures of performance selected by the Board or Committee.</w:t>
      </w:r>
    </w:p>
    <w:p>
      <w:pPr>
        <w:spacing w:after="0" w:line="62" w:lineRule="exact"/>
        <w:rPr>
          <w:sz w:val="20"/>
          <w:szCs w:val="20"/>
          <w:color w:val="auto"/>
        </w:rPr>
      </w:pPr>
    </w:p>
    <w:p>
      <w:pPr>
        <w:ind w:right="60" w:firstLine="757"/>
        <w:spacing w:after="0" w:line="286" w:lineRule="auto"/>
        <w:tabs>
          <w:tab w:leader="none" w:pos="1182" w:val="left"/>
        </w:tabs>
        <w:numPr>
          <w:ilvl w:val="1"/>
          <w:numId w:val="7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w:t>
      </w:r>
    </w:p>
    <w:p>
      <w:pPr>
        <w:spacing w:after="0" w:line="1" w:lineRule="exact"/>
        <w:rPr>
          <w:rFonts w:ascii="Arial" w:cs="Arial" w:eastAsia="Arial" w:hAnsi="Arial"/>
          <w:sz w:val="16"/>
          <w:szCs w:val="16"/>
          <w:b w:val="1"/>
          <w:bCs w:val="1"/>
          <w:color w:val="auto"/>
        </w:rPr>
      </w:pPr>
    </w:p>
    <w:p>
      <w:pPr>
        <w:ind w:firstLine="8"/>
        <w:spacing w:after="0" w:line="266"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83" w:lineRule="exact"/>
        <w:rPr>
          <w:rFonts w:ascii="Arial" w:cs="Arial" w:eastAsia="Arial" w:hAnsi="Arial"/>
          <w:sz w:val="17"/>
          <w:szCs w:val="17"/>
          <w:color w:val="auto"/>
        </w:rPr>
      </w:pPr>
    </w:p>
    <w:p>
      <w:pPr>
        <w:ind w:right="80" w:firstLine="757"/>
        <w:spacing w:after="0" w:line="286" w:lineRule="auto"/>
        <w:tabs>
          <w:tab w:leader="none" w:pos="1082" w:val="left"/>
        </w:tabs>
        <w:numPr>
          <w:ilvl w:val="1"/>
          <w:numId w:val="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spacing w:after="0" w:line="57" w:lineRule="exact"/>
        <w:rPr>
          <w:rFonts w:ascii="Arial" w:cs="Arial" w:eastAsia="Arial" w:hAnsi="Arial"/>
          <w:sz w:val="17"/>
          <w:szCs w:val="17"/>
          <w:b w:val="1"/>
          <w:bCs w:val="1"/>
          <w:color w:val="auto"/>
        </w:rPr>
      </w:pPr>
    </w:p>
    <w:p>
      <w:pPr>
        <w:ind w:left="1080" w:hanging="323"/>
        <w:spacing w:after="0"/>
        <w:tabs>
          <w:tab w:leader="none" w:pos="1080" w:val="left"/>
        </w:tabs>
        <w:numPr>
          <w:ilvl w:val="1"/>
          <w:numId w:val="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Stock Award</w:t>
      </w:r>
      <w:r>
        <w:rPr>
          <w:rFonts w:ascii="Arial" w:cs="Arial" w:eastAsia="Arial" w:hAnsi="Arial"/>
          <w:sz w:val="17"/>
          <w:szCs w:val="17"/>
          <w:color w:val="auto"/>
        </w:rPr>
        <w:t>” means a Stock Award granted under the terms and conditions of Section 6(c)(i).</w:t>
      </w:r>
    </w:p>
    <w:p>
      <w:pPr>
        <w:spacing w:after="0" w:line="128" w:lineRule="exact"/>
        <w:rPr>
          <w:rFonts w:ascii="Arial" w:cs="Arial" w:eastAsia="Arial" w:hAnsi="Arial"/>
          <w:sz w:val="17"/>
          <w:szCs w:val="17"/>
          <w:b w:val="1"/>
          <w:bCs w:val="1"/>
          <w:color w:val="auto"/>
        </w:rPr>
      </w:pPr>
    </w:p>
    <w:p>
      <w:pPr>
        <w:ind w:left="1100" w:hanging="343"/>
        <w:spacing w:after="0"/>
        <w:tabs>
          <w:tab w:leader="none" w:pos="110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Tempest Therapeutics, Inc. Amended and Restated 2023 Equity Incentive Plan.</w:t>
      </w:r>
    </w:p>
    <w:p>
      <w:pPr>
        <w:spacing w:after="0" w:line="117" w:lineRule="exact"/>
        <w:rPr>
          <w:rFonts w:ascii="Arial" w:cs="Arial" w:eastAsia="Arial" w:hAnsi="Arial"/>
          <w:sz w:val="18"/>
          <w:szCs w:val="18"/>
          <w:b w:val="1"/>
          <w:bCs w:val="1"/>
          <w:color w:val="auto"/>
        </w:rPr>
      </w:pPr>
    </w:p>
    <w:p>
      <w:pPr>
        <w:ind w:left="1100" w:hanging="343"/>
        <w:spacing w:after="0"/>
        <w:tabs>
          <w:tab w:leader="none" w:pos="1100" w:val="left"/>
        </w:tabs>
        <w:numPr>
          <w:ilvl w:val="1"/>
          <w:numId w:val="7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6(a).</w:t>
      </w:r>
    </w:p>
    <w:p>
      <w:pPr>
        <w:spacing w:after="0" w:line="102" w:lineRule="exact"/>
        <w:rPr>
          <w:rFonts w:ascii="Arial" w:cs="Arial" w:eastAsia="Arial" w:hAnsi="Arial"/>
          <w:sz w:val="16"/>
          <w:szCs w:val="16"/>
          <w:b w:val="1"/>
          <w:bCs w:val="1"/>
          <w:color w:val="auto"/>
        </w:rPr>
      </w:pPr>
    </w:p>
    <w:p>
      <w:pPr>
        <w:jc w:val="both"/>
        <w:ind w:right="20" w:firstLine="757"/>
        <w:spacing w:after="0" w:line="342" w:lineRule="auto"/>
        <w:tabs>
          <w:tab w:leader="none" w:pos="1042" w:val="left"/>
        </w:tabs>
        <w:numPr>
          <w:ilvl w:val="1"/>
          <w:numId w:val="7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5" w:lineRule="exact"/>
        <w:rPr>
          <w:rFonts w:ascii="Arial" w:cs="Arial" w:eastAsia="Arial" w:hAnsi="Arial"/>
          <w:sz w:val="16"/>
          <w:szCs w:val="16"/>
          <w:b w:val="1"/>
          <w:bCs w:val="1"/>
          <w:color w:val="auto"/>
        </w:rPr>
      </w:pPr>
    </w:p>
    <w:p>
      <w:pPr>
        <w:ind w:left="1040" w:hanging="283"/>
        <w:spacing w:after="0"/>
        <w:tabs>
          <w:tab w:leader="none" w:pos="1040" w:val="left"/>
        </w:tabs>
        <w:numPr>
          <w:ilvl w:val="1"/>
          <w:numId w:val="78"/>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Unit Award</w:t>
      </w:r>
      <w:r>
        <w:rPr>
          <w:rFonts w:ascii="Arial" w:cs="Arial" w:eastAsia="Arial" w:hAnsi="Arial"/>
          <w:sz w:val="15"/>
          <w:szCs w:val="15"/>
          <w:color w:val="auto"/>
        </w:rPr>
        <w:t>” means a right to receive shares of Common Stock which is granted pursuant to the terms and conditions of</w:t>
      </w:r>
    </w:p>
    <w:p>
      <w:pPr>
        <w:spacing w:after="0" w:line="57"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Section 6(b).</w:t>
      </w:r>
    </w:p>
    <w:p>
      <w:pPr>
        <w:spacing w:after="0" w:line="102" w:lineRule="exact"/>
        <w:rPr>
          <w:rFonts w:ascii="Arial" w:cs="Arial" w:eastAsia="Arial" w:hAnsi="Arial"/>
          <w:sz w:val="15"/>
          <w:szCs w:val="15"/>
          <w:b w:val="1"/>
          <w:bCs w:val="1"/>
          <w:color w:val="auto"/>
        </w:rPr>
      </w:pPr>
    </w:p>
    <w:p>
      <w:pPr>
        <w:jc w:val="both"/>
        <w:ind w:right="120" w:firstLine="757"/>
        <w:spacing w:after="0" w:line="263" w:lineRule="auto"/>
        <w:tabs>
          <w:tab w:leader="none" w:pos="100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75" w:lineRule="exact"/>
        <w:rPr>
          <w:rFonts w:ascii="Arial" w:cs="Arial" w:eastAsia="Arial" w:hAnsi="Arial"/>
          <w:sz w:val="18"/>
          <w:szCs w:val="18"/>
          <w:b w:val="1"/>
          <w:bCs w:val="1"/>
          <w:color w:val="auto"/>
        </w:rPr>
      </w:pPr>
    </w:p>
    <w:p>
      <w:pPr>
        <w:ind w:left="1100" w:hanging="343"/>
        <w:spacing w:after="0"/>
        <w:tabs>
          <w:tab w:leader="none" w:pos="1100" w:val="left"/>
        </w:tabs>
        <w:numPr>
          <w:ilvl w:val="1"/>
          <w:numId w:val="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128" w:lineRule="exact"/>
        <w:rPr>
          <w:rFonts w:ascii="Arial" w:cs="Arial" w:eastAsia="Arial" w:hAnsi="Arial"/>
          <w:sz w:val="17"/>
          <w:szCs w:val="17"/>
          <w:b w:val="1"/>
          <w:bCs w:val="1"/>
          <w:color w:val="auto"/>
        </w:rPr>
      </w:pPr>
    </w:p>
    <w:p>
      <w:pPr>
        <w:ind w:left="1080" w:hanging="323"/>
        <w:spacing w:after="0"/>
        <w:tabs>
          <w:tab w:leader="none" w:pos="108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ind w:left="-40" w:firstLine="757"/>
        <w:spacing w:after="0" w:line="308" w:lineRule="auto"/>
        <w:tabs>
          <w:tab w:leader="none" w:pos="1102"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 right to receive the appreciation on Common Stock that is granted pursuant to the terms and conditions of Section 5.</w:t>
      </w:r>
    </w:p>
    <w:p>
      <w:pPr>
        <w:spacing w:after="0" w:line="38" w:lineRule="exact"/>
        <w:rPr>
          <w:rFonts w:ascii="Arial" w:cs="Arial" w:eastAsia="Arial" w:hAnsi="Arial"/>
          <w:sz w:val="17"/>
          <w:szCs w:val="17"/>
          <w:b w:val="1"/>
          <w:bCs w:val="1"/>
          <w:color w:val="auto"/>
        </w:rPr>
      </w:pPr>
    </w:p>
    <w:p>
      <w:pPr>
        <w:jc w:val="both"/>
        <w:ind w:left="-40" w:right="500" w:firstLine="757"/>
        <w:spacing w:after="0" w:line="286" w:lineRule="auto"/>
        <w:tabs>
          <w:tab w:leader="none" w:pos="1022"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 Agreement</w:t>
      </w:r>
      <w:r>
        <w:rPr>
          <w:rFonts w:ascii="Arial" w:cs="Arial" w:eastAsia="Arial" w:hAnsi="Arial"/>
          <w:sz w:val="17"/>
          <w:szCs w:val="17"/>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57" w:lineRule="exact"/>
        <w:rPr>
          <w:rFonts w:ascii="Arial" w:cs="Arial" w:eastAsia="Arial" w:hAnsi="Arial"/>
          <w:sz w:val="17"/>
          <w:szCs w:val="17"/>
          <w:b w:val="1"/>
          <w:bCs w:val="1"/>
          <w:color w:val="auto"/>
        </w:rPr>
      </w:pPr>
    </w:p>
    <w:p>
      <w:pPr>
        <w:ind w:left="-40" w:right="420" w:firstLine="757"/>
        <w:spacing w:after="0" w:line="286" w:lineRule="auto"/>
        <w:tabs>
          <w:tab w:leader="none" w:pos="1022"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57" w:lineRule="exact"/>
        <w:rPr>
          <w:rFonts w:ascii="Arial" w:cs="Arial" w:eastAsia="Arial" w:hAnsi="Arial"/>
          <w:sz w:val="17"/>
          <w:szCs w:val="17"/>
          <w:b w:val="1"/>
          <w:bCs w:val="1"/>
          <w:color w:val="auto"/>
        </w:rPr>
      </w:pPr>
    </w:p>
    <w:p>
      <w:pPr>
        <w:ind w:left="-40" w:right="360" w:firstLine="757"/>
        <w:spacing w:after="0" w:line="308" w:lineRule="auto"/>
        <w:tabs>
          <w:tab w:leader="none" w:pos="1002"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 Agreement</w:t>
      </w:r>
      <w:r>
        <w:rPr>
          <w:rFonts w:ascii="Arial" w:cs="Arial" w:eastAsia="Arial" w:hAnsi="Arial"/>
          <w:sz w:val="17"/>
          <w:szCs w:val="17"/>
          <w:color w:val="auto"/>
        </w:rPr>
        <w:t>” means a written agreement between the Company and a Participant evidencing the terms and conditions of a Stock Award grant. Each Stock Award Agreement will be subject to the terms and conditions of the Plan.</w:t>
      </w:r>
    </w:p>
    <w:p>
      <w:pPr>
        <w:spacing w:after="0" w:line="38" w:lineRule="exact"/>
        <w:rPr>
          <w:sz w:val="20"/>
          <w:szCs w:val="20"/>
          <w:color w:val="auto"/>
        </w:rPr>
      </w:pPr>
    </w:p>
    <w:p>
      <w:pPr>
        <w:ind w:left="-40" w:right="120" w:firstLine="757"/>
        <w:spacing w:after="0" w:line="296" w:lineRule="auto"/>
        <w:tabs>
          <w:tab w:leader="none" w:pos="1112"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53" w:lineRule="exact"/>
        <w:rPr>
          <w:rFonts w:ascii="Arial" w:cs="Arial" w:eastAsia="Arial" w:hAnsi="Arial"/>
          <w:sz w:val="16"/>
          <w:szCs w:val="16"/>
          <w:b w:val="1"/>
          <w:bCs w:val="1"/>
          <w:color w:val="auto"/>
        </w:rPr>
      </w:pPr>
    </w:p>
    <w:p>
      <w:pPr>
        <w:ind w:left="-40" w:right="20" w:firstLine="757"/>
        <w:spacing w:after="0" w:line="308" w:lineRule="auto"/>
        <w:tabs>
          <w:tab w:leader="none" w:pos="1143"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38" w:lineRule="exact"/>
        <w:rPr>
          <w:rFonts w:ascii="Arial" w:cs="Arial" w:eastAsia="Arial" w:hAnsi="Arial"/>
          <w:sz w:val="17"/>
          <w:szCs w:val="17"/>
          <w:b w:val="1"/>
          <w:bCs w:val="1"/>
          <w:color w:val="auto"/>
        </w:rPr>
      </w:pPr>
    </w:p>
    <w:p>
      <w:pPr>
        <w:ind w:left="-40" w:right="320" w:firstLine="757"/>
        <w:spacing w:after="0" w:line="342" w:lineRule="auto"/>
        <w:tabs>
          <w:tab w:leader="none" w:pos="1113" w:val="left"/>
        </w:tabs>
        <w:numPr>
          <w:ilvl w:val="0"/>
          <w:numId w:val="80"/>
        </w:numPr>
        <w:rPr>
          <w:rFonts w:ascii="Arial" w:cs="Arial" w:eastAsia="Arial" w:hAnsi="Arial"/>
          <w:sz w:val="16"/>
          <w:szCs w:val="16"/>
          <w:b w:val="1"/>
          <w:b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10% of the total combined voting power of all classes of stock of the Company or any Affiliate.</w:t>
      </w:r>
    </w:p>
    <w:p>
      <w:pPr>
        <w:spacing w:after="0" w:line="15" w:lineRule="exact"/>
        <w:rPr>
          <w:rFonts w:ascii="Arial" w:cs="Arial" w:eastAsia="Arial" w:hAnsi="Arial"/>
          <w:sz w:val="16"/>
          <w:szCs w:val="16"/>
          <w:b w:val="1"/>
          <w:bCs w:val="1"/>
          <w:color w:val="auto"/>
        </w:rPr>
      </w:pPr>
    </w:p>
    <w:p>
      <w:pPr>
        <w:ind w:left="1160" w:hanging="443"/>
        <w:spacing w:after="0"/>
        <w:tabs>
          <w:tab w:leader="none" w:pos="116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means a Corporate Transaction or a Change in Control.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224790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449" w:right="37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APPENDIX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2023 Equity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Options—Sub-Plan for French Residents</w:t>
      </w:r>
    </w:p>
    <w:p>
      <w:pPr>
        <w:spacing w:after="0" w:line="103"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Options granted under this French Sub-plan (also referred to as the “SO French Sub-Plan”) to an employee who is a French resident taxpayer and/or subject to the French social security scheme in France shall comply with the terms of this SO French Sub-plan. The purpose of the SO French Sub-plan is to grant Options that qualify for favorable income tax and social security tax treatment under French law (the “French Options”).</w:t>
      </w:r>
    </w:p>
    <w:p>
      <w:pPr>
        <w:spacing w:after="0" w:line="41"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As a matter of principle, any provision included in the Plan or any other document evidencing the terms and conditions of the Plan that would contravene any substantive principle set out in Articles L. 225-177 to L. 225-186 of the French Code de Commerce shall not be applicable to Participant who are residents of France and employed or providing services in France.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 Administration</w:t>
      </w:r>
    </w:p>
    <w:p>
      <w:pPr>
        <w:spacing w:after="0" w:line="117" w:lineRule="exact"/>
        <w:rPr>
          <w:sz w:val="20"/>
          <w:szCs w:val="20"/>
          <w:color w:val="auto"/>
        </w:rPr>
      </w:pPr>
    </w:p>
    <w:p>
      <w:pPr>
        <w:ind w:right="300" w:firstLine="749"/>
        <w:spacing w:after="0" w:line="308" w:lineRule="auto"/>
        <w:rPr>
          <w:sz w:val="20"/>
          <w:szCs w:val="20"/>
          <w:color w:val="auto"/>
        </w:rPr>
      </w:pPr>
      <w:r>
        <w:rPr>
          <w:rFonts w:ascii="Arial" w:cs="Arial" w:eastAsia="Arial" w:hAnsi="Arial"/>
          <w:sz w:val="17"/>
          <w:szCs w:val="17"/>
          <w:color w:val="auto"/>
        </w:rPr>
        <w:t>Notwithstanding any other provision of the Plan, unless otherwise agreed by the Board, French Options will be exercisable under the vesting schedule set out in the Plan or in the Stock Option Agreement for employees subject to taxation under the laws of France.</w:t>
      </w:r>
    </w:p>
    <w:p>
      <w:pPr>
        <w:spacing w:after="0" w:line="38" w:lineRule="exact"/>
        <w:rPr>
          <w:sz w:val="20"/>
          <w:szCs w:val="20"/>
          <w:color w:val="auto"/>
        </w:rPr>
      </w:pPr>
    </w:p>
    <w:p>
      <w:pPr>
        <w:ind w:right="260" w:firstLine="749"/>
        <w:spacing w:after="0" w:line="308" w:lineRule="auto"/>
        <w:rPr>
          <w:sz w:val="20"/>
          <w:szCs w:val="20"/>
          <w:color w:val="auto"/>
        </w:rPr>
      </w:pPr>
      <w:r>
        <w:rPr>
          <w:rFonts w:ascii="Arial" w:cs="Arial" w:eastAsia="Arial" w:hAnsi="Arial"/>
          <w:sz w:val="17"/>
          <w:szCs w:val="17"/>
          <w:color w:val="auto"/>
        </w:rPr>
        <w:t>Notwithstanding any other provision of the Plan, the Board is authorized to unilaterally accelerate, reduce, lift or cancel vesting of any option granted under this SO French Sub-Plan, as may be necessary or desirable to comply with the French applicable social or tax laws.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any other provision of the Plan, the exercise price shall remain unchanged.</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Where there is an increase or change in the Company’s share capital, and more generally where one of the events provided for under Article L.225-181 of the French Commercial Code occurs, an adjustment shall be made to the number and/or purchase price of Shares, in accordance with the provisions of Article R.225-137 of the French Commercial Code. Notification of said adjustment shall be made to the Participant. In addition the total number of options granted and remaining unexercised (outstanding options) will never cover a number of shares exceeding one-third of the share capital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2: Eligibility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French Options may be granted only to an employee who is a French resident taxpayer and/or subject to the French social security scheme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03"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For purposes of this SO French Sub-Plan, the Company is the granting Company or a Related Entity whose at least ten percent (10%) of the capital is held, directly or indirectly, by the granting Company.</w:t>
      </w:r>
    </w:p>
    <w:p>
      <w:pPr>
        <w:spacing w:after="0" w:line="6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French Options may not be granted under this SO French Sub-Plan to Participant owning, upon the date of grant, more than ten percent (10%) of the Company’s capital shares, except as permitted under Article L. 225-185 of the French Commercial Code.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any other provision of the Plan, French Options may only be granted to individuals:</w:t>
      </w:r>
    </w:p>
    <w:p>
      <w:pPr>
        <w:spacing w:after="0" w:line="117" w:lineRule="exact"/>
        <w:rPr>
          <w:sz w:val="20"/>
          <w:szCs w:val="20"/>
          <w:color w:val="auto"/>
        </w:rPr>
      </w:pPr>
    </w:p>
    <w:p>
      <w:pPr>
        <w:ind w:left="1500" w:right="300" w:hanging="369"/>
        <w:spacing w:after="0" w:line="277"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being considered as a French tax resident subject to taxation in France and having an employment contract either with the granting Company or one of its Related Entity upon the date of grant; and/or</w:t>
      </w:r>
    </w:p>
    <w:p>
      <w:pPr>
        <w:spacing w:after="0" w:line="62" w:lineRule="exact"/>
        <w:rPr>
          <w:rFonts w:ascii="Arial" w:cs="Arial" w:eastAsia="Arial" w:hAnsi="Arial"/>
          <w:sz w:val="18"/>
          <w:szCs w:val="18"/>
          <w:color w:val="auto"/>
        </w:rPr>
      </w:pPr>
    </w:p>
    <w:p>
      <w:pPr>
        <w:ind w:left="1500" w:right="260" w:hanging="369"/>
        <w:spacing w:after="0" w:line="277"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non-employed directors having a management function (the “président-directeur général,” the “directeur-général,” the “directeur général délégué,” the “members of the “directoire”) of a Related Entity, upon the date of grant.</w:t>
      </w:r>
    </w:p>
    <w:p>
      <w:pPr>
        <w:spacing w:after="0" w:line="62" w:lineRule="exact"/>
        <w:rPr>
          <w:sz w:val="20"/>
          <w:szCs w:val="20"/>
          <w:color w:val="auto"/>
        </w:rPr>
      </w:pPr>
    </w:p>
    <w:p>
      <w:pPr>
        <w:ind w:right="380" w:firstLine="749"/>
        <w:spacing w:after="0" w:line="342" w:lineRule="auto"/>
        <w:rPr>
          <w:sz w:val="20"/>
          <w:szCs w:val="20"/>
          <w:color w:val="auto"/>
        </w:rPr>
      </w:pPr>
      <w:r>
        <w:rPr>
          <w:rFonts w:ascii="Arial" w:cs="Arial" w:eastAsia="Arial" w:hAnsi="Arial"/>
          <w:sz w:val="16"/>
          <w:szCs w:val="16"/>
          <w:color w:val="auto"/>
        </w:rPr>
        <w:t>French Options granting the right to subscribe securities which are not admitted to trading on a regulated market may be granted only to the employees of the company granting these options or to those of the companies mentioned in Article L. 225-180, 1° of the French Commercial Code.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3: Limitations on Grant under the SO French Sub-Plan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shares of the Company are admitted to trading on a regulated market: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2" w:name="page103"/>
    <w:bookmarkEnd w:id="102"/>
    <w:p>
      <w:pPr>
        <w:ind w:left="1500" w:hanging="369"/>
        <w:spacing w:after="0"/>
        <w:tabs>
          <w:tab w:leader="none" w:pos="1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exercise price may not be less than 80% of the average market price over the last twenty trading days preceding that day,</w:t>
      </w:r>
    </w:p>
    <w:p>
      <w:pPr>
        <w:spacing w:after="0" w:line="128" w:lineRule="exact"/>
        <w:rPr>
          <w:rFonts w:ascii="Arial" w:cs="Arial" w:eastAsia="Arial" w:hAnsi="Arial"/>
          <w:sz w:val="17"/>
          <w:szCs w:val="17"/>
          <w:color w:val="auto"/>
        </w:rPr>
      </w:pPr>
    </w:p>
    <w:p>
      <w:pPr>
        <w:ind w:left="1500" w:right="80" w:hanging="369"/>
        <w:spacing w:after="0" w:line="277" w:lineRule="auto"/>
        <w:tabs>
          <w:tab w:leader="none" w:pos="1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option may be granted less than twenty trading sessions after the detachment of the shares of a coupon giving right to a dividend or a capital increase.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shall not grant French Options during the closed periods required under Section L.225-177 of the French Commercial Code.</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result, notwithstanding any other provision of the Plan, French Options cannot be granted:</w:t>
      </w:r>
    </w:p>
    <w:p>
      <w:pPr>
        <w:spacing w:after="0" w:line="117" w:lineRule="exact"/>
        <w:rPr>
          <w:sz w:val="20"/>
          <w:szCs w:val="20"/>
          <w:color w:val="auto"/>
        </w:rPr>
      </w:pPr>
    </w:p>
    <w:p>
      <w:pPr>
        <w:ind w:left="1500" w:right="300" w:hanging="369"/>
        <w:spacing w:after="0" w:line="277" w:lineRule="auto"/>
        <w:tabs>
          <w:tab w:leader="none" w:pos="1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the ten (10) trading days preceding and following the date on which the consolidated accounts, or, if unavailable, the annual accounts, are made public;</w:t>
      </w:r>
    </w:p>
    <w:p>
      <w:pPr>
        <w:spacing w:after="0" w:line="62" w:lineRule="exact"/>
        <w:rPr>
          <w:rFonts w:ascii="Arial" w:cs="Arial" w:eastAsia="Arial" w:hAnsi="Arial"/>
          <w:sz w:val="18"/>
          <w:szCs w:val="18"/>
          <w:color w:val="auto"/>
        </w:rPr>
      </w:pPr>
    </w:p>
    <w:p>
      <w:pPr>
        <w:ind w:left="1500" w:right="360" w:hanging="369"/>
        <w:spacing w:after="0" w:line="263" w:lineRule="auto"/>
        <w:tabs>
          <w:tab w:leader="none" w:pos="1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the period between the date on which the Company’s governing bodies (i.e., the Board of Directors) become aware of information which, if made public, could have a material impact on the price of the Shares, and the date ten (10) trading days after such information is made public.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4: Restrictions on Transfer</w:t>
      </w:r>
    </w:p>
    <w:p>
      <w:pPr>
        <w:spacing w:after="0" w:line="11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This Agreement is personal to the Participant and is not transferable by the Participant in any manner other than by inheritance. The French Options may be exercised during the Participant’s lifetime only by the Participant.</w:t>
      </w:r>
    </w:p>
    <w:p>
      <w:pPr>
        <w:spacing w:after="0" w:line="62"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In the event of death of the beneficiary during the exercise period of the French Options, the beneficiary’s heirs will have a period of six (6) months following the date of death, to exercise the option. Upon expiry of this period the option will be null and void.</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Moreover, at the time of the grant of French Options, the Board shall, if any of the Participant is an officer or director of the Company, either decide that such officer or director cannot sell the shares of Common Stock received upon Vesting or exercise of the French Options before the end of his or her functions, or determine the number of shares of Common Stock received upon Vesting of such French Options that such officer or director shall keep up to the end of his or her functions.</w:t>
      </w:r>
    </w:p>
    <w:p>
      <w:pPr>
        <w:spacing w:after="0" w:line="79"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 shares acquired upon exercise of the French Options shall also be subject to certain transfer restrictions and other limitations including, without limitation, the provisions contained in the present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5: Other Compliance with French Tax and Social Security Law</w:t>
      </w:r>
    </w:p>
    <w:p>
      <w:pPr>
        <w:spacing w:after="0" w:line="117" w:lineRule="exact"/>
        <w:rPr>
          <w:sz w:val="20"/>
          <w:szCs w:val="20"/>
          <w:color w:val="auto"/>
        </w:rPr>
      </w:pPr>
    </w:p>
    <w:p>
      <w:pPr>
        <w:ind w:right="460" w:firstLine="749"/>
        <w:spacing w:after="0" w:line="342" w:lineRule="auto"/>
        <w:rPr>
          <w:sz w:val="20"/>
          <w:szCs w:val="20"/>
          <w:color w:val="auto"/>
        </w:rPr>
      </w:pPr>
      <w:r>
        <w:rPr>
          <w:rFonts w:ascii="Arial" w:cs="Arial" w:eastAsia="Arial" w:hAnsi="Arial"/>
          <w:sz w:val="16"/>
          <w:szCs w:val="16"/>
          <w:color w:val="auto"/>
        </w:rPr>
        <w:t>French Options granted under the SO French Sub-plan must also comply with any other requirements set forth by the French tax and social security law as interpreted and supplemented by the French tax and social security guidelines in effect at the date of grant of such options.</w:t>
      </w:r>
    </w:p>
    <w:p>
      <w:pPr>
        <w:spacing w:after="0" w:line="16"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Except as the Company and Participant agree in writing, the Company shall not modify the terms of a French Award agreement (or this SO French Sub-plan) in such a manner as to cause the recipient to no longer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and L.242-14 of the French Social Security Code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de la Sécurité Sociale</w:t>
      </w:r>
      <w:r>
        <w:rPr>
          <w:rFonts w:ascii="Arial" w:cs="Arial" w:eastAsia="Arial" w:hAnsi="Arial"/>
          <w:sz w:val="18"/>
          <w:szCs w:val="18"/>
          <w:color w:val="auto"/>
        </w:rPr>
        <w:t>) in connection with the grant and settlement of Award and the disposition of the shares received upon the Vesting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agreement, this SO French Sub-plan, and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6: No Rights as a Shareholder</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holder of a French Option shall not have any rights as a shareholder of the Company unless and until shares are issued to the holder with respect to the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7: Amendment or Termination of the Plan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Subject to the terms of the Plan, the Board reserves the right to amend or terminate this SO French Sub-Plan at any time, without any retroactive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8: Data Protection</w:t>
      </w:r>
    </w:p>
    <w:p>
      <w:pPr>
        <w:spacing w:after="0" w:line="117"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APPENDIX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2023 Equity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Units—Sub-Plan for French Residents</w:t>
      </w:r>
    </w:p>
    <w:p>
      <w:pPr>
        <w:spacing w:after="0" w:line="103" w:lineRule="exact"/>
        <w:rPr>
          <w:sz w:val="20"/>
          <w:szCs w:val="20"/>
          <w:color w:val="auto"/>
        </w:rPr>
      </w:pPr>
    </w:p>
    <w:p>
      <w:pPr>
        <w:ind w:right="180" w:firstLine="749"/>
        <w:spacing w:after="0" w:line="311" w:lineRule="auto"/>
        <w:rPr>
          <w:sz w:val="20"/>
          <w:szCs w:val="20"/>
          <w:color w:val="auto"/>
        </w:rPr>
      </w:pPr>
      <w:r>
        <w:rPr>
          <w:rFonts w:ascii="Arial" w:cs="Arial" w:eastAsia="Arial" w:hAnsi="Arial"/>
          <w:sz w:val="16"/>
          <w:szCs w:val="16"/>
          <w:color w:val="auto"/>
        </w:rPr>
        <w:t>Restricted Stock Units granted under this French Sub-plan (also referred to as the “RSU French Sub-Plan”) to an employee who is a French resident taxpayer and/or subject to the French social security scheme in France shall comply with the terms of this RSU French Sub-plan. The purpose of the RSU French Sub-plan is to grant Restricted Stock Units that qualify for favorable income tax and social security tax treatment under French law.</w:t>
      </w:r>
    </w:p>
    <w:p>
      <w:pPr>
        <w:spacing w:after="0" w:line="41"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As a matter of principle, any provision included in the Plan or any other document evidencing the terms and conditions of the Plan that would contravene any substantive principle set out in Articles L.225-197-1 to L.225-197-6 of the French Code de Commerce shall not be applicable to Participant who are residents of France and employed or providing services in France.</w:t>
      </w:r>
    </w:p>
    <w:p>
      <w:pPr>
        <w:spacing w:after="0" w:line="76"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Provided that he or she complies with the provisions of the RSU French Sub-Plan, Participants will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of the French Social Security Code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 in connection with the grant and settlement of Restricted Stock Units and the disposition of the shares received upon Vesting of the Restricted Stock Units pursuant to the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 Definitions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terms shall have the following meanings for purposes of this RSU French Sub-plan:</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“French Award or Award” means, individually or collectively, any Award granted under this RSU French Sub-Plan to Participant who are French resident taxpayers and/or subject to the French social security scheme in France.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“Disability” means a physical or mental condition corresponding to the classification in the second or third categories laid down in Article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341-4 of the French Social Security Code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w:t>
      </w:r>
    </w:p>
    <w:p>
      <w:pPr>
        <w:spacing w:after="0" w:line="103"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“Grant Date” means the date on which the Committee both (i) designates the Participant, and (ii) specifies the material terms and conditions of the Award including the number of Shares subject to each Award, the method for determining the exercise price of the Award (if any), the conditions for the vesting Award, the conditions for exercising the Award and any restrictions on the transfer or sale of the Shares subject to each Award.</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“Vesting Period” means, with respect to any French Award, the vesting period described in Section 4 below.</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“Holding Period” means, with respect to any French Award, the holding period described in Section 5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2: Eligibility</w:t>
      </w:r>
    </w:p>
    <w:p>
      <w:pPr>
        <w:spacing w:after="0" w:line="117" w:lineRule="exact"/>
        <w:rPr>
          <w:sz w:val="20"/>
          <w:szCs w:val="20"/>
          <w:color w:val="auto"/>
        </w:rPr>
      </w:pPr>
    </w:p>
    <w:p>
      <w:pPr>
        <w:ind w:left="1500" w:right="220" w:hanging="369"/>
        <w:spacing w:after="0" w:line="291" w:lineRule="auto"/>
        <w:tabs>
          <w:tab w:leader="none" w:pos="1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Subject to Sections 2(b), 2(c) and 3 below, the following persons shall be eligible to receive Awards, provided that he or she also satisfies the eligibility conditions of the Plan: any Participant who, on the Grant Date and to the extent required under French law, is</w:t>
      </w:r>
    </w:p>
    <w:p>
      <w:pPr>
        <w:ind w:left="1500" w:right="60"/>
        <w:spacing w:after="0" w:line="255" w:lineRule="auto"/>
        <w:rPr>
          <w:rFonts w:ascii="Arial" w:cs="Arial" w:eastAsia="Arial" w:hAnsi="Arial"/>
          <w:sz w:val="16"/>
          <w:szCs w:val="16"/>
          <w:color w:val="auto"/>
        </w:rPr>
      </w:pPr>
      <w:r>
        <w:rPr>
          <w:rFonts w:ascii="Arial" w:cs="Arial" w:eastAsia="Arial" w:hAnsi="Arial"/>
          <w:sz w:val="18"/>
          <w:szCs w:val="18"/>
          <w:color w:val="auto"/>
        </w:rPr>
        <w:t>(1) employed under the terms and conditions of an employment contract (“contrat de travail”) with a French Entity or (2) while the Shares are traded on a regulated exchange market, a corporate officer having a management function in the French Entity, as specified under the French Commercial Code.</w:t>
      </w:r>
    </w:p>
    <w:p>
      <w:pPr>
        <w:spacing w:after="0" w:line="81" w:lineRule="exact"/>
        <w:rPr>
          <w:rFonts w:ascii="Arial" w:cs="Arial" w:eastAsia="Arial" w:hAnsi="Arial"/>
          <w:sz w:val="16"/>
          <w:szCs w:val="16"/>
          <w:color w:val="auto"/>
        </w:rPr>
      </w:pPr>
    </w:p>
    <w:p>
      <w:pPr>
        <w:ind w:left="1500" w:right="20" w:hanging="369"/>
        <w:spacing w:after="0" w:line="275"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Awards may not be granted to corporate officers (as specified under the French Commercial Code) of a French Entity, other than the chairman of the board of directors (président du conseil d’administration), the chief executive officer (directeur général), the deputy chief executive officer (directeur général délégué), the members of the management board (membres du directoire) and the manager of a joint-stock company (gérant d’une société par actions), unless the officer is employed under the terms and conditions of an employment contract (“contrat de travail”) with a French Entity, as defined by French law.</w:t>
      </w:r>
    </w:p>
    <w:p>
      <w:pPr>
        <w:spacing w:after="0" w:line="68" w:lineRule="exact"/>
        <w:rPr>
          <w:rFonts w:ascii="Arial" w:cs="Arial" w:eastAsia="Arial" w:hAnsi="Arial"/>
          <w:sz w:val="17"/>
          <w:szCs w:val="17"/>
          <w:color w:val="auto"/>
        </w:rPr>
      </w:pPr>
    </w:p>
    <w:p>
      <w:pPr>
        <w:ind w:left="1500" w:hanging="369"/>
        <w:spacing w:after="0" w:line="277" w:lineRule="auto"/>
        <w:tabs>
          <w:tab w:leader="none" w:pos="1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French Award under the RSU French Sub-plan may be granted only to a Participant who is a French resident taxpayer and/or subject to the French social security scheme in France.</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Article 3: Limitations on Grant under the RSU French Sub-Plan</w:t>
      </w:r>
    </w:p>
    <w:p>
      <w:pPr>
        <w:spacing w:after="0" w:line="117"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French Awards may not be granted to a Participant who holds more than 10% of the Company’s outstanding shares at the date of grant or a Participant who would hold more than 10% of the Company’s outstanding shares following the French Award grant.</w:t>
      </w:r>
    </w:p>
    <w:p>
      <w:pPr>
        <w:spacing w:after="0" w:line="6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Any share of Common Stock granted in violation of this rule shall not be deemed to have been granted. Settlement of French Awards shall only be in shares; there shall be no settlement of French Awards in cash.</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aggregate number of shares underlying the Awards will not exceed 10% of the Company’s share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4: Vesting Period</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Except in the case of the death or Disability of the Participant, no portion of any French Award may Vest (whether such Vesting results from the achievement of one or more goals relating to the completion of service by the French Award holder and/or the achievement of performance or other objectives) until at least the first anniversary of the date of grant of such French Award.</w:t>
      </w:r>
    </w:p>
    <w:p>
      <w:pPr>
        <w:spacing w:after="0" w:line="76"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holder of a French Award shall be 100% Vested in such French Award in the event his or her Employment is terminated by reason of death or Disability, provided, however, that if the Vesting of such French Award is based, at least in part, on performance conditions, the acceleration, if any, of such performance-based Vesting upon such death of Disability shall be determined as set forth in the applicable award agreement. In the event of death or Disability, the remaining shares subject to the Award that have not been issued as of the date the Award holder’s service relationship with the Company (and its subsidiaries) so terminates will be issued to the holder or, in the case of death, his or her heirs upon their request as provided under applicable law. In such event (either death or Disability), the Company shall issue the shares within six months of such termination, and the Holding Period, if any, will not apply to such shares, but the blackout restrictions on sale described in Section 6 will continue to apply.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5: Holding Period</w:t>
      </w:r>
    </w:p>
    <w:p>
      <w:pPr>
        <w:spacing w:after="0" w:line="117"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With respect to each French Award, if the Vesting Period is shorter than two years, there shall be a one-year period following each Vesting date applicable to such French Award so that the cumulated Vesting Period and Holding Period will be at least equal to two years.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Holding Period the Participant issued such French Award may not sell or loan any shares issued upon the Vesting.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6: Restrictions on Sale—Black Out Periods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Following the expiration of the Vesting and/or Holding Periods described Sections 4 and 5, shares of Common Stock issued may not be sold:</w:t>
      </w:r>
    </w:p>
    <w:p>
      <w:pPr>
        <w:spacing w:after="0" w:line="140" w:lineRule="exact"/>
        <w:rPr>
          <w:sz w:val="20"/>
          <w:szCs w:val="20"/>
          <w:color w:val="auto"/>
        </w:rPr>
      </w:pPr>
    </w:p>
    <w:p>
      <w:pPr>
        <w:ind w:left="1500" w:hanging="369"/>
        <w:spacing w:after="0"/>
        <w:tabs>
          <w:tab w:leader="none" w:pos="1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during the ten existing blackout periods established by the Company, which are hereby made applicable to all French Awards;</w:t>
      </w:r>
    </w:p>
    <w:p>
      <w:pPr>
        <w:spacing w:after="0" w:line="128" w:lineRule="exact"/>
        <w:rPr>
          <w:rFonts w:ascii="Arial" w:cs="Arial" w:eastAsia="Arial" w:hAnsi="Arial"/>
          <w:sz w:val="17"/>
          <w:szCs w:val="17"/>
          <w:color w:val="auto"/>
        </w:rPr>
      </w:pPr>
    </w:p>
    <w:p>
      <w:pPr>
        <w:ind w:left="1500" w:right="80" w:hanging="369"/>
        <w:spacing w:after="0" w:line="277" w:lineRule="auto"/>
        <w:tabs>
          <w:tab w:leader="none" w:pos="1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during the ten stock exchange trading days preceding and following the date on which the Company’s consolidated accounts are made public, or failing that, the annual accounts are published;</w:t>
      </w:r>
    </w:p>
    <w:p>
      <w:pPr>
        <w:spacing w:after="0" w:line="62" w:lineRule="exact"/>
        <w:rPr>
          <w:rFonts w:ascii="Arial" w:cs="Arial" w:eastAsia="Arial" w:hAnsi="Arial"/>
          <w:sz w:val="18"/>
          <w:szCs w:val="18"/>
          <w:color w:val="auto"/>
        </w:rPr>
      </w:pPr>
    </w:p>
    <w:p>
      <w:pPr>
        <w:ind w:left="1500" w:right="80" w:hanging="369"/>
        <w:spacing w:after="0" w:line="263" w:lineRule="auto"/>
        <w:tabs>
          <w:tab w:leader="none" w:pos="1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between (i) the date on which the Company’s management bodies have knowledge of information which, if made public, could have a significant impact on the share price of the Common Stock; and (ii) ten stock exchange trading days following the date on which this information is published; and</w:t>
      </w:r>
    </w:p>
    <w:p>
      <w:pPr>
        <w:spacing w:after="0" w:line="75" w:lineRule="exact"/>
        <w:rPr>
          <w:rFonts w:ascii="Arial" w:cs="Arial" w:eastAsia="Arial" w:hAnsi="Arial"/>
          <w:sz w:val="18"/>
          <w:szCs w:val="18"/>
          <w:color w:val="auto"/>
        </w:rPr>
      </w:pPr>
    </w:p>
    <w:p>
      <w:pPr>
        <w:ind w:left="1500" w:right="80" w:hanging="369"/>
        <w:spacing w:after="0" w:line="277" w:lineRule="auto"/>
        <w:tabs>
          <w:tab w:leader="none" w:pos="1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Participant has nonpublic material information about the Company and such sale would violate any applicable securities laws of the United States of America or France.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7: Restrictions on Sale for Officers and Directors</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At the time of the grant of French Awards, the Committee shall, if any of the Participants is an officer or director of the Company, either decide that such officer or director cannot sell the shares of Common Stock received upon Vesting or exercise of the French Award before the end of his or her functions, or determine the number of</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ind w:right="660"/>
        <w:spacing w:after="0" w:line="375" w:lineRule="auto"/>
        <w:rPr>
          <w:sz w:val="20"/>
          <w:szCs w:val="20"/>
          <w:color w:val="auto"/>
        </w:rPr>
      </w:pPr>
      <w:r>
        <w:rPr>
          <w:rFonts w:ascii="Arial" w:cs="Arial" w:eastAsia="Arial" w:hAnsi="Arial"/>
          <w:sz w:val="18"/>
          <w:szCs w:val="18"/>
          <w:color w:val="auto"/>
        </w:rPr>
        <w:t xml:space="preserve">shares of Common Stock received upon Vesting of such French Award that such officer or director shall keep up to the end of his or her functions. </w:t>
      </w:r>
      <w:r>
        <w:rPr>
          <w:rFonts w:ascii="Arial" w:cs="Arial" w:eastAsia="Arial" w:hAnsi="Arial"/>
          <w:sz w:val="18"/>
          <w:szCs w:val="18"/>
          <w:i w:val="1"/>
          <w:iCs w:val="1"/>
          <w:color w:val="auto"/>
        </w:rPr>
        <w:t>Article 8: Restrictions on Transfer</w:t>
      </w:r>
    </w:p>
    <w:p>
      <w:pPr>
        <w:spacing w:after="0" w:line="1"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Shares of Common Stock subject to French Awards may not be transferred, assigned, pledged or hypothecated in any manner until they have Vested in accordance with this RSU French Sub-plan.</w:t>
      </w:r>
    </w:p>
    <w:p>
      <w:pPr>
        <w:spacing w:after="0" w:line="62"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Rights granted under the RSU French Sub-plan shall not be transferable by the recipient of such grants other than by will or by the laws of descent and distribution.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9: Other Compliance with French Tax and Social Security Law</w:t>
      </w:r>
    </w:p>
    <w:p>
      <w:pPr>
        <w:spacing w:after="0" w:line="117" w:lineRule="exact"/>
        <w:rPr>
          <w:sz w:val="20"/>
          <w:szCs w:val="20"/>
          <w:color w:val="auto"/>
        </w:rPr>
      </w:pPr>
    </w:p>
    <w:p>
      <w:pPr>
        <w:ind w:right="320" w:firstLine="749"/>
        <w:spacing w:after="0" w:line="342" w:lineRule="auto"/>
        <w:rPr>
          <w:sz w:val="20"/>
          <w:szCs w:val="20"/>
          <w:color w:val="auto"/>
        </w:rPr>
      </w:pPr>
      <w:r>
        <w:rPr>
          <w:rFonts w:ascii="Arial" w:cs="Arial" w:eastAsia="Arial" w:hAnsi="Arial"/>
          <w:sz w:val="16"/>
          <w:szCs w:val="16"/>
          <w:color w:val="auto"/>
        </w:rPr>
        <w:t>French Awards granted under the RSU French Sub-plan must also comply with any other requirements set forth by the French tax and social security law as interpreted and supplemented by the French tax and social security guidelines in effect at the date of grant of such Awards.</w:t>
      </w:r>
    </w:p>
    <w:p>
      <w:pPr>
        <w:spacing w:after="0" w:line="1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Except as the Company and Participant agree in writing, the Company shall not modify the terms of a French Award agreement (or this RSU French Sub-plan) in such a manner as to cause the recipient to no longer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and L.242-14 of the French Social Security Code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de la Sécurité Sociale</w:t>
      </w:r>
      <w:r>
        <w:rPr>
          <w:rFonts w:ascii="Arial" w:cs="Arial" w:eastAsia="Arial" w:hAnsi="Arial"/>
          <w:sz w:val="18"/>
          <w:szCs w:val="18"/>
          <w:color w:val="auto"/>
        </w:rPr>
        <w:t>) in connection with the grant and settlement of Award and the disposition of the shares received upon the Vesting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this RSU French Sub-plan, and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10: No Rights as a Shareholder</w:t>
      </w:r>
    </w:p>
    <w:p>
      <w:pPr>
        <w:spacing w:after="0" w:line="11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holder of a French Award shall not have any rights as a shareholder of the Company unless and until shares are issued to the holder with respect to the Award.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11: Amendment or Termination of the Plan</w:t>
      </w:r>
    </w:p>
    <w:p>
      <w:pPr>
        <w:spacing w:after="0" w:line="11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Subject to the terms of the Plan, the Committee reserves the right to amend or terminate this RSU French Sub-Plan at any time, without any retroactive effect.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12: Modification of the Share Capital</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If the share capital of the Company is modified during the Vesting or Holding Periods, the Awards may be adjusted in order for this change to be neutral for the Participants, provided that such adjustment has the sole purpose and consequence of preserving the rights of the Participants and that additional shares which could be issued as a result remain subject to the same requirements (including the Vesting Period and the Holding Period requirement) as those applying to the original Award.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13: Data Protection</w:t>
      </w:r>
    </w:p>
    <w:p>
      <w:pPr>
        <w:spacing w:after="0" w:line="117"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06" w:name="page107"/>
    <w:bookmarkEnd w:id="1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ind w:left="1032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TEMPEST THERAPEUTICS, INC.</w:t>
      </w:r>
    </w:p>
    <w:p>
      <w:pPr>
        <w:spacing w:after="0" w:line="182"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STOCK OPTION GRANT NOTICE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2023 EQUITY INCENTIVE PLAN)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Tempest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Amended and Restated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Optionholder an option to purchase the number of shares of the Company’s Common Stock set forth below. This option is subject to all of the terms and conditions as set forth in this Stock Option Grant Notice, in the Option Agreement, the Plan and the Notice of Exercise, all of which are available by logging into your Shareworks brokerage account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20"/>
          <w:szCs w:val="20"/>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3432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8" w:lineRule="exact"/>
        <w:rPr>
          <w:sz w:val="20"/>
          <w:szCs w:val="20"/>
          <w:color w:val="auto"/>
        </w:rPr>
      </w:pPr>
    </w:p>
    <w:p>
      <w:pPr>
        <w:spacing w:after="0" w:line="230" w:lineRule="exact"/>
        <w:tabs>
          <w:tab w:leader="none" w:pos="1800" w:val="left"/>
          <w:tab w:leader="none" w:pos="4560" w:val="left"/>
        </w:tabs>
        <w:rPr>
          <w:sz w:val="20"/>
          <w:szCs w:val="20"/>
          <w:color w:val="auto"/>
        </w:rPr>
      </w:pPr>
      <w:r>
        <w:rPr>
          <w:rFonts w:ascii="Arial" w:cs="Arial" w:eastAsia="Arial" w:hAnsi="Arial"/>
          <w:sz w:val="20"/>
          <w:szCs w:val="20"/>
          <w:b w:val="1"/>
          <w:bCs w:val="1"/>
          <w:color w:val="auto"/>
        </w:rPr>
        <w:t>Type of Grant:</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20"/>
          <w:szCs w:val="20"/>
          <w:color w:val="auto"/>
        </w:rPr>
        <w:t>Incentive Stock Option</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Nonstatutory Stock Option</w:t>
      </w:r>
    </w:p>
    <w:p>
      <w:pPr>
        <w:spacing w:after="0" w:line="220"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b w:val="1"/>
          <w:bCs w:val="1"/>
          <w:color w:val="auto"/>
        </w:rPr>
        <w:t>Exercise Schedule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Same as Vesting Schedule</w:t>
      </w:r>
    </w:p>
    <w:p>
      <w:pPr>
        <w:spacing w:after="0" w:line="189" w:lineRule="exact"/>
        <w:rPr>
          <w:sz w:val="20"/>
          <w:szCs w:val="20"/>
          <w:color w:val="auto"/>
        </w:rPr>
      </w:pPr>
    </w:p>
    <w:p>
      <w:pPr>
        <w:spacing w:after="0"/>
        <w:tabs>
          <w:tab w:leader="none" w:pos="210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 subject to Optionholder’s Continuous Service as of such date.]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Vesting Acceleration: </w:t>
      </w:r>
      <w:r>
        <w:rPr>
          <w:rFonts w:ascii="Arial" w:cs="Arial" w:eastAsia="Arial" w:hAnsi="Arial"/>
          <w:sz w:val="20"/>
          <w:szCs w:val="20"/>
          <w:color w:val="auto"/>
        </w:rPr>
        <w:t>[If applicable]</w:t>
      </w:r>
    </w:p>
    <w:p>
      <w:pPr>
        <w:spacing w:after="0" w:line="175" w:lineRule="exact"/>
        <w:rPr>
          <w:sz w:val="20"/>
          <w:szCs w:val="20"/>
          <w:color w:val="auto"/>
        </w:rPr>
      </w:pPr>
    </w:p>
    <w:p>
      <w:pPr>
        <w:spacing w:after="0"/>
        <w:tabs>
          <w:tab w:leader="none" w:pos="2460" w:val="left"/>
        </w:tabs>
        <w:rPr>
          <w:sz w:val="20"/>
          <w:szCs w:val="20"/>
          <w:color w:val="auto"/>
        </w:rPr>
      </w:pPr>
      <w:r>
        <w:rPr>
          <w:rFonts w:ascii="Arial" w:cs="Arial" w:eastAsia="Arial" w:hAnsi="Arial"/>
          <w:sz w:val="20"/>
          <w:szCs w:val="20"/>
          <w:b w:val="1"/>
          <w:bCs w:val="1"/>
          <w:color w:val="auto"/>
        </w:rPr>
        <w:t>Termination Period:</w:t>
      </w:r>
      <w:r>
        <w:rPr>
          <w:sz w:val="20"/>
          <w:szCs w:val="20"/>
          <w:color w:val="auto"/>
        </w:rPr>
        <w:tab/>
      </w:r>
      <w:r>
        <w:rPr>
          <w:rFonts w:ascii="Arial" w:cs="Arial" w:eastAsia="Arial" w:hAnsi="Arial"/>
          <w:sz w:val="18"/>
          <w:szCs w:val="18"/>
          <w:color w:val="auto"/>
        </w:rPr>
        <w:t>This Option shall be exercisable for ninety (90) days after Participant ceases to be a Service Provider, unless</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such termination is due to Participant’s death or Disability, in which case this Option shall be exercisable for twelve</w:t>
      </w:r>
    </w:p>
    <w:p>
      <w:pPr>
        <w:spacing w:after="0" w:line="23" w:lineRule="exact"/>
        <w:rPr>
          <w:sz w:val="20"/>
          <w:szCs w:val="20"/>
          <w:color w:val="auto"/>
        </w:rPr>
      </w:pPr>
    </w:p>
    <w:p>
      <w:pPr>
        <w:ind w:left="2460" w:hanging="393"/>
        <w:spacing w:after="0"/>
        <w:tabs>
          <w:tab w:leader="none" w:pos="2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months after Participant ceases to be a Service Provider if it is due to the Participant’s Disability and eighteen</w:t>
      </w:r>
    </w:p>
    <w:p>
      <w:pPr>
        <w:spacing w:after="0" w:line="22" w:lineRule="exact"/>
        <w:rPr>
          <w:rFonts w:ascii="Arial" w:cs="Arial" w:eastAsia="Arial" w:hAnsi="Arial"/>
          <w:sz w:val="18"/>
          <w:szCs w:val="18"/>
          <w:color w:val="auto"/>
        </w:rPr>
      </w:pPr>
    </w:p>
    <w:p>
      <w:pPr>
        <w:ind w:left="2440" w:hanging="373"/>
        <w:spacing w:after="0"/>
        <w:tabs>
          <w:tab w:leader="none" w:pos="24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months if it is due to the Participant’s death.</w:t>
      </w:r>
    </w:p>
    <w:p>
      <w:pPr>
        <w:spacing w:after="0" w:line="167"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Payment:</w:t>
      </w:r>
      <w:r>
        <w:rPr>
          <w:sz w:val="20"/>
          <w:szCs w:val="20"/>
          <w:color w:val="auto"/>
        </w:rPr>
        <w:tab/>
      </w:r>
      <w:r>
        <w:rPr>
          <w:rFonts w:ascii="Arial" w:cs="Arial" w:eastAsia="Arial" w:hAnsi="Arial"/>
          <w:sz w:val="20"/>
          <w:szCs w:val="20"/>
          <w:color w:val="auto"/>
        </w:rPr>
        <w:t>By one or a combination of the following items (described in the Option Agreement):</w:t>
      </w:r>
    </w:p>
    <w:p>
      <w:pPr>
        <w:spacing w:after="0" w:line="127" w:lineRule="exact"/>
        <w:rPr>
          <w:sz w:val="20"/>
          <w:szCs w:val="20"/>
          <w:color w:val="auto"/>
        </w:rPr>
      </w:pPr>
    </w:p>
    <w:p>
      <w:pPr>
        <w:ind w:left="2260" w:hanging="380"/>
        <w:spacing w:after="0"/>
        <w:tabs>
          <w:tab w:leader="none" w:pos="2260" w:val="left"/>
        </w:tabs>
        <w:numPr>
          <w:ilvl w:val="0"/>
          <w:numId w:val="88"/>
        </w:numPr>
        <w:rPr>
          <w:rFonts w:ascii="MS PGothic" w:cs="MS PGothic" w:eastAsia="MS PGothic" w:hAnsi="MS PGothic"/>
          <w:sz w:val="20"/>
          <w:szCs w:val="20"/>
          <w:color w:val="auto"/>
        </w:rPr>
      </w:pPr>
      <w:r>
        <w:rPr>
          <w:rFonts w:ascii="Arial" w:cs="Arial" w:eastAsia="Arial" w:hAnsi="Arial"/>
          <w:sz w:val="20"/>
          <w:szCs w:val="20"/>
          <w:color w:val="auto"/>
        </w:rPr>
        <w:t>By cash, check, bank draft or money order payable to the Company</w:t>
      </w:r>
    </w:p>
    <w:p>
      <w:pPr>
        <w:spacing w:after="0" w:line="29" w:lineRule="exact"/>
        <w:rPr>
          <w:rFonts w:ascii="MS PGothic" w:cs="MS PGothic" w:eastAsia="MS PGothic" w:hAnsi="MS PGothic"/>
          <w:sz w:val="20"/>
          <w:szCs w:val="20"/>
          <w:color w:val="auto"/>
        </w:rPr>
      </w:pPr>
    </w:p>
    <w:p>
      <w:pPr>
        <w:ind w:left="2260" w:hanging="380"/>
        <w:spacing w:after="0"/>
        <w:tabs>
          <w:tab w:leader="none" w:pos="2260" w:val="left"/>
        </w:tabs>
        <w:numPr>
          <w:ilvl w:val="0"/>
          <w:numId w:val="88"/>
        </w:numPr>
        <w:rPr>
          <w:rFonts w:ascii="MS PGothic" w:cs="MS PGothic" w:eastAsia="MS PGothic" w:hAnsi="MS PGothic"/>
          <w:sz w:val="20"/>
          <w:szCs w:val="20"/>
          <w:color w:val="auto"/>
        </w:rPr>
      </w:pPr>
      <w:r>
        <w:rPr>
          <w:rFonts w:ascii="Arial" w:cs="Arial" w:eastAsia="Arial" w:hAnsi="Arial"/>
          <w:sz w:val="20"/>
          <w:szCs w:val="20"/>
          <w:color w:val="auto"/>
        </w:rPr>
        <w:t>Pursuant to a Regulation T Program if the shares are publicly traded</w:t>
      </w:r>
    </w:p>
    <w:p>
      <w:pPr>
        <w:spacing w:after="0" w:line="13" w:lineRule="exact"/>
        <w:rPr>
          <w:rFonts w:ascii="MS PGothic" w:cs="MS PGothic" w:eastAsia="MS PGothic" w:hAnsi="MS PGothic"/>
          <w:sz w:val="20"/>
          <w:szCs w:val="20"/>
          <w:color w:val="auto"/>
        </w:rPr>
      </w:pPr>
    </w:p>
    <w:p>
      <w:pPr>
        <w:ind w:left="2260" w:hanging="380"/>
        <w:spacing w:after="0"/>
        <w:tabs>
          <w:tab w:leader="none" w:pos="2260" w:val="left"/>
        </w:tabs>
        <w:numPr>
          <w:ilvl w:val="0"/>
          <w:numId w:val="88"/>
        </w:numPr>
        <w:rPr>
          <w:rFonts w:ascii="MS PGothic" w:cs="MS PGothic" w:eastAsia="MS PGothic" w:hAnsi="MS PGothic"/>
          <w:sz w:val="20"/>
          <w:szCs w:val="20"/>
          <w:color w:val="auto"/>
        </w:rPr>
      </w:pPr>
      <w:r>
        <w:rPr>
          <w:rFonts w:ascii="Arial" w:cs="Arial" w:eastAsia="Arial" w:hAnsi="Arial"/>
          <w:sz w:val="20"/>
          <w:szCs w:val="20"/>
          <w:color w:val="auto"/>
        </w:rPr>
        <w:t>By delivery of already-owned shares if the shares are publicly traded</w:t>
      </w:r>
    </w:p>
    <w:p>
      <w:pPr>
        <w:spacing w:after="0" w:line="13" w:lineRule="exact"/>
        <w:rPr>
          <w:rFonts w:ascii="MS PGothic" w:cs="MS PGothic" w:eastAsia="MS PGothic" w:hAnsi="MS PGothic"/>
          <w:sz w:val="20"/>
          <w:szCs w:val="20"/>
          <w:color w:val="auto"/>
        </w:rPr>
      </w:pPr>
    </w:p>
    <w:p>
      <w:pPr>
        <w:ind w:left="2260" w:hanging="380"/>
        <w:spacing w:after="0" w:line="244" w:lineRule="auto"/>
        <w:tabs>
          <w:tab w:leader="none" w:pos="2280" w:val="left"/>
        </w:tabs>
        <w:numPr>
          <w:ilvl w:val="0"/>
          <w:numId w:val="88"/>
        </w:numPr>
        <w:rPr>
          <w:rFonts w:ascii="MS PGothic" w:cs="MS PGothic" w:eastAsia="MS PGothic" w:hAnsi="MS PGothic"/>
          <w:sz w:val="20"/>
          <w:szCs w:val="20"/>
          <w:color w:val="auto"/>
        </w:rPr>
      </w:pPr>
      <w:r>
        <w:rPr>
          <w:rFonts w:ascii="Arial" w:cs="Arial" w:eastAsia="Arial" w:hAnsi="Arial"/>
          <w:sz w:val="20"/>
          <w:szCs w:val="20"/>
          <w:color w:val="auto"/>
        </w:rPr>
        <w:t>If and only to the extent this option is a Nonstatutory Stock Option, and subject to the Company’s consent at the time of exercise, by a “net exercise” arrangement</w:t>
      </w:r>
    </w:p>
    <w:p>
      <w:pPr>
        <w:spacing w:after="0" w:line="212"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Optionholder acknowledges receipt of, and understands and agrees to, this Stock Option Grant</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line="262" w:lineRule="auto"/>
        <w:rPr>
          <w:sz w:val="20"/>
          <w:szCs w:val="20"/>
          <w:color w:val="auto"/>
        </w:rPr>
      </w:pPr>
      <w:r>
        <w:rPr>
          <w:rFonts w:ascii="Arial" w:cs="Arial" w:eastAsia="Arial" w:hAnsi="Arial"/>
          <w:sz w:val="19"/>
          <w:szCs w:val="19"/>
          <w:color w:val="auto"/>
        </w:rPr>
        <w:t>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80"/>
        </w:trPr>
        <w:tc>
          <w:tcPr>
            <w:tcW w:w="6380" w:type="dxa"/>
            <w:vAlign w:val="bottom"/>
            <w:gridSpan w:val="2"/>
          </w:tcPr>
          <w:p>
            <w:pPr>
              <w:spacing w:after="0"/>
              <w:rPr>
                <w:sz w:val="20"/>
                <w:szCs w:val="20"/>
                <w:color w:val="auto"/>
              </w:rPr>
            </w:pPr>
            <w:r>
              <w:rPr>
                <w:rFonts w:ascii="Arial" w:cs="Arial" w:eastAsia="Arial" w:hAnsi="Arial"/>
                <w:sz w:val="22"/>
                <w:szCs w:val="22"/>
                <w:b w:val="1"/>
                <w:bCs w:val="1"/>
                <w:color w:val="auto"/>
              </w:rPr>
              <w:t>TEMPEST THERAPEUTICS, INC.</w:t>
            </w:r>
          </w:p>
        </w:tc>
        <w:tc>
          <w:tcPr>
            <w:tcW w:w="50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22"/>
                <w:szCs w:val="22"/>
                <w:b w:val="1"/>
                <w:bCs w:val="1"/>
                <w:color w:val="auto"/>
              </w:rPr>
              <w:t>OPTIONHOLDER:</w:t>
            </w:r>
          </w:p>
        </w:tc>
      </w:tr>
      <w:tr>
        <w:trPr>
          <w:trHeight w:val="542"/>
        </w:trPr>
        <w:tc>
          <w:tcPr>
            <w:tcW w:w="6380" w:type="dxa"/>
            <w:vAlign w:val="bottom"/>
            <w:gridSpan w:val="2"/>
          </w:tcPr>
          <w:p>
            <w:pPr>
              <w:spacing w:after="0"/>
              <w:rPr>
                <w:sz w:val="20"/>
                <w:szCs w:val="20"/>
                <w:color w:val="auto"/>
              </w:rPr>
            </w:pPr>
            <w:r>
              <w:rPr>
                <w:rFonts w:ascii="Arial" w:cs="Arial" w:eastAsia="Arial" w:hAnsi="Arial"/>
                <w:sz w:val="22"/>
                <w:szCs w:val="22"/>
                <w:color w:val="auto"/>
              </w:rPr>
              <w:t>By: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7"/>
        </w:trPr>
        <w:tc>
          <w:tcPr>
            <w:tcW w:w="1320" w:type="dxa"/>
            <w:vAlign w:val="bottom"/>
          </w:tcPr>
          <w:p>
            <w:pPr>
              <w:spacing w:after="0"/>
              <w:rPr>
                <w:sz w:val="22"/>
                <w:szCs w:val="22"/>
                <w:color w:val="auto"/>
              </w:rPr>
            </w:pPr>
          </w:p>
        </w:tc>
        <w:tc>
          <w:tcPr>
            <w:tcW w:w="5060" w:type="dxa"/>
            <w:vAlign w:val="bottom"/>
            <w:tcBorders>
              <w:top w:val="single" w:sz="8" w:color="auto"/>
            </w:tcBorders>
          </w:tcPr>
          <w:p>
            <w:pPr>
              <w:ind w:left="2320"/>
              <w:spacing w:after="0"/>
              <w:rPr>
                <w:sz w:val="20"/>
                <w:szCs w:val="20"/>
                <w:color w:val="auto"/>
              </w:rPr>
            </w:pPr>
            <w:r>
              <w:rPr>
                <w:rFonts w:ascii="Arial" w:cs="Arial" w:eastAsia="Arial" w:hAnsi="Arial"/>
                <w:sz w:val="22"/>
                <w:szCs w:val="22"/>
                <w:color w:val="auto"/>
              </w:rPr>
              <w:t>Signature</w:t>
            </w:r>
          </w:p>
        </w:tc>
        <w:tc>
          <w:tcPr>
            <w:tcW w:w="5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340" w:type="dxa"/>
            <w:vAlign w:val="bottom"/>
            <w:tcBorders>
              <w:top w:val="single" w:sz="8" w:color="auto"/>
            </w:tcBorders>
          </w:tcPr>
          <w:p>
            <w:pPr>
              <w:ind w:left="760"/>
              <w:spacing w:after="0"/>
              <w:rPr>
                <w:sz w:val="20"/>
                <w:szCs w:val="20"/>
                <w:color w:val="auto"/>
              </w:rPr>
            </w:pPr>
            <w:r>
              <w:rPr>
                <w:rFonts w:ascii="Arial" w:cs="Arial" w:eastAsia="Arial" w:hAnsi="Arial"/>
                <w:sz w:val="22"/>
                <w:szCs w:val="22"/>
                <w:color w:val="auto"/>
              </w:rPr>
              <w:t>Signature</w:t>
            </w:r>
          </w:p>
        </w:tc>
      </w:tr>
      <w:tr>
        <w:trPr>
          <w:trHeight w:val="276"/>
        </w:trPr>
        <w:tc>
          <w:tcPr>
            <w:tcW w:w="6380" w:type="dxa"/>
            <w:vAlign w:val="bottom"/>
            <w:gridSpan w:val="2"/>
          </w:tcPr>
          <w:p>
            <w:pPr>
              <w:spacing w:after="0"/>
              <w:rPr>
                <w:sz w:val="20"/>
                <w:szCs w:val="20"/>
                <w:color w:val="auto"/>
              </w:rPr>
            </w:pPr>
            <w:r>
              <w:rPr>
                <w:rFonts w:ascii="Arial" w:cs="Arial" w:eastAsia="Arial" w:hAnsi="Arial"/>
                <w:sz w:val="22"/>
                <w:szCs w:val="22"/>
                <w:color w:val="auto"/>
              </w:rPr>
              <w:t>Title:</w:t>
            </w:r>
          </w:p>
        </w:tc>
        <w:tc>
          <w:tcPr>
            <w:tcW w:w="50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22"/>
                <w:szCs w:val="22"/>
                <w:color w:val="auto"/>
              </w:rPr>
              <w:t>Date:</w:t>
            </w:r>
          </w:p>
        </w:tc>
      </w:tr>
      <w:tr>
        <w:trPr>
          <w:trHeight w:val="264"/>
        </w:trPr>
        <w:tc>
          <w:tcPr>
            <w:tcW w:w="1320" w:type="dxa"/>
            <w:vAlign w:val="bottom"/>
          </w:tcPr>
          <w:p>
            <w:pPr>
              <w:spacing w:after="0"/>
              <w:rPr>
                <w:sz w:val="20"/>
                <w:szCs w:val="20"/>
                <w:color w:val="auto"/>
              </w:rPr>
            </w:pPr>
            <w:r>
              <w:rPr>
                <w:rFonts w:ascii="Arial" w:cs="Arial" w:eastAsia="Arial" w:hAnsi="Arial"/>
                <w:sz w:val="22"/>
                <w:szCs w:val="22"/>
                <w:color w:val="auto"/>
              </w:rPr>
              <w:t>Date:</w:t>
            </w:r>
          </w:p>
        </w:tc>
        <w:tc>
          <w:tcPr>
            <w:tcW w:w="5060" w:type="dxa"/>
            <w:vAlign w:val="bottom"/>
            <w:tcBorders>
              <w:top w:val="single" w:sz="8" w:color="auto"/>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340" w:type="dxa"/>
            <w:vAlign w:val="bottom"/>
            <w:tcBorders>
              <w:top w:val="single" w:sz="8" w:color="auto"/>
            </w:tcBorders>
          </w:tcPr>
          <w:p>
            <w:pPr>
              <w:spacing w:after="0"/>
              <w:rPr>
                <w:sz w:val="22"/>
                <w:szCs w:val="2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 Option Agreement and Amended and Restated 2023 Equity Incentive Plan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ATTACHMENT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TEMPEST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2023 EQUITY INCENTIVE PLAN)</w:t>
      </w:r>
    </w:p>
    <w:p>
      <w:pPr>
        <w:jc w:val="center"/>
        <w:spacing w:after="0"/>
        <w:rPr>
          <w:sz w:val="20"/>
          <w:szCs w:val="20"/>
          <w:color w:val="auto"/>
        </w:rPr>
      </w:pPr>
      <w:r>
        <w:rPr>
          <w:rFonts w:ascii="Arial" w:cs="Arial" w:eastAsia="Arial" w:hAnsi="Arial"/>
          <w:sz w:val="22"/>
          <w:szCs w:val="22"/>
          <w:b w:val="1"/>
          <w:bCs w:val="1"/>
          <w:color w:val="auto"/>
        </w:rPr>
        <w:t>(INCENTIVE STOCK OPTION OR NONSTATUTORY STOCK OPTION)</w:t>
      </w:r>
    </w:p>
    <w:p>
      <w:pPr>
        <w:spacing w:after="0" w:line="19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Option Agreement, Tempest Therapeutics,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Amended and Restated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10" w:lineRule="exact"/>
        <w:rPr>
          <w:sz w:val="20"/>
          <w:szCs w:val="20"/>
          <w:color w:val="auto"/>
        </w:rPr>
      </w:pPr>
    </w:p>
    <w:p>
      <w:pPr>
        <w:ind w:firstLine="757"/>
        <w:spacing w:after="0" w:line="267" w:lineRule="auto"/>
        <w:tabs>
          <w:tab w:leader="none" w:pos="1365"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the provisions contained herein, your option will vest as provided in your Grant Notice. Vesting will</w:t>
      </w:r>
      <w:r>
        <w:rPr>
          <w:rFonts w:ascii="Arial" w:cs="Arial" w:eastAsia="Arial" w:hAnsi="Arial"/>
          <w:sz w:val="20"/>
          <w:szCs w:val="20"/>
          <w:b w:val="1"/>
          <w:bCs w:val="1"/>
          <w:color w:val="auto"/>
        </w:rPr>
        <w:t xml:space="preserve"> </w:t>
      </w:r>
      <w:r>
        <w:rPr>
          <w:rFonts w:ascii="Arial" w:cs="Arial" w:eastAsia="Arial" w:hAnsi="Arial"/>
          <w:sz w:val="20"/>
          <w:szCs w:val="20"/>
          <w:color w:val="auto"/>
        </w:rPr>
        <w:t>cease upon the termination of your Continuous Service.</w:t>
      </w:r>
    </w:p>
    <w:p>
      <w:pPr>
        <w:spacing w:after="0" w:line="163" w:lineRule="exact"/>
        <w:rPr>
          <w:rFonts w:ascii="Arial" w:cs="Arial" w:eastAsia="Arial" w:hAnsi="Arial"/>
          <w:sz w:val="20"/>
          <w:szCs w:val="20"/>
          <w:b w:val="1"/>
          <w:bCs w:val="1"/>
          <w:color w:val="auto"/>
        </w:rPr>
      </w:pPr>
    </w:p>
    <w:p>
      <w:pPr>
        <w:ind w:firstLine="757"/>
        <w:spacing w:after="0" w:line="267" w:lineRule="auto"/>
        <w:tabs>
          <w:tab w:leader="none" w:pos="1402"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NUMBER OF SHARES AND EXERCISE PRICE. </w:t>
      </w:r>
      <w:r>
        <w:rPr>
          <w:rFonts w:ascii="Arial" w:cs="Arial" w:eastAsia="Arial" w:hAnsi="Arial"/>
          <w:sz w:val="20"/>
          <w:szCs w:val="20"/>
          <w:color w:val="auto"/>
        </w:rPr>
        <w:t>The number of shares of Common Stock subject to your option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your exercise price per share in your Grant Notice will be adjusted for Capitalization Adjustments.</w:t>
      </w:r>
    </w:p>
    <w:p>
      <w:pPr>
        <w:spacing w:after="0" w:line="163" w:lineRule="exact"/>
        <w:rPr>
          <w:rFonts w:ascii="Arial" w:cs="Arial" w:eastAsia="Arial" w:hAnsi="Arial"/>
          <w:sz w:val="20"/>
          <w:szCs w:val="20"/>
          <w:b w:val="1"/>
          <w:bCs w:val="1"/>
          <w:color w:val="auto"/>
        </w:rPr>
      </w:pPr>
    </w:p>
    <w:p>
      <w:pPr>
        <w:jc w:val="both"/>
        <w:ind w:firstLine="757"/>
        <w:spacing w:after="0" w:line="275" w:lineRule="auto"/>
        <w:tabs>
          <w:tab w:leader="none" w:pos="159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RESTRICTION FOR NON-EXEMPT EMPLOYEES. </w:t>
      </w:r>
      <w:r>
        <w:rPr>
          <w:rFonts w:ascii="Arial" w:cs="Arial" w:eastAsia="Arial" w:hAnsi="Arial"/>
          <w:sz w:val="18"/>
          <w:szCs w:val="18"/>
          <w:color w:val="auto"/>
        </w:rPr>
        <w:t>If you are an Employee eligible for overtime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under the Fair Labor 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62" w:lineRule="exact"/>
        <w:rPr>
          <w:rFonts w:ascii="Arial" w:cs="Arial" w:eastAsia="Arial" w:hAnsi="Arial"/>
          <w:sz w:val="18"/>
          <w:szCs w:val="18"/>
          <w:b w:val="1"/>
          <w:bCs w:val="1"/>
          <w:color w:val="auto"/>
        </w:rPr>
      </w:pPr>
    </w:p>
    <w:p>
      <w:pPr>
        <w:jc w:val="both"/>
        <w:ind w:firstLine="757"/>
        <w:spacing w:after="0" w:line="253" w:lineRule="auto"/>
        <w:tabs>
          <w:tab w:leader="none" w:pos="1442"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 OF PAYMENT. </w:t>
      </w:r>
      <w:r>
        <w:rPr>
          <w:rFonts w:ascii="Arial" w:cs="Arial" w:eastAsia="Arial" w:hAnsi="Arial"/>
          <w:sz w:val="20"/>
          <w:szCs w:val="20"/>
          <w:color w:val="auto"/>
        </w:rPr>
        <w:t>You must pay the full amount of the exercise price for the shares you wish to exercise. You</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pay the exercise price in cash or by check, bank draft or money order payable to the Company or in any other manner </w:t>
      </w:r>
      <w:r>
        <w:rPr>
          <w:rFonts w:ascii="Arial" w:cs="Arial" w:eastAsia="Arial" w:hAnsi="Arial"/>
          <w:sz w:val="20"/>
          <w:szCs w:val="20"/>
          <w:b w:val="1"/>
          <w:bCs w:val="1"/>
          <w:i w:val="1"/>
          <w:iCs w:val="1"/>
          <w:color w:val="auto"/>
        </w:rPr>
        <w:t>permitted by your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Grant Notice, </w:t>
      </w:r>
      <w:r>
        <w:rPr>
          <w:rFonts w:ascii="Arial" w:cs="Arial" w:eastAsia="Arial" w:hAnsi="Arial"/>
          <w:sz w:val="20"/>
          <w:szCs w:val="20"/>
          <w:color w:val="auto"/>
        </w:rPr>
        <w:t>which may include one or more of the following:</w:t>
      </w:r>
    </w:p>
    <w:p>
      <w:pPr>
        <w:spacing w:after="0" w:line="183" w:lineRule="exact"/>
        <w:rPr>
          <w:rFonts w:ascii="Arial" w:cs="Arial" w:eastAsia="Arial" w:hAnsi="Arial"/>
          <w:sz w:val="20"/>
          <w:szCs w:val="20"/>
          <w:b w:val="1"/>
          <w:bCs w:val="1"/>
          <w:color w:val="auto"/>
        </w:rPr>
      </w:pPr>
    </w:p>
    <w:p>
      <w:pPr>
        <w:jc w:val="both"/>
        <w:ind w:firstLine="1505"/>
        <w:spacing w:after="0" w:line="282" w:lineRule="auto"/>
        <w:tabs>
          <w:tab w:leader="none" w:pos="2138"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61" w:lineRule="exact"/>
        <w:rPr>
          <w:rFonts w:ascii="Arial" w:cs="Arial" w:eastAsia="Arial" w:hAnsi="Arial"/>
          <w:sz w:val="18"/>
          <w:szCs w:val="18"/>
          <w:b w:val="1"/>
          <w:bCs w:val="1"/>
          <w:color w:val="auto"/>
        </w:rPr>
      </w:pPr>
    </w:p>
    <w:p>
      <w:pPr>
        <w:jc w:val="both"/>
        <w:ind w:firstLine="1505"/>
        <w:spacing w:after="0" w:line="250" w:lineRule="auto"/>
        <w:tabs>
          <w:tab w:leader="none" w:pos="1993" w:val="left"/>
        </w:tabs>
        <w:numPr>
          <w:ilvl w:val="1"/>
          <w:numId w:val="89"/>
        </w:numPr>
        <w:rPr>
          <w:rFonts w:ascii="Arial" w:cs="Arial" w:eastAsia="Arial" w:hAnsi="Arial"/>
          <w:sz w:val="20"/>
          <w:szCs w:val="20"/>
          <w:b w:val="1"/>
          <w:bCs w:val="1"/>
          <w:color w:val="auto"/>
        </w:rPr>
      </w:pPr>
      <w:r>
        <w:rPr>
          <w:rFonts w:ascii="Arial" w:cs="Arial" w:eastAsia="Arial" w:hAnsi="Arial"/>
          <w:sz w:val="20"/>
          <w:szCs w:val="20"/>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0"/>
          <w:szCs w:val="20"/>
          <w:color w:val="auto"/>
        </w:rPr>
        <w:t>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91" w:lineRule="exact"/>
        <w:rPr>
          <w:sz w:val="20"/>
          <w:szCs w:val="20"/>
          <w:color w:val="auto"/>
        </w:rPr>
      </w:pPr>
    </w:p>
    <w:p>
      <w:pPr>
        <w:jc w:val="both"/>
        <w:ind w:firstLine="1505"/>
        <w:spacing w:after="0" w:line="243" w:lineRule="auto"/>
        <w:tabs>
          <w:tab w:leader="none" w:pos="2177"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86" w:lineRule="exact"/>
        <w:rPr>
          <w:rFonts w:ascii="Arial" w:cs="Arial" w:eastAsia="Arial" w:hAnsi="Arial"/>
          <w:sz w:val="20"/>
          <w:szCs w:val="20"/>
          <w:b w:val="1"/>
          <w:bCs w:val="1"/>
          <w:color w:val="auto"/>
        </w:rPr>
      </w:pPr>
    </w:p>
    <w:p>
      <w:pPr>
        <w:ind w:left="1340" w:hanging="583"/>
        <w:spacing w:after="0"/>
        <w:tabs>
          <w:tab w:leader="none" w:pos="134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WHOLE SHARES. </w:t>
      </w:r>
      <w:r>
        <w:rPr>
          <w:rFonts w:ascii="Arial" w:cs="Arial" w:eastAsia="Arial" w:hAnsi="Arial"/>
          <w:sz w:val="20"/>
          <w:szCs w:val="20"/>
          <w:color w:val="auto"/>
        </w:rPr>
        <w:t>You may exercise your option only for whole shares of Common Stock.</w:t>
      </w:r>
    </w:p>
    <w:p>
      <w:pPr>
        <w:spacing w:after="0" w:line="215" w:lineRule="exact"/>
        <w:rPr>
          <w:rFonts w:ascii="Arial" w:cs="Arial" w:eastAsia="Arial" w:hAnsi="Arial"/>
          <w:sz w:val="20"/>
          <w:szCs w:val="20"/>
          <w:b w:val="1"/>
          <w:bCs w:val="1"/>
          <w:color w:val="auto"/>
        </w:rPr>
      </w:pPr>
    </w:p>
    <w:p>
      <w:pPr>
        <w:jc w:val="both"/>
        <w:ind w:firstLine="757"/>
        <w:spacing w:after="0" w:line="260" w:lineRule="auto"/>
        <w:tabs>
          <w:tab w:leader="none" w:pos="1499"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In no event may you exercise your option unless the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72" w:lineRule="exact"/>
        <w:rPr>
          <w:rFonts w:ascii="Arial" w:cs="Arial" w:eastAsia="Arial" w:hAnsi="Arial"/>
          <w:sz w:val="19"/>
          <w:szCs w:val="19"/>
          <w:b w:val="1"/>
          <w:bCs w:val="1"/>
          <w:color w:val="auto"/>
        </w:rPr>
      </w:pPr>
    </w:p>
    <w:p>
      <w:pPr>
        <w:ind w:firstLine="757"/>
        <w:spacing w:after="0" w:line="267" w:lineRule="auto"/>
        <w:tabs>
          <w:tab w:leader="none" w:pos="1351"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You may not exercise your option before the Date of Grant or after the expiration of the option’s term. The term of</w:t>
      </w:r>
      <w:r>
        <w:rPr>
          <w:rFonts w:ascii="Arial" w:cs="Arial" w:eastAsia="Arial" w:hAnsi="Arial"/>
          <w:sz w:val="20"/>
          <w:szCs w:val="20"/>
          <w:b w:val="1"/>
          <w:bCs w:val="1"/>
          <w:color w:val="auto"/>
        </w:rPr>
        <w:t xml:space="preserve"> </w:t>
      </w:r>
      <w:r>
        <w:rPr>
          <w:rFonts w:ascii="Arial" w:cs="Arial" w:eastAsia="Arial" w:hAnsi="Arial"/>
          <w:sz w:val="20"/>
          <w:szCs w:val="20"/>
          <w:color w:val="auto"/>
        </w:rPr>
        <w:t>your option expires, subject to the provisions of Section 5(h) of the Plan, upon the earliest of the following:</w:t>
      </w:r>
    </w:p>
    <w:p>
      <w:pPr>
        <w:spacing w:after="0" w:line="169" w:lineRule="exact"/>
        <w:rPr>
          <w:rFonts w:ascii="Arial" w:cs="Arial" w:eastAsia="Arial" w:hAnsi="Arial"/>
          <w:sz w:val="20"/>
          <w:szCs w:val="20"/>
          <w:b w:val="1"/>
          <w:bCs w:val="1"/>
          <w:color w:val="auto"/>
        </w:rPr>
      </w:pPr>
    </w:p>
    <w:p>
      <w:pPr>
        <w:ind w:left="2140" w:hanging="635"/>
        <w:spacing w:after="0"/>
        <w:tabs>
          <w:tab w:leader="none" w:pos="2140" w:val="left"/>
        </w:tabs>
        <w:numPr>
          <w:ilvl w:val="1"/>
          <w:numId w:val="91"/>
        </w:numPr>
        <w:rPr>
          <w:rFonts w:ascii="Arial" w:cs="Arial" w:eastAsia="Arial" w:hAnsi="Arial"/>
          <w:sz w:val="20"/>
          <w:szCs w:val="20"/>
          <w:b w:val="1"/>
          <w:bCs w:val="1"/>
          <w:color w:val="auto"/>
        </w:rPr>
      </w:pPr>
      <w:r>
        <w:rPr>
          <w:rFonts w:ascii="Arial" w:cs="Arial" w:eastAsia="Arial" w:hAnsi="Arial"/>
          <w:sz w:val="20"/>
          <w:szCs w:val="20"/>
          <w:color w:val="auto"/>
        </w:rPr>
        <w:t>immediately upon the termination of your Continuous Service for Cause;</w:t>
      </w:r>
    </w:p>
    <w:p>
      <w:pPr>
        <w:spacing w:after="0" w:line="215" w:lineRule="exact"/>
        <w:rPr>
          <w:rFonts w:ascii="Arial" w:cs="Arial" w:eastAsia="Arial" w:hAnsi="Arial"/>
          <w:sz w:val="20"/>
          <w:szCs w:val="20"/>
          <w:b w:val="1"/>
          <w:bCs w:val="1"/>
          <w:color w:val="auto"/>
        </w:rPr>
      </w:pPr>
    </w:p>
    <w:p>
      <w:pPr>
        <w:jc w:val="both"/>
        <w:ind w:firstLine="1505"/>
        <w:spacing w:after="0" w:line="270" w:lineRule="auto"/>
        <w:tabs>
          <w:tab w:leader="none" w:pos="1979"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 xml:space="preserve">ninety (90) days after the termination of your Continuous Service for any reason other than Cause, your Disability or your death (except as otherwise provided in Section 8(d)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during any part of such ninety (90) day period your option is not exercisable solely because of the condition set forth in the section above regarding “Securities Law Compliance,” your option will not expire until the earlier of the Expiration Date or until it has been exercisable for an aggregate period of ninety (90) days after the termination of your Continuous Service;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if during any part of such ninety (90) day period, the sale of any Common Stock received upon exercise of your option would violate the Company’s insider trading policy, then your option will not expire until the earlier of the Expiration Date or until it has been exercisable for an aggregate period of ninety (90) days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ninety (90) days after the termination of your Continuous Service, and (y) the Expiration Date;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2" w:name="page113"/>
    <w:bookmarkEnd w:id="112"/>
    <w:p>
      <w:pPr>
        <w:ind w:firstLine="1505"/>
        <w:spacing w:after="0" w:line="260" w:lineRule="auto"/>
        <w:tabs>
          <w:tab w:leader="none" w:pos="2193"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7(d)) below;</w:t>
      </w:r>
    </w:p>
    <w:p>
      <w:pPr>
        <w:spacing w:after="0" w:line="176" w:lineRule="exact"/>
        <w:rPr>
          <w:rFonts w:ascii="Arial" w:cs="Arial" w:eastAsia="Arial" w:hAnsi="Arial"/>
          <w:sz w:val="20"/>
          <w:szCs w:val="20"/>
          <w:b w:val="1"/>
          <w:bCs w:val="1"/>
          <w:color w:val="auto"/>
        </w:rPr>
      </w:pPr>
    </w:p>
    <w:p>
      <w:pPr>
        <w:ind w:firstLine="1505"/>
        <w:spacing w:after="0" w:line="260" w:lineRule="auto"/>
        <w:tabs>
          <w:tab w:leader="none" w:pos="2133"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eighteen (18) months after your death if you die either during your Continuous Service or within ninety (90) days after your Continuous Service terminates for any reason other than Cause;</w:t>
      </w:r>
    </w:p>
    <w:p>
      <w:pPr>
        <w:spacing w:after="0" w:line="176" w:lineRule="exact"/>
        <w:rPr>
          <w:rFonts w:ascii="Arial" w:cs="Arial" w:eastAsia="Arial" w:hAnsi="Arial"/>
          <w:sz w:val="20"/>
          <w:szCs w:val="20"/>
          <w:b w:val="1"/>
          <w:bCs w:val="1"/>
          <w:color w:val="auto"/>
        </w:rPr>
      </w:pPr>
    </w:p>
    <w:p>
      <w:pPr>
        <w:ind w:left="2120" w:hanging="615"/>
        <w:spacing w:after="0"/>
        <w:tabs>
          <w:tab w:leader="none" w:pos="2120"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the Expiration Date indicated in your Grant Notice; or</w:t>
      </w:r>
    </w:p>
    <w:p>
      <w:pPr>
        <w:spacing w:after="0" w:line="215" w:lineRule="exact"/>
        <w:rPr>
          <w:rFonts w:ascii="Arial" w:cs="Arial" w:eastAsia="Arial" w:hAnsi="Arial"/>
          <w:sz w:val="20"/>
          <w:szCs w:val="20"/>
          <w:b w:val="1"/>
          <w:bCs w:val="1"/>
          <w:color w:val="auto"/>
        </w:rPr>
      </w:pPr>
    </w:p>
    <w:p>
      <w:pPr>
        <w:ind w:left="2100" w:hanging="595"/>
        <w:spacing w:after="0"/>
        <w:tabs>
          <w:tab w:leader="none" w:pos="2100"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the day before the tenth (10th) anniversary of the Date of Grant.</w:t>
      </w:r>
    </w:p>
    <w:p>
      <w:pPr>
        <w:spacing w:after="0" w:line="21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79" w:lineRule="exact"/>
        <w:rPr>
          <w:sz w:val="20"/>
          <w:szCs w:val="20"/>
          <w:color w:val="auto"/>
        </w:rPr>
      </w:pPr>
    </w:p>
    <w:p>
      <w:pPr>
        <w:ind w:left="1360" w:hanging="603"/>
        <w:spacing w:after="0"/>
        <w:tabs>
          <w:tab w:leader="none" w:pos="136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EXERCISE.</w:t>
      </w:r>
    </w:p>
    <w:p>
      <w:pPr>
        <w:spacing w:after="0" w:line="221" w:lineRule="exact"/>
        <w:rPr>
          <w:rFonts w:ascii="Arial" w:cs="Arial" w:eastAsia="Arial" w:hAnsi="Arial"/>
          <w:sz w:val="20"/>
          <w:szCs w:val="20"/>
          <w:b w:val="1"/>
          <w:bCs w:val="1"/>
          <w:color w:val="auto"/>
        </w:rPr>
      </w:pPr>
    </w:p>
    <w:p>
      <w:pPr>
        <w:jc w:val="both"/>
        <w:ind w:firstLine="1505"/>
        <w:spacing w:after="0" w:line="244" w:lineRule="auto"/>
        <w:tabs>
          <w:tab w:leader="none" w:pos="2167"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94" w:lineRule="exact"/>
        <w:rPr>
          <w:rFonts w:ascii="Arial" w:cs="Arial" w:eastAsia="Arial" w:hAnsi="Arial"/>
          <w:sz w:val="20"/>
          <w:szCs w:val="20"/>
          <w:b w:val="1"/>
          <w:bCs w:val="1"/>
          <w:color w:val="auto"/>
        </w:rPr>
      </w:pPr>
    </w:p>
    <w:p>
      <w:pPr>
        <w:jc w:val="both"/>
        <w:ind w:firstLine="1505"/>
        <w:spacing w:after="0" w:line="263" w:lineRule="auto"/>
        <w:tabs>
          <w:tab w:leader="none" w:pos="2124"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76" w:lineRule="exact"/>
        <w:rPr>
          <w:rFonts w:ascii="Arial" w:cs="Arial" w:eastAsia="Arial" w:hAnsi="Arial"/>
          <w:sz w:val="19"/>
          <w:szCs w:val="19"/>
          <w:b w:val="1"/>
          <w:bCs w:val="1"/>
          <w:color w:val="auto"/>
        </w:rPr>
      </w:pPr>
    </w:p>
    <w:p>
      <w:pPr>
        <w:jc w:val="both"/>
        <w:ind w:firstLine="1505"/>
        <w:spacing w:after="0" w:line="246" w:lineRule="auto"/>
        <w:tabs>
          <w:tab w:leader="none" w:pos="2138"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185" w:lineRule="exact"/>
        <w:rPr>
          <w:rFonts w:ascii="Arial" w:cs="Arial" w:eastAsia="Arial" w:hAnsi="Arial"/>
          <w:sz w:val="20"/>
          <w:szCs w:val="20"/>
          <w:b w:val="1"/>
          <w:bCs w:val="1"/>
          <w:color w:val="auto"/>
        </w:rPr>
      </w:pPr>
    </w:p>
    <w:p>
      <w:pPr>
        <w:ind w:firstLine="757"/>
        <w:spacing w:after="0" w:line="267" w:lineRule="auto"/>
        <w:tabs>
          <w:tab w:leader="none" w:pos="1349"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Except as otherwise provided in this Section 9, your option is not transferable, except by will or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descent and distribution, and is exercisable during your life only by you.</w:t>
      </w:r>
    </w:p>
    <w:p>
      <w:pPr>
        <w:spacing w:after="0" w:line="163" w:lineRule="exact"/>
        <w:rPr>
          <w:rFonts w:ascii="Arial" w:cs="Arial" w:eastAsia="Arial" w:hAnsi="Arial"/>
          <w:sz w:val="20"/>
          <w:szCs w:val="20"/>
          <w:b w:val="1"/>
          <w:bCs w:val="1"/>
          <w:color w:val="auto"/>
        </w:rPr>
      </w:pPr>
    </w:p>
    <w:p>
      <w:pPr>
        <w:jc w:val="both"/>
        <w:ind w:firstLine="1505"/>
        <w:spacing w:after="0" w:line="294" w:lineRule="auto"/>
        <w:tabs>
          <w:tab w:leader="none" w:pos="2014"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Trusts. </w:t>
      </w:r>
      <w:r>
        <w:rPr>
          <w:rFonts w:ascii="Arial" w:cs="Arial" w:eastAsia="Arial" w:hAnsi="Arial"/>
          <w:sz w:val="18"/>
          <w:szCs w:val="18"/>
          <w:color w:val="auto"/>
        </w:rPr>
        <w:t>Upon receiving written permission from the Board or its duly authorized designee,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3" w:name="page114"/>
    <w:bookmarkEnd w:id="113"/>
    <w:p>
      <w:pPr>
        <w:jc w:val="both"/>
        <w:ind w:firstLine="1505"/>
        <w:spacing w:after="0" w:line="243" w:lineRule="auto"/>
        <w:tabs>
          <w:tab w:leader="none" w:pos="2144" w:val="left"/>
        </w:tabs>
        <w:numPr>
          <w:ilvl w:val="1"/>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Upon receiving written permission from the Board or its duly authorized designee,</w:t>
      </w:r>
      <w:r>
        <w:rPr>
          <w:rFonts w:ascii="Arial" w:cs="Arial" w:eastAsia="Arial" w:hAnsi="Arial"/>
          <w:sz w:val="20"/>
          <w:szCs w:val="20"/>
          <w:b w:val="1"/>
          <w:bCs w:val="1"/>
          <w:color w:val="auto"/>
        </w:rPr>
        <w:t xml:space="preserve"> </w:t>
      </w:r>
      <w:r>
        <w:rPr>
          <w:rFonts w:ascii="Arial" w:cs="Arial" w:eastAsia="Arial" w:hAnsi="Arial"/>
          <w:sz w:val="20"/>
          <w:szCs w:val="20"/>
          <w:color w:val="auto"/>
        </w:rPr>
        <w:t>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9" w:lineRule="exact"/>
        <w:rPr>
          <w:rFonts w:ascii="Arial" w:cs="Arial" w:eastAsia="Arial" w:hAnsi="Arial"/>
          <w:sz w:val="20"/>
          <w:szCs w:val="20"/>
          <w:b w:val="1"/>
          <w:bCs w:val="1"/>
          <w:color w:val="auto"/>
        </w:rPr>
      </w:pPr>
    </w:p>
    <w:p>
      <w:pPr>
        <w:jc w:val="both"/>
        <w:ind w:firstLine="1505"/>
        <w:spacing w:after="0" w:line="322" w:lineRule="auto"/>
        <w:tabs>
          <w:tab w:leader="none" w:pos="2137" w:val="left"/>
        </w:tabs>
        <w:numPr>
          <w:ilvl w:val="1"/>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Upon receiving written permission from the Board or its duly authorized designee, you</w:t>
      </w:r>
      <w:r>
        <w:rPr>
          <w:rFonts w:ascii="Arial" w:cs="Arial" w:eastAsia="Arial" w:hAnsi="Arial"/>
          <w:sz w:val="16"/>
          <w:szCs w:val="16"/>
          <w:b w:val="1"/>
          <w:bCs w:val="1"/>
          <w:color w:val="auto"/>
        </w:rPr>
        <w:t xml:space="preserve"> </w:t>
      </w:r>
      <w:r>
        <w:rPr>
          <w:rFonts w:ascii="Arial" w:cs="Arial" w:eastAsia="Arial" w:hAnsi="Arial"/>
          <w:sz w:val="16"/>
          <w:szCs w:val="16"/>
          <w:color w:val="auto"/>
        </w:rPr>
        <w:t>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29" w:lineRule="exact"/>
        <w:rPr>
          <w:rFonts w:ascii="Arial" w:cs="Arial" w:eastAsia="Arial" w:hAnsi="Arial"/>
          <w:sz w:val="16"/>
          <w:szCs w:val="16"/>
          <w:b w:val="1"/>
          <w:bCs w:val="1"/>
          <w:color w:val="auto"/>
        </w:rPr>
      </w:pPr>
    </w:p>
    <w:p>
      <w:pPr>
        <w:jc w:val="both"/>
        <w:ind w:firstLine="757"/>
        <w:spacing w:after="0" w:line="246" w:lineRule="auto"/>
        <w:tabs>
          <w:tab w:leader="none" w:pos="1446"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OPTION NOT A SERVICE CONTRACT. </w:t>
      </w:r>
      <w:r>
        <w:rPr>
          <w:rFonts w:ascii="Arial" w:cs="Arial" w:eastAsia="Arial" w:hAnsi="Arial"/>
          <w:sz w:val="20"/>
          <w:szCs w:val="20"/>
          <w:color w:val="auto"/>
        </w:rPr>
        <w:t>Your option is not an employment or service contract, and nothing in your</w:t>
      </w:r>
      <w:r>
        <w:rPr>
          <w:rFonts w:ascii="Arial" w:cs="Arial" w:eastAsia="Arial" w:hAnsi="Arial"/>
          <w:sz w:val="20"/>
          <w:szCs w:val="20"/>
          <w:b w:val="1"/>
          <w:bCs w:val="1"/>
          <w:color w:val="auto"/>
        </w:rPr>
        <w:t xml:space="preserve"> </w:t>
      </w:r>
      <w:r>
        <w:rPr>
          <w:rFonts w:ascii="Arial" w:cs="Arial" w:eastAsia="Arial" w:hAnsi="Arial"/>
          <w:sz w:val="20"/>
          <w:szCs w:val="20"/>
          <w:color w:val="auto"/>
        </w:rPr>
        <w:t>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84" w:lineRule="exact"/>
        <w:rPr>
          <w:rFonts w:ascii="Arial" w:cs="Arial" w:eastAsia="Arial" w:hAnsi="Arial"/>
          <w:sz w:val="20"/>
          <w:szCs w:val="20"/>
          <w:b w:val="1"/>
          <w:bCs w:val="1"/>
          <w:color w:val="auto"/>
        </w:rPr>
      </w:pPr>
    </w:p>
    <w:p>
      <w:pPr>
        <w:ind w:left="1340" w:hanging="583"/>
        <w:spacing w:after="0"/>
        <w:tabs>
          <w:tab w:leader="none" w:pos="134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OBLIGATIONS.</w:t>
      </w:r>
    </w:p>
    <w:p>
      <w:pPr>
        <w:spacing w:after="0" w:line="221" w:lineRule="exact"/>
        <w:rPr>
          <w:rFonts w:ascii="Arial" w:cs="Arial" w:eastAsia="Arial" w:hAnsi="Arial"/>
          <w:sz w:val="20"/>
          <w:szCs w:val="20"/>
          <w:b w:val="1"/>
          <w:bCs w:val="1"/>
          <w:color w:val="auto"/>
        </w:rPr>
      </w:pPr>
    </w:p>
    <w:p>
      <w:pPr>
        <w:jc w:val="both"/>
        <w:ind w:firstLine="1505"/>
        <w:spacing w:after="0" w:line="278" w:lineRule="auto"/>
        <w:tabs>
          <w:tab w:leader="none" w:pos="2154"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64" w:lineRule="exact"/>
        <w:rPr>
          <w:rFonts w:ascii="Arial" w:cs="Arial" w:eastAsia="Arial" w:hAnsi="Arial"/>
          <w:sz w:val="18"/>
          <w:szCs w:val="18"/>
          <w:b w:val="1"/>
          <w:bCs w:val="1"/>
          <w:color w:val="auto"/>
        </w:rPr>
      </w:pPr>
    </w:p>
    <w:p>
      <w:pPr>
        <w:jc w:val="both"/>
        <w:ind w:firstLine="1505"/>
        <w:spacing w:after="0" w:line="257" w:lineRule="auto"/>
        <w:tabs>
          <w:tab w:leader="none" w:pos="2109" w:val="left"/>
        </w:tabs>
        <w:numPr>
          <w:ilvl w:val="1"/>
          <w:numId w:val="95"/>
        </w:numPr>
        <w:rPr>
          <w:rFonts w:ascii="Arial" w:cs="Arial" w:eastAsia="Arial" w:hAnsi="Arial"/>
          <w:sz w:val="19"/>
          <w:szCs w:val="19"/>
          <w:b w:val="1"/>
          <w:bCs w:val="1"/>
          <w:color w:val="auto"/>
        </w:rPr>
      </w:pPr>
      <w:r>
        <w:rPr>
          <w:rFonts w:ascii="Arial" w:cs="Arial" w:eastAsia="Arial" w:hAnsi="Arial"/>
          <w:sz w:val="19"/>
          <w:szCs w:val="19"/>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0" w:lineRule="exact"/>
        <w:rPr>
          <w:rFonts w:ascii="Arial" w:cs="Arial" w:eastAsia="Arial" w:hAnsi="Arial"/>
          <w:sz w:val="19"/>
          <w:szCs w:val="19"/>
          <w:b w:val="1"/>
          <w:bCs w:val="1"/>
          <w:color w:val="auto"/>
        </w:rPr>
      </w:pPr>
    </w:p>
    <w:p>
      <w:pPr>
        <w:jc w:val="both"/>
        <w:ind w:firstLine="1505"/>
        <w:spacing w:after="0" w:line="250" w:lineRule="auto"/>
        <w:tabs>
          <w:tab w:leader="none" w:pos="2167" w:val="left"/>
        </w:tabs>
        <w:numPr>
          <w:ilvl w:val="1"/>
          <w:numId w:val="95"/>
        </w:numPr>
        <w:rPr>
          <w:rFonts w:ascii="Arial" w:cs="Arial" w:eastAsia="Arial" w:hAnsi="Arial"/>
          <w:sz w:val="20"/>
          <w:szCs w:val="20"/>
          <w:b w:val="1"/>
          <w:bCs w:val="1"/>
          <w:color w:val="auto"/>
        </w:rPr>
      </w:pPr>
      <w:r>
        <w:rPr>
          <w:rFonts w:ascii="Arial" w:cs="Arial" w:eastAsia="Arial" w:hAnsi="Arial"/>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spacing w:after="0" w:line="260" w:lineRule="auto"/>
        <w:rPr>
          <w:sz w:val="20"/>
          <w:szCs w:val="20"/>
          <w:color w:val="auto"/>
        </w:rPr>
      </w:pPr>
      <w:r>
        <w:rPr>
          <w:rFonts w:ascii="Arial" w:cs="Arial" w:eastAsia="Arial" w:hAnsi="Arial"/>
          <w:sz w:val="20"/>
          <w:szCs w:val="20"/>
          <w:color w:val="auto"/>
        </w:rPr>
        <w:t>for such shares of Common Stock or release such shares of Common Stock from any escrow provided for herein, if applicable, unless such obligations are satisfied.</w:t>
      </w:r>
    </w:p>
    <w:p>
      <w:pPr>
        <w:spacing w:after="0" w:line="171" w:lineRule="exact"/>
        <w:rPr>
          <w:sz w:val="20"/>
          <w:szCs w:val="20"/>
          <w:color w:val="auto"/>
        </w:rPr>
      </w:pPr>
    </w:p>
    <w:p>
      <w:pPr>
        <w:jc w:val="both"/>
        <w:ind w:firstLine="757"/>
        <w:spacing w:after="0" w:line="245" w:lineRule="auto"/>
        <w:tabs>
          <w:tab w:leader="none" w:pos="1386"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TAX CONSEQUENCES</w:t>
      </w:r>
      <w:r>
        <w:rPr>
          <w:rFonts w:ascii="Arial" w:cs="Arial" w:eastAsia="Arial" w:hAnsi="Arial"/>
          <w:sz w:val="20"/>
          <w:szCs w:val="20"/>
          <w:color w:val="auto"/>
        </w:rPr>
        <w:t>. You hereby agree that the Company does not have a duty to design or administer the Plan or its</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84" w:lineRule="exact"/>
        <w:rPr>
          <w:rFonts w:ascii="Arial" w:cs="Arial" w:eastAsia="Arial" w:hAnsi="Arial"/>
          <w:sz w:val="20"/>
          <w:szCs w:val="20"/>
          <w:b w:val="1"/>
          <w:bCs w:val="1"/>
          <w:color w:val="auto"/>
        </w:rPr>
      </w:pPr>
    </w:p>
    <w:p>
      <w:pPr>
        <w:jc w:val="both"/>
        <w:ind w:firstLine="757"/>
        <w:spacing w:after="0" w:line="244" w:lineRule="auto"/>
        <w:tabs>
          <w:tab w:leader="none" w:pos="138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Any notices provided for in your option or the Plan will be given in writing (including electronically) and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5" w:lineRule="exact"/>
        <w:rPr>
          <w:rFonts w:ascii="Arial" w:cs="Arial" w:eastAsia="Arial" w:hAnsi="Arial"/>
          <w:sz w:val="20"/>
          <w:szCs w:val="20"/>
          <w:b w:val="1"/>
          <w:bCs w:val="1"/>
          <w:color w:val="auto"/>
        </w:rPr>
      </w:pPr>
    </w:p>
    <w:p>
      <w:pPr>
        <w:jc w:val="both"/>
        <w:ind w:firstLine="757"/>
        <w:spacing w:after="0" w:line="277" w:lineRule="auto"/>
        <w:tabs>
          <w:tab w:leader="none" w:pos="1396"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PLAN DOCUMENT. </w:t>
      </w:r>
      <w:r>
        <w:rPr>
          <w:rFonts w:ascii="Arial" w:cs="Arial" w:eastAsia="Arial" w:hAnsi="Arial"/>
          <w:sz w:val="18"/>
          <w:szCs w:val="18"/>
          <w:color w:val="auto"/>
        </w:rPr>
        <w:t>Your option is subject to all the provisions of the Plan, the provisions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59" w:lineRule="exact"/>
        <w:rPr>
          <w:rFonts w:ascii="Arial" w:cs="Arial" w:eastAsia="Arial" w:hAnsi="Arial"/>
          <w:sz w:val="18"/>
          <w:szCs w:val="18"/>
          <w:b w:val="1"/>
          <w:bCs w:val="1"/>
          <w:color w:val="auto"/>
        </w:rPr>
      </w:pPr>
    </w:p>
    <w:p>
      <w:pPr>
        <w:jc w:val="both"/>
        <w:ind w:firstLine="757"/>
        <w:spacing w:after="0" w:line="248" w:lineRule="auto"/>
        <w:tabs>
          <w:tab w:leader="none" w:pos="1627"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DOCUMENTS. </w:t>
      </w:r>
      <w:r>
        <w:rPr>
          <w:rFonts w:ascii="Arial" w:cs="Arial" w:eastAsia="Arial" w:hAnsi="Arial"/>
          <w:sz w:val="20"/>
          <w:szCs w:val="20"/>
          <w:color w:val="auto"/>
        </w:rPr>
        <w:t>You hereby acknowledge receipt of and the right to receive a document providing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83" w:lineRule="exact"/>
        <w:rPr>
          <w:rFonts w:ascii="Arial" w:cs="Arial" w:eastAsia="Arial" w:hAnsi="Arial"/>
          <w:sz w:val="20"/>
          <w:szCs w:val="20"/>
          <w:b w:val="1"/>
          <w:bCs w:val="1"/>
          <w:color w:val="auto"/>
        </w:rPr>
      </w:pPr>
    </w:p>
    <w:p>
      <w:pPr>
        <w:jc w:val="both"/>
        <w:ind w:firstLine="757"/>
        <w:spacing w:after="0" w:line="248" w:lineRule="auto"/>
        <w:tabs>
          <w:tab w:leader="none" w:pos="1381"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EFFECT ON OTHER EMPLOYEE BENEFIT PLANS. </w:t>
      </w:r>
      <w:r>
        <w:rPr>
          <w:rFonts w:ascii="Arial" w:cs="Arial" w:eastAsia="Arial" w:hAnsi="Arial"/>
          <w:sz w:val="20"/>
          <w:szCs w:val="20"/>
          <w:color w:val="auto"/>
        </w:rPr>
        <w:t>The value of this option will not be included as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3" w:lineRule="exact"/>
        <w:rPr>
          <w:rFonts w:ascii="Arial" w:cs="Arial" w:eastAsia="Arial" w:hAnsi="Arial"/>
          <w:sz w:val="20"/>
          <w:szCs w:val="20"/>
          <w:b w:val="1"/>
          <w:bCs w:val="1"/>
          <w:color w:val="auto"/>
        </w:rPr>
      </w:pPr>
    </w:p>
    <w:p>
      <w:pPr>
        <w:jc w:val="both"/>
        <w:ind w:firstLine="757"/>
        <w:spacing w:after="0" w:line="265" w:lineRule="auto"/>
        <w:tabs>
          <w:tab w:leader="none" w:pos="1468"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VOTING RIGHTS. </w:t>
      </w:r>
      <w:r>
        <w:rPr>
          <w:rFonts w:ascii="Arial" w:cs="Arial" w:eastAsia="Arial" w:hAnsi="Arial"/>
          <w:sz w:val="19"/>
          <w:szCs w:val="19"/>
          <w:color w:val="auto"/>
        </w:rPr>
        <w:t>You will not have voting or any other rights as a stockholder of the Company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69" w:lineRule="exact"/>
        <w:rPr>
          <w:rFonts w:ascii="Arial" w:cs="Arial" w:eastAsia="Arial" w:hAnsi="Arial"/>
          <w:sz w:val="19"/>
          <w:szCs w:val="19"/>
          <w:b w:val="1"/>
          <w:bCs w:val="1"/>
          <w:color w:val="auto"/>
        </w:rPr>
      </w:pPr>
    </w:p>
    <w:p>
      <w:pPr>
        <w:jc w:val="both"/>
        <w:ind w:firstLine="757"/>
        <w:spacing w:after="0" w:line="253" w:lineRule="auto"/>
        <w:tabs>
          <w:tab w:leader="none" w:pos="1528"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all or any part of this Option Agreement or the Plan is declared by any court or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to be unlawful or invalid, such unlawfulness or invalidity will not invalidate any portion of this Option Agreement or the Plan not declared to be unlawful or invalid. Any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5" w:name="page116"/>
    <w:bookmarkEnd w:id="115"/>
    <w:p>
      <w:pPr>
        <w:spacing w:after="0" w:line="316" w:lineRule="auto"/>
        <w:rPr>
          <w:sz w:val="20"/>
          <w:szCs w:val="20"/>
          <w:color w:val="auto"/>
        </w:rPr>
      </w:pPr>
      <w:r>
        <w:rPr>
          <w:rFonts w:ascii="Arial" w:cs="Arial" w:eastAsia="Arial" w:hAnsi="Arial"/>
          <w:sz w:val="18"/>
          <w:szCs w:val="18"/>
          <w:color w:val="auto"/>
        </w:rPr>
        <w:t>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24" w:lineRule="exact"/>
        <w:rPr>
          <w:sz w:val="20"/>
          <w:szCs w:val="20"/>
          <w:color w:val="auto"/>
        </w:rPr>
      </w:pPr>
    </w:p>
    <w:p>
      <w:pPr>
        <w:ind w:left="1360" w:hanging="603"/>
        <w:spacing w:after="0"/>
        <w:tabs>
          <w:tab w:leader="none" w:pos="136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505"/>
        <w:spacing w:after="0" w:line="250" w:lineRule="auto"/>
        <w:tabs>
          <w:tab w:leader="none" w:pos="2200"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85" w:lineRule="exact"/>
        <w:rPr>
          <w:rFonts w:ascii="Arial" w:cs="Arial" w:eastAsia="Arial" w:hAnsi="Arial"/>
          <w:sz w:val="20"/>
          <w:szCs w:val="20"/>
          <w:b w:val="1"/>
          <w:bCs w:val="1"/>
          <w:color w:val="auto"/>
        </w:rPr>
      </w:pPr>
    </w:p>
    <w:p>
      <w:pPr>
        <w:ind w:firstLine="1505"/>
        <w:spacing w:after="0" w:line="260" w:lineRule="auto"/>
        <w:tabs>
          <w:tab w:leader="none" w:pos="2314"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option.</w:t>
      </w:r>
    </w:p>
    <w:p>
      <w:pPr>
        <w:spacing w:after="0" w:line="176" w:lineRule="exact"/>
        <w:rPr>
          <w:rFonts w:ascii="Arial" w:cs="Arial" w:eastAsia="Arial" w:hAnsi="Arial"/>
          <w:sz w:val="20"/>
          <w:szCs w:val="20"/>
          <w:b w:val="1"/>
          <w:bCs w:val="1"/>
          <w:color w:val="auto"/>
        </w:rPr>
      </w:pPr>
    </w:p>
    <w:p>
      <w:pPr>
        <w:ind w:firstLine="1505"/>
        <w:spacing w:after="0" w:line="287" w:lineRule="auto"/>
        <w:tabs>
          <w:tab w:leader="none" w:pos="2171" w:val="left"/>
        </w:tabs>
        <w:numPr>
          <w:ilvl w:val="1"/>
          <w:numId w:val="97"/>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52" w:lineRule="exact"/>
        <w:rPr>
          <w:rFonts w:ascii="Arial" w:cs="Arial" w:eastAsia="Arial" w:hAnsi="Arial"/>
          <w:sz w:val="19"/>
          <w:szCs w:val="19"/>
          <w:b w:val="1"/>
          <w:bCs w:val="1"/>
          <w:color w:val="auto"/>
        </w:rPr>
      </w:pPr>
    </w:p>
    <w:p>
      <w:pPr>
        <w:ind w:firstLine="1505"/>
        <w:spacing w:after="0" w:line="260" w:lineRule="auto"/>
        <w:tabs>
          <w:tab w:leader="none" w:pos="2128"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This Option Agreement will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b w:val="1"/>
          <w:bCs w:val="1"/>
          <w:color w:val="auto"/>
        </w:rPr>
      </w:pPr>
    </w:p>
    <w:p>
      <w:pPr>
        <w:jc w:val="both"/>
        <w:ind w:firstLine="1505"/>
        <w:spacing w:after="0" w:line="250" w:lineRule="auto"/>
        <w:tabs>
          <w:tab w:leader="none" w:pos="2143"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Option Agreement will be deemed to be signed by you upon the signing by you of the Stock Option Grant Notice to which it 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attached.</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288072048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6" w:name="page117"/>
    <w:bookmarkEnd w:id="1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INDUCEMENT PLAN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21, 2023</w:t>
      </w:r>
    </w:p>
    <w:p>
      <w:pPr>
        <w:spacing w:after="0" w:line="333" w:lineRule="exact"/>
        <w:rPr>
          <w:sz w:val="20"/>
          <w:szCs w:val="20"/>
          <w:color w:val="auto"/>
        </w:rPr>
      </w:pPr>
    </w:p>
    <w:p>
      <w:pPr>
        <w:ind w:left="380" w:hanging="372"/>
        <w:spacing w:after="0"/>
        <w:tabs>
          <w:tab w:leader="none" w:pos="3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rFonts w:ascii="Arial" w:cs="Arial" w:eastAsia="Arial" w:hAnsi="Arial"/>
          <w:sz w:val="18"/>
          <w:szCs w:val="18"/>
          <w:b w:val="1"/>
          <w:bCs w:val="1"/>
          <w:color w:val="auto"/>
        </w:rPr>
      </w:pPr>
    </w:p>
    <w:p>
      <w:pPr>
        <w:ind w:firstLine="757"/>
        <w:spacing w:after="0" w:line="289" w:lineRule="auto"/>
        <w:tabs>
          <w:tab w:leader="none" w:pos="972"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Eligible Award Recipients. </w:t>
      </w:r>
      <w:r>
        <w:rPr>
          <w:rFonts w:ascii="Arial" w:cs="Arial" w:eastAsia="Arial" w:hAnsi="Arial"/>
          <w:sz w:val="16"/>
          <w:szCs w:val="16"/>
          <w:color w:val="auto"/>
        </w:rPr>
        <w:t>The only persons eligible to receive grants of Awards under this Plan are individuals who satisfy the standards for</w:t>
      </w:r>
      <w:r>
        <w:rPr>
          <w:rFonts w:ascii="Arial" w:cs="Arial" w:eastAsia="Arial" w:hAnsi="Arial"/>
          <w:sz w:val="16"/>
          <w:szCs w:val="16"/>
          <w:b w:val="1"/>
          <w:bCs w:val="1"/>
          <w:color w:val="auto"/>
        </w:rPr>
        <w:t xml:space="preserve"> </w:t>
      </w:r>
      <w:r>
        <w:rPr>
          <w:rFonts w:ascii="Arial" w:cs="Arial" w:eastAsia="Arial" w:hAnsi="Arial"/>
          <w:sz w:val="16"/>
          <w:szCs w:val="16"/>
          <w:color w:val="auto"/>
        </w:rPr>
        <w:t>inducement grants under Nasdaq Marketplace Rule 5635(c)(4) or 5635(c)(3), if applicable, and the related guidance under Nasdaq IM 5635-1. A person who previously served as an Employee or Director will not be eligible to receive Awards under the Plan, other than following a bona fide period of non-employment. Persons eligible to receive grants of Awards under this Plan are referred to in this Plan as “</w:t>
      </w:r>
      <w:r>
        <w:rPr>
          <w:rFonts w:ascii="Arial" w:cs="Arial" w:eastAsia="Arial" w:hAnsi="Arial"/>
          <w:sz w:val="16"/>
          <w:szCs w:val="16"/>
          <w:b w:val="1"/>
          <w:bCs w:val="1"/>
          <w:i w:val="1"/>
          <w:iCs w:val="1"/>
          <w:color w:val="auto"/>
        </w:rPr>
        <w:t>Eligible Employees</w:t>
      </w:r>
      <w:r>
        <w:rPr>
          <w:rFonts w:ascii="Arial" w:cs="Arial" w:eastAsia="Arial" w:hAnsi="Arial"/>
          <w:sz w:val="16"/>
          <w:szCs w:val="16"/>
          <w:color w:val="auto"/>
        </w:rPr>
        <w:t>.” These Awards must be approved by either a majority of the Company’s “Independent Directors” (as such term is defined in Nasdaq Marketplace Rule 5605(a)(2)) (“</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or the Company’s compensation committee, provided such committee is comprised solely of Independent Directors of the Company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Compensation Committee</w:t>
      </w:r>
      <w:r>
        <w:rPr>
          <w:rFonts w:ascii="Arial" w:cs="Arial" w:eastAsia="Arial" w:hAnsi="Arial"/>
          <w:sz w:val="16"/>
          <w:szCs w:val="16"/>
          <w:color w:val="auto"/>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Arial" w:cs="Arial" w:eastAsia="Arial" w:hAnsi="Arial"/>
          <w:sz w:val="16"/>
          <w:szCs w:val="16"/>
          <w:b w:val="1"/>
          <w:bCs w:val="1"/>
          <w:i w:val="1"/>
          <w:iCs w:val="1"/>
          <w:color w:val="auto"/>
        </w:rPr>
        <w:t>Inducement Award Rules</w:t>
      </w:r>
      <w:r>
        <w:rPr>
          <w:rFonts w:ascii="Arial" w:cs="Arial" w:eastAsia="Arial" w:hAnsi="Arial"/>
          <w:sz w:val="16"/>
          <w:szCs w:val="16"/>
          <w:color w:val="auto"/>
        </w:rPr>
        <w:t>”).</w:t>
      </w:r>
    </w:p>
    <w:p>
      <w:pPr>
        <w:spacing w:after="0" w:line="58" w:lineRule="exact"/>
        <w:rPr>
          <w:rFonts w:ascii="Arial" w:cs="Arial" w:eastAsia="Arial" w:hAnsi="Arial"/>
          <w:sz w:val="16"/>
          <w:szCs w:val="16"/>
          <w:b w:val="1"/>
          <w:bCs w:val="1"/>
          <w:color w:val="auto"/>
        </w:rPr>
      </w:pPr>
    </w:p>
    <w:p>
      <w:pPr>
        <w:ind w:right="180" w:firstLine="757"/>
        <w:spacing w:after="0" w:line="289" w:lineRule="auto"/>
        <w:tabs>
          <w:tab w:leader="none" w:pos="982" w:val="left"/>
        </w:tabs>
        <w:numPr>
          <w:ilvl w:val="1"/>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Awards: (i) Nonstatutory Stock Options, (ii) Stock Appreciation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(iii) Restricted Stock Awards, (iv) Restricted Stock Unit Awards, (v) Performance Stock Awards, (vii) Performance Cash Awards, and (vii) Other Stock Awards.</w:t>
      </w:r>
    </w:p>
    <w:p>
      <w:pPr>
        <w:spacing w:after="0" w:line="76" w:lineRule="exact"/>
        <w:rPr>
          <w:rFonts w:ascii="Arial" w:cs="Arial" w:eastAsia="Arial" w:hAnsi="Arial"/>
          <w:sz w:val="17"/>
          <w:szCs w:val="17"/>
          <w:b w:val="1"/>
          <w:bCs w:val="1"/>
          <w:color w:val="auto"/>
        </w:rPr>
      </w:pPr>
    </w:p>
    <w:p>
      <w:pPr>
        <w:ind w:right="200" w:firstLine="757"/>
        <w:spacing w:after="0" w:line="303" w:lineRule="auto"/>
        <w:tabs>
          <w:tab w:leader="none" w:pos="962"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Plan, through the grant of Awards, is intended to provide (i) an inducement material for certain individuals to enter into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within the meaning of Rule 5635(c)(4) of the Nasdaq Marketplace Rules, (ii) incentives for Eligible Employees to exert maximum efforts for the success of the Company and any Affiliate and (iii) a means by which Eligible Employees may benefit from increases in value of the Common Stock.</w:t>
      </w:r>
    </w:p>
    <w:p>
      <w:pPr>
        <w:spacing w:after="0" w:line="42" w:lineRule="exact"/>
        <w:rPr>
          <w:rFonts w:ascii="Arial" w:cs="Arial" w:eastAsia="Arial" w:hAnsi="Arial"/>
          <w:sz w:val="16"/>
          <w:szCs w:val="16"/>
          <w:b w:val="1"/>
          <w:bCs w:val="1"/>
          <w:color w:val="auto"/>
        </w:rPr>
      </w:pPr>
    </w:p>
    <w:p>
      <w:pPr>
        <w:ind w:left="380" w:hanging="372"/>
        <w:spacing w:after="0"/>
        <w:tabs>
          <w:tab w:leader="none" w:pos="3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17" w:lineRule="exact"/>
        <w:rPr>
          <w:rFonts w:ascii="Arial" w:cs="Arial" w:eastAsia="Arial" w:hAnsi="Arial"/>
          <w:sz w:val="18"/>
          <w:szCs w:val="18"/>
          <w:b w:val="1"/>
          <w:bCs w:val="1"/>
          <w:color w:val="auto"/>
        </w:rPr>
      </w:pPr>
    </w:p>
    <w:p>
      <w:pPr>
        <w:ind w:right="160" w:firstLine="757"/>
        <w:spacing w:after="0" w:line="281" w:lineRule="auto"/>
        <w:tabs>
          <w:tab w:leader="none" w:pos="972" w:val="left"/>
        </w:tabs>
        <w:numPr>
          <w:ilvl w:val="1"/>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by Board. </w:t>
      </w:r>
      <w:r>
        <w:rPr>
          <w:rFonts w:ascii="Arial" w:cs="Arial" w:eastAsia="Arial" w:hAnsi="Arial"/>
          <w:sz w:val="17"/>
          <w:szCs w:val="17"/>
          <w:color w:val="auto"/>
        </w:rPr>
        <w:t>The Board will administer the Plan; provided however, that Awards may only be granted by either (i) a majority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Section 2(c).</w:t>
      </w:r>
    </w:p>
    <w:p>
      <w:pPr>
        <w:spacing w:after="0" w:line="56" w:lineRule="exact"/>
        <w:rPr>
          <w:rFonts w:ascii="Arial" w:cs="Arial" w:eastAsia="Arial" w:hAnsi="Arial"/>
          <w:sz w:val="17"/>
          <w:szCs w:val="17"/>
          <w:b w:val="1"/>
          <w:bCs w:val="1"/>
          <w:color w:val="auto"/>
        </w:rPr>
      </w:pPr>
    </w:p>
    <w:p>
      <w:pPr>
        <w:ind w:right="660" w:firstLine="757"/>
        <w:spacing w:after="0" w:line="312" w:lineRule="auto"/>
        <w:tabs>
          <w:tab w:leader="none" w:pos="982" w:val="left"/>
        </w:tabs>
        <w:numPr>
          <w:ilvl w:val="1"/>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 Plan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Inducement Award Rules:</w:t>
      </w:r>
    </w:p>
    <w:p>
      <w:pPr>
        <w:spacing w:after="0" w:line="35" w:lineRule="exact"/>
        <w:rPr>
          <w:rFonts w:ascii="Arial" w:cs="Arial" w:eastAsia="Arial" w:hAnsi="Arial"/>
          <w:sz w:val="17"/>
          <w:szCs w:val="17"/>
          <w:b w:val="1"/>
          <w:bCs w:val="1"/>
          <w:color w:val="auto"/>
        </w:rPr>
      </w:pPr>
    </w:p>
    <w:p>
      <w:pPr>
        <w:ind w:right="60" w:firstLine="1505"/>
        <w:spacing w:after="0" w:line="257" w:lineRule="auto"/>
        <w:tabs>
          <w:tab w:leader="none" w:pos="1681" w:val="left"/>
        </w:tabs>
        <w:numPr>
          <w:ilvl w:val="2"/>
          <w:numId w:val="98"/>
        </w:numPr>
        <w:rPr>
          <w:rFonts w:ascii="Arial" w:cs="Arial" w:eastAsia="Arial" w:hAnsi="Arial"/>
          <w:sz w:val="18"/>
          <w:szCs w:val="18"/>
          <w:b w:val="1"/>
          <w:bCs w:val="1"/>
          <w:color w:val="auto"/>
        </w:rPr>
      </w:pPr>
      <w:r>
        <w:rPr>
          <w:rFonts w:ascii="Arial" w:cs="Arial" w:eastAsia="Arial" w:hAnsi="Arial"/>
          <w:sz w:val="18"/>
          <w:szCs w:val="18"/>
          <w:color w:val="auto"/>
        </w:rPr>
        <w:t xml:space="preserve">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Awards may only be granted by either (i) a majority of the Company’s Independent Directors or (ii) the Independent Compensation Committee.</w:t>
      </w:r>
    </w:p>
    <w:p>
      <w:pPr>
        <w:spacing w:after="0" w:line="79" w:lineRule="exact"/>
        <w:rPr>
          <w:rFonts w:ascii="Arial" w:cs="Arial" w:eastAsia="Arial" w:hAnsi="Arial"/>
          <w:sz w:val="18"/>
          <w:szCs w:val="18"/>
          <w:b w:val="1"/>
          <w:bCs w:val="1"/>
          <w:color w:val="auto"/>
        </w:rPr>
      </w:pPr>
    </w:p>
    <w:p>
      <w:pPr>
        <w:ind w:right="60" w:firstLine="1505"/>
        <w:spacing w:after="0" w:line="259" w:lineRule="auto"/>
        <w:tabs>
          <w:tab w:leader="none" w:pos="1731" w:val="left"/>
        </w:tabs>
        <w:numPr>
          <w:ilvl w:val="2"/>
          <w:numId w:val="98"/>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78" w:lineRule="exact"/>
        <w:rPr>
          <w:rFonts w:ascii="Arial" w:cs="Arial" w:eastAsia="Arial" w:hAnsi="Arial"/>
          <w:sz w:val="18"/>
          <w:szCs w:val="18"/>
          <w:b w:val="1"/>
          <w:bCs w:val="1"/>
          <w:color w:val="auto"/>
        </w:rPr>
      </w:pPr>
    </w:p>
    <w:p>
      <w:pPr>
        <w:ind w:left="1780" w:hanging="275"/>
        <w:spacing w:after="0"/>
        <w:tabs>
          <w:tab w:leader="none" w:pos="1780" w:val="left"/>
        </w:tabs>
        <w:numPr>
          <w:ilvl w:val="2"/>
          <w:numId w:val="98"/>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ind w:right="420" w:firstLine="1505"/>
        <w:spacing w:after="0" w:line="308" w:lineRule="auto"/>
        <w:tabs>
          <w:tab w:leader="none" w:pos="1771" w:val="left"/>
        </w:tabs>
        <w:numPr>
          <w:ilvl w:val="2"/>
          <w:numId w:val="98"/>
        </w:numPr>
        <w:rPr>
          <w:rFonts w:ascii="Arial" w:cs="Arial" w:eastAsia="Arial" w:hAnsi="Arial"/>
          <w:sz w:val="17"/>
          <w:szCs w:val="17"/>
          <w:b w:val="1"/>
          <w:bCs w:val="1"/>
          <w:color w:val="auto"/>
        </w:rPr>
      </w:pPr>
      <w:r>
        <w:rPr>
          <w:rFonts w:ascii="Arial" w:cs="Arial" w:eastAsia="Arial" w:hAnsi="Arial"/>
          <w:sz w:val="17"/>
          <w:szCs w:val="17"/>
          <w:color w:val="auto"/>
        </w:rPr>
        <w:t>To accelerate, in whole or in part, the time at which an Award may be exercised or vest (or the time at which cash or shares of Common Stock may be issued in settlement thereof).</w:t>
      </w:r>
    </w:p>
    <w:p>
      <w:pPr>
        <w:spacing w:after="0" w:line="38" w:lineRule="exact"/>
        <w:rPr>
          <w:rFonts w:ascii="Arial" w:cs="Arial" w:eastAsia="Arial" w:hAnsi="Arial"/>
          <w:sz w:val="17"/>
          <w:szCs w:val="17"/>
          <w:b w:val="1"/>
          <w:bCs w:val="1"/>
          <w:color w:val="auto"/>
        </w:rPr>
      </w:pPr>
    </w:p>
    <w:p>
      <w:pPr>
        <w:ind w:right="460" w:firstLine="1505"/>
        <w:spacing w:after="0" w:line="308" w:lineRule="auto"/>
        <w:tabs>
          <w:tab w:leader="none" w:pos="1721" w:val="left"/>
        </w:tabs>
        <w:numPr>
          <w:ilvl w:val="2"/>
          <w:numId w:val="98"/>
        </w:numPr>
        <w:rPr>
          <w:rFonts w:ascii="Arial" w:cs="Arial" w:eastAsia="Arial" w:hAnsi="Arial"/>
          <w:sz w:val="17"/>
          <w:szCs w:val="17"/>
          <w:b w:val="1"/>
          <w:bCs w:val="1"/>
          <w:color w:val="auto"/>
        </w:rPr>
      </w:pPr>
      <w:r>
        <w:rPr>
          <w:rFonts w:ascii="Arial" w:cs="Arial" w:eastAsia="Arial" w:hAnsi="Arial"/>
          <w:sz w:val="17"/>
          <w:szCs w:val="17"/>
          <w:color w:val="auto"/>
        </w:rPr>
        <w:t>To suspend or terminate the Plan at any time. Except as otherwise provided in the Plan or an Award Agreement, suspension or termination of the Plan will not materially impair a Participant’s rights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Participant’s then-outstanding Award without the Participant’s written consent, except as provided in subsection (viii) below.</w:t>
      </w:r>
    </w:p>
    <w:p>
      <w:pPr>
        <w:spacing w:after="0" w:line="117" w:lineRule="exact"/>
        <w:rPr>
          <w:sz w:val="20"/>
          <w:szCs w:val="20"/>
          <w:color w:val="auto"/>
        </w:rPr>
      </w:pPr>
    </w:p>
    <w:p>
      <w:pPr>
        <w:ind w:right="100" w:firstLine="1505"/>
        <w:spacing w:after="0" w:line="273" w:lineRule="auto"/>
        <w:tabs>
          <w:tab w:leader="none" w:pos="1771" w:val="left"/>
        </w:tabs>
        <w:numPr>
          <w:ilvl w:val="1"/>
          <w:numId w:val="99"/>
        </w:numPr>
        <w:rPr>
          <w:rFonts w:ascii="Arial" w:cs="Arial" w:eastAsia="Arial" w:hAnsi="Arial"/>
          <w:sz w:val="17"/>
          <w:szCs w:val="17"/>
          <w:b w:val="1"/>
          <w:bCs w:val="1"/>
          <w:color w:val="auto"/>
        </w:rPr>
      </w:pPr>
      <w:r>
        <w:rPr>
          <w:rFonts w:ascii="Arial" w:cs="Arial" w:eastAsia="Arial" w:hAnsi="Arial"/>
          <w:sz w:val="17"/>
          <w:szCs w:val="17"/>
          <w:color w:val="auto"/>
        </w:rPr>
        <w:t>To amend the Plan in any respect the Board deems necessary or advisable, including, without limitation, by adopting amendments relating to certain nonqualified deferred compensation under Section 409A of the Code and/or ensuring that the Plan and Awards are exempt from, or compliant with, the requirements for nonqualified deferred compensation under Section 409A of the Code, subject to the limitations, if any, of applicable law. The Company will seek stockholder approval of any amendment of the Plan if required by applicable law or listing requirements. Except as otherwise provided in the Plan or an Award Agreement, no amendment of the Plan will materially impair a Participant’s rights under an outstanding Award without the Participant’s written consent.</w:t>
      </w:r>
    </w:p>
    <w:p>
      <w:pPr>
        <w:spacing w:after="0" w:line="69" w:lineRule="exact"/>
        <w:rPr>
          <w:rFonts w:ascii="Arial" w:cs="Arial" w:eastAsia="Arial" w:hAnsi="Arial"/>
          <w:sz w:val="17"/>
          <w:szCs w:val="17"/>
          <w:b w:val="1"/>
          <w:bCs w:val="1"/>
          <w:color w:val="auto"/>
        </w:rPr>
      </w:pPr>
    </w:p>
    <w:p>
      <w:pPr>
        <w:ind w:left="1820" w:hanging="315"/>
        <w:spacing w:after="0"/>
        <w:tabs>
          <w:tab w:leader="none" w:pos="1820" w:val="left"/>
        </w:tabs>
        <w:numPr>
          <w:ilvl w:val="1"/>
          <w:numId w:val="99"/>
        </w:numPr>
        <w:rPr>
          <w:rFonts w:ascii="Arial" w:cs="Arial" w:eastAsia="Arial" w:hAnsi="Arial"/>
          <w:sz w:val="17"/>
          <w:szCs w:val="17"/>
          <w:b w:val="1"/>
          <w:bCs w:val="1"/>
          <w:color w:val="auto"/>
        </w:rPr>
      </w:pPr>
      <w:r>
        <w:rPr>
          <w:rFonts w:ascii="Arial" w:cs="Arial" w:eastAsia="Arial" w:hAnsi="Arial"/>
          <w:sz w:val="17"/>
          <w:szCs w:val="17"/>
          <w:color w:val="auto"/>
        </w:rPr>
        <w:t>To submit any amendment to the Plan for stockholder approval if required by applicable law or listing requirements.</w:t>
      </w:r>
    </w:p>
    <w:p>
      <w:pPr>
        <w:spacing w:after="0" w:line="128" w:lineRule="exact"/>
        <w:rPr>
          <w:rFonts w:ascii="Arial" w:cs="Arial" w:eastAsia="Arial" w:hAnsi="Arial"/>
          <w:sz w:val="17"/>
          <w:szCs w:val="17"/>
          <w:b w:val="1"/>
          <w:bCs w:val="1"/>
          <w:color w:val="auto"/>
        </w:rPr>
      </w:pPr>
    </w:p>
    <w:p>
      <w:pPr>
        <w:ind w:right="40" w:firstLine="1505"/>
        <w:spacing w:after="0" w:line="290" w:lineRule="auto"/>
        <w:tabs>
          <w:tab w:leader="none" w:pos="1871" w:val="left"/>
        </w:tabs>
        <w:numPr>
          <w:ilvl w:val="1"/>
          <w:numId w:val="99"/>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or (B) to comply with other applicable laws or listing requirements.</w:t>
      </w:r>
    </w:p>
    <w:p>
      <w:pPr>
        <w:spacing w:after="0" w:line="57" w:lineRule="exact"/>
        <w:rPr>
          <w:rFonts w:ascii="Arial" w:cs="Arial" w:eastAsia="Arial" w:hAnsi="Arial"/>
          <w:sz w:val="16"/>
          <w:szCs w:val="16"/>
          <w:b w:val="1"/>
          <w:bCs w:val="1"/>
          <w:color w:val="auto"/>
        </w:rPr>
      </w:pPr>
    </w:p>
    <w:p>
      <w:pPr>
        <w:ind w:right="580" w:firstLine="1505"/>
        <w:spacing w:after="0" w:line="308" w:lineRule="auto"/>
        <w:tabs>
          <w:tab w:leader="none" w:pos="1771" w:val="left"/>
        </w:tabs>
        <w:numPr>
          <w:ilvl w:val="1"/>
          <w:numId w:val="99"/>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 and that are not in conflict with the provisions of the Plan or Awards.</w:t>
      </w:r>
    </w:p>
    <w:p>
      <w:pPr>
        <w:spacing w:after="0" w:line="38" w:lineRule="exact"/>
        <w:rPr>
          <w:rFonts w:ascii="Arial" w:cs="Arial" w:eastAsia="Arial" w:hAnsi="Arial"/>
          <w:sz w:val="17"/>
          <w:szCs w:val="17"/>
          <w:b w:val="1"/>
          <w:bCs w:val="1"/>
          <w:color w:val="auto"/>
        </w:rPr>
      </w:pPr>
    </w:p>
    <w:p>
      <w:pPr>
        <w:jc w:val="both"/>
        <w:ind w:right="220" w:firstLine="1505"/>
        <w:spacing w:after="0" w:line="286" w:lineRule="auto"/>
        <w:tabs>
          <w:tab w:leader="none" w:pos="1721" w:val="left"/>
        </w:tabs>
        <w:numPr>
          <w:ilvl w:val="1"/>
          <w:numId w:val="99"/>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Eligible Employees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53" w:lineRule="exact"/>
        <w:rPr>
          <w:rFonts w:ascii="Arial" w:cs="Arial" w:eastAsia="Arial" w:hAnsi="Arial"/>
          <w:sz w:val="17"/>
          <w:szCs w:val="17"/>
          <w:b w:val="1"/>
          <w:bCs w:val="1"/>
          <w:color w:val="auto"/>
        </w:rPr>
      </w:pPr>
    </w:p>
    <w:p>
      <w:pPr>
        <w:ind w:left="980" w:hanging="223"/>
        <w:spacing w:after="0"/>
        <w:tabs>
          <w:tab w:leader="none" w:pos="9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firstLine="1505"/>
        <w:spacing w:after="0" w:line="292" w:lineRule="auto"/>
        <w:tabs>
          <w:tab w:leader="none" w:pos="1681" w:val="left"/>
        </w:tabs>
        <w:numPr>
          <w:ilvl w:val="1"/>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Subject to the terms of Section 4(b), the Board may delegate some or all of the administration of the Plan to a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53" w:lineRule="exact"/>
        <w:rPr>
          <w:rFonts w:ascii="Arial" w:cs="Arial" w:eastAsia="Arial" w:hAnsi="Arial"/>
          <w:sz w:val="16"/>
          <w:szCs w:val="16"/>
          <w:b w:val="1"/>
          <w:bCs w:val="1"/>
          <w:color w:val="auto"/>
        </w:rPr>
      </w:pPr>
    </w:p>
    <w:p>
      <w:pPr>
        <w:ind w:firstLine="1505"/>
        <w:spacing w:after="0" w:line="261" w:lineRule="auto"/>
        <w:tabs>
          <w:tab w:leader="none" w:pos="1731"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 16b-3 Compliance. </w:t>
      </w:r>
      <w:r>
        <w:rPr>
          <w:rFonts w:ascii="Arial" w:cs="Arial" w:eastAsia="Arial" w:hAnsi="Arial"/>
          <w:sz w:val="18"/>
          <w:szCs w:val="18"/>
          <w:color w:val="auto"/>
        </w:rPr>
        <w:t>To the extent an Award is intended to qualify for the exemption from Section 16(b) of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available under Rule 16b-3, the Award will be granted by a Committee that consists solely of two or more Non-Employee Directors, as determined in accordance with Rule 16b-3 and thereafter any action establishing or modifying the terms of the Award will be approved by a Committee meeting such requirements to the extent necessary for such exemption to remain available.</w:t>
      </w:r>
    </w:p>
    <w:p>
      <w:pPr>
        <w:spacing w:after="0" w:line="71" w:lineRule="exact"/>
        <w:rPr>
          <w:rFonts w:ascii="Arial" w:cs="Arial" w:eastAsia="Arial" w:hAnsi="Arial"/>
          <w:sz w:val="18"/>
          <w:szCs w:val="18"/>
          <w:b w:val="1"/>
          <w:bCs w:val="1"/>
          <w:color w:val="auto"/>
        </w:rPr>
      </w:pPr>
    </w:p>
    <w:p>
      <w:pPr>
        <w:ind w:right="460" w:firstLine="757"/>
        <w:spacing w:after="0" w:line="312" w:lineRule="auto"/>
        <w:tabs>
          <w:tab w:leader="none" w:pos="982"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Board’s Decision. </w:t>
      </w:r>
      <w:r>
        <w:rPr>
          <w:rFonts w:ascii="Arial" w:cs="Arial" w:eastAsia="Arial" w:hAnsi="Arial"/>
          <w:sz w:val="17"/>
          <w:szCs w:val="17"/>
          <w:color w:val="auto"/>
        </w:rPr>
        <w:t>All determinations, interpretations and constructions made by the Board in good faith will not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review by any person and will be final, binding and conclusive on all persons.</w:t>
      </w:r>
    </w:p>
    <w:p>
      <w:pPr>
        <w:spacing w:after="0" w:line="31" w:lineRule="exact"/>
        <w:rPr>
          <w:rFonts w:ascii="Arial" w:cs="Arial" w:eastAsia="Arial" w:hAnsi="Arial"/>
          <w:sz w:val="17"/>
          <w:szCs w:val="17"/>
          <w:b w:val="1"/>
          <w:bCs w:val="1"/>
          <w:color w:val="auto"/>
        </w:rPr>
      </w:pPr>
    </w:p>
    <w:p>
      <w:pPr>
        <w:ind w:right="240" w:firstLine="757"/>
        <w:spacing w:after="0" w:line="314" w:lineRule="auto"/>
        <w:tabs>
          <w:tab w:leader="none" w:pos="96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No Repricing of Awards</w:t>
      </w:r>
      <w:r>
        <w:rPr>
          <w:rFonts w:ascii="Arial" w:cs="Arial" w:eastAsia="Arial" w:hAnsi="Arial"/>
          <w:sz w:val="16"/>
          <w:szCs w:val="16"/>
          <w:color w:val="auto"/>
        </w:rPr>
        <w:t>. Neither the Board nor any Committee will have the authority to (i) reduce the exercise or strike price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or SAR or (ii) cancel any outstanding Option or SAR that has an exercise or strike price (per share) greater than the then-current Fair Market Value of the Common Stock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9" w:name="page120"/>
    <w:bookmarkEnd w:id="119"/>
    <w:p>
      <w:pPr>
        <w:ind w:right="160"/>
        <w:spacing w:after="0" w:line="277" w:lineRule="auto"/>
        <w:rPr>
          <w:sz w:val="20"/>
          <w:szCs w:val="20"/>
          <w:color w:val="auto"/>
        </w:rPr>
      </w:pPr>
      <w:r>
        <w:rPr>
          <w:rFonts w:ascii="Arial" w:cs="Arial" w:eastAsia="Arial" w:hAnsi="Arial"/>
          <w:sz w:val="18"/>
          <w:szCs w:val="18"/>
          <w:color w:val="auto"/>
        </w:rPr>
        <w:t>exchange for cash or other Stock Awards under the Plan, unless the stockholders of the Company have approved such an action within 12 months prior to such an event.</w:t>
      </w:r>
    </w:p>
    <w:p>
      <w:pPr>
        <w:spacing w:after="0" w:line="58"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17" w:lineRule="exact"/>
        <w:rPr>
          <w:rFonts w:ascii="Arial" w:cs="Arial" w:eastAsia="Arial" w:hAnsi="Arial"/>
          <w:sz w:val="18"/>
          <w:szCs w:val="18"/>
          <w:b w:val="1"/>
          <w:bCs w:val="1"/>
          <w:color w:val="auto"/>
        </w:rPr>
      </w:pPr>
    </w:p>
    <w:p>
      <w:pPr>
        <w:ind w:right="240" w:firstLine="866"/>
        <w:spacing w:after="0" w:line="289" w:lineRule="auto"/>
        <w:tabs>
          <w:tab w:leader="none" w:pos="1081" w:val="left"/>
        </w:tabs>
        <w:numPr>
          <w:ilvl w:val="1"/>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adjustment in accordance with Section 3(b) and any adjustments as necessary to implement any 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the aggregate number of shares of Common Stock that may be issued pursuant to Stock Awards from and after the Effective Date will not exceed 1,150,000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w:t>
      </w:r>
    </w:p>
    <w:p>
      <w:pPr>
        <w:spacing w:after="0" w:line="54" w:lineRule="exact"/>
        <w:rPr>
          <w:sz w:val="20"/>
          <w:szCs w:val="20"/>
          <w:color w:val="auto"/>
        </w:rPr>
      </w:pPr>
    </w:p>
    <w:p>
      <w:pPr>
        <w:ind w:right="140" w:firstLine="858"/>
        <w:spacing w:after="0" w:line="301" w:lineRule="auto"/>
        <w:rPr>
          <w:sz w:val="20"/>
          <w:szCs w:val="20"/>
          <w:color w:val="auto"/>
        </w:rPr>
      </w:pPr>
      <w:r>
        <w:rPr>
          <w:rFonts w:ascii="Arial" w:cs="Arial" w:eastAsia="Arial" w:hAnsi="Arial"/>
          <w:sz w:val="16"/>
          <w:szCs w:val="16"/>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45" w:lineRule="exact"/>
        <w:rPr>
          <w:sz w:val="20"/>
          <w:szCs w:val="20"/>
          <w:color w:val="auto"/>
        </w:rPr>
      </w:pPr>
    </w:p>
    <w:p>
      <w:pPr>
        <w:ind w:right="80" w:firstLine="757"/>
        <w:spacing w:after="0" w:line="298" w:lineRule="auto"/>
        <w:tabs>
          <w:tab w:leader="none" w:pos="982"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to the Share Reserve. </w:t>
      </w:r>
      <w:r>
        <w:rPr>
          <w:rFonts w:ascii="Arial" w:cs="Arial" w:eastAsia="Arial" w:hAnsi="Arial"/>
          <w:sz w:val="16"/>
          <w:szCs w:val="16"/>
          <w:color w:val="auto"/>
        </w:rPr>
        <w:t>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47" w:lineRule="exact"/>
        <w:rPr>
          <w:rFonts w:ascii="Arial" w:cs="Arial" w:eastAsia="Arial" w:hAnsi="Arial"/>
          <w:sz w:val="16"/>
          <w:szCs w:val="16"/>
          <w:b w:val="1"/>
          <w:bCs w:val="1"/>
          <w:color w:val="auto"/>
        </w:rPr>
      </w:pPr>
    </w:p>
    <w:p>
      <w:pPr>
        <w:ind w:right="60" w:firstLine="757"/>
        <w:spacing w:after="0" w:line="347" w:lineRule="auto"/>
        <w:tabs>
          <w:tab w:leader="none" w:pos="962"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Source of Shares. </w:t>
      </w:r>
      <w:r>
        <w:rPr>
          <w:rFonts w:ascii="Arial" w:cs="Arial" w:eastAsia="Arial" w:hAnsi="Arial"/>
          <w:sz w:val="16"/>
          <w:szCs w:val="16"/>
          <w:color w:val="auto"/>
        </w:rPr>
        <w:t>The stock issuable under the Plan will be shares of authorized but unissued or reacquired Common Stock, including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 by the Company on the open market or otherwise.</w:t>
      </w:r>
    </w:p>
    <w:p>
      <w:pPr>
        <w:spacing w:after="0" w:line="7" w:lineRule="exact"/>
        <w:rPr>
          <w:rFonts w:ascii="Arial" w:cs="Arial" w:eastAsia="Arial" w:hAnsi="Arial"/>
          <w:sz w:val="16"/>
          <w:szCs w:val="16"/>
          <w:b w:val="1"/>
          <w:bCs w:val="1"/>
          <w:color w:val="auto"/>
        </w:rPr>
      </w:pPr>
    </w:p>
    <w:p>
      <w:pPr>
        <w:ind w:left="380" w:hanging="372"/>
        <w:spacing w:after="0"/>
        <w:tabs>
          <w:tab w:leader="none" w:pos="3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7" w:lineRule="exact"/>
        <w:rPr>
          <w:rFonts w:ascii="Arial" w:cs="Arial" w:eastAsia="Arial" w:hAnsi="Arial"/>
          <w:sz w:val="18"/>
          <w:szCs w:val="18"/>
          <w:b w:val="1"/>
          <w:bCs w:val="1"/>
          <w:color w:val="auto"/>
        </w:rPr>
      </w:pPr>
    </w:p>
    <w:p>
      <w:pPr>
        <w:ind w:firstLine="757"/>
        <w:spacing w:after="0" w:line="272" w:lineRule="auto"/>
        <w:tabs>
          <w:tab w:leader="none" w:pos="972"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Awards may only be granted to persons who are Eligible Employees described in Section 1(a) of the Plan, where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Award is an inducement material to the individual’s entering into employment with the Company or an Affiliate within the meaning of Rule 5635(c)(4) of the Nasdaq Marketplace Rules or is otherwise permitted pursuant to Rule 5635(c) of the Nasdaq Marketplace Rules;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Stock Awards may not be granted to Eligible Employees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comply with the distribution requirements of Section 409A of the Code.</w:t>
      </w:r>
    </w:p>
    <w:p>
      <w:pPr>
        <w:spacing w:after="0" w:line="63" w:lineRule="exact"/>
        <w:rPr>
          <w:rFonts w:ascii="Arial" w:cs="Arial" w:eastAsia="Arial" w:hAnsi="Arial"/>
          <w:sz w:val="17"/>
          <w:szCs w:val="17"/>
          <w:b w:val="1"/>
          <w:bCs w:val="1"/>
          <w:color w:val="auto"/>
        </w:rPr>
      </w:pPr>
    </w:p>
    <w:p>
      <w:pPr>
        <w:ind w:right="480" w:firstLine="757"/>
        <w:spacing w:after="0" w:line="312" w:lineRule="auto"/>
        <w:tabs>
          <w:tab w:leader="none" w:pos="982"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Approval Requirements. </w:t>
      </w:r>
      <w:r>
        <w:rPr>
          <w:rFonts w:ascii="Arial" w:cs="Arial" w:eastAsia="Arial" w:hAnsi="Arial"/>
          <w:sz w:val="17"/>
          <w:szCs w:val="17"/>
          <w:color w:val="auto"/>
        </w:rPr>
        <w:t>All Awards must be granted either by a majority of the Company’s Independent Directors or 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w:t>
      </w:r>
    </w:p>
    <w:p>
      <w:pPr>
        <w:spacing w:after="0" w:line="382" w:lineRule="exact"/>
        <w:rPr>
          <w:rFonts w:ascii="Arial" w:cs="Arial" w:eastAsia="Arial" w:hAnsi="Arial"/>
          <w:sz w:val="17"/>
          <w:szCs w:val="17"/>
          <w:b w:val="1"/>
          <w:bCs w:val="1"/>
          <w:color w:val="auto"/>
        </w:rPr>
      </w:pPr>
    </w:p>
    <w:p>
      <w:pPr>
        <w:ind w:left="420" w:hanging="412"/>
        <w:spacing w:after="0"/>
        <w:tabs>
          <w:tab w:leader="none" w:pos="4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RELATING TO OPTIONS AND STOCK APPRECIATION RIGHTS.</w:t>
      </w:r>
    </w:p>
    <w:p>
      <w:pPr>
        <w:spacing w:after="0" w:line="121"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Nonstatutory Stock Options, and, if certificates are issued, a separate certificate or certificates will be issued for shares of Common Stock purchased on exercise.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Award Agreement will conform to (through incorporation of provisions hereof by reference in the applicable Award Agreement or otherwise) the substance of each of the following provisions:</w:t>
      </w:r>
    </w:p>
    <w:p>
      <w:pPr>
        <w:spacing w:after="0" w:line="45" w:lineRule="exact"/>
        <w:rPr>
          <w:sz w:val="20"/>
          <w:szCs w:val="20"/>
          <w:color w:val="auto"/>
        </w:rPr>
      </w:pPr>
    </w:p>
    <w:p>
      <w:pPr>
        <w:ind w:right="100" w:firstLine="757"/>
        <w:spacing w:after="0" w:line="312" w:lineRule="auto"/>
        <w:tabs>
          <w:tab w:leader="none" w:pos="972"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No Option or SAR will be exercisable after the expiration of ten years from the date of its grant or such shorter period specified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0" w:name="page121"/>
    <w:bookmarkEnd w:id="120"/>
    <w:p>
      <w:pPr>
        <w:ind w:left="-757" w:firstLine="757"/>
        <w:spacing w:after="0" w:line="277" w:lineRule="auto"/>
        <w:tabs>
          <w:tab w:leader="none" w:pos="226"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exercise or strike price of each Option or SAR will be not less than 100% of the Fair Market Value of the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Each SAR will be denominated in shares of Common Stock equivalents.</w:t>
      </w:r>
    </w:p>
    <w:p>
      <w:pPr>
        <w:spacing w:after="0" w:line="59" w:lineRule="exact"/>
        <w:rPr>
          <w:rFonts w:ascii="Arial" w:cs="Arial" w:eastAsia="Arial" w:hAnsi="Arial"/>
          <w:sz w:val="17"/>
          <w:szCs w:val="17"/>
          <w:b w:val="1"/>
          <w:bCs w:val="1"/>
          <w:color w:val="auto"/>
        </w:rPr>
      </w:pPr>
    </w:p>
    <w:p>
      <w:pPr>
        <w:ind w:left="-757" w:right="80" w:firstLine="757"/>
        <w:spacing w:after="0" w:line="302" w:lineRule="auto"/>
        <w:tabs>
          <w:tab w:leader="none" w:pos="205"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Common Stock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265" w:lineRule="exact"/>
        <w:rPr>
          <w:rFonts w:ascii="Arial" w:cs="Arial" w:eastAsia="Arial" w:hAnsi="Arial"/>
          <w:sz w:val="16"/>
          <w:szCs w:val="16"/>
          <w:b w:val="1"/>
          <w:bCs w:val="1"/>
          <w:color w:val="auto"/>
        </w:rPr>
      </w:pPr>
    </w:p>
    <w:p>
      <w:pPr>
        <w:ind w:left="923" w:hanging="175"/>
        <w:spacing w:after="0"/>
        <w:tabs>
          <w:tab w:leader="none" w:pos="923"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ind w:left="-757" w:right="20" w:firstLine="1505"/>
        <w:spacing w:after="0" w:line="263" w:lineRule="auto"/>
        <w:tabs>
          <w:tab w:leader="none" w:pos="974"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5" w:lineRule="exact"/>
        <w:rPr>
          <w:rFonts w:ascii="Arial" w:cs="Arial" w:eastAsia="Arial" w:hAnsi="Arial"/>
          <w:sz w:val="18"/>
          <w:szCs w:val="18"/>
          <w:b w:val="1"/>
          <w:bCs w:val="1"/>
          <w:color w:val="auto"/>
        </w:rPr>
      </w:pPr>
    </w:p>
    <w:p>
      <w:pPr>
        <w:ind w:left="1023" w:hanging="275"/>
        <w:spacing w:after="0"/>
        <w:tabs>
          <w:tab w:leader="none" w:pos="1023"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ind w:left="-757" w:firstLine="1505"/>
        <w:spacing w:after="0" w:line="273" w:lineRule="auto"/>
        <w:tabs>
          <w:tab w:leader="none" w:pos="1014" w:val="left"/>
        </w:tabs>
        <w:numPr>
          <w:ilvl w:val="1"/>
          <w:numId w:val="105"/>
        </w:numPr>
        <w:rPr>
          <w:rFonts w:ascii="Arial" w:cs="Arial" w:eastAsia="Arial" w:hAnsi="Arial"/>
          <w:sz w:val="17"/>
          <w:szCs w:val="17"/>
          <w:b w:val="1"/>
          <w:bCs w:val="1"/>
          <w:color w:val="auto"/>
        </w:rPr>
      </w:pPr>
      <w:r>
        <w:rPr>
          <w:rFonts w:ascii="Arial" w:cs="Arial" w:eastAsia="Arial" w:hAnsi="Arial"/>
          <w:sz w:val="17"/>
          <w:szCs w:val="17"/>
          <w:color w:val="auto"/>
        </w:rPr>
        <w:t xml:space="preserve">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69" w:lineRule="exact"/>
        <w:rPr>
          <w:rFonts w:ascii="Arial" w:cs="Arial" w:eastAsia="Arial" w:hAnsi="Arial"/>
          <w:sz w:val="17"/>
          <w:szCs w:val="17"/>
          <w:b w:val="1"/>
          <w:bCs w:val="1"/>
          <w:color w:val="auto"/>
        </w:rPr>
      </w:pPr>
    </w:p>
    <w:p>
      <w:pPr>
        <w:ind w:left="963" w:hanging="215"/>
        <w:spacing w:after="0"/>
        <w:tabs>
          <w:tab w:leader="none" w:pos="963" w:val="left"/>
        </w:tabs>
        <w:numPr>
          <w:ilvl w:val="1"/>
          <w:numId w:val="105"/>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Award Agreement.</w:t>
      </w:r>
    </w:p>
    <w:p>
      <w:pPr>
        <w:spacing w:after="0" w:line="124" w:lineRule="exact"/>
        <w:rPr>
          <w:rFonts w:ascii="Arial" w:cs="Arial" w:eastAsia="Arial" w:hAnsi="Arial"/>
          <w:sz w:val="17"/>
          <w:szCs w:val="17"/>
          <w:b w:val="1"/>
          <w:bCs w:val="1"/>
          <w:color w:val="auto"/>
        </w:rPr>
      </w:pPr>
    </w:p>
    <w:p>
      <w:pPr>
        <w:ind w:left="-757" w:right="100" w:firstLine="757"/>
        <w:spacing w:after="0" w:line="292" w:lineRule="auto"/>
        <w:tabs>
          <w:tab w:leader="none" w:pos="226"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53" w:lineRule="exact"/>
        <w:rPr>
          <w:rFonts w:ascii="Arial" w:cs="Arial" w:eastAsia="Arial" w:hAnsi="Arial"/>
          <w:sz w:val="16"/>
          <w:szCs w:val="16"/>
          <w:b w:val="1"/>
          <w:bCs w:val="1"/>
          <w:color w:val="auto"/>
        </w:rPr>
      </w:pPr>
    </w:p>
    <w:p>
      <w:pPr>
        <w:jc w:val="both"/>
        <w:ind w:left="-757" w:right="200" w:firstLine="757"/>
        <w:spacing w:after="0" w:line="314" w:lineRule="auto"/>
        <w:tabs>
          <w:tab w:leader="none" w:pos="205"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and SARs. </w:t>
      </w:r>
      <w:r>
        <w:rPr>
          <w:rFonts w:ascii="Arial" w:cs="Arial" w:eastAsia="Arial" w:hAnsi="Arial"/>
          <w:sz w:val="16"/>
          <w:szCs w:val="16"/>
          <w:color w:val="auto"/>
        </w:rPr>
        <w:t>The Board may, in its sole discretion, impose such limitations on the transferability of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SARs as the Board will determine. In the absence of such a determination by the Board to the contrary, the following restrictions on the transferability of Options and SARs will apply:</w:t>
      </w:r>
    </w:p>
    <w:p>
      <w:pPr>
        <w:spacing w:after="0" w:line="33" w:lineRule="exact"/>
        <w:rPr>
          <w:rFonts w:ascii="Arial" w:cs="Arial" w:eastAsia="Arial" w:hAnsi="Arial"/>
          <w:sz w:val="16"/>
          <w:szCs w:val="16"/>
          <w:b w:val="1"/>
          <w:bCs w:val="1"/>
          <w:color w:val="auto"/>
        </w:rPr>
      </w:pPr>
    </w:p>
    <w:p>
      <w:pPr>
        <w:ind w:left="-757" w:right="140" w:firstLine="1505"/>
        <w:spacing w:after="0" w:line="261" w:lineRule="auto"/>
        <w:tabs>
          <w:tab w:leader="none" w:pos="924"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71" w:lineRule="exact"/>
        <w:rPr>
          <w:rFonts w:ascii="Arial" w:cs="Arial" w:eastAsia="Arial" w:hAnsi="Arial"/>
          <w:sz w:val="18"/>
          <w:szCs w:val="18"/>
          <w:b w:val="1"/>
          <w:bCs w:val="1"/>
          <w:color w:val="auto"/>
        </w:rPr>
      </w:pPr>
    </w:p>
    <w:p>
      <w:pPr>
        <w:ind w:left="-757" w:right="700" w:firstLine="1505"/>
        <w:spacing w:after="0" w:line="347" w:lineRule="auto"/>
        <w:tabs>
          <w:tab w:leader="none" w:pos="974" w:val="left"/>
        </w:tabs>
        <w:numPr>
          <w:ilvl w:val="1"/>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Subject to the approval of the Board or a duly authorized Officer, an Option or SAR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pursuant to the terms of a domestic relations order, official marital settlement agreement or other divorce or separation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3810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445" w:right="359" w:bottom="1440" w:gutter="0" w:footer="0" w:header="0"/>
        </w:sectPr>
      </w:pPr>
    </w:p>
    <w:bookmarkStart w:id="121" w:name="page122"/>
    <w:bookmarkEnd w:id="121"/>
    <w:p>
      <w:pPr>
        <w:ind w:left="-757" w:right="40" w:firstLine="1505"/>
        <w:spacing w:after="0" w:line="294" w:lineRule="auto"/>
        <w:tabs>
          <w:tab w:leader="none" w:pos="1024" w:val="left"/>
        </w:tabs>
        <w:numPr>
          <w:ilvl w:val="1"/>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Subject to the approval of the Board or a duly authorized Officer, a Participant may, by delivering</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51" w:lineRule="exact"/>
        <w:rPr>
          <w:rFonts w:ascii="Arial" w:cs="Arial" w:eastAsia="Arial" w:hAnsi="Arial"/>
          <w:sz w:val="16"/>
          <w:szCs w:val="16"/>
          <w:b w:val="1"/>
          <w:bCs w:val="1"/>
          <w:color w:val="auto"/>
        </w:rPr>
      </w:pPr>
    </w:p>
    <w:p>
      <w:pPr>
        <w:ind w:left="-757" w:right="80" w:firstLine="757"/>
        <w:spacing w:after="0" w:line="277" w:lineRule="auto"/>
        <w:tabs>
          <w:tab w:leader="none" w:pos="185"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59" w:lineRule="exact"/>
        <w:rPr>
          <w:rFonts w:ascii="Arial" w:cs="Arial" w:eastAsia="Arial" w:hAnsi="Arial"/>
          <w:sz w:val="17"/>
          <w:szCs w:val="17"/>
          <w:b w:val="1"/>
          <w:bCs w:val="1"/>
          <w:color w:val="auto"/>
        </w:rPr>
      </w:pPr>
    </w:p>
    <w:p>
      <w:pPr>
        <w:ind w:left="-757" w:right="60" w:firstLine="757"/>
        <w:spacing w:after="0" w:line="292" w:lineRule="auto"/>
        <w:tabs>
          <w:tab w:leader="none" w:pos="215"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53" w:lineRule="exact"/>
        <w:rPr>
          <w:rFonts w:ascii="Arial" w:cs="Arial" w:eastAsia="Arial" w:hAnsi="Arial"/>
          <w:sz w:val="16"/>
          <w:szCs w:val="16"/>
          <w:b w:val="1"/>
          <w:bCs w:val="1"/>
          <w:color w:val="auto"/>
        </w:rPr>
      </w:pPr>
    </w:p>
    <w:p>
      <w:pPr>
        <w:ind w:left="-757" w:firstLine="757"/>
        <w:spacing w:after="0" w:line="288" w:lineRule="auto"/>
        <w:tabs>
          <w:tab w:leader="none" w:pos="226"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If the exercise of an Option or SAR following the termination of the Participant’s Continuous Service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55" w:lineRule="exact"/>
        <w:rPr>
          <w:rFonts w:ascii="Arial" w:cs="Arial" w:eastAsia="Arial" w:hAnsi="Arial"/>
          <w:sz w:val="16"/>
          <w:szCs w:val="16"/>
          <w:b w:val="1"/>
          <w:bCs w:val="1"/>
          <w:color w:val="auto"/>
        </w:rPr>
      </w:pPr>
    </w:p>
    <w:p>
      <w:pPr>
        <w:ind w:left="-757" w:right="200" w:firstLine="757"/>
        <w:spacing w:after="0" w:line="255" w:lineRule="auto"/>
        <w:tabs>
          <w:tab w:leader="none" w:pos="17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80" w:lineRule="exact"/>
        <w:rPr>
          <w:rFonts w:ascii="Arial" w:cs="Arial" w:eastAsia="Arial" w:hAnsi="Arial"/>
          <w:sz w:val="18"/>
          <w:szCs w:val="18"/>
          <w:b w:val="1"/>
          <w:bCs w:val="1"/>
          <w:color w:val="auto"/>
        </w:rPr>
      </w:pPr>
    </w:p>
    <w:p>
      <w:pPr>
        <w:ind w:left="-757" w:right="200" w:firstLine="757"/>
        <w:spacing w:after="0" w:line="281" w:lineRule="auto"/>
        <w:tabs>
          <w:tab w:leader="none" w:pos="185"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Except as otherwise provided in the applicable Award Agreement or other agreement between the Participant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34925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445" w:right="359" w:bottom="1440" w:gutter="0" w:footer="0" w:header="0"/>
        </w:sectPr>
      </w:pPr>
    </w:p>
    <w:bookmarkStart w:id="122" w:name="page123"/>
    <w:bookmarkEnd w:id="122"/>
    <w:p>
      <w:pPr>
        <w:ind w:right="80"/>
        <w:spacing w:after="0" w:line="257" w:lineRule="auto"/>
        <w:rPr>
          <w:sz w:val="20"/>
          <w:szCs w:val="20"/>
          <w:color w:val="auto"/>
        </w:rPr>
      </w:pPr>
      <w:r>
        <w:rPr>
          <w:rFonts w:ascii="Arial" w:cs="Arial" w:eastAsia="Arial" w:hAnsi="Arial"/>
          <w:sz w:val="18"/>
          <w:szCs w:val="18"/>
          <w:color w:val="auto"/>
        </w:rPr>
        <w:t>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76" w:lineRule="exact"/>
        <w:rPr>
          <w:sz w:val="20"/>
          <w:szCs w:val="20"/>
          <w:color w:val="auto"/>
        </w:rPr>
      </w:pPr>
    </w:p>
    <w:p>
      <w:pPr>
        <w:ind w:right="140" w:firstLine="757"/>
        <w:spacing w:after="0" w:line="261" w:lineRule="auto"/>
        <w:tabs>
          <w:tab w:leader="none" w:pos="982"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71" w:lineRule="exact"/>
        <w:rPr>
          <w:rFonts w:ascii="Arial" w:cs="Arial" w:eastAsia="Arial" w:hAnsi="Arial"/>
          <w:sz w:val="18"/>
          <w:szCs w:val="18"/>
          <w:b w:val="1"/>
          <w:bCs w:val="1"/>
          <w:color w:val="auto"/>
        </w:rPr>
      </w:pPr>
    </w:p>
    <w:p>
      <w:pPr>
        <w:ind w:firstLine="757"/>
        <w:spacing w:after="0" w:line="269" w:lineRule="auto"/>
        <w:tabs>
          <w:tab w:leader="none" w:pos="932"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Employees. </w:t>
      </w:r>
      <w:r>
        <w:rPr>
          <w:rFonts w:ascii="Arial" w:cs="Arial" w:eastAsia="Arial" w:hAnsi="Arial"/>
          <w:sz w:val="17"/>
          <w:szCs w:val="17"/>
          <w:color w:val="auto"/>
        </w:rPr>
        <w:t>If an Option or SAR is granted to an Employee who is a non-exempt employee for purposes of the Fair Labor</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70" w:lineRule="exact"/>
        <w:rPr>
          <w:rFonts w:ascii="Arial" w:cs="Arial" w:eastAsia="Arial" w:hAnsi="Arial"/>
          <w:sz w:val="17"/>
          <w:szCs w:val="17"/>
          <w:b w:val="1"/>
          <w:bCs w:val="1"/>
          <w:color w:val="auto"/>
        </w:rPr>
      </w:pPr>
    </w:p>
    <w:p>
      <w:pPr>
        <w:ind w:left="380" w:hanging="372"/>
        <w:spacing w:after="0"/>
        <w:tabs>
          <w:tab w:leader="none" w:pos="3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p>
    <w:p>
      <w:pPr>
        <w:spacing w:after="0" w:line="117" w:lineRule="exact"/>
        <w:rPr>
          <w:rFonts w:ascii="Arial" w:cs="Arial" w:eastAsia="Arial" w:hAnsi="Arial"/>
          <w:sz w:val="18"/>
          <w:szCs w:val="18"/>
          <w:b w:val="1"/>
          <w:bCs w:val="1"/>
          <w:color w:val="auto"/>
        </w:rPr>
      </w:pPr>
    </w:p>
    <w:p>
      <w:pPr>
        <w:ind w:right="60" w:firstLine="757"/>
        <w:spacing w:after="0" w:line="273" w:lineRule="auto"/>
        <w:tabs>
          <w:tab w:leader="none" w:pos="972" w:val="left"/>
        </w:tabs>
        <w:numPr>
          <w:ilvl w:val="1"/>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63" w:lineRule="exact"/>
        <w:rPr>
          <w:rFonts w:ascii="Arial" w:cs="Arial" w:eastAsia="Arial" w:hAnsi="Arial"/>
          <w:sz w:val="17"/>
          <w:szCs w:val="17"/>
          <w:b w:val="1"/>
          <w:bCs w:val="1"/>
          <w:color w:val="auto"/>
        </w:rPr>
      </w:pPr>
    </w:p>
    <w:p>
      <w:pPr>
        <w:ind w:right="100" w:firstLine="1505"/>
        <w:spacing w:after="0" w:line="314" w:lineRule="auto"/>
        <w:tabs>
          <w:tab w:leader="none" w:pos="1681" w:val="left"/>
        </w:tabs>
        <w:numPr>
          <w:ilvl w:val="2"/>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A Restricted Stock Award may be awarded in consideration for (A) cash, check, bank draft or money order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(B) past or future services to the Company or an Affiliate, or (C) any other form of legal consideration that may be acceptable to a majority of the Company’s Independent Directors or the Independent Compensation Committee, and permissible under applicable law.</w:t>
      </w:r>
    </w:p>
    <w:p>
      <w:pPr>
        <w:spacing w:after="0" w:line="33" w:lineRule="exact"/>
        <w:rPr>
          <w:rFonts w:ascii="Arial" w:cs="Arial" w:eastAsia="Arial" w:hAnsi="Arial"/>
          <w:sz w:val="16"/>
          <w:szCs w:val="16"/>
          <w:b w:val="1"/>
          <w:bCs w:val="1"/>
          <w:color w:val="auto"/>
        </w:rPr>
      </w:pPr>
    </w:p>
    <w:p>
      <w:pPr>
        <w:ind w:right="60" w:firstLine="1505"/>
        <w:spacing w:after="0" w:line="266" w:lineRule="auto"/>
        <w:tabs>
          <w:tab w:leader="none" w:pos="1731" w:val="left"/>
        </w:tabs>
        <w:numPr>
          <w:ilvl w:val="2"/>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a majority of the Company’s Independent Directors or the Independent Compensation Committee.</w:t>
      </w:r>
    </w:p>
    <w:p>
      <w:pPr>
        <w:spacing w:after="0" w:line="67" w:lineRule="exact"/>
        <w:rPr>
          <w:rFonts w:ascii="Arial" w:cs="Arial" w:eastAsia="Arial" w:hAnsi="Arial"/>
          <w:sz w:val="18"/>
          <w:szCs w:val="18"/>
          <w:b w:val="1"/>
          <w:bCs w:val="1"/>
          <w:color w:val="auto"/>
        </w:rPr>
      </w:pPr>
    </w:p>
    <w:p>
      <w:pPr>
        <w:jc w:val="both"/>
        <w:ind w:right="180" w:firstLine="1505"/>
        <w:spacing w:after="0" w:line="266" w:lineRule="auto"/>
        <w:tabs>
          <w:tab w:leader="none" w:pos="1781" w:val="left"/>
        </w:tabs>
        <w:numPr>
          <w:ilvl w:val="2"/>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ectPr>
          <w:pgSz w:w="11900" w:h="16838" w:orient="portrait"/>
          <w:cols w:equalWidth="0" w:num="1">
            <w:col w:w="11240"/>
          </w:cols>
          <w:pgMar w:left="320" w:top="449" w:right="339" w:bottom="1440" w:gutter="0" w:footer="0" w:header="0"/>
        </w:sectPr>
      </w:pPr>
    </w:p>
    <w:p>
      <w:pPr>
        <w:spacing w:after="0" w:line="68"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(iv) Transferability.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only upon such terms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discretion, so long as Common Stock</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80" w:firstLine="24"/>
        <w:spacing w:after="0" w:line="342" w:lineRule="auto"/>
        <w:rPr>
          <w:sz w:val="20"/>
          <w:szCs w:val="20"/>
          <w:color w:val="auto"/>
        </w:rPr>
      </w:pPr>
      <w:r>
        <w:rPr>
          <w:rFonts w:ascii="Arial" w:cs="Arial" w:eastAsia="Arial" w:hAnsi="Arial"/>
          <w:sz w:val="16"/>
          <w:szCs w:val="16"/>
          <w:color w:val="auto"/>
        </w:rPr>
        <w:t>Rights to acquire shares of Common Stock under the Restricted Stock Award Agreement will be transferable by conditions as are set forth in the Restricted Stock Award Agreement, as the Board will determine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143510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80" w:space="20"/>
            <w:col w:w="8240"/>
          </w:cols>
          <w:pgMar w:left="320" w:top="449"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color w:val="auto"/>
        </w:rPr>
        <w:t>awarded under the Restricted Stock Award Agreement remains subject to the terms of the Restricted Stock Award Agreement.</w:t>
      </w:r>
    </w:p>
    <w:p>
      <w:pPr>
        <w:spacing w:after="0" w:line="113" w:lineRule="exact"/>
        <w:rPr>
          <w:sz w:val="20"/>
          <w:szCs w:val="20"/>
          <w:color w:val="auto"/>
        </w:rPr>
      </w:pPr>
    </w:p>
    <w:p>
      <w:pPr>
        <w:ind w:right="160" w:firstLine="1505"/>
        <w:spacing w:after="0" w:line="312" w:lineRule="auto"/>
        <w:tabs>
          <w:tab w:leader="none" w:pos="1721" w:val="left"/>
        </w:tabs>
        <w:numPr>
          <w:ilvl w:val="1"/>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A Restricted Stock Award Agreement may provide that any dividends paid on Restricted Stock Awards will be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same vesting and forfeiture restrictions as apply to the shares subject to the Restricted Stock Award to which they relate.</w:t>
      </w:r>
    </w:p>
    <w:p>
      <w:pPr>
        <w:spacing w:after="0" w:line="31" w:lineRule="exact"/>
        <w:rPr>
          <w:rFonts w:ascii="Arial" w:cs="Arial" w:eastAsia="Arial" w:hAnsi="Arial"/>
          <w:sz w:val="17"/>
          <w:szCs w:val="17"/>
          <w:b w:val="1"/>
          <w:bCs w:val="1"/>
          <w:color w:val="auto"/>
        </w:rPr>
      </w:pPr>
    </w:p>
    <w:p>
      <w:pPr>
        <w:ind w:right="100" w:firstLine="757"/>
        <w:spacing w:after="0" w:line="277" w:lineRule="auto"/>
        <w:tabs>
          <w:tab w:leader="none" w:pos="982"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Unit Awards. </w:t>
      </w:r>
      <w:r>
        <w:rPr>
          <w:rFonts w:ascii="Arial" w:cs="Arial" w:eastAsia="Arial" w:hAnsi="Arial"/>
          <w:sz w:val="17"/>
          <w:szCs w:val="17"/>
          <w:color w:val="auto"/>
        </w:rPr>
        <w:t>Each Restricted Stock Unit Award Agreement will be in such form and will contain such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as a majority of the Company’s Independent Directors or the Independent Compensation Committee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Restricted Stock Unit Agreement or otherwise) the substance of each of the following provisions:</w:t>
      </w:r>
    </w:p>
    <w:p>
      <w:pPr>
        <w:spacing w:after="0" w:line="59" w:lineRule="exact"/>
        <w:rPr>
          <w:rFonts w:ascii="Arial" w:cs="Arial" w:eastAsia="Arial" w:hAnsi="Arial"/>
          <w:sz w:val="17"/>
          <w:szCs w:val="17"/>
          <w:b w:val="1"/>
          <w:bCs w:val="1"/>
          <w:color w:val="auto"/>
        </w:rPr>
      </w:pPr>
    </w:p>
    <w:p>
      <w:pPr>
        <w:ind w:right="40" w:firstLine="1505"/>
        <w:spacing w:after="0" w:line="258" w:lineRule="auto"/>
        <w:tabs>
          <w:tab w:leader="none" w:pos="1681"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a majority of the Company’s Independent Directors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Compensation Committee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a majority of the Company’s Independent Directors or the Independent Compensation Committee, and permissible under applicable law.</w:t>
      </w:r>
    </w:p>
    <w:p>
      <w:pPr>
        <w:spacing w:after="0" w:line="75" w:lineRule="exact"/>
        <w:rPr>
          <w:sz w:val="20"/>
          <w:szCs w:val="20"/>
          <w:color w:val="auto"/>
        </w:rPr>
      </w:pPr>
    </w:p>
    <w:p>
      <w:pPr>
        <w:ind w:right="360" w:firstLine="1505"/>
        <w:spacing w:after="0" w:line="266" w:lineRule="auto"/>
        <w:tabs>
          <w:tab w:leader="none" w:pos="1731"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a majority of the Company’s Independent Directors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Compensation Committee may impose such restrictions on or conditions to the vesting of the Restricted Stock Unit Award as it, in its sole discretion, deems appropriate.</w:t>
      </w:r>
    </w:p>
    <w:p>
      <w:pPr>
        <w:spacing w:after="0" w:line="67" w:lineRule="exact"/>
        <w:rPr>
          <w:rFonts w:ascii="Arial" w:cs="Arial" w:eastAsia="Arial" w:hAnsi="Arial"/>
          <w:sz w:val="18"/>
          <w:szCs w:val="18"/>
          <w:b w:val="1"/>
          <w:bCs w:val="1"/>
          <w:color w:val="auto"/>
        </w:rPr>
      </w:pPr>
    </w:p>
    <w:p>
      <w:pPr>
        <w:ind w:right="280" w:firstLine="1505"/>
        <w:spacing w:after="0" w:line="266" w:lineRule="auto"/>
        <w:tabs>
          <w:tab w:leader="none" w:pos="1781"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A Restricted Stock Unit Award may be settled by the delivery of shares of Common Stock, their cash equivalent,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thereof or in any other form of consideration, as determined by a majority of the Company’s Independent Directors or the Independent Compensation Committee and contained in the Restricted Stock Unit Award Agreement.</w:t>
      </w:r>
    </w:p>
    <w:p>
      <w:pPr>
        <w:spacing w:after="0" w:line="67" w:lineRule="exact"/>
        <w:rPr>
          <w:rFonts w:ascii="Arial" w:cs="Arial" w:eastAsia="Arial" w:hAnsi="Arial"/>
          <w:sz w:val="18"/>
          <w:szCs w:val="18"/>
          <w:b w:val="1"/>
          <w:bCs w:val="1"/>
          <w:color w:val="auto"/>
        </w:rPr>
      </w:pPr>
    </w:p>
    <w:p>
      <w:pPr>
        <w:ind w:firstLine="1505"/>
        <w:spacing w:after="0" w:line="314" w:lineRule="auto"/>
        <w:tabs>
          <w:tab w:leader="none" w:pos="1771" w:val="left"/>
        </w:tabs>
        <w:numPr>
          <w:ilvl w:val="1"/>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Restrictions. </w:t>
      </w:r>
      <w:r>
        <w:rPr>
          <w:rFonts w:ascii="Arial" w:cs="Arial" w:eastAsia="Arial" w:hAnsi="Arial"/>
          <w:sz w:val="16"/>
          <w:szCs w:val="16"/>
          <w:color w:val="auto"/>
        </w:rPr>
        <w:t>At the time of the grant of a Restricted Stock Unit Award, a majority of the Company’s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the Independent Compensation Committee,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33" w:lineRule="exact"/>
        <w:rPr>
          <w:rFonts w:ascii="Arial" w:cs="Arial" w:eastAsia="Arial" w:hAnsi="Arial"/>
          <w:sz w:val="16"/>
          <w:szCs w:val="16"/>
          <w:b w:val="1"/>
          <w:bCs w:val="1"/>
          <w:color w:val="auto"/>
        </w:rPr>
      </w:pPr>
    </w:p>
    <w:p>
      <w:pPr>
        <w:ind w:firstLine="1505"/>
        <w:spacing w:after="0" w:line="273" w:lineRule="auto"/>
        <w:tabs>
          <w:tab w:leader="none" w:pos="1721" w:val="left"/>
        </w:tabs>
        <w:numPr>
          <w:ilvl w:val="1"/>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 Award, as determined by a majority of the Company’s Independent Directors or the Independent Compensation Committee and contained in the Restricted Stock Unit Award Agreement. At the sole discretion of a majority of the Company’s Independent Directors or the Independent Compensation Committee, such dividend equivalents may be converted into additional shares of Common Stock covered by the Restricted Stock Unit Award in such manner as determined by a majority of the Company’s Independent Directors or the Independent Compensation Committee.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63" w:lineRule="exact"/>
        <w:rPr>
          <w:rFonts w:ascii="Arial" w:cs="Arial" w:eastAsia="Arial" w:hAnsi="Arial"/>
          <w:sz w:val="17"/>
          <w:szCs w:val="17"/>
          <w:b w:val="1"/>
          <w:bCs w:val="1"/>
          <w:color w:val="auto"/>
        </w:rPr>
      </w:pPr>
    </w:p>
    <w:p>
      <w:pPr>
        <w:ind w:right="120" w:firstLine="1505"/>
        <w:spacing w:after="0" w:line="347" w:lineRule="auto"/>
        <w:tabs>
          <w:tab w:leader="none" w:pos="1771" w:val="left"/>
        </w:tabs>
        <w:numPr>
          <w:ilvl w:val="1"/>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such portion of the Restricted Stock Unit Award that has not vested will be forfeited upon the Participant’s termination of Continuous Service.</w:t>
      </w:r>
    </w:p>
    <w:p>
      <w:pPr>
        <w:spacing w:after="0" w:line="7" w:lineRule="exact"/>
        <w:rPr>
          <w:rFonts w:ascii="Arial" w:cs="Arial" w:eastAsia="Arial" w:hAnsi="Arial"/>
          <w:sz w:val="16"/>
          <w:szCs w:val="16"/>
          <w:b w:val="1"/>
          <w:bCs w:val="1"/>
          <w:color w:val="auto"/>
        </w:rPr>
      </w:pPr>
    </w:p>
    <w:p>
      <w:pPr>
        <w:ind w:left="980" w:hanging="223"/>
        <w:spacing w:after="0"/>
        <w:tabs>
          <w:tab w:leader="none" w:pos="9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p>
    <w:p>
      <w:pPr>
        <w:spacing w:after="0" w:line="117" w:lineRule="exact"/>
        <w:rPr>
          <w:rFonts w:ascii="Arial" w:cs="Arial" w:eastAsia="Arial" w:hAnsi="Arial"/>
          <w:sz w:val="18"/>
          <w:szCs w:val="18"/>
          <w:b w:val="1"/>
          <w:bCs w:val="1"/>
          <w:color w:val="auto"/>
        </w:rPr>
      </w:pPr>
    </w:p>
    <w:p>
      <w:pPr>
        <w:ind w:firstLine="1505"/>
        <w:spacing w:after="0" w:line="256" w:lineRule="auto"/>
        <w:tabs>
          <w:tab w:leader="none" w:pos="1681"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Awards</w:t>
      </w:r>
      <w:r>
        <w:rPr>
          <w:rFonts w:ascii="Arial" w:cs="Arial" w:eastAsia="Arial" w:hAnsi="Arial"/>
          <w:sz w:val="18"/>
          <w:szCs w:val="18"/>
          <w:color w:val="auto"/>
        </w:rPr>
        <w:t>. A Performance Stock Award is a Stock Award that is payable (including that may be granted, may vest</w:t>
      </w:r>
      <w:r>
        <w:rPr>
          <w:rFonts w:ascii="Arial" w:cs="Arial" w:eastAsia="Arial" w:hAnsi="Arial"/>
          <w:sz w:val="18"/>
          <w:szCs w:val="18"/>
          <w:b w:val="1"/>
          <w:bCs w:val="1"/>
          <w:color w:val="auto"/>
        </w:rPr>
        <w:t xml:space="preserve"> </w:t>
      </w:r>
      <w:r>
        <w:rPr>
          <w:rFonts w:ascii="Arial" w:cs="Arial" w:eastAsia="Arial" w:hAnsi="Arial"/>
          <w:sz w:val="18"/>
          <w:szCs w:val="18"/>
          <w:color w:val="auto"/>
        </w:rPr>
        <w:t>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a majority of the Company’s Independent Directors or the Independent Compensation Committee. In addition, to the extent permitted by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ind w:right="300"/>
        <w:spacing w:after="0" w:line="277" w:lineRule="auto"/>
        <w:rPr>
          <w:sz w:val="20"/>
          <w:szCs w:val="20"/>
          <w:color w:val="auto"/>
        </w:rPr>
      </w:pPr>
      <w:r>
        <w:rPr>
          <w:rFonts w:ascii="Arial" w:cs="Arial" w:eastAsia="Arial" w:hAnsi="Arial"/>
          <w:sz w:val="18"/>
          <w:szCs w:val="18"/>
          <w:color w:val="auto"/>
        </w:rPr>
        <w:t>the applicable Award Agreement, a majority of the Company’s Independent Directors or the Independent Compensation Committee may determine that cash may be used in payment of Performance Stock Awards.</w:t>
      </w:r>
    </w:p>
    <w:p>
      <w:pPr>
        <w:spacing w:after="0" w:line="58" w:lineRule="exact"/>
        <w:rPr>
          <w:sz w:val="20"/>
          <w:szCs w:val="20"/>
          <w:color w:val="auto"/>
        </w:rPr>
      </w:pPr>
    </w:p>
    <w:p>
      <w:pPr>
        <w:ind w:right="20" w:firstLine="1505"/>
        <w:spacing w:after="0" w:line="272" w:lineRule="auto"/>
        <w:tabs>
          <w:tab w:leader="none" w:pos="1731" w:val="left"/>
        </w:tabs>
        <w:numPr>
          <w:ilvl w:val="2"/>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Performance Cash Awards. </w:t>
      </w:r>
      <w:r>
        <w:rPr>
          <w:rFonts w:ascii="Arial" w:cs="Arial" w:eastAsia="Arial" w:hAnsi="Arial"/>
          <w:sz w:val="17"/>
          <w:szCs w:val="17"/>
          <w:color w:val="auto"/>
        </w:rPr>
        <w:t>A Performance Cash Award is a cash award that is payable contingent upon the attainment during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a majority of the Company’s Independent Directors or the Independent Compensation Committee, in its sole discretion. A majority of the Company’s Independent Directors or the Independent Compensation Committee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spacing w:after="0" w:line="63" w:lineRule="exact"/>
        <w:rPr>
          <w:rFonts w:ascii="Arial" w:cs="Arial" w:eastAsia="Arial" w:hAnsi="Arial"/>
          <w:sz w:val="17"/>
          <w:szCs w:val="17"/>
          <w:b w:val="1"/>
          <w:bCs w:val="1"/>
          <w:color w:val="auto"/>
        </w:rPr>
      </w:pPr>
    </w:p>
    <w:p>
      <w:pPr>
        <w:jc w:val="both"/>
        <w:ind w:right="120" w:firstLine="1505"/>
        <w:spacing w:after="0" w:line="303" w:lineRule="auto"/>
        <w:tabs>
          <w:tab w:leader="none" w:pos="1781" w:val="left"/>
        </w:tabs>
        <w:numPr>
          <w:ilvl w:val="2"/>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Board Discretion. </w:t>
      </w:r>
      <w:r>
        <w:rPr>
          <w:rFonts w:ascii="Arial" w:cs="Arial" w:eastAsia="Arial" w:hAnsi="Arial"/>
          <w:sz w:val="16"/>
          <w:szCs w:val="16"/>
          <w:color w:val="auto"/>
        </w:rPr>
        <w:t>A majority of the Company’s Independent Directors or the Independent Compensation Committee retains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42" w:lineRule="exact"/>
        <w:rPr>
          <w:rFonts w:ascii="Arial" w:cs="Arial" w:eastAsia="Arial" w:hAnsi="Arial"/>
          <w:sz w:val="16"/>
          <w:szCs w:val="16"/>
          <w:b w:val="1"/>
          <w:bCs w:val="1"/>
          <w:color w:val="auto"/>
        </w:rPr>
      </w:pPr>
    </w:p>
    <w:p>
      <w:pPr>
        <w:ind w:right="20" w:firstLine="757"/>
        <w:spacing w:after="0" w:line="273" w:lineRule="auto"/>
        <w:tabs>
          <w:tab w:leader="none" w:pos="982" w:val="left"/>
        </w:tabs>
        <w:numPr>
          <w:ilvl w:val="1"/>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a majority of the Company’s Independent Directors or the Independent Compensation Committee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63" w:lineRule="exact"/>
        <w:rPr>
          <w:rFonts w:ascii="Arial" w:cs="Arial" w:eastAsia="Arial" w:hAnsi="Arial"/>
          <w:sz w:val="17"/>
          <w:szCs w:val="17"/>
          <w:b w:val="1"/>
          <w:bCs w:val="1"/>
          <w:color w:val="auto"/>
        </w:rPr>
      </w:pPr>
    </w:p>
    <w:p>
      <w:pPr>
        <w:ind w:left="380" w:hanging="372"/>
        <w:spacing w:after="0"/>
        <w:tabs>
          <w:tab w:leader="none" w:pos="3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17" w:lineRule="exact"/>
        <w:rPr>
          <w:rFonts w:ascii="Arial" w:cs="Arial" w:eastAsia="Arial" w:hAnsi="Arial"/>
          <w:sz w:val="18"/>
          <w:szCs w:val="18"/>
          <w:b w:val="1"/>
          <w:bCs w:val="1"/>
          <w:color w:val="auto"/>
        </w:rPr>
      </w:pPr>
    </w:p>
    <w:p>
      <w:pPr>
        <w:ind w:right="140" w:firstLine="757"/>
        <w:spacing w:after="0" w:line="312" w:lineRule="auto"/>
        <w:tabs>
          <w:tab w:leader="none" w:pos="972"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Availability of Shares. </w:t>
      </w:r>
      <w:r>
        <w:rPr>
          <w:rFonts w:ascii="Arial" w:cs="Arial" w:eastAsia="Arial" w:hAnsi="Arial"/>
          <w:sz w:val="17"/>
          <w:szCs w:val="17"/>
          <w:color w:val="auto"/>
        </w:rPr>
        <w:t>The Company will keep available at all times the number of shares of Common Stock reasonably required to satisfy</w:t>
      </w:r>
      <w:r>
        <w:rPr>
          <w:rFonts w:ascii="Arial" w:cs="Arial" w:eastAsia="Arial" w:hAnsi="Arial"/>
          <w:sz w:val="17"/>
          <w:szCs w:val="17"/>
          <w:b w:val="1"/>
          <w:bCs w:val="1"/>
          <w:color w:val="auto"/>
        </w:rPr>
        <w:t xml:space="preserve"> </w:t>
      </w:r>
      <w:r>
        <w:rPr>
          <w:rFonts w:ascii="Arial" w:cs="Arial" w:eastAsia="Arial" w:hAnsi="Arial"/>
          <w:sz w:val="17"/>
          <w:szCs w:val="17"/>
          <w:color w:val="auto"/>
        </w:rPr>
        <w:t>then-outstanding Awards.</w:t>
      </w:r>
    </w:p>
    <w:p>
      <w:pPr>
        <w:spacing w:after="0" w:line="31" w:lineRule="exact"/>
        <w:rPr>
          <w:rFonts w:ascii="Arial" w:cs="Arial" w:eastAsia="Arial" w:hAnsi="Arial"/>
          <w:sz w:val="17"/>
          <w:szCs w:val="17"/>
          <w:b w:val="1"/>
          <w:bCs w:val="1"/>
          <w:color w:val="auto"/>
        </w:rPr>
      </w:pPr>
    </w:p>
    <w:p>
      <w:pPr>
        <w:ind w:right="140" w:firstLine="757"/>
        <w:spacing w:after="0" w:line="291" w:lineRule="auto"/>
        <w:tabs>
          <w:tab w:leader="none" w:pos="982" w:val="left"/>
        </w:tabs>
        <w:numPr>
          <w:ilvl w:val="1"/>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will seek to obtain from each regulatory commission or agency, as necessary, such authority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required to grant Stock Awards and to issue and sell shares of Common Stock upon exercise or vesting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51" w:lineRule="exact"/>
        <w:rPr>
          <w:rFonts w:ascii="Arial" w:cs="Arial" w:eastAsia="Arial" w:hAnsi="Arial"/>
          <w:sz w:val="16"/>
          <w:szCs w:val="16"/>
          <w:b w:val="1"/>
          <w:bCs w:val="1"/>
          <w:color w:val="auto"/>
        </w:rPr>
      </w:pPr>
    </w:p>
    <w:p>
      <w:pPr>
        <w:ind w:firstLine="757"/>
        <w:spacing w:after="0" w:line="303" w:lineRule="auto"/>
        <w:tabs>
          <w:tab w:leader="none" w:pos="962" w:val="left"/>
        </w:tabs>
        <w:numPr>
          <w:ilvl w:val="1"/>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w:t>
      </w:r>
      <w:r>
        <w:rPr>
          <w:rFonts w:ascii="Arial" w:cs="Arial" w:eastAsia="Arial" w:hAnsi="Arial"/>
          <w:sz w:val="16"/>
          <w:szCs w:val="16"/>
          <w:color w:val="auto"/>
        </w:rPr>
        <w:t>The Company will have no duty or obligation to any Participant to advise such holder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42" w:lineRule="exact"/>
        <w:rPr>
          <w:rFonts w:ascii="Arial" w:cs="Arial" w:eastAsia="Arial" w:hAnsi="Arial"/>
          <w:sz w:val="16"/>
          <w:szCs w:val="16"/>
          <w:b w:val="1"/>
          <w:bCs w:val="1"/>
          <w:color w:val="auto"/>
        </w:rPr>
      </w:pPr>
    </w:p>
    <w:p>
      <w:pPr>
        <w:ind w:left="380" w:hanging="372"/>
        <w:spacing w:after="0"/>
        <w:tabs>
          <w:tab w:leader="none" w:pos="3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right="460" w:firstLine="757"/>
        <w:spacing w:after="0" w:line="312" w:lineRule="auto"/>
        <w:tabs>
          <w:tab w:leader="none" w:pos="972"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Proceeds from Sales of Common Stock. </w:t>
      </w:r>
      <w:r>
        <w:rPr>
          <w:rFonts w:ascii="Arial" w:cs="Arial" w:eastAsia="Arial" w:hAnsi="Arial"/>
          <w:sz w:val="17"/>
          <w:szCs w:val="17"/>
          <w:color w:val="auto"/>
        </w:rPr>
        <w:t>Proceeds from the sale of shares of Common Stock pursuant to Awards will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funds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5" w:name="page126"/>
    <w:bookmarkEnd w:id="125"/>
    <w:p>
      <w:pPr>
        <w:ind w:left="-8" w:right="20" w:firstLine="757"/>
        <w:spacing w:after="0" w:line="273" w:lineRule="auto"/>
        <w:tabs>
          <w:tab w:leader="none" w:pos="974"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63" w:lineRule="exact"/>
        <w:rPr>
          <w:rFonts w:ascii="Arial" w:cs="Arial" w:eastAsia="Arial" w:hAnsi="Arial"/>
          <w:sz w:val="17"/>
          <w:szCs w:val="17"/>
          <w:b w:val="1"/>
          <w:bCs w:val="1"/>
          <w:color w:val="auto"/>
        </w:rPr>
      </w:pPr>
    </w:p>
    <w:p>
      <w:pPr>
        <w:ind w:left="-8" w:right="60" w:firstLine="757"/>
        <w:spacing w:after="0" w:line="303" w:lineRule="auto"/>
        <w:tabs>
          <w:tab w:leader="none" w:pos="954"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42" w:lineRule="exact"/>
        <w:rPr>
          <w:rFonts w:ascii="Arial" w:cs="Arial" w:eastAsia="Arial" w:hAnsi="Arial"/>
          <w:sz w:val="16"/>
          <w:szCs w:val="16"/>
          <w:b w:val="1"/>
          <w:bCs w:val="1"/>
          <w:color w:val="auto"/>
        </w:rPr>
      </w:pPr>
    </w:p>
    <w:p>
      <w:pPr>
        <w:ind w:left="-8" w:firstLine="757"/>
        <w:spacing w:after="0" w:line="274" w:lineRule="auto"/>
        <w:tabs>
          <w:tab w:leader="none" w:pos="974"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65" w:lineRule="exact"/>
        <w:rPr>
          <w:rFonts w:ascii="Arial" w:cs="Arial" w:eastAsia="Arial" w:hAnsi="Arial"/>
          <w:sz w:val="17"/>
          <w:szCs w:val="17"/>
          <w:b w:val="1"/>
          <w:bCs w:val="1"/>
          <w:color w:val="auto"/>
        </w:rPr>
      </w:pPr>
    </w:p>
    <w:p>
      <w:pPr>
        <w:ind w:left="-8" w:right="20" w:firstLine="757"/>
        <w:spacing w:after="0" w:line="292" w:lineRule="auto"/>
        <w:tabs>
          <w:tab w:leader="none" w:pos="954"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53" w:lineRule="exact"/>
        <w:rPr>
          <w:rFonts w:ascii="Arial" w:cs="Arial" w:eastAsia="Arial" w:hAnsi="Arial"/>
          <w:sz w:val="16"/>
          <w:szCs w:val="16"/>
          <w:b w:val="1"/>
          <w:bCs w:val="1"/>
          <w:color w:val="auto"/>
        </w:rPr>
      </w:pPr>
    </w:p>
    <w:p>
      <w:pPr>
        <w:ind w:left="952" w:hanging="203"/>
        <w:spacing w:after="0"/>
        <w:tabs>
          <w:tab w:leader="none" w:pos="952"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w:t>
      </w:r>
    </w:p>
    <w:p>
      <w:pPr>
        <w:spacing w:after="0" w:line="50" w:lineRule="exact"/>
        <w:rPr>
          <w:rFonts w:ascii="Arial" w:cs="Arial" w:eastAsia="Arial" w:hAnsi="Arial"/>
          <w:sz w:val="16"/>
          <w:szCs w:val="16"/>
          <w:b w:val="1"/>
          <w:bCs w:val="1"/>
          <w:color w:val="auto"/>
        </w:rPr>
      </w:pPr>
    </w:p>
    <w:p>
      <w:pPr>
        <w:ind w:left="-8" w:right="80" w:firstLine="8"/>
        <w:spacing w:after="0" w:line="286" w:lineRule="auto"/>
        <w:tabs>
          <w:tab w:leader="none" w:pos="20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7" w:lineRule="exact"/>
        <w:rPr>
          <w:rFonts w:ascii="Arial" w:cs="Arial" w:eastAsia="Arial" w:hAnsi="Arial"/>
          <w:sz w:val="16"/>
          <w:szCs w:val="16"/>
          <w:color w:val="auto"/>
        </w:rPr>
      </w:pPr>
    </w:p>
    <w:p>
      <w:pPr>
        <w:ind w:left="-8" w:right="40" w:firstLine="757"/>
        <w:spacing w:after="0" w:line="294" w:lineRule="auto"/>
        <w:tabs>
          <w:tab w:leader="none" w:pos="964" w:val="left"/>
        </w:tabs>
        <w:numPr>
          <w:ilvl w:val="1"/>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The Company may, in its sole discretion, satisfy any Tax-Related Items withholding obligation relating to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by any of the following means or by a combination of such means: (i) causing the Participant to tender a cash payment; (ii) withholding shares of Common Stock from the shares of Common Stock issued or otherwise issuable to the Participant in connection with the Award (provided that for tax purposes, the Participant will be deemed to have been issued the full number of shares subject to the Award, notwithstanding that a number of the shares is held back solely for the purpose of paying the Tax-Related Items); (iii) withholding cash from an Award settled in cash; (iv) withholding payment from any amounts otherwise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45" w:right="359" w:bottom="1440" w:gutter="0" w:footer="0" w:header="0"/>
        </w:sectPr>
      </w:pPr>
    </w:p>
    <w:bookmarkStart w:id="126" w:name="page127"/>
    <w:bookmarkEnd w:id="126"/>
    <w:p>
      <w:pPr>
        <w:ind w:right="140"/>
        <w:spacing w:after="0" w:line="342" w:lineRule="auto"/>
        <w:rPr>
          <w:sz w:val="20"/>
          <w:szCs w:val="20"/>
          <w:color w:val="auto"/>
        </w:rPr>
      </w:pPr>
      <w:r>
        <w:rPr>
          <w:rFonts w:ascii="Arial" w:cs="Arial" w:eastAsia="Arial" w:hAnsi="Arial"/>
          <w:sz w:val="16"/>
          <w:szCs w:val="16"/>
          <w:color w:val="auto"/>
        </w:rPr>
        <w:t>to the Participant; or (v) by such other method as may be set forth in the Award Agreement. The Company and/or its Affiliate may withhold or account for Tax-Related Items by considering statutory or other withholding rates, including minimum or maximum rates applicable in a Participant’s jurisdiction.</w:t>
      </w:r>
    </w:p>
    <w:p>
      <w:pPr>
        <w:spacing w:after="0" w:line="12" w:lineRule="exact"/>
        <w:rPr>
          <w:sz w:val="20"/>
          <w:szCs w:val="20"/>
          <w:color w:val="auto"/>
        </w:rPr>
      </w:pPr>
    </w:p>
    <w:p>
      <w:pPr>
        <w:ind w:right="300" w:firstLine="757"/>
        <w:spacing w:after="0" w:line="289" w:lineRule="auto"/>
        <w:tabs>
          <w:tab w:leader="none" w:pos="982"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w:t>
      </w:r>
      <w:r>
        <w:rPr>
          <w:rFonts w:ascii="Arial" w:cs="Arial" w:eastAsia="Arial" w:hAnsi="Arial"/>
          <w:sz w:val="17"/>
          <w:szCs w:val="17"/>
          <w:color w:val="auto"/>
        </w:rPr>
        <w:t>Any reference herein to a “written” agreement or document will include any agreement or document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electronically, filed publicly at www.sec.gov (or any successor website thereto) or posted on the Company’s intranet (or other shared electronic medium controlled by the Company to which the Participant has access).</w:t>
      </w:r>
    </w:p>
    <w:p>
      <w:pPr>
        <w:spacing w:after="0" w:line="49" w:lineRule="exact"/>
        <w:rPr>
          <w:rFonts w:ascii="Arial" w:cs="Arial" w:eastAsia="Arial" w:hAnsi="Arial"/>
          <w:sz w:val="17"/>
          <w:szCs w:val="17"/>
          <w:b w:val="1"/>
          <w:bCs w:val="1"/>
          <w:color w:val="auto"/>
        </w:rPr>
      </w:pPr>
    </w:p>
    <w:p>
      <w:pPr>
        <w:ind w:right="60" w:firstLine="757"/>
        <w:spacing w:after="0" w:line="273" w:lineRule="auto"/>
        <w:tabs>
          <w:tab w:leader="none" w:pos="932"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63" w:lineRule="exact"/>
        <w:rPr>
          <w:rFonts w:ascii="Arial" w:cs="Arial" w:eastAsia="Arial" w:hAnsi="Arial"/>
          <w:sz w:val="17"/>
          <w:szCs w:val="17"/>
          <w:b w:val="1"/>
          <w:bCs w:val="1"/>
          <w:color w:val="auto"/>
        </w:rPr>
      </w:pPr>
    </w:p>
    <w:p>
      <w:pPr>
        <w:ind w:firstLine="757"/>
        <w:spacing w:after="0" w:line="287" w:lineRule="auto"/>
        <w:tabs>
          <w:tab w:leader="none" w:pos="942"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55" w:lineRule="exact"/>
        <w:rPr>
          <w:rFonts w:ascii="Arial" w:cs="Arial" w:eastAsia="Arial" w:hAnsi="Arial"/>
          <w:sz w:val="16"/>
          <w:szCs w:val="16"/>
          <w:b w:val="1"/>
          <w:bCs w:val="1"/>
          <w:color w:val="auto"/>
        </w:rPr>
      </w:pPr>
    </w:p>
    <w:p>
      <w:pPr>
        <w:ind w:right="160" w:firstLine="757"/>
        <w:spacing w:after="0" w:line="273" w:lineRule="auto"/>
        <w:tabs>
          <w:tab w:leader="none" w:pos="982"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Clawback/Recovery. </w:t>
      </w:r>
      <w:r>
        <w:rPr>
          <w:rFonts w:ascii="Arial" w:cs="Arial" w:eastAsia="Arial" w:hAnsi="Arial"/>
          <w:sz w:val="17"/>
          <w:szCs w:val="17"/>
          <w:color w:val="auto"/>
        </w:rPr>
        <w:t>All Awards granted under the Plan will be subject to recoupment in accordance with any clawback policy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63" w:lineRule="exact"/>
        <w:rPr>
          <w:rFonts w:ascii="Arial" w:cs="Arial" w:eastAsia="Arial" w:hAnsi="Arial"/>
          <w:sz w:val="17"/>
          <w:szCs w:val="17"/>
          <w:b w:val="1"/>
          <w:bCs w:val="1"/>
          <w:color w:val="auto"/>
        </w:rPr>
      </w:pPr>
    </w:p>
    <w:p>
      <w:pPr>
        <w:ind w:left="380" w:hanging="372"/>
        <w:spacing w:after="0"/>
        <w:tabs>
          <w:tab w:leader="none" w:pos="3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p>
    <w:p>
      <w:pPr>
        <w:spacing w:after="0" w:line="117" w:lineRule="exact"/>
        <w:rPr>
          <w:rFonts w:ascii="Arial" w:cs="Arial" w:eastAsia="Arial" w:hAnsi="Arial"/>
          <w:sz w:val="18"/>
          <w:szCs w:val="18"/>
          <w:b w:val="1"/>
          <w:bCs w:val="1"/>
          <w:color w:val="auto"/>
        </w:rPr>
      </w:pPr>
    </w:p>
    <w:p>
      <w:pPr>
        <w:ind w:right="160" w:firstLine="757"/>
        <w:spacing w:after="0" w:line="314" w:lineRule="auto"/>
        <w:tabs>
          <w:tab w:leader="none" w:pos="972" w:val="left"/>
        </w:tabs>
        <w:numPr>
          <w:ilvl w:val="1"/>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Adjustments. </w:t>
      </w:r>
      <w:r>
        <w:rPr>
          <w:rFonts w:ascii="Arial" w:cs="Arial" w:eastAsia="Arial" w:hAnsi="Arial"/>
          <w:sz w:val="16"/>
          <w:szCs w:val="16"/>
          <w:color w:val="auto"/>
        </w:rPr>
        <w:t>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and (ii) the class(es) and number of securities and price per share of stock subject to outstanding Stock Awards. The Board will make such adjustments, and its determination will be final, binding and conclusive.</w:t>
      </w:r>
    </w:p>
    <w:p>
      <w:pPr>
        <w:spacing w:after="0" w:line="33" w:lineRule="exact"/>
        <w:rPr>
          <w:rFonts w:ascii="Arial" w:cs="Arial" w:eastAsia="Arial" w:hAnsi="Arial"/>
          <w:sz w:val="16"/>
          <w:szCs w:val="16"/>
          <w:b w:val="1"/>
          <w:bCs w:val="1"/>
          <w:color w:val="auto"/>
        </w:rPr>
      </w:pPr>
    </w:p>
    <w:p>
      <w:pPr>
        <w:jc w:val="both"/>
        <w:ind w:firstLine="757"/>
        <w:spacing w:after="0" w:line="281" w:lineRule="auto"/>
        <w:tabs>
          <w:tab w:leader="none" w:pos="982" w:val="left"/>
        </w:tabs>
        <w:numPr>
          <w:ilvl w:val="1"/>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w:t>
      </w:r>
      <w:r>
        <w:rPr>
          <w:rFonts w:ascii="Arial" w:cs="Arial" w:eastAsia="Arial" w:hAnsi="Arial"/>
          <w:sz w:val="17"/>
          <w:szCs w:val="17"/>
          <w:color w:val="auto"/>
        </w:rPr>
        <w:t>Except as otherwise provided in the Stock Award Agreement, in the event of a Dissolution of the Company, all outstanding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7" w:name="page128"/>
    <w:bookmarkEnd w:id="127"/>
    <w:p>
      <w:pPr>
        <w:ind w:right="40"/>
        <w:spacing w:after="0" w:line="286" w:lineRule="auto"/>
        <w:rPr>
          <w:sz w:val="20"/>
          <w:szCs w:val="20"/>
          <w:color w:val="auto"/>
        </w:rPr>
      </w:pPr>
      <w:r>
        <w:rPr>
          <w:rFonts w:ascii="Arial" w:cs="Arial" w:eastAsia="Arial" w:hAnsi="Arial"/>
          <w:sz w:val="17"/>
          <w:szCs w:val="17"/>
          <w:color w:val="auto"/>
        </w:rPr>
        <w:t xml:space="preserve">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53" w:lineRule="exact"/>
        <w:rPr>
          <w:sz w:val="20"/>
          <w:szCs w:val="20"/>
          <w:color w:val="auto"/>
        </w:rPr>
      </w:pPr>
    </w:p>
    <w:p>
      <w:pPr>
        <w:ind w:right="60" w:firstLine="757"/>
        <w:spacing w:after="0" w:line="303" w:lineRule="auto"/>
        <w:tabs>
          <w:tab w:leader="none" w:pos="962"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Transaction. </w:t>
      </w:r>
      <w:r>
        <w:rPr>
          <w:rFonts w:ascii="Arial" w:cs="Arial" w:eastAsia="Arial" w:hAnsi="Arial"/>
          <w:sz w:val="16"/>
          <w:szCs w:val="16"/>
          <w:color w:val="auto"/>
        </w:rPr>
        <w:t>The following provisions shall apply to Stock Awards in the event of a Transaction unless otherwise provided in the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46" w:lineRule="exact"/>
        <w:rPr>
          <w:rFonts w:ascii="Arial" w:cs="Arial" w:eastAsia="Arial" w:hAnsi="Arial"/>
          <w:sz w:val="16"/>
          <w:szCs w:val="16"/>
          <w:b w:val="1"/>
          <w:bCs w:val="1"/>
          <w:color w:val="auto"/>
        </w:rPr>
      </w:pPr>
    </w:p>
    <w:p>
      <w:pPr>
        <w:ind w:right="140" w:firstLine="1505"/>
        <w:spacing w:after="0" w:line="263" w:lineRule="auto"/>
        <w:tabs>
          <w:tab w:leader="none" w:pos="1681"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75" w:lineRule="exact"/>
        <w:rPr>
          <w:rFonts w:ascii="Arial" w:cs="Arial" w:eastAsia="Arial" w:hAnsi="Arial"/>
          <w:sz w:val="18"/>
          <w:szCs w:val="18"/>
          <w:b w:val="1"/>
          <w:bCs w:val="1"/>
          <w:color w:val="auto"/>
        </w:rPr>
      </w:pPr>
    </w:p>
    <w:p>
      <w:pPr>
        <w:ind w:right="460" w:firstLine="1505"/>
        <w:spacing w:after="0" w:line="342" w:lineRule="auto"/>
        <w:tabs>
          <w:tab w:leader="none" w:pos="1731" w:val="left"/>
        </w:tabs>
        <w:numPr>
          <w:ilvl w:val="1"/>
          <w:numId w:val="121"/>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5" w:lineRule="exact"/>
        <w:rPr>
          <w:rFonts w:ascii="Arial" w:cs="Arial" w:eastAsia="Arial" w:hAnsi="Arial"/>
          <w:sz w:val="16"/>
          <w:szCs w:val="16"/>
          <w:b w:val="1"/>
          <w:bCs w:val="1"/>
          <w:color w:val="auto"/>
        </w:rPr>
      </w:pPr>
    </w:p>
    <w:p>
      <w:pPr>
        <w:ind w:right="100" w:firstLine="1505"/>
        <w:spacing w:after="0" w:line="259" w:lineRule="auto"/>
        <w:tabs>
          <w:tab w:leader="none" w:pos="1781"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78" w:lineRule="exact"/>
        <w:rPr>
          <w:rFonts w:ascii="Arial" w:cs="Arial" w:eastAsia="Arial" w:hAnsi="Arial"/>
          <w:sz w:val="18"/>
          <w:szCs w:val="18"/>
          <w:b w:val="1"/>
          <w:bCs w:val="1"/>
          <w:color w:val="auto"/>
        </w:rPr>
      </w:pPr>
    </w:p>
    <w:p>
      <w:pPr>
        <w:ind w:left="1780" w:hanging="275"/>
        <w:spacing w:after="0"/>
        <w:tabs>
          <w:tab w:leader="none" w:pos="1780" w:val="left"/>
        </w:tabs>
        <w:numPr>
          <w:ilvl w:val="1"/>
          <w:numId w:val="121"/>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b w:val="1"/>
          <w:bCs w:val="1"/>
          <w:color w:val="auto"/>
        </w:rPr>
      </w:pPr>
    </w:p>
    <w:p>
      <w:pPr>
        <w:ind w:right="120" w:firstLine="1505"/>
        <w:spacing w:after="0" w:line="308" w:lineRule="auto"/>
        <w:tabs>
          <w:tab w:leader="none" w:pos="1721" w:val="left"/>
        </w:tabs>
        <w:numPr>
          <w:ilvl w:val="1"/>
          <w:numId w:val="121"/>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38" w:lineRule="exact"/>
        <w:rPr>
          <w:rFonts w:ascii="Arial" w:cs="Arial" w:eastAsia="Arial" w:hAnsi="Arial"/>
          <w:sz w:val="17"/>
          <w:szCs w:val="17"/>
          <w:b w:val="1"/>
          <w:bCs w:val="1"/>
          <w:color w:val="auto"/>
        </w:rPr>
      </w:pPr>
    </w:p>
    <w:p>
      <w:pPr>
        <w:ind w:right="40" w:firstLine="1505"/>
        <w:spacing w:after="0" w:line="275" w:lineRule="auto"/>
        <w:tabs>
          <w:tab w:leader="none" w:pos="1771" w:val="left"/>
        </w:tabs>
        <w:numPr>
          <w:ilvl w:val="1"/>
          <w:numId w:val="121"/>
        </w:numPr>
        <w:rPr>
          <w:rFonts w:ascii="Arial" w:cs="Arial" w:eastAsia="Arial" w:hAnsi="Arial"/>
          <w:sz w:val="17"/>
          <w:szCs w:val="17"/>
          <w:b w:val="1"/>
          <w:bCs w:val="1"/>
          <w:color w:val="auto"/>
        </w:rPr>
      </w:pPr>
      <w:r>
        <w:rPr>
          <w:rFonts w:ascii="Arial" w:cs="Arial" w:eastAsia="Arial" w:hAnsi="Arial"/>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Common Stock in connection with the Transaction is delayed as a result of escrows, earn outs, holdbacks or other contingencies.</w:t>
      </w:r>
    </w:p>
    <w:p>
      <w:pPr>
        <w:spacing w:after="0" w:line="68"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6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 the event of a Transaction in which the surviving corporation or acquiring corporation (or its parent company) does not assume or continue such outstanding Stock Awards or substitute similar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the vesting of such Stock Awards (and, with respect to Options and Stock Appreciation Rights, the time when such Stock Awards may be exercised) will be accelerated in full to a date prior to the effective time of such Transaction (contingent upon the effectiveness of the Transaction) as the Board determines (or, if the Board does not determine such a date, to the date that is five (5) 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 With respect to the vesting of Performance Stock Awards that will accelerate upon the occurrence of a Transaction pursuant to this paragraph and that have multiple vesting levels depending on the level of performance, unless otherwise provided in the Stock Award Agreement or unless otherwise provided by the Board, the vesting of such Performance Stock Awards will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8" w:name="page129"/>
    <w:bookmarkEnd w:id="128"/>
    <w:p>
      <w:pPr>
        <w:jc w:val="both"/>
        <w:spacing w:after="0" w:line="259" w:lineRule="auto"/>
        <w:rPr>
          <w:sz w:val="20"/>
          <w:szCs w:val="20"/>
          <w:color w:val="auto"/>
        </w:rPr>
      </w:pPr>
      <w:r>
        <w:rPr>
          <w:rFonts w:ascii="Arial" w:cs="Arial" w:eastAsia="Arial" w:hAnsi="Arial"/>
          <w:sz w:val="18"/>
          <w:szCs w:val="18"/>
          <w:color w:val="auto"/>
        </w:rPr>
        <w:t>at 100% of the target level upon the occurrence of the Transaction in which the Stock Awards are not assumed or continued or for which substitute awards are issued. With respect to the vesting of Stock Awards that will accelerate upon the occurrence of a Transaction pursuant to this paragraph and are settled in the form of a cash payment, such cash payment will be made no later than 30 days following the occurrence of the Transaction or such later date as required by Section 409A of the Code.</w:t>
      </w:r>
    </w:p>
    <w:p>
      <w:pPr>
        <w:spacing w:after="0" w:line="7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In the event of a Transaction in which the surviving corporation or acquiring corporation (or its parent company) does not assume or continue such outstanding Stock Awards or substitute similar awards for such outstanding Awards, then with respect to Stock Awards that have not been assumed, continued or substituted and that are held by persons other than Current Participants, such Stock Awards will terminate if not exercised (if applicable) prior to the occurrence of the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reacquisition or repurchase rights held by the Company with respect to such Stock Awards will not terminate and may continue to be exercised notwithstanding the Transaction.</w:t>
      </w:r>
    </w:p>
    <w:p>
      <w:pPr>
        <w:spacing w:after="0" w:line="64" w:lineRule="exact"/>
        <w:rPr>
          <w:sz w:val="20"/>
          <w:szCs w:val="20"/>
          <w:color w:val="auto"/>
        </w:rPr>
      </w:pPr>
    </w:p>
    <w:p>
      <w:pPr>
        <w:ind w:right="120" w:firstLine="757"/>
        <w:spacing w:after="0" w:line="289" w:lineRule="auto"/>
        <w:tabs>
          <w:tab w:leader="none" w:pos="982"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w:t>
      </w:r>
    </w:p>
    <w:p>
      <w:pPr>
        <w:spacing w:after="0" w:line="49" w:lineRule="exact"/>
        <w:rPr>
          <w:rFonts w:ascii="Arial" w:cs="Arial" w:eastAsia="Arial" w:hAnsi="Arial"/>
          <w:sz w:val="17"/>
          <w:szCs w:val="17"/>
          <w:b w:val="1"/>
          <w:bCs w:val="1"/>
          <w:color w:val="auto"/>
        </w:rPr>
      </w:pPr>
    </w:p>
    <w:p>
      <w:pPr>
        <w:ind w:left="380" w:hanging="372"/>
        <w:spacing w:after="0"/>
        <w:tabs>
          <w:tab w:leader="none" w:pos="3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PLAN TERM; EARLIER TERMINATION OR SUSPENSION OF THE PLAN.</w:t>
      </w:r>
    </w:p>
    <w:p>
      <w:pPr>
        <w:spacing w:after="0" w:line="121"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Board may suspend or terminate the Plan at any time. No Awards may be granted under the Plan while the Plan is suspended or after it is terminated.</w:t>
      </w:r>
    </w:p>
    <w:p>
      <w:pPr>
        <w:spacing w:after="0" w:line="5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tab/>
        <w:t>EXISTENCE OF THE PLAN.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Plan will take effect on the date on which it is adopted by the Board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CHOICE OF LAW.</w:t>
      </w:r>
    </w:p>
    <w:p>
      <w:pPr>
        <w:spacing w:after="0" w:line="12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this Plan, without regard to that state’s conflict of laws rules.</w:t>
      </w:r>
    </w:p>
    <w:p>
      <w:pPr>
        <w:spacing w:after="0" w:line="58" w:lineRule="exact"/>
        <w:rPr>
          <w:sz w:val="20"/>
          <w:szCs w:val="20"/>
          <w:color w:val="auto"/>
        </w:rPr>
      </w:pPr>
    </w:p>
    <w:p>
      <w:pPr>
        <w:ind w:left="380" w:hanging="372"/>
        <w:spacing w:after="0"/>
        <w:tabs>
          <w:tab w:leader="none" w:pos="3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definitions will apply to the capitalized terms indicated below:</w:t>
      </w:r>
    </w:p>
    <w:p>
      <w:pPr>
        <w:spacing w:after="0" w:line="121" w:lineRule="exact"/>
        <w:rPr>
          <w:rFonts w:ascii="Arial" w:cs="Arial" w:eastAsia="Arial" w:hAnsi="Arial"/>
          <w:sz w:val="18"/>
          <w:szCs w:val="18"/>
          <w:b w:val="1"/>
          <w:bCs w:val="1"/>
          <w:color w:val="auto"/>
        </w:rPr>
      </w:pPr>
    </w:p>
    <w:p>
      <w:pPr>
        <w:ind w:right="60" w:firstLine="757"/>
        <w:spacing w:after="0" w:line="286" w:lineRule="auto"/>
        <w:tabs>
          <w:tab w:leader="none" w:pos="972" w:val="left"/>
        </w:tabs>
        <w:numPr>
          <w:ilvl w:val="1"/>
          <w:numId w:val="1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57" w:lineRule="exact"/>
        <w:rPr>
          <w:rFonts w:ascii="Arial" w:cs="Arial" w:eastAsia="Arial" w:hAnsi="Arial"/>
          <w:sz w:val="17"/>
          <w:szCs w:val="17"/>
          <w:b w:val="1"/>
          <w:bCs w:val="1"/>
          <w:color w:val="auto"/>
        </w:rPr>
      </w:pPr>
    </w:p>
    <w:p>
      <w:pPr>
        <w:ind w:left="1000" w:hanging="243"/>
        <w:spacing w:after="0"/>
        <w:tabs>
          <w:tab w:leader="none" w:pos="100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117" w:lineRule="exact"/>
        <w:rPr>
          <w:rFonts w:ascii="Arial" w:cs="Arial" w:eastAsia="Arial" w:hAnsi="Arial"/>
          <w:sz w:val="18"/>
          <w:szCs w:val="18"/>
          <w:b w:val="1"/>
          <w:bCs w:val="1"/>
          <w:color w:val="auto"/>
        </w:rPr>
      </w:pPr>
    </w:p>
    <w:p>
      <w:pPr>
        <w:ind w:left="980" w:hanging="223"/>
        <w:spacing w:after="0"/>
        <w:tabs>
          <w:tab w:leader="none" w:pos="980"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140" w:lineRule="exact"/>
        <w:rPr>
          <w:rFonts w:ascii="Arial" w:cs="Arial" w:eastAsia="Arial" w:hAnsi="Arial"/>
          <w:sz w:val="16"/>
          <w:szCs w:val="16"/>
          <w:b w:val="1"/>
          <w:bCs w:val="1"/>
          <w:color w:val="auto"/>
        </w:rPr>
      </w:pPr>
    </w:p>
    <w:p>
      <w:pPr>
        <w:ind w:left="1000" w:hanging="243"/>
        <w:spacing w:after="0"/>
        <w:tabs>
          <w:tab w:leader="none" w:pos="100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left="980" w:hanging="223"/>
        <w:spacing w:after="0"/>
        <w:tabs>
          <w:tab w:leader="none" w:pos="98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117" w:lineRule="exact"/>
        <w:rPr>
          <w:rFonts w:ascii="Arial" w:cs="Arial" w:eastAsia="Arial" w:hAnsi="Arial"/>
          <w:sz w:val="18"/>
          <w:szCs w:val="18"/>
          <w:b w:val="1"/>
          <w:bCs w:val="1"/>
          <w:color w:val="auto"/>
        </w:rPr>
      </w:pPr>
    </w:p>
    <w:p>
      <w:pPr>
        <w:ind w:right="60" w:firstLine="757"/>
        <w:spacing w:after="0" w:line="293" w:lineRule="auto"/>
        <w:tabs>
          <w:tab w:leader="none" w:pos="942"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6" w:lineRule="exact"/>
        <w:rPr>
          <w:rFonts w:ascii="Arial" w:cs="Arial" w:eastAsia="Arial" w:hAnsi="Arial"/>
          <w:sz w:val="16"/>
          <w:szCs w:val="16"/>
          <w:b w:val="1"/>
          <w:bCs w:val="1"/>
          <w:color w:val="auto"/>
        </w:rPr>
      </w:pPr>
    </w:p>
    <w:p>
      <w:pPr>
        <w:jc w:val="both"/>
        <w:ind w:right="60" w:firstLine="757"/>
        <w:spacing w:after="0" w:line="291" w:lineRule="auto"/>
        <w:tabs>
          <w:tab w:leader="none" w:pos="972"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w:t>
      </w:r>
    </w:p>
    <w:p>
      <w:pPr>
        <w:ind w:right="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(i) such Participant’s commission of any felony or any crime involving fraud, dishonesty or moral turpitude under the laws of the United States or any state thereof; (ii) such Participant’s attempted commission of, or participation in, a fraud or act of dishonesty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ind w:right="140"/>
        <w:spacing w:after="0" w:line="291" w:lineRule="auto"/>
        <w:rPr>
          <w:sz w:val="20"/>
          <w:szCs w:val="20"/>
          <w:color w:val="auto"/>
        </w:rPr>
      </w:pPr>
      <w:r>
        <w:rPr>
          <w:rFonts w:ascii="Arial" w:cs="Arial" w:eastAsia="Arial" w:hAnsi="Arial"/>
          <w:sz w:val="16"/>
          <w:szCs w:val="16"/>
          <w:color w:val="auto"/>
        </w:rPr>
        <w:t>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58" w:lineRule="exact"/>
        <w:rPr>
          <w:sz w:val="20"/>
          <w:szCs w:val="20"/>
          <w:color w:val="auto"/>
        </w:rPr>
      </w:pPr>
    </w:p>
    <w:p>
      <w:pPr>
        <w:ind w:left="1000" w:hanging="243"/>
        <w:spacing w:after="0"/>
        <w:tabs>
          <w:tab w:leader="none" w:pos="100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103" w:lineRule="exact"/>
        <w:rPr>
          <w:sz w:val="20"/>
          <w:szCs w:val="20"/>
          <w:color w:val="auto"/>
        </w:rPr>
      </w:pPr>
    </w:p>
    <w:p>
      <w:pPr>
        <w:ind w:firstLine="1505"/>
        <w:spacing w:after="0" w:line="287" w:lineRule="auto"/>
        <w:tabs>
          <w:tab w:leader="none" w:pos="1681"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63" w:lineRule="exact"/>
        <w:rPr>
          <w:rFonts w:ascii="Arial" w:cs="Arial" w:eastAsia="Arial" w:hAnsi="Arial"/>
          <w:sz w:val="16"/>
          <w:szCs w:val="16"/>
          <w:b w:val="1"/>
          <w:bCs w:val="1"/>
          <w:color w:val="auto"/>
        </w:rPr>
      </w:pPr>
    </w:p>
    <w:p>
      <w:pPr>
        <w:ind w:right="200" w:firstLine="1505"/>
        <w:spacing w:after="0" w:line="273" w:lineRule="auto"/>
        <w:tabs>
          <w:tab w:leader="none" w:pos="1731"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9" w:lineRule="exact"/>
        <w:rPr>
          <w:rFonts w:ascii="Arial" w:cs="Arial" w:eastAsia="Arial" w:hAnsi="Arial"/>
          <w:sz w:val="17"/>
          <w:szCs w:val="17"/>
          <w:b w:val="1"/>
          <w:bCs w:val="1"/>
          <w:color w:val="auto"/>
        </w:rPr>
      </w:pPr>
    </w:p>
    <w:p>
      <w:pPr>
        <w:ind w:right="100" w:firstLine="1505"/>
        <w:spacing w:after="0" w:line="257" w:lineRule="auto"/>
        <w:tabs>
          <w:tab w:leader="none" w:pos="1781"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79" w:lineRule="exact"/>
        <w:rPr>
          <w:rFonts w:ascii="Arial" w:cs="Arial" w:eastAsia="Arial" w:hAnsi="Arial"/>
          <w:sz w:val="18"/>
          <w:szCs w:val="18"/>
          <w:b w:val="1"/>
          <w:bCs w:val="1"/>
          <w:color w:val="auto"/>
        </w:rPr>
      </w:pPr>
    </w:p>
    <w:p>
      <w:pPr>
        <w:ind w:right="20" w:firstLine="1505"/>
        <w:spacing w:after="0" w:line="308" w:lineRule="auto"/>
        <w:tabs>
          <w:tab w:leader="none" w:pos="1771"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38" w:lineRule="exact"/>
        <w:rPr>
          <w:rFonts w:ascii="Arial" w:cs="Arial" w:eastAsia="Arial" w:hAnsi="Arial"/>
          <w:sz w:val="17"/>
          <w:szCs w:val="17"/>
          <w:b w:val="1"/>
          <w:bCs w:val="1"/>
          <w:color w:val="auto"/>
        </w:rPr>
      </w:pPr>
    </w:p>
    <w:p>
      <w:pPr>
        <w:jc w:val="both"/>
        <w:ind w:right="220" w:firstLine="1505"/>
        <w:spacing w:after="0" w:line="279" w:lineRule="auto"/>
        <w:tabs>
          <w:tab w:leader="none" w:pos="1721"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63"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0" w:name="page131"/>
    <w:bookmarkEnd w:id="130"/>
    <w:p>
      <w:pPr>
        <w:ind w:right="340"/>
        <w:spacing w:after="0" w:line="263" w:lineRule="auto"/>
        <w:rPr>
          <w:sz w:val="20"/>
          <w:szCs w:val="20"/>
          <w:color w:val="auto"/>
        </w:rPr>
      </w:pPr>
      <w:r>
        <w:rPr>
          <w:rFonts w:ascii="Arial" w:cs="Arial" w:eastAsia="Arial" w:hAnsi="Arial"/>
          <w:sz w:val="18"/>
          <w:szCs w:val="18"/>
          <w:color w:val="auto"/>
        </w:rPr>
        <w:t xml:space="preserve">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76"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w:t>
      </w:r>
    </w:p>
    <w:p>
      <w:pPr>
        <w:spacing w:after="0" w:line="41" w:lineRule="exact"/>
        <w:rPr>
          <w:sz w:val="20"/>
          <w:szCs w:val="20"/>
          <w:color w:val="auto"/>
        </w:rPr>
      </w:pPr>
    </w:p>
    <w:p>
      <w:pPr>
        <w:ind w:left="940" w:hanging="183"/>
        <w:spacing w:after="0"/>
        <w:tabs>
          <w:tab w:leader="none" w:pos="9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right="340" w:firstLine="757"/>
        <w:spacing w:after="0" w:line="277" w:lineRule="auto"/>
        <w:tabs>
          <w:tab w:leader="none" w:pos="942"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Independent Directors to whom authority has been delegated by the Board in accordance with Section 2(c) of the Plan.</w:t>
      </w:r>
    </w:p>
    <w:p>
      <w:pPr>
        <w:spacing w:after="0" w:line="62" w:lineRule="exact"/>
        <w:rPr>
          <w:rFonts w:ascii="Arial" w:cs="Arial" w:eastAsia="Arial" w:hAnsi="Arial"/>
          <w:sz w:val="18"/>
          <w:szCs w:val="18"/>
          <w:b w:val="1"/>
          <w:bCs w:val="1"/>
          <w:color w:val="auto"/>
        </w:rPr>
      </w:pPr>
    </w:p>
    <w:p>
      <w:pPr>
        <w:ind w:left="1000" w:hanging="243"/>
        <w:spacing w:after="0"/>
        <w:tabs>
          <w:tab w:leader="none" w:pos="100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having one vote per share.</w:t>
      </w:r>
    </w:p>
    <w:p>
      <w:pPr>
        <w:spacing w:after="0" w:line="117" w:lineRule="exact"/>
        <w:rPr>
          <w:rFonts w:ascii="Arial" w:cs="Arial" w:eastAsia="Arial" w:hAnsi="Arial"/>
          <w:sz w:val="18"/>
          <w:szCs w:val="18"/>
          <w:b w:val="1"/>
          <w:bCs w:val="1"/>
          <w:color w:val="auto"/>
        </w:rPr>
      </w:pPr>
    </w:p>
    <w:p>
      <w:pPr>
        <w:ind w:left="940" w:hanging="183"/>
        <w:spacing w:after="0"/>
        <w:tabs>
          <w:tab w:leader="none" w:pos="9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Tempest Therapeutics, Inc., a Delaware corporation.</w:t>
      </w:r>
    </w:p>
    <w:p>
      <w:pPr>
        <w:spacing w:after="0" w:line="117" w:lineRule="exact"/>
        <w:rPr>
          <w:rFonts w:ascii="Arial" w:cs="Arial" w:eastAsia="Arial" w:hAnsi="Arial"/>
          <w:sz w:val="18"/>
          <w:szCs w:val="18"/>
          <w:b w:val="1"/>
          <w:bCs w:val="1"/>
          <w:color w:val="auto"/>
        </w:rPr>
      </w:pPr>
    </w:p>
    <w:p>
      <w:pPr>
        <w:ind w:right="120" w:firstLine="757"/>
        <w:spacing w:after="0" w:line="273" w:lineRule="auto"/>
        <w:tabs>
          <w:tab w:leader="none" w:pos="1032"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spacing w:after="0" w:line="69" w:lineRule="exact"/>
        <w:rPr>
          <w:rFonts w:ascii="Arial" w:cs="Arial" w:eastAsia="Arial" w:hAnsi="Arial"/>
          <w:sz w:val="17"/>
          <w:szCs w:val="17"/>
          <w:b w:val="1"/>
          <w:bCs w:val="1"/>
          <w:color w:val="auto"/>
        </w:rPr>
      </w:pPr>
    </w:p>
    <w:p>
      <w:pPr>
        <w:ind w:firstLine="757"/>
        <w:spacing w:after="0" w:line="269" w:lineRule="auto"/>
        <w:tabs>
          <w:tab w:leader="none" w:pos="982"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73" w:lineRule="exact"/>
        <w:rPr>
          <w:rFonts w:ascii="Arial" w:cs="Arial" w:eastAsia="Arial" w:hAnsi="Arial"/>
          <w:sz w:val="17"/>
          <w:szCs w:val="17"/>
          <w:b w:val="1"/>
          <w:bCs w:val="1"/>
          <w:color w:val="auto"/>
        </w:rPr>
      </w:pPr>
    </w:p>
    <w:p>
      <w:pPr>
        <w:ind w:right="360" w:firstLine="757"/>
        <w:spacing w:after="0" w:line="342" w:lineRule="auto"/>
        <w:tabs>
          <w:tab w:leader="none" w:pos="972"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 events:</w:t>
      </w:r>
    </w:p>
    <w:p>
      <w:pPr>
        <w:spacing w:after="0" w:line="15" w:lineRule="exact"/>
        <w:rPr>
          <w:rFonts w:ascii="Arial" w:cs="Arial" w:eastAsia="Arial" w:hAnsi="Arial"/>
          <w:sz w:val="16"/>
          <w:szCs w:val="16"/>
          <w:b w:val="1"/>
          <w:bCs w:val="1"/>
          <w:color w:val="auto"/>
        </w:rPr>
      </w:pPr>
    </w:p>
    <w:p>
      <w:pPr>
        <w:ind w:right="180" w:firstLine="1505"/>
        <w:spacing w:after="0" w:line="277" w:lineRule="auto"/>
        <w:tabs>
          <w:tab w:leader="none" w:pos="1681"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740" w:hanging="235"/>
        <w:spacing w:after="0"/>
        <w:tabs>
          <w:tab w:leader="none" w:pos="174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1780" w:hanging="275"/>
        <w:spacing w:after="0"/>
        <w:tabs>
          <w:tab w:leader="none" w:pos="178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right="320" w:firstLine="1505"/>
        <w:spacing w:after="0" w:line="286" w:lineRule="auto"/>
        <w:tabs>
          <w:tab w:leader="none" w:pos="1771" w:val="left"/>
        </w:tabs>
        <w:numPr>
          <w:ilvl w:val="1"/>
          <w:numId w:val="127"/>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ind w:left="1000" w:hanging="243"/>
        <w:spacing w:after="0"/>
        <w:tabs>
          <w:tab w:leader="none" w:pos="1000"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 Directors are not eligible to receive Awards under the Plan with respect to their service in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103" w:lineRule="exact"/>
        <w:rPr>
          <w:sz w:val="20"/>
          <w:szCs w:val="20"/>
          <w:color w:val="auto"/>
        </w:rPr>
      </w:pPr>
    </w:p>
    <w:p>
      <w:pPr>
        <w:ind w:firstLine="757"/>
        <w:spacing w:after="0" w:line="279" w:lineRule="auto"/>
        <w:tabs>
          <w:tab w:leader="none" w:pos="982"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63" w:lineRule="exact"/>
        <w:rPr>
          <w:rFonts w:ascii="Arial" w:cs="Arial" w:eastAsia="Arial" w:hAnsi="Arial"/>
          <w:sz w:val="17"/>
          <w:szCs w:val="17"/>
          <w:b w:val="1"/>
          <w:bCs w:val="1"/>
          <w:color w:val="auto"/>
        </w:rPr>
      </w:pPr>
    </w:p>
    <w:p>
      <w:pPr>
        <w:jc w:val="both"/>
        <w:ind w:right="320" w:firstLine="757"/>
        <w:spacing w:after="0" w:line="263" w:lineRule="auto"/>
        <w:tabs>
          <w:tab w:leader="none" w:pos="962"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Dissolution</w:t>
      </w:r>
      <w:r>
        <w:rPr>
          <w:rFonts w:ascii="Arial" w:cs="Arial" w:eastAsia="Arial" w:hAnsi="Arial"/>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76" w:lineRule="exact"/>
        <w:rPr>
          <w:sz w:val="20"/>
          <w:szCs w:val="20"/>
          <w:color w:val="auto"/>
        </w:rPr>
      </w:pPr>
    </w:p>
    <w:p>
      <w:pPr>
        <w:ind w:right="140" w:firstLine="757"/>
        <w:spacing w:after="0" w:line="277" w:lineRule="auto"/>
        <w:tabs>
          <w:tab w:leader="none" w:pos="942"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1000" w:hanging="243"/>
        <w:spacing w:after="0"/>
        <w:tabs>
          <w:tab w:leader="none" w:pos="100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980" w:hanging="223"/>
        <w:spacing w:after="0"/>
        <w:tabs>
          <w:tab w:leader="none" w:pos="980"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8" w:lineRule="exact"/>
        <w:rPr>
          <w:rFonts w:ascii="Arial" w:cs="Arial" w:eastAsia="Arial" w:hAnsi="Arial"/>
          <w:sz w:val="17"/>
          <w:szCs w:val="17"/>
          <w:b w:val="1"/>
          <w:bCs w:val="1"/>
          <w:color w:val="auto"/>
        </w:rPr>
      </w:pPr>
    </w:p>
    <w:p>
      <w:pPr>
        <w:ind w:right="20" w:firstLine="757"/>
        <w:spacing w:after="0" w:line="291" w:lineRule="auto"/>
        <w:tabs>
          <w:tab w:leader="none" w:pos="1012"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58" w:lineRule="exact"/>
        <w:rPr>
          <w:rFonts w:ascii="Arial" w:cs="Arial" w:eastAsia="Arial" w:hAnsi="Arial"/>
          <w:sz w:val="16"/>
          <w:szCs w:val="16"/>
          <w:b w:val="1"/>
          <w:bCs w:val="1"/>
          <w:color w:val="auto"/>
        </w:rPr>
      </w:pPr>
    </w:p>
    <w:p>
      <w:pPr>
        <w:ind w:left="980" w:hanging="223"/>
        <w:spacing w:after="0"/>
        <w:tabs>
          <w:tab w:leader="none" w:pos="98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right="60" w:firstLine="1505"/>
        <w:spacing w:after="0" w:line="259" w:lineRule="auto"/>
        <w:tabs>
          <w:tab w:leader="none" w:pos="1681"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78" w:lineRule="exact"/>
        <w:rPr>
          <w:rFonts w:ascii="Arial" w:cs="Arial" w:eastAsia="Arial" w:hAnsi="Arial"/>
          <w:sz w:val="18"/>
          <w:szCs w:val="18"/>
          <w:b w:val="1"/>
          <w:bCs w:val="1"/>
          <w:color w:val="auto"/>
        </w:rPr>
      </w:pPr>
    </w:p>
    <w:p>
      <w:pPr>
        <w:ind w:right="80" w:firstLine="1505"/>
        <w:spacing w:after="0" w:line="277" w:lineRule="auto"/>
        <w:tabs>
          <w:tab w:leader="none" w:pos="1731"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right="60" w:firstLine="1505"/>
        <w:spacing w:after="0" w:line="277" w:lineRule="auto"/>
        <w:tabs>
          <w:tab w:leader="none" w:pos="1781"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 409A of the Code.</w:t>
      </w:r>
    </w:p>
    <w:p>
      <w:pPr>
        <w:spacing w:after="0" w:line="62" w:lineRule="exact"/>
        <w:rPr>
          <w:rFonts w:ascii="Arial" w:cs="Arial" w:eastAsia="Arial" w:hAnsi="Arial"/>
          <w:sz w:val="18"/>
          <w:szCs w:val="18"/>
          <w:b w:val="1"/>
          <w:bCs w:val="1"/>
          <w:color w:val="auto"/>
        </w:rPr>
      </w:pPr>
    </w:p>
    <w:p>
      <w:pPr>
        <w:ind w:right="20" w:firstLine="757"/>
        <w:spacing w:after="0" w:line="273" w:lineRule="auto"/>
        <w:tabs>
          <w:tab w:leader="none" w:pos="972"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7"/>
          <w:szCs w:val="17"/>
          <w:b w:val="1"/>
          <w:bCs w:val="1"/>
          <w:i w:val="1"/>
          <w:iCs w:val="1"/>
          <w:color w:val="auto"/>
        </w:rPr>
        <w:t>Regulation S-K</w:t>
      </w:r>
      <w:r>
        <w:rPr>
          <w:rFonts w:ascii="Arial" w:cs="Arial" w:eastAsia="Arial" w:hAnsi="Arial"/>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69" w:lineRule="exact"/>
        <w:rPr>
          <w:rFonts w:ascii="Arial" w:cs="Arial" w:eastAsia="Arial" w:hAnsi="Arial"/>
          <w:sz w:val="17"/>
          <w:szCs w:val="17"/>
          <w:b w:val="1"/>
          <w:bCs w:val="1"/>
          <w:color w:val="auto"/>
        </w:rPr>
      </w:pPr>
    </w:p>
    <w:p>
      <w:pPr>
        <w:ind w:right="80" w:firstLine="757"/>
        <w:spacing w:after="0" w:line="308" w:lineRule="auto"/>
        <w:tabs>
          <w:tab w:leader="none" w:pos="962"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5 of the Plan that does not qualify as an “incentive stock option” within the meaning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ind w:left="1072" w:hanging="323"/>
        <w:spacing w:after="0"/>
        <w:tabs>
          <w:tab w:leader="none" w:pos="1072"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rFonts w:ascii="Arial" w:cs="Arial" w:eastAsia="Arial" w:hAnsi="Arial"/>
          <w:sz w:val="18"/>
          <w:szCs w:val="18"/>
          <w:b w:val="1"/>
          <w:bCs w:val="1"/>
          <w:color w:val="auto"/>
        </w:rPr>
      </w:pPr>
    </w:p>
    <w:p>
      <w:pPr>
        <w:ind w:left="1092" w:hanging="343"/>
        <w:spacing w:after="0"/>
        <w:tabs>
          <w:tab w:leader="none" w:pos="1092"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Nonstatutory Stock Option to purchase shares of Common Stock granted pursuant to the Plan.</w:t>
      </w:r>
    </w:p>
    <w:p>
      <w:pPr>
        <w:spacing w:after="0" w:line="117" w:lineRule="exact"/>
        <w:rPr>
          <w:rFonts w:ascii="Arial" w:cs="Arial" w:eastAsia="Arial" w:hAnsi="Arial"/>
          <w:sz w:val="18"/>
          <w:szCs w:val="18"/>
          <w:b w:val="1"/>
          <w:bCs w:val="1"/>
          <w:color w:val="auto"/>
        </w:rPr>
      </w:pPr>
    </w:p>
    <w:p>
      <w:pPr>
        <w:ind w:left="-8" w:right="460" w:firstLine="757"/>
        <w:spacing w:after="0" w:line="342" w:lineRule="auto"/>
        <w:tabs>
          <w:tab w:leader="none" w:pos="1034" w:val="left"/>
        </w:tabs>
        <w:numPr>
          <w:ilvl w:val="1"/>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means a written agreement between the Company and an Optionholder evidencing the terms and conditions of an Option grant. Each Option Agreement will be subject to the terms and conditions of the Plan.</w:t>
      </w:r>
    </w:p>
    <w:p>
      <w:pPr>
        <w:spacing w:after="0" w:line="15" w:lineRule="exact"/>
        <w:rPr>
          <w:rFonts w:ascii="Arial" w:cs="Arial" w:eastAsia="Arial" w:hAnsi="Arial"/>
          <w:sz w:val="16"/>
          <w:szCs w:val="16"/>
          <w:b w:val="1"/>
          <w:bCs w:val="1"/>
          <w:color w:val="auto"/>
        </w:rPr>
      </w:pPr>
    </w:p>
    <w:p>
      <w:pPr>
        <w:ind w:left="-8" w:right="640" w:firstLine="757"/>
        <w:spacing w:after="0" w:line="308" w:lineRule="auto"/>
        <w:tabs>
          <w:tab w:leader="none" w:pos="1074" w:val="left"/>
        </w:tabs>
        <w:numPr>
          <w:ilvl w:val="1"/>
          <w:numId w:val="1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Optionholder</w:t>
      </w:r>
      <w:r>
        <w:rPr>
          <w:rFonts w:ascii="Arial" w:cs="Arial" w:eastAsia="Arial" w:hAnsi="Arial"/>
          <w:sz w:val="17"/>
          <w:szCs w:val="17"/>
          <w:color w:val="auto"/>
        </w:rPr>
        <w:t>” means a person to whom an Option is granted pursuant to the Plan or, if applicable, such other person who holds an outstanding Option.</w:t>
      </w:r>
    </w:p>
    <w:p>
      <w:pPr>
        <w:spacing w:after="0" w:line="38" w:lineRule="exact"/>
        <w:rPr>
          <w:rFonts w:ascii="Arial" w:cs="Arial" w:eastAsia="Arial" w:hAnsi="Arial"/>
          <w:sz w:val="17"/>
          <w:szCs w:val="17"/>
          <w:b w:val="1"/>
          <w:bCs w:val="1"/>
          <w:color w:val="auto"/>
        </w:rPr>
      </w:pPr>
    </w:p>
    <w:p>
      <w:pPr>
        <w:ind w:left="-8" w:right="240" w:firstLine="757"/>
        <w:spacing w:after="0" w:line="342" w:lineRule="auto"/>
        <w:tabs>
          <w:tab w:leader="none" w:pos="1034" w:val="left"/>
        </w:tabs>
        <w:numPr>
          <w:ilvl w:val="1"/>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w:t>
      </w:r>
      <w:r>
        <w:rPr>
          <w:rFonts w:ascii="Arial" w:cs="Arial" w:eastAsia="Arial" w:hAnsi="Arial"/>
          <w:sz w:val="16"/>
          <w:szCs w:val="16"/>
          <w:color w:val="auto"/>
        </w:rPr>
        <w:t>” means an award based in whole or in part by reference to the Common Stock which is granted pursuant to the terms and conditions of Section 6(d).</w:t>
      </w:r>
    </w:p>
    <w:p>
      <w:pPr>
        <w:spacing w:after="0" w:line="15" w:lineRule="exact"/>
        <w:rPr>
          <w:rFonts w:ascii="Arial" w:cs="Arial" w:eastAsia="Arial" w:hAnsi="Arial"/>
          <w:sz w:val="16"/>
          <w:szCs w:val="16"/>
          <w:b w:val="1"/>
          <w:bCs w:val="1"/>
          <w:color w:val="auto"/>
        </w:rPr>
      </w:pPr>
    </w:p>
    <w:p>
      <w:pPr>
        <w:ind w:left="-8" w:right="320" w:firstLine="757"/>
        <w:spacing w:after="0" w:line="342" w:lineRule="auto"/>
        <w:tabs>
          <w:tab w:leader="none" w:pos="994" w:val="left"/>
        </w:tabs>
        <w:numPr>
          <w:ilvl w:val="1"/>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 w:lineRule="exact"/>
        <w:rPr>
          <w:rFonts w:ascii="Arial" w:cs="Arial" w:eastAsia="Arial" w:hAnsi="Arial"/>
          <w:sz w:val="16"/>
          <w:szCs w:val="16"/>
          <w:b w:val="1"/>
          <w:bCs w:val="1"/>
          <w:color w:val="auto"/>
        </w:rPr>
      </w:pPr>
    </w:p>
    <w:p>
      <w:pPr>
        <w:jc w:val="both"/>
        <w:ind w:left="-8" w:firstLine="757"/>
        <w:spacing w:after="0" w:line="311" w:lineRule="auto"/>
        <w:tabs>
          <w:tab w:leader="none" w:pos="1054" w:val="left"/>
        </w:tabs>
        <w:numPr>
          <w:ilvl w:val="1"/>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40" w:lineRule="exact"/>
        <w:rPr>
          <w:rFonts w:ascii="Arial" w:cs="Arial" w:eastAsia="Arial" w:hAnsi="Arial"/>
          <w:sz w:val="16"/>
          <w:szCs w:val="16"/>
          <w:b w:val="1"/>
          <w:bCs w:val="1"/>
          <w:color w:val="auto"/>
        </w:rPr>
      </w:pPr>
    </w:p>
    <w:p>
      <w:pPr>
        <w:ind w:left="-8" w:right="100" w:firstLine="757"/>
        <w:spacing w:after="0" w:line="308" w:lineRule="auto"/>
        <w:tabs>
          <w:tab w:leader="none" w:pos="1074" w:val="left"/>
        </w:tabs>
        <w:numPr>
          <w:ilvl w:val="1"/>
          <w:numId w:val="1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 Eligible Employee to whom an Award is granted pursuant to the Plan or, if applicable, such other person who holds an outstanding Stock Award.</w:t>
      </w:r>
    </w:p>
    <w:p>
      <w:pPr>
        <w:spacing w:after="0" w:line="38" w:lineRule="exact"/>
        <w:rPr>
          <w:rFonts w:ascii="Arial" w:cs="Arial" w:eastAsia="Arial" w:hAnsi="Arial"/>
          <w:sz w:val="17"/>
          <w:szCs w:val="17"/>
          <w:b w:val="1"/>
          <w:bCs w:val="1"/>
          <w:color w:val="auto"/>
        </w:rPr>
      </w:pPr>
    </w:p>
    <w:p>
      <w:pPr>
        <w:ind w:left="992" w:hanging="243"/>
        <w:spacing w:after="0"/>
        <w:tabs>
          <w:tab w:leader="none" w:pos="992"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117" w:lineRule="exact"/>
        <w:rPr>
          <w:rFonts w:ascii="Arial" w:cs="Arial" w:eastAsia="Arial" w:hAnsi="Arial"/>
          <w:sz w:val="18"/>
          <w:szCs w:val="18"/>
          <w:b w:val="1"/>
          <w:bCs w:val="1"/>
          <w:color w:val="auto"/>
        </w:rPr>
      </w:pPr>
    </w:p>
    <w:p>
      <w:pPr>
        <w:ind w:left="-8" w:right="80" w:firstLine="757"/>
        <w:spacing w:after="0" w:line="284" w:lineRule="auto"/>
        <w:tabs>
          <w:tab w:leader="none" w:pos="994" w:val="left"/>
        </w:tabs>
        <w:numPr>
          <w:ilvl w:val="1"/>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one or more criteria that a majority of the Company’s Independent Directors or the Independent Compensation Committee will select for purposes of establishing the Performance Goals for a Performance Period. The Performance Criteria that will be used to establish such Performance Goals may be based on any one of, or combination of, the following as determined by a majority of the Company’s Independent Directors or the Independent Compensation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w:t>
      </w:r>
    </w:p>
    <w:p>
      <w:pPr>
        <w:spacing w:after="0" w:line="2" w:lineRule="exact"/>
        <w:rPr>
          <w:rFonts w:ascii="Arial" w:cs="Arial" w:eastAsia="Arial" w:hAnsi="Arial"/>
          <w:sz w:val="16"/>
          <w:szCs w:val="16"/>
          <w:b w:val="1"/>
          <w:bCs w:val="1"/>
          <w:color w:val="auto"/>
        </w:rPr>
      </w:pPr>
    </w:p>
    <w:p>
      <w:pPr>
        <w:ind w:left="-8" w:firstLine="8"/>
        <w:spacing w:after="0" w:line="284" w:lineRule="auto"/>
        <w:tabs>
          <w:tab w:leader="none" w:pos="33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 (xxvii) debt levels; (xxviii) operating profit or net operating profit; (xxix) workforce diversity; (xxx) growth of net income or operating income; (xxxi) 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49" w:right="339" w:bottom="1440" w:gutter="0" w:footer="0" w:header="0"/>
        </w:sectPr>
      </w:pPr>
    </w:p>
    <w:bookmarkStart w:id="133" w:name="page134"/>
    <w:bookmarkEnd w:id="133"/>
    <w:p>
      <w:pPr>
        <w:ind w:right="220"/>
        <w:spacing w:after="0" w:line="311" w:lineRule="auto"/>
        <w:rPr>
          <w:sz w:val="20"/>
          <w:szCs w:val="20"/>
          <w:color w:val="auto"/>
        </w:rPr>
      </w:pPr>
      <w:r>
        <w:rPr>
          <w:rFonts w:ascii="Arial" w:cs="Arial" w:eastAsia="Arial" w:hAnsi="Arial"/>
          <w:sz w:val="16"/>
          <w:szCs w:val="16"/>
          <w:color w:val="auto"/>
        </w:rPr>
        <w:t>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a majority of the Company’s Independent Directors or the Independent Compensation Committee.</w:t>
      </w:r>
    </w:p>
    <w:p>
      <w:pPr>
        <w:spacing w:after="0" w:line="41" w:lineRule="exact"/>
        <w:rPr>
          <w:sz w:val="20"/>
          <w:szCs w:val="20"/>
          <w:color w:val="auto"/>
        </w:rPr>
      </w:pPr>
    </w:p>
    <w:p>
      <w:pPr>
        <w:ind w:firstLine="757"/>
        <w:spacing w:after="0" w:line="284" w:lineRule="auto"/>
        <w:tabs>
          <w:tab w:leader="none" w:pos="1082"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one or more goals established by a majority of the Company’s Independent 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a majority of the Company’s Independent Directors or the Independent Compensation Committee (i) in the Award Agreement at the time the Award is granted or (ii) in such other document setting forth the Performance Goals at the time the Performance Goals are established, a majority of the Company’s Independent Directors or the Independent Compensation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a majority of the Company’s Independent Directors or the Independent Compensation Committee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287" w:lineRule="exact"/>
        <w:rPr>
          <w:rFonts w:ascii="Arial" w:cs="Arial" w:eastAsia="Arial" w:hAnsi="Arial"/>
          <w:sz w:val="16"/>
          <w:szCs w:val="16"/>
          <w:b w:val="1"/>
          <w:bCs w:val="1"/>
          <w:color w:val="auto"/>
        </w:rPr>
      </w:pPr>
    </w:p>
    <w:p>
      <w:pPr>
        <w:ind w:right="240" w:firstLine="757"/>
        <w:spacing w:after="0" w:line="279" w:lineRule="auto"/>
        <w:tabs>
          <w:tab w:leader="none" w:pos="982"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a majority of the Company’s Independent Directors or the Independent Compensation Committee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a majority of the Company’s Independent Directors or the Independent Compensation Committee.</w:t>
      </w:r>
    </w:p>
    <w:p>
      <w:pPr>
        <w:spacing w:after="0" w:line="63" w:lineRule="exact"/>
        <w:rPr>
          <w:rFonts w:ascii="Arial" w:cs="Arial" w:eastAsia="Arial" w:hAnsi="Arial"/>
          <w:sz w:val="17"/>
          <w:szCs w:val="17"/>
          <w:b w:val="1"/>
          <w:bCs w:val="1"/>
          <w:color w:val="auto"/>
        </w:rPr>
      </w:pPr>
    </w:p>
    <w:p>
      <w:pPr>
        <w:ind w:left="1200" w:hanging="443"/>
        <w:spacing w:after="0"/>
        <w:tabs>
          <w:tab w:leader="none" w:pos="120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117" w:lineRule="exact"/>
        <w:rPr>
          <w:rFonts w:ascii="Arial" w:cs="Arial" w:eastAsia="Arial" w:hAnsi="Arial"/>
          <w:sz w:val="18"/>
          <w:szCs w:val="18"/>
          <w:b w:val="1"/>
          <w:bCs w:val="1"/>
          <w:color w:val="auto"/>
        </w:rPr>
      </w:pPr>
    </w:p>
    <w:p>
      <w:pPr>
        <w:ind w:left="1100" w:hanging="343"/>
        <w:spacing w:after="0"/>
        <w:tabs>
          <w:tab w:leader="none" w:pos="110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Tempest Therapeutics, Inc. 2023 Inducement Plan, as amended from time to time.</w:t>
      </w:r>
    </w:p>
    <w:p>
      <w:pPr>
        <w:spacing w:after="0" w:line="117" w:lineRule="exact"/>
        <w:rPr>
          <w:rFonts w:ascii="Arial" w:cs="Arial" w:eastAsia="Arial" w:hAnsi="Arial"/>
          <w:sz w:val="18"/>
          <w:szCs w:val="18"/>
          <w:b w:val="1"/>
          <w:bCs w:val="1"/>
          <w:color w:val="auto"/>
        </w:rPr>
      </w:pPr>
    </w:p>
    <w:p>
      <w:pPr>
        <w:ind w:left="1080" w:hanging="323"/>
        <w:spacing w:after="0"/>
        <w:tabs>
          <w:tab w:leader="none" w:pos="108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6(a).</w:t>
      </w:r>
    </w:p>
    <w:p>
      <w:pPr>
        <w:spacing w:after="0" w:line="102" w:lineRule="exact"/>
        <w:rPr>
          <w:rFonts w:ascii="Arial" w:cs="Arial" w:eastAsia="Arial" w:hAnsi="Arial"/>
          <w:sz w:val="16"/>
          <w:szCs w:val="16"/>
          <w:b w:val="1"/>
          <w:bCs w:val="1"/>
          <w:color w:val="auto"/>
        </w:rPr>
      </w:pPr>
    </w:p>
    <w:p>
      <w:pPr>
        <w:ind w:firstLine="757"/>
        <w:spacing w:after="0" w:line="286" w:lineRule="auto"/>
        <w:tabs>
          <w:tab w:leader="none" w:pos="1082"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 Agreement</w:t>
      </w:r>
      <w:r>
        <w:rPr>
          <w:rFonts w:ascii="Arial" w:cs="Arial" w:eastAsia="Arial" w:hAnsi="Arial"/>
          <w:sz w:val="17"/>
          <w:szCs w:val="17"/>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57" w:lineRule="exact"/>
        <w:rPr>
          <w:rFonts w:ascii="Arial" w:cs="Arial" w:eastAsia="Arial" w:hAnsi="Arial"/>
          <w:sz w:val="17"/>
          <w:szCs w:val="17"/>
          <w:b w:val="1"/>
          <w:bCs w:val="1"/>
          <w:color w:val="auto"/>
        </w:rPr>
      </w:pPr>
    </w:p>
    <w:p>
      <w:pPr>
        <w:ind w:left="1100" w:hanging="343"/>
        <w:spacing w:after="0"/>
        <w:tabs>
          <w:tab w:leader="none" w:pos="110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 and conditions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6(b).</w:t>
      </w:r>
    </w:p>
    <w:p>
      <w:pPr>
        <w:spacing w:after="0" w:line="102" w:lineRule="exact"/>
        <w:rPr>
          <w:rFonts w:ascii="Arial" w:cs="Arial" w:eastAsia="Arial" w:hAnsi="Arial"/>
          <w:sz w:val="16"/>
          <w:szCs w:val="16"/>
          <w:b w:val="1"/>
          <w:bCs w:val="1"/>
          <w:color w:val="auto"/>
        </w:rPr>
      </w:pPr>
    </w:p>
    <w:p>
      <w:pPr>
        <w:jc w:val="both"/>
        <w:ind w:right="40" w:firstLine="757"/>
        <w:spacing w:after="0" w:line="263" w:lineRule="auto"/>
        <w:tabs>
          <w:tab w:leader="none" w:pos="1042"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34" w:name="page135"/>
    <w:bookmarkEnd w:id="134"/>
    <w:p>
      <w:pPr>
        <w:ind w:left="1040" w:hanging="283"/>
        <w:spacing w:after="0"/>
        <w:tabs>
          <w:tab w:leader="none" w:pos="1040" w:val="left"/>
        </w:tabs>
        <w:numPr>
          <w:ilvl w:val="0"/>
          <w:numId w:val="13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Rule 16b-3</w:t>
      </w:r>
      <w:r>
        <w:rPr>
          <w:rFonts w:ascii="Arial" w:cs="Arial" w:eastAsia="Arial" w:hAnsi="Arial"/>
          <w:sz w:val="15"/>
          <w:szCs w:val="15"/>
          <w:color w:val="auto"/>
        </w:rPr>
        <w:t>” means Rule 16b-3 promulgated under the Exchange Act or any successor to Rule 16b-3, as in effect from time to time.</w:t>
      </w:r>
    </w:p>
    <w:p>
      <w:pPr>
        <w:spacing w:after="0" w:line="151" w:lineRule="exact"/>
        <w:rPr>
          <w:rFonts w:ascii="Arial" w:cs="Arial" w:eastAsia="Arial" w:hAnsi="Arial"/>
          <w:sz w:val="15"/>
          <w:szCs w:val="15"/>
          <w:b w:val="1"/>
          <w:bCs w:val="1"/>
          <w:color w:val="auto"/>
        </w:rPr>
      </w:pPr>
    </w:p>
    <w:p>
      <w:pPr>
        <w:ind w:left="1020" w:hanging="263"/>
        <w:spacing w:after="0"/>
        <w:tabs>
          <w:tab w:leader="none" w:pos="102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firstLine="757"/>
        <w:spacing w:after="0" w:line="308" w:lineRule="auto"/>
        <w:tabs>
          <w:tab w:leader="none" w:pos="1082"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 right to receive the appreciation on Common Stock that is granted pursuant to the terms and conditions of Section 5.</w:t>
      </w:r>
    </w:p>
    <w:p>
      <w:pPr>
        <w:spacing w:after="0" w:line="38" w:lineRule="exact"/>
        <w:rPr>
          <w:rFonts w:ascii="Arial" w:cs="Arial" w:eastAsia="Arial" w:hAnsi="Arial"/>
          <w:sz w:val="17"/>
          <w:szCs w:val="17"/>
          <w:b w:val="1"/>
          <w:bCs w:val="1"/>
          <w:color w:val="auto"/>
        </w:rPr>
      </w:pPr>
    </w:p>
    <w:p>
      <w:pPr>
        <w:jc w:val="both"/>
        <w:ind w:right="440" w:firstLine="757"/>
        <w:spacing w:after="0" w:line="286" w:lineRule="auto"/>
        <w:tabs>
          <w:tab w:leader="none" w:pos="1062"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 Agreement</w:t>
      </w:r>
      <w:r>
        <w:rPr>
          <w:rFonts w:ascii="Arial" w:cs="Arial" w:eastAsia="Arial" w:hAnsi="Arial"/>
          <w:sz w:val="17"/>
          <w:szCs w:val="17"/>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57" w:lineRule="exact"/>
        <w:rPr>
          <w:rFonts w:ascii="Arial" w:cs="Arial" w:eastAsia="Arial" w:hAnsi="Arial"/>
          <w:sz w:val="17"/>
          <w:szCs w:val="17"/>
          <w:b w:val="1"/>
          <w:bCs w:val="1"/>
          <w:color w:val="auto"/>
        </w:rPr>
      </w:pPr>
    </w:p>
    <w:p>
      <w:pPr>
        <w:ind w:right="300" w:firstLine="757"/>
        <w:spacing w:after="0" w:line="308" w:lineRule="auto"/>
        <w:tabs>
          <w:tab w:leader="none" w:pos="1142"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 Nonstatutory Stock Option, a Restricted Stock Award, a Restricted Stock Unit Award, a Stock Appreciation Right, a Performance Stock Award or any Other Stock Award.</w:t>
      </w:r>
    </w:p>
    <w:p>
      <w:pPr>
        <w:spacing w:after="0" w:line="38" w:lineRule="exact"/>
        <w:rPr>
          <w:rFonts w:ascii="Arial" w:cs="Arial" w:eastAsia="Arial" w:hAnsi="Arial"/>
          <w:sz w:val="17"/>
          <w:szCs w:val="17"/>
          <w:b w:val="1"/>
          <w:bCs w:val="1"/>
          <w:color w:val="auto"/>
        </w:rPr>
      </w:pPr>
    </w:p>
    <w:p>
      <w:pPr>
        <w:ind w:right="280" w:firstLine="757"/>
        <w:spacing w:after="0" w:line="308" w:lineRule="auto"/>
        <w:tabs>
          <w:tab w:leader="none" w:pos="1062"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 Agreement</w:t>
      </w:r>
      <w:r>
        <w:rPr>
          <w:rFonts w:ascii="Arial" w:cs="Arial" w:eastAsia="Arial" w:hAnsi="Arial"/>
          <w:sz w:val="17"/>
          <w:szCs w:val="17"/>
          <w:color w:val="auto"/>
        </w:rPr>
        <w:t>” means a written agreement between the Company and a Participant evidencing the terms and conditions of a Stock Award grant. Each Stock Award Agreement will be subject to the terms and conditions of the Plan.</w:t>
      </w:r>
    </w:p>
    <w:p>
      <w:pPr>
        <w:spacing w:after="0" w:line="38" w:lineRule="exact"/>
        <w:rPr>
          <w:rFonts w:ascii="Arial" w:cs="Arial" w:eastAsia="Arial" w:hAnsi="Arial"/>
          <w:sz w:val="17"/>
          <w:szCs w:val="17"/>
          <w:b w:val="1"/>
          <w:bCs w:val="1"/>
          <w:color w:val="auto"/>
        </w:rPr>
      </w:pPr>
    </w:p>
    <w:p>
      <w:pPr>
        <w:ind w:right="60" w:firstLine="757"/>
        <w:spacing w:after="0" w:line="275" w:lineRule="auto"/>
        <w:tabs>
          <w:tab w:leader="none" w:pos="1062"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68" w:lineRule="exact"/>
        <w:rPr>
          <w:rFonts w:ascii="Arial" w:cs="Arial" w:eastAsia="Arial" w:hAnsi="Arial"/>
          <w:sz w:val="17"/>
          <w:szCs w:val="17"/>
          <w:b w:val="1"/>
          <w:bCs w:val="1"/>
          <w:color w:val="auto"/>
        </w:rPr>
      </w:pPr>
    </w:p>
    <w:p>
      <w:pPr>
        <w:ind w:right="100" w:firstLine="757"/>
        <w:spacing w:after="0" w:line="308" w:lineRule="auto"/>
        <w:tabs>
          <w:tab w:leader="none" w:pos="1042"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38" w:lineRule="exact"/>
        <w:rPr>
          <w:sz w:val="20"/>
          <w:szCs w:val="20"/>
          <w:color w:val="auto"/>
        </w:rPr>
      </w:pPr>
    </w:p>
    <w:p>
      <w:pPr>
        <w:ind w:left="1200" w:hanging="443"/>
        <w:spacing w:after="0"/>
        <w:tabs>
          <w:tab w:leader="none" w:pos="120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2023 Inducement Plan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Options—Sub-Plan for French Residents</w:t>
      </w:r>
    </w:p>
    <w:p>
      <w:pPr>
        <w:spacing w:after="0" w:line="103" w:lineRule="exact"/>
        <w:rPr>
          <w:sz w:val="20"/>
          <w:szCs w:val="20"/>
          <w:color w:val="auto"/>
        </w:rPr>
      </w:pPr>
    </w:p>
    <w:p>
      <w:pPr>
        <w:jc w:val="both"/>
        <w:ind w:right="160" w:firstLine="749"/>
        <w:spacing w:after="0" w:line="259" w:lineRule="auto"/>
        <w:rPr>
          <w:sz w:val="20"/>
          <w:szCs w:val="20"/>
          <w:color w:val="auto"/>
        </w:rPr>
      </w:pPr>
      <w:r>
        <w:rPr>
          <w:rFonts w:ascii="Arial" w:cs="Arial" w:eastAsia="Arial" w:hAnsi="Arial"/>
          <w:sz w:val="18"/>
          <w:szCs w:val="18"/>
          <w:color w:val="auto"/>
        </w:rPr>
        <w:t>Options granted under this French Sub-plan under the 2023 Inducement Plan (also referred to as the “</w:t>
      </w:r>
      <w:r>
        <w:rPr>
          <w:rFonts w:ascii="Arial" w:cs="Arial" w:eastAsia="Arial" w:hAnsi="Arial"/>
          <w:sz w:val="18"/>
          <w:szCs w:val="18"/>
          <w:b w:val="1"/>
          <w:bCs w:val="1"/>
          <w:i w:val="1"/>
          <w:iCs w:val="1"/>
          <w:color w:val="auto"/>
        </w:rPr>
        <w:t>SO French Sub-Plan</w:t>
      </w:r>
      <w:r>
        <w:rPr>
          <w:rFonts w:ascii="Arial" w:cs="Arial" w:eastAsia="Arial" w:hAnsi="Arial"/>
          <w:sz w:val="18"/>
          <w:szCs w:val="18"/>
          <w:color w:val="auto"/>
        </w:rPr>
        <w:t>”) to an employee who is a French resident taxpayer and/or subject to the French social security scheme in France shall comply with the terms of this SO French Sub-Plan. The purpose of the SO French Sub-Plan is to grant Options that qualify for favorable income tax and social security tax treatment under French law (the “</w:t>
      </w:r>
      <w:r>
        <w:rPr>
          <w:rFonts w:ascii="Arial" w:cs="Arial" w:eastAsia="Arial" w:hAnsi="Arial"/>
          <w:sz w:val="18"/>
          <w:szCs w:val="18"/>
          <w:b w:val="1"/>
          <w:bCs w:val="1"/>
          <w:i w:val="1"/>
          <w:iCs w:val="1"/>
          <w:color w:val="auto"/>
        </w:rPr>
        <w:t>French Options</w:t>
      </w:r>
      <w:r>
        <w:rPr>
          <w:rFonts w:ascii="Arial" w:cs="Arial" w:eastAsia="Arial" w:hAnsi="Arial"/>
          <w:sz w:val="18"/>
          <w:szCs w:val="18"/>
          <w:color w:val="auto"/>
        </w:rPr>
        <w:t>”).</w:t>
      </w:r>
    </w:p>
    <w:p>
      <w:pPr>
        <w:spacing w:after="0" w:line="79"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As a matter of principle, any provision included in the Plan or any other document evidencing the terms and conditions of the Plan that would contravene any substantive principle set out in Articles L. 225-177 to L. 225-186 of the French Code de Commerce shall not be applicable to Participant who are residents of France and employed or providing services in France.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 Administration</w:t>
      </w:r>
    </w:p>
    <w:p>
      <w:pPr>
        <w:spacing w:after="0" w:line="117"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color w:val="auto"/>
        </w:rPr>
        <w:t>Notwithstanding any other provision of the Plan, unless otherwise agreed by the Board, French Options will be exercisable under the vesting schedule set out in the Plan or in the Stock Option Agreement for employees subject to taxation under the laws of France.</w:t>
      </w:r>
    </w:p>
    <w:p>
      <w:pPr>
        <w:spacing w:after="0" w:line="38"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Notwithstanding any other provision of the Plan, the Board is authorized to unilaterally accelerate, reduce, lift or cancel vesting of any option granted under this SO French Sub-Plan, as may be necessary or desirable to comply with the French applicable social or tax laws.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any other provision of the Plan, the exercise price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35" w:name="page136"/>
    <w:bookmarkEnd w:id="135"/>
    <w:p>
      <w:pPr>
        <w:ind w:right="60" w:firstLine="749"/>
        <w:spacing w:after="0" w:line="257" w:lineRule="auto"/>
        <w:rPr>
          <w:sz w:val="20"/>
          <w:szCs w:val="20"/>
          <w:color w:val="auto"/>
        </w:rPr>
      </w:pPr>
      <w:r>
        <w:rPr>
          <w:rFonts w:ascii="Arial" w:cs="Arial" w:eastAsia="Arial" w:hAnsi="Arial"/>
          <w:sz w:val="18"/>
          <w:szCs w:val="18"/>
          <w:color w:val="auto"/>
        </w:rPr>
        <w:t>Where there is an increase or change in the Company’s share capital, and more generally where one of the events provided for under Article L.225-181 of the French Commercial Code occurs, an adjustment shall be made to the number and/or purchase price of Shares, in accordance with the provisions of Article R.225-137 of the French Commercial Code. Notification of said adjustment shall be made to the Participant. In addition, the total number of options granted and remaining unexercised (outstanding options) will never cover a number of shares exceeding one-third of the share capital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2: Eligibility</w:t>
      </w:r>
    </w:p>
    <w:p>
      <w:pPr>
        <w:spacing w:after="0" w:line="11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French Options may be granted only to an Eligible Employee who is a French resident taxpayer and/or subject to the French social security scheme in France.</w:t>
      </w:r>
    </w:p>
    <w:p>
      <w:pPr>
        <w:spacing w:after="0" w:line="62"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For purposes of this SO French Sub-Plan, the Company is the granting Company or a Related Entity whose at least ten percent (10%) of the capital is held, directly or indirectly, by the granting Company.</w:t>
      </w:r>
    </w:p>
    <w:p>
      <w:pPr>
        <w:spacing w:after="0" w:line="62"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French Options may not be granted under this SO French Sub-Plan to Participant owning, upon the date of grant, more than ten percent (10%) of the Company’s capital shares, except as permitted under Article L. 225-185 of the French Commercial Code.</w:t>
      </w:r>
    </w:p>
    <w:p>
      <w:pPr>
        <w:spacing w:after="0" w:line="62"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Notwithstanding any other provision of the Plan, French Options may only be granted to Eligible Employee being considered as a French tax resident subject to taxation in France and having an employment contract either with the granting Company or one of its Related Entity upon the date of grant</w:t>
      </w:r>
      <w:r>
        <w:rPr>
          <w:rFonts w:ascii="Arial" w:cs="Arial" w:eastAsia="Arial" w:hAnsi="Arial"/>
          <w:sz w:val="21"/>
          <w:szCs w:val="21"/>
          <w:color w:val="auto"/>
        </w:rPr>
        <w:t>.</w:t>
      </w:r>
    </w:p>
    <w:p>
      <w:pPr>
        <w:spacing w:after="0" w:line="65" w:lineRule="exact"/>
        <w:rPr>
          <w:sz w:val="20"/>
          <w:szCs w:val="20"/>
          <w:color w:val="auto"/>
        </w:rPr>
      </w:pPr>
    </w:p>
    <w:p>
      <w:pPr>
        <w:ind w:right="420" w:firstLine="749"/>
        <w:spacing w:after="0" w:line="342" w:lineRule="auto"/>
        <w:rPr>
          <w:sz w:val="20"/>
          <w:szCs w:val="20"/>
          <w:color w:val="auto"/>
        </w:rPr>
      </w:pPr>
      <w:r>
        <w:rPr>
          <w:rFonts w:ascii="Arial" w:cs="Arial" w:eastAsia="Arial" w:hAnsi="Arial"/>
          <w:sz w:val="16"/>
          <w:szCs w:val="16"/>
          <w:color w:val="auto"/>
        </w:rPr>
        <w:t>French Options granting the right to subscribe securities which are not admitted to trading on a regulated market may be granted only to the employees of the company granting these options or to those of the companies mentioned in Article L. 225-180, 1° of the French Commercial Code.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3: Limitations on Grant under the SO French Sub-Plan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shares of the Company are admitted to trading on a regulated market:</w:t>
      </w:r>
    </w:p>
    <w:p>
      <w:pPr>
        <w:spacing w:after="0" w:line="117" w:lineRule="exact"/>
        <w:rPr>
          <w:sz w:val="20"/>
          <w:szCs w:val="20"/>
          <w:color w:val="auto"/>
        </w:rPr>
      </w:pPr>
    </w:p>
    <w:p>
      <w:pPr>
        <w:ind w:left="1500" w:hanging="369"/>
        <w:spacing w:after="0"/>
        <w:tabs>
          <w:tab w:leader="none" w:pos="15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exercise price may not be less than 80% of the average market price over the last twenty trading days preceding that day,</w:t>
      </w:r>
    </w:p>
    <w:p>
      <w:pPr>
        <w:spacing w:after="0" w:line="128" w:lineRule="exact"/>
        <w:rPr>
          <w:rFonts w:ascii="Arial" w:cs="Arial" w:eastAsia="Arial" w:hAnsi="Arial"/>
          <w:sz w:val="17"/>
          <w:szCs w:val="17"/>
          <w:color w:val="auto"/>
        </w:rPr>
      </w:pPr>
    </w:p>
    <w:p>
      <w:pPr>
        <w:ind w:left="1500" w:right="80" w:hanging="369"/>
        <w:spacing w:after="0" w:line="277" w:lineRule="auto"/>
        <w:tabs>
          <w:tab w:leader="none" w:pos="1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option may be granted less than twenty trading sessions after the detachment of the shares of a coupon giving right to a dividend or a capital increase.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shall not grant French Options during the closed periods required under Section L.225-177 of the French Commercial Code.</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result, notwithstanding any other provision of the Plan, French Options cannot be granted:</w:t>
      </w:r>
    </w:p>
    <w:p>
      <w:pPr>
        <w:spacing w:after="0" w:line="117" w:lineRule="exact"/>
        <w:rPr>
          <w:sz w:val="20"/>
          <w:szCs w:val="20"/>
          <w:color w:val="auto"/>
        </w:rPr>
      </w:pPr>
    </w:p>
    <w:p>
      <w:pPr>
        <w:ind w:left="1500" w:right="300" w:hanging="369"/>
        <w:spacing w:after="0" w:line="277" w:lineRule="auto"/>
        <w:tabs>
          <w:tab w:leader="none" w:pos="1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during the ten (10) trading days preceding and following the date on which the consolidated accounts, or, if unavailable, the annual accounts, are made public;</w:t>
      </w:r>
    </w:p>
    <w:p>
      <w:pPr>
        <w:spacing w:after="0" w:line="62" w:lineRule="exact"/>
        <w:rPr>
          <w:rFonts w:ascii="Arial" w:cs="Arial" w:eastAsia="Arial" w:hAnsi="Arial"/>
          <w:sz w:val="18"/>
          <w:szCs w:val="18"/>
          <w:color w:val="auto"/>
        </w:rPr>
      </w:pPr>
    </w:p>
    <w:p>
      <w:pPr>
        <w:ind w:left="1500" w:right="360" w:hanging="369"/>
        <w:spacing w:after="0" w:line="263" w:lineRule="auto"/>
        <w:tabs>
          <w:tab w:leader="none" w:pos="1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during the period between the date on which the Company’s governing bodies (i.e., the Board of Directors) become aware of information which, if made public, could have a material impact on the price of the Shares, and the date ten (10) trading days after such information is made public.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4: Restrictions on Transfer</w:t>
      </w:r>
    </w:p>
    <w:p>
      <w:pPr>
        <w:spacing w:after="0" w:line="11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This Agreement is personal to the Participant and is not transferable by the Participant in any manner other than by inheritance. The French Options may be exercised during the Participant’s lifetime only by the Participant.</w:t>
      </w:r>
    </w:p>
    <w:p>
      <w:pPr>
        <w:spacing w:after="0" w:line="62"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In the event of death of the beneficiary during the exercise period of the French Options, the beneficiary’s heirs will have a period of six (6) months following the date of death, to exercise the option. Upon expiry of this period the option will be null and void.</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Moreover, at the time of the grant of French Options, the Board shall, if any of the Participant is an officer or director of the Company, either decide that such officer or director cannot sell the shares of Common Stock received upon Vesting or exercise of the French Options before the end of his or her functions, or determine the number of shares of Common Stock received upon Vesting of such French Options that such officer or director shall keep up to the end of his or her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6" w:name="page137"/>
    <w:bookmarkEnd w:id="136"/>
    <w:p>
      <w:pPr>
        <w:ind w:right="400" w:firstLine="749"/>
        <w:spacing w:after="0" w:line="277" w:lineRule="auto"/>
        <w:rPr>
          <w:sz w:val="20"/>
          <w:szCs w:val="20"/>
          <w:color w:val="auto"/>
        </w:rPr>
      </w:pPr>
      <w:r>
        <w:rPr>
          <w:rFonts w:ascii="Arial" w:cs="Arial" w:eastAsia="Arial" w:hAnsi="Arial"/>
          <w:sz w:val="18"/>
          <w:szCs w:val="18"/>
          <w:color w:val="auto"/>
        </w:rPr>
        <w:t>The shares acquired upon exercise of the French Options shall also be subject to certain transfer restrictions and other limitations including, without limitation, the provisions contained in the present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5: Other Compliance with French Tax and Social Security Law</w:t>
      </w:r>
    </w:p>
    <w:p>
      <w:pPr>
        <w:spacing w:after="0" w:line="117" w:lineRule="exact"/>
        <w:rPr>
          <w:sz w:val="20"/>
          <w:szCs w:val="20"/>
          <w:color w:val="auto"/>
        </w:rPr>
      </w:pPr>
    </w:p>
    <w:p>
      <w:pPr>
        <w:ind w:right="400" w:firstLine="749"/>
        <w:spacing w:after="0" w:line="342" w:lineRule="auto"/>
        <w:rPr>
          <w:sz w:val="20"/>
          <w:szCs w:val="20"/>
          <w:color w:val="auto"/>
        </w:rPr>
      </w:pPr>
      <w:r>
        <w:rPr>
          <w:rFonts w:ascii="Arial" w:cs="Arial" w:eastAsia="Arial" w:hAnsi="Arial"/>
          <w:sz w:val="16"/>
          <w:szCs w:val="16"/>
          <w:color w:val="auto"/>
        </w:rPr>
        <w:t>French Options granted under the SO French Sub-Plan must also comply with any other requirements set forth by the French tax and social security law as interpreted and supplemented by the French tax and social security guidelines in effect at the date of grant of such options.</w:t>
      </w:r>
    </w:p>
    <w:p>
      <w:pPr>
        <w:spacing w:after="0" w:line="1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Except as the Company and Participant agree in writing, the Company shall not modify the terms of a French Award agreement (or this SO French Sub-Plan) in such a manner as to cause the recipient to no longer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and L.242-14 of the French Social Security Code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de la Sécurité Sociale</w:t>
      </w:r>
      <w:r>
        <w:rPr>
          <w:rFonts w:ascii="Arial" w:cs="Arial" w:eastAsia="Arial" w:hAnsi="Arial"/>
          <w:sz w:val="18"/>
          <w:szCs w:val="18"/>
          <w:color w:val="auto"/>
        </w:rPr>
        <w:t>) in connection with the grant and settlement of Award and the disposition of the shares received upon the Vesting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agreement, this SO French Sub-Plan, and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6: No Rights as a Shareholder</w:t>
      </w:r>
    </w:p>
    <w:p>
      <w:pPr>
        <w:spacing w:after="0" w:line="117"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holder of a French Option shall not have any rights as a shareholder of the Company unless and until shares are issued to the holder with respect to the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7: Amendment or Termination of the Plan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Subject to the terms of the Plan, the Board reserves the right to amend or terminate this SO French Sub-Plan at any time, without any retroactive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8: Data Protection</w:t>
      </w:r>
    </w:p>
    <w:p>
      <w:pPr>
        <w:spacing w:after="0" w:line="117" w:lineRule="exact"/>
        <w:rPr>
          <w:sz w:val="20"/>
          <w:szCs w:val="20"/>
          <w:color w:val="auto"/>
        </w:rPr>
      </w:pPr>
    </w:p>
    <w:p>
      <w:pPr>
        <w:ind w:right="80" w:firstLine="749"/>
        <w:spacing w:after="0" w:line="342" w:lineRule="auto"/>
        <w:rPr>
          <w:sz w:val="20"/>
          <w:szCs w:val="20"/>
          <w:color w:val="auto"/>
        </w:rPr>
      </w:pPr>
      <w:r>
        <w:rPr>
          <w:rFonts w:ascii="Arial" w:cs="Arial" w:eastAsia="Arial" w:hAnsi="Arial"/>
          <w:sz w:val="16"/>
          <w:szCs w:val="16"/>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2023 Inducement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Units—Sub-Plan for French Residents</w:t>
      </w:r>
    </w:p>
    <w:p>
      <w:pPr>
        <w:spacing w:after="0" w:line="103"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Restricted Stock Units granted under this French Sub-plan under the 2023 Inducement Plan (also referred to as the “</w:t>
      </w:r>
      <w:r>
        <w:rPr>
          <w:rFonts w:ascii="Arial" w:cs="Arial" w:eastAsia="Arial" w:hAnsi="Arial"/>
          <w:sz w:val="18"/>
          <w:szCs w:val="18"/>
          <w:b w:val="1"/>
          <w:bCs w:val="1"/>
          <w:i w:val="1"/>
          <w:iCs w:val="1"/>
          <w:color w:val="auto"/>
        </w:rPr>
        <w:t>RSU French Sub-Plan</w:t>
      </w:r>
      <w:r>
        <w:rPr>
          <w:rFonts w:ascii="Arial" w:cs="Arial" w:eastAsia="Arial" w:hAnsi="Arial"/>
          <w:sz w:val="18"/>
          <w:szCs w:val="18"/>
          <w:color w:val="auto"/>
        </w:rPr>
        <w:t>”) to an Eligible Employee who is a French resident taxpayer and/or subject to the French social security scheme in France shall comply with the terms of this RSU French Sub-Plan. The purpose of the RSU French Sub-Plan is to grant Restricted Stock Units that qualify for favorable income tax and social security tax treatment under French law.</w:t>
      </w:r>
    </w:p>
    <w:p>
      <w:pPr>
        <w:spacing w:after="0" w:line="79"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As a matter of principle, any provision included in the Plan or any other document evidencing the terms and conditions of the Plan that would contravene any substantive principle set out in Articles L.225-197-1 to L.225-197-6 of the French Code de Commerce shall not be applicable to Participants who are residents of France and employed or providing services in France.</w:t>
      </w:r>
    </w:p>
    <w:p>
      <w:pPr>
        <w:spacing w:after="0" w:line="76"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Provided that he or she complies with the provisions of the RSU French Sub-Plan, Participants will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of the French Social Security Code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 in connection with the grant and settlement of Restricted Stock Units and the disposition of the shares received upon Vesting of the Restricted Stock Units pursuant to the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 Definitions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terms shall have the following meanings for purposes of this RSU French Sub-Plan:</w:t>
      </w:r>
    </w:p>
    <w:p>
      <w:pPr>
        <w:spacing w:after="0" w:line="117"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French Award or Award</w:t>
      </w:r>
      <w:r>
        <w:rPr>
          <w:rFonts w:ascii="Arial" w:cs="Arial" w:eastAsia="Arial" w:hAnsi="Arial"/>
          <w:sz w:val="18"/>
          <w:szCs w:val="18"/>
          <w:color w:val="auto"/>
        </w:rPr>
        <w:t>” means, individually or collectively, any Award granted under this RSU French Sub-Plan to Participant who are French resident taxpayers and/or subject to the French social security scheme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7" w:name="page138"/>
    <w:bookmarkEnd w:id="137"/>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a physical or mental condition corresponding to the classification in the second or third categories laid down in Article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341-4 of the French Social Security Code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w:t>
      </w:r>
    </w:p>
    <w:p>
      <w:pPr>
        <w:spacing w:after="0" w:line="103"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means the date on which the Committee both (i) designates the Participant, and (ii) specifies the material terms and conditions of the Award including the number of Shares subject to each Award, the method for determining the exercise price of the Award (if any), the conditions for the vesting Award, the conditions for exercising the Award and any restrictions on the transfer or sale of the Shares subject to each Award.</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Period</w:t>
      </w:r>
      <w:r>
        <w:rPr>
          <w:rFonts w:ascii="Arial" w:cs="Arial" w:eastAsia="Arial" w:hAnsi="Arial"/>
          <w:sz w:val="18"/>
          <w:szCs w:val="18"/>
          <w:color w:val="auto"/>
        </w:rPr>
        <w:t>” means, with respect to any French Award, the vesting period described in Section 4 below.</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 Period</w:t>
      </w:r>
      <w:r>
        <w:rPr>
          <w:rFonts w:ascii="Arial" w:cs="Arial" w:eastAsia="Arial" w:hAnsi="Arial"/>
          <w:sz w:val="18"/>
          <w:szCs w:val="18"/>
          <w:color w:val="auto"/>
        </w:rPr>
        <w:t>” means, with respect to any French Award, the holding period described in Section 5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2: Eligibility</w:t>
      </w:r>
    </w:p>
    <w:p>
      <w:pPr>
        <w:spacing w:after="0" w:line="117" w:lineRule="exact"/>
        <w:rPr>
          <w:sz w:val="20"/>
          <w:szCs w:val="20"/>
          <w:color w:val="auto"/>
        </w:rPr>
      </w:pPr>
    </w:p>
    <w:p>
      <w:pPr>
        <w:ind w:left="1500" w:right="220" w:hanging="369"/>
        <w:spacing w:after="0" w:line="291" w:lineRule="auto"/>
        <w:tabs>
          <w:tab w:leader="none" w:pos="15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Subject to Sections 2(b), 2(c) and 3 below, the following persons shall be eligible to receive Awards, provided that he or she also satisfies the eligibility conditions of the Plan: any Participant who, on the Grant Date and to the extent required under French law, is</w:t>
      </w:r>
    </w:p>
    <w:p>
      <w:pPr>
        <w:ind w:left="1500" w:right="60"/>
        <w:spacing w:after="0" w:line="255" w:lineRule="auto"/>
        <w:rPr>
          <w:rFonts w:ascii="Arial" w:cs="Arial" w:eastAsia="Arial" w:hAnsi="Arial"/>
          <w:sz w:val="16"/>
          <w:szCs w:val="16"/>
          <w:color w:val="auto"/>
        </w:rPr>
      </w:pPr>
      <w:r>
        <w:rPr>
          <w:rFonts w:ascii="Arial" w:cs="Arial" w:eastAsia="Arial" w:hAnsi="Arial"/>
          <w:sz w:val="18"/>
          <w:szCs w:val="18"/>
          <w:color w:val="auto"/>
        </w:rPr>
        <w:t>(1) employed under the terms and conditions of an employment contract (“contrat de travail”) with a French Entity or (2) while the Shares are traded on a regulated exchange market, a corporate officer having a management function in the French Entity, as specified under the French Commercial Code.</w:t>
      </w:r>
    </w:p>
    <w:p>
      <w:pPr>
        <w:spacing w:after="0" w:line="81" w:lineRule="exact"/>
        <w:rPr>
          <w:rFonts w:ascii="Arial" w:cs="Arial" w:eastAsia="Arial" w:hAnsi="Arial"/>
          <w:sz w:val="16"/>
          <w:szCs w:val="16"/>
          <w:color w:val="auto"/>
        </w:rPr>
      </w:pPr>
    </w:p>
    <w:p>
      <w:pPr>
        <w:ind w:left="1500" w:right="20" w:hanging="369"/>
        <w:spacing w:after="0" w:line="275" w:lineRule="auto"/>
        <w:tabs>
          <w:tab w:leader="none" w:pos="15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Awards may not be granted to corporate officers (as specified under the French Commercial Code) of a French Entity, other than the chairman of the board of directors (président du conseil d’administration), the chief executive officer (directeur général), the deputy chief executive officer (directeur général délégué), the members of the management board (membres du directoire) and the manager of a joint-stock company (gérant d’une société par actions), unless the officer is employed under the terms and conditions of an employment contract (“contrat de travail”) with a French Entity, as defined by French law.</w:t>
      </w:r>
    </w:p>
    <w:p>
      <w:pPr>
        <w:spacing w:after="0" w:line="68" w:lineRule="exact"/>
        <w:rPr>
          <w:rFonts w:ascii="Arial" w:cs="Arial" w:eastAsia="Arial" w:hAnsi="Arial"/>
          <w:sz w:val="17"/>
          <w:szCs w:val="17"/>
          <w:color w:val="auto"/>
        </w:rPr>
      </w:pPr>
    </w:p>
    <w:p>
      <w:pPr>
        <w:ind w:left="1500" w:hanging="369"/>
        <w:spacing w:after="0" w:line="277" w:lineRule="auto"/>
        <w:tabs>
          <w:tab w:leader="none" w:pos="15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French Award under the RSU French Sub-Plan may be granted only to a Participant who is a French resident taxpayer and/or subject to the French social security scheme in France.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3: Limitations on Grant under the RSU French Sub-Plan</w:t>
      </w:r>
    </w:p>
    <w:p>
      <w:pPr>
        <w:spacing w:after="0" w:line="117"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French Awards may not be granted to a Participant who holds more than 10% of the Company’s outstanding shares at the date of grant or a Participant who would hold more than 10% of the Company’s outstanding shares following the French Award grant.</w:t>
      </w:r>
    </w:p>
    <w:p>
      <w:pPr>
        <w:spacing w:after="0" w:line="62"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Any share of Common Stock granted in violation of this rule shall not be deemed to have been granted. Settlement of French Awards shall only be in shares; there shall be no settlement of French Awards in cash.</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aggregate number of shares underlying the Awards will not exceed 10% of the Company’s share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4: Vesting Period</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Except in the case of the death or Disability of the Participant, no portion of any French Award may Vest (whether such Vesting results from the achievement of one or more goals relating to the completion of service by the French Award holder and/or the achievement of performance or other objectives) until at least the first anniversary of the date of grant of such French Award.</w:t>
      </w:r>
    </w:p>
    <w:p>
      <w:pPr>
        <w:spacing w:after="0" w:line="76"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 xml:space="preserve">The holder of a French Award shall be 100% Vested in such French Award in the event his or her employment is terminated by reason of death or Disability,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Vesting of such French Award is based, at least in part, on performance conditions, the acceleration, if any, of such performance-based Vesting upon such death of Disability shall be determined as set forth in the applicable award agreement. In the event of death or Disability, the remaining shares subject to the Award that have not been issued as of the date the Award holder’s service relationship with the Company (and its subsidiaries) so terminates will be issued to the holder or, in the case of death, his or her heirs upon their request as provided under applicable law. In such event (either death or Disability), the Company shall issue the shares within six months of such termination, and the Holding Period, if any, will not apply to such shares, but the blackout restrictions on sale described in Section 6 will continue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Article 5: Holding Period</w:t>
      </w:r>
    </w:p>
    <w:p>
      <w:pPr>
        <w:spacing w:after="0" w:line="117" w:lineRule="exact"/>
        <w:rPr>
          <w:sz w:val="20"/>
          <w:szCs w:val="20"/>
          <w:color w:val="auto"/>
        </w:rPr>
      </w:pPr>
    </w:p>
    <w:p>
      <w:pPr>
        <w:ind w:right="160" w:firstLine="749"/>
        <w:spacing w:after="0" w:line="308" w:lineRule="auto"/>
        <w:rPr>
          <w:sz w:val="20"/>
          <w:szCs w:val="20"/>
          <w:color w:val="auto"/>
        </w:rPr>
      </w:pPr>
      <w:r>
        <w:rPr>
          <w:rFonts w:ascii="Arial" w:cs="Arial" w:eastAsia="Arial" w:hAnsi="Arial"/>
          <w:sz w:val="17"/>
          <w:szCs w:val="17"/>
          <w:color w:val="auto"/>
        </w:rPr>
        <w:t>With respect to each French Award, if the Vesting Period is shorter than two years, there shall be a one-year period following each Vesting date applicable to such French Award so that the cumulated Vesting Period and Holding Period will be at least equal to two years.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Holding Period the Participant issued such French Award may not sell or loan any shares issued upon the Vesting.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6: Restrictions on Sale—Black Out Periods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Following the expiration of the Vesting and/or Holding Periods described Sections 4 and 5, shares of Common Stock issued may not be sold:</w:t>
      </w:r>
    </w:p>
    <w:p>
      <w:pPr>
        <w:spacing w:after="0" w:line="140" w:lineRule="exact"/>
        <w:rPr>
          <w:sz w:val="20"/>
          <w:szCs w:val="20"/>
          <w:color w:val="auto"/>
        </w:rPr>
      </w:pPr>
    </w:p>
    <w:p>
      <w:pPr>
        <w:ind w:left="1500" w:hanging="369"/>
        <w:spacing w:after="0"/>
        <w:tabs>
          <w:tab w:leader="none" w:pos="15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during the ten existing blackout periods established by the Company, which are hereby made applicable to all French Awards;</w:t>
      </w:r>
    </w:p>
    <w:p>
      <w:pPr>
        <w:spacing w:after="0" w:line="128" w:lineRule="exact"/>
        <w:rPr>
          <w:rFonts w:ascii="Arial" w:cs="Arial" w:eastAsia="Arial" w:hAnsi="Arial"/>
          <w:sz w:val="17"/>
          <w:szCs w:val="17"/>
          <w:color w:val="auto"/>
        </w:rPr>
      </w:pPr>
    </w:p>
    <w:p>
      <w:pPr>
        <w:ind w:left="1500" w:right="40" w:hanging="369"/>
        <w:spacing w:after="0" w:line="277" w:lineRule="auto"/>
        <w:tabs>
          <w:tab w:leader="none" w:pos="1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during the ten stock exchange trading days preceding and following the date on which the Company’s consolidated accounts are made public, or failing that, the annual accounts are published;</w:t>
      </w:r>
    </w:p>
    <w:p>
      <w:pPr>
        <w:spacing w:after="0" w:line="62" w:lineRule="exact"/>
        <w:rPr>
          <w:rFonts w:ascii="Arial" w:cs="Arial" w:eastAsia="Arial" w:hAnsi="Arial"/>
          <w:sz w:val="18"/>
          <w:szCs w:val="18"/>
          <w:color w:val="auto"/>
        </w:rPr>
      </w:pPr>
    </w:p>
    <w:p>
      <w:pPr>
        <w:ind w:left="1500" w:right="40" w:hanging="369"/>
        <w:spacing w:after="0" w:line="263" w:lineRule="auto"/>
        <w:tabs>
          <w:tab w:leader="none" w:pos="1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between (i) the date on which the Company’s management bodies have knowledge of information which, if made public, could have a significant impact on the share price of the Common Stock; and (ii) ten stock exchange trading days following the date on which this information is published; and</w:t>
      </w:r>
    </w:p>
    <w:p>
      <w:pPr>
        <w:spacing w:after="0" w:line="75" w:lineRule="exact"/>
        <w:rPr>
          <w:rFonts w:ascii="Arial" w:cs="Arial" w:eastAsia="Arial" w:hAnsi="Arial"/>
          <w:sz w:val="18"/>
          <w:szCs w:val="18"/>
          <w:color w:val="auto"/>
        </w:rPr>
      </w:pPr>
    </w:p>
    <w:p>
      <w:pPr>
        <w:ind w:left="1500" w:right="40" w:hanging="369"/>
        <w:spacing w:after="0" w:line="277" w:lineRule="auto"/>
        <w:tabs>
          <w:tab w:leader="none" w:pos="1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Participant has nonpublic material information about the Company and such sale would violate any applicable securities laws of the United States of America or France.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7: Restrictions on Sale for Officers and Directors</w:t>
      </w:r>
    </w:p>
    <w:p>
      <w:pPr>
        <w:spacing w:after="0" w:line="117"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At the time of the grant of French Awards, the Committee shall, if any of the Participants is an officer or director of the Company, either decide that such officer or director cannot sell the shares of Common Stock received upon Vesting or exercise of the French Award before the end of his or her functions, or determine the number of shares of Common Stock received upon Vesting of such French Award that such officer or director shall keep up to the end of his or her functions.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8: Restrictions on Transfer</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Shares of Common Stock subject to French Awards may not be transferred, assigned, pledged or hypothecated in any manner until they have Vested in accordance with this RSU French Sub-Plan.</w:t>
      </w:r>
    </w:p>
    <w:p>
      <w:pPr>
        <w:spacing w:after="0" w:line="62"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Rights granted under the RSU French Sub-Plan shall not be transferable by the recipient of such grants other than by will or by the laws of descent and distribution.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9: Other Compliance with French Tax and Social Security Law</w:t>
      </w:r>
    </w:p>
    <w:p>
      <w:pPr>
        <w:spacing w:after="0" w:line="117" w:lineRule="exact"/>
        <w:rPr>
          <w:sz w:val="20"/>
          <w:szCs w:val="20"/>
          <w:color w:val="auto"/>
        </w:rPr>
      </w:pPr>
    </w:p>
    <w:p>
      <w:pPr>
        <w:ind w:right="320" w:firstLine="749"/>
        <w:spacing w:after="0" w:line="342" w:lineRule="auto"/>
        <w:rPr>
          <w:sz w:val="20"/>
          <w:szCs w:val="20"/>
          <w:color w:val="auto"/>
        </w:rPr>
      </w:pPr>
      <w:r>
        <w:rPr>
          <w:rFonts w:ascii="Arial" w:cs="Arial" w:eastAsia="Arial" w:hAnsi="Arial"/>
          <w:sz w:val="16"/>
          <w:szCs w:val="16"/>
          <w:color w:val="auto"/>
        </w:rPr>
        <w:t>French Awards granted under the RSU French Sub-Plan must also comply with any other requirements set forth by the French tax and social security law as interpreted and supplemented by the French tax and social security guidelines in effect at the date of grant of such Awards.</w:t>
      </w:r>
    </w:p>
    <w:p>
      <w:pPr>
        <w:spacing w:after="0" w:line="1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Except as the Company and Participant agree in writing, the Company shall not modify the terms of a French Award agreement (or this RSU French Sub-Plan) in such a manner as to cause the recipient to no longer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and L.242-14 of the French Social Security Code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de la Sécurité Sociale</w:t>
      </w:r>
      <w:r>
        <w:rPr>
          <w:rFonts w:ascii="Arial" w:cs="Arial" w:eastAsia="Arial" w:hAnsi="Arial"/>
          <w:sz w:val="18"/>
          <w:szCs w:val="18"/>
          <w:color w:val="auto"/>
        </w:rPr>
        <w:t>) in connection with the grant and settlement of Award and the disposition of the shares received upon the Vesting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this RSU French Sub-Plan, and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10: No Rights as a Shareholder</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holder of a French Award shall not have any rights as a shareholder of the Company unless and until shares are issued to the holder with respect to the Award.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11: Amendment or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9" w:name="page140"/>
    <w:bookmarkEnd w:id="139"/>
    <w:p>
      <w:pPr>
        <w:ind w:right="340" w:firstLine="749"/>
        <w:spacing w:after="0" w:line="277" w:lineRule="auto"/>
        <w:rPr>
          <w:sz w:val="20"/>
          <w:szCs w:val="20"/>
          <w:color w:val="auto"/>
        </w:rPr>
      </w:pPr>
      <w:r>
        <w:rPr>
          <w:rFonts w:ascii="Arial" w:cs="Arial" w:eastAsia="Arial" w:hAnsi="Arial"/>
          <w:sz w:val="18"/>
          <w:szCs w:val="18"/>
          <w:color w:val="auto"/>
        </w:rPr>
        <w:t>Subject to the terms of the Plan, the Committee reserves the right to amend or terminate this RSU French Sub-Plan at any time, without any retroactive effect.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12: Modification of the Share Capital</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If the share capital of the Company is modified during the Vesting or Holding Periods, the Awards may be adjusted in order for this change to be neutral for the Participants, provided that such adjustment has the sole purpose and consequence of preserving the rights of the Participants and that additional shares which could be issued as a result remain subject to the same requirements (including the Vesting Period and the Holding Period requirement) as those applying to the original Award.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13: Data Protection</w:t>
      </w:r>
    </w:p>
    <w:p>
      <w:pPr>
        <w:spacing w:after="0" w:line="117" w:lineRule="exact"/>
        <w:rPr>
          <w:sz w:val="20"/>
          <w:szCs w:val="20"/>
          <w:color w:val="auto"/>
        </w:rPr>
      </w:pPr>
    </w:p>
    <w:p>
      <w:pPr>
        <w:ind w:right="40" w:firstLine="749"/>
        <w:spacing w:after="0" w:line="342" w:lineRule="auto"/>
        <w:rPr>
          <w:sz w:val="20"/>
          <w:szCs w:val="20"/>
          <w:color w:val="auto"/>
        </w:rPr>
      </w:pPr>
      <w:r>
        <w:rPr>
          <w:rFonts w:ascii="Arial" w:cs="Arial" w:eastAsia="Arial" w:hAnsi="Arial"/>
          <w:sz w:val="16"/>
          <w:szCs w:val="16"/>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40" w:name="page141"/>
    <w:bookmarkEnd w:id="1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10.4</w:t>
      </w: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3"/>
          <w:szCs w:val="13"/>
          <w:b w:val="1"/>
          <w:bCs w:val="1"/>
          <w:color w:val="auto"/>
        </w:rPr>
        <w:t>empest</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nducement</w:t>
      </w:r>
      <w:r>
        <w:rPr>
          <w:rFonts w:ascii="Arial" w:cs="Arial" w:eastAsia="Arial" w:hAnsi="Arial"/>
          <w:sz w:val="19"/>
          <w:szCs w:val="19"/>
          <w:b w:val="1"/>
          <w:bCs w:val="1"/>
          <w:color w:val="auto"/>
        </w:rPr>
        <w:t xml:space="preserve"> G</w:t>
      </w:r>
      <w:r>
        <w:rPr>
          <w:rFonts w:ascii="Arial" w:cs="Arial" w:eastAsia="Arial" w:hAnsi="Arial"/>
          <w:sz w:val="13"/>
          <w:szCs w:val="13"/>
          <w:b w:val="1"/>
          <w:bCs w:val="1"/>
          <w:color w:val="auto"/>
        </w:rPr>
        <w:t>rant</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utside of</w:t>
      </w:r>
    </w:p>
    <w:p>
      <w:pPr>
        <w:spacing w:after="0" w:line="20"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mended and</w:t>
      </w:r>
      <w:r>
        <w:rPr>
          <w:rFonts w:ascii="Arial" w:cs="Arial" w:eastAsia="Arial" w:hAnsi="Arial"/>
          <w:sz w:val="19"/>
          <w:szCs w:val="19"/>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9"/>
          <w:szCs w:val="19"/>
          <w:b w:val="1"/>
          <w:bCs w:val="1"/>
          <w:color w:val="auto"/>
        </w:rPr>
        <w:t xml:space="preserve"> 2019 E</w:t>
      </w:r>
      <w:r>
        <w:rPr>
          <w:rFonts w:ascii="Arial" w:cs="Arial" w:eastAsia="Arial" w:hAnsi="Arial"/>
          <w:sz w:val="13"/>
          <w:szCs w:val="13"/>
          <w:b w:val="1"/>
          <w:bCs w:val="1"/>
          <w:color w:val="auto"/>
        </w:rPr>
        <w:t>quity</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lan</w:t>
      </w:r>
    </w:p>
    <w:p>
      <w:pPr>
        <w:spacing w:after="0" w:line="192" w:lineRule="exact"/>
        <w:rPr>
          <w:sz w:val="20"/>
          <w:szCs w:val="20"/>
          <w:color w:val="auto"/>
        </w:rPr>
      </w:pPr>
    </w:p>
    <w:p>
      <w:pPr>
        <w:jc w:val="both"/>
        <w:ind w:left="1260" w:right="1000"/>
        <w:spacing w:after="0" w:line="254" w:lineRule="auto"/>
        <w:rPr>
          <w:sz w:val="20"/>
          <w:szCs w:val="20"/>
          <w:color w:val="auto"/>
        </w:rPr>
      </w:pPr>
      <w:r>
        <w:rPr>
          <w:rFonts w:ascii="Arial" w:cs="Arial" w:eastAsia="Arial" w:hAnsi="Arial"/>
          <w:sz w:val="18"/>
          <w:szCs w:val="18"/>
          <w:color w:val="auto"/>
        </w:rPr>
        <w:t>Tempest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Optionholder an option to purchase the number of shares of the Company’s Common Stock set forth below, outside of, but subject to the terms of, the Company’s Amended and Restated 2019 Equity Incentive Plan, as may be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200" w:lineRule="exact"/>
        <w:rPr>
          <w:sz w:val="20"/>
          <w:szCs w:val="20"/>
          <w:color w:val="auto"/>
        </w:rPr>
      </w:pPr>
    </w:p>
    <w:p>
      <w:pPr>
        <w:spacing w:after="0" w:line="27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17145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17145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1714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1714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7145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7145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17145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spacing w:after="0"/>
        <w:tabs>
          <w:tab w:leader="none" w:pos="268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6"/>
          <w:szCs w:val="16"/>
          <w:color w:val="auto"/>
        </w:rPr>
        <w:t>Nonstatutory Stock Option</w:t>
      </w:r>
    </w:p>
    <w:p>
      <w:pPr>
        <w:spacing w:after="0" w:line="185" w:lineRule="exact"/>
        <w:rPr>
          <w:sz w:val="20"/>
          <w:szCs w:val="20"/>
          <w:color w:val="auto"/>
        </w:rPr>
      </w:pPr>
    </w:p>
    <w:p>
      <w:pPr>
        <w:ind w:left="1260"/>
        <w:spacing w:after="0"/>
        <w:tabs>
          <w:tab w:leader="none" w:pos="3040" w:val="left"/>
        </w:tabs>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Same as Vesting Schedule</w:t>
      </w:r>
    </w:p>
    <w:p>
      <w:pPr>
        <w:spacing w:after="0" w:line="171" w:lineRule="exact"/>
        <w:rPr>
          <w:sz w:val="20"/>
          <w:szCs w:val="20"/>
          <w:color w:val="auto"/>
        </w:rPr>
      </w:pPr>
    </w:p>
    <w:p>
      <w:pPr>
        <w:jc w:val="both"/>
        <w:ind w:left="3120" w:right="1000" w:hanging="1871"/>
        <w:spacing w:after="0" w:line="279" w:lineRule="auto"/>
        <w:tabs>
          <w:tab w:leader="none" w:pos="310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This option will become exercisable (“vest”) as to 25% of the original number of Shares on the first anniversary of the Vesting Commencement Date and as to the remaining Shares in equal monthly installments over 36 months following the first anniversary of the Vesting Commencement Date, subject to Optionholder’s Continuous Service as of each such date.</w:t>
      </w:r>
    </w:p>
    <w:p>
      <w:pPr>
        <w:spacing w:after="0" w:line="117" w:lineRule="exact"/>
        <w:rPr>
          <w:sz w:val="20"/>
          <w:szCs w:val="20"/>
          <w:color w:val="auto"/>
        </w:rPr>
      </w:pPr>
    </w:p>
    <w:p>
      <w:pPr>
        <w:ind w:left="1260"/>
        <w:spacing w:after="0"/>
        <w:tabs>
          <w:tab w:leader="none" w:pos="2320" w:val="left"/>
        </w:tabs>
        <w:rPr>
          <w:sz w:val="20"/>
          <w:szCs w:val="20"/>
          <w:color w:val="auto"/>
        </w:rPr>
      </w:pPr>
      <w:r>
        <w:rPr>
          <w:rFonts w:ascii="Arial" w:cs="Arial" w:eastAsia="Arial" w:hAnsi="Arial"/>
          <w:sz w:val="18"/>
          <w:szCs w:val="18"/>
          <w:b w:val="1"/>
          <w:bCs w:val="1"/>
          <w:color w:val="auto"/>
        </w:rPr>
        <w:t>Payment:</w:t>
      </w:r>
      <w:r>
        <w:rPr>
          <w:sz w:val="20"/>
          <w:szCs w:val="20"/>
          <w:color w:val="auto"/>
        </w:rPr>
        <w:tab/>
      </w:r>
      <w:r>
        <w:rPr>
          <w:rFonts w:ascii="Arial" w:cs="Arial" w:eastAsia="Arial" w:hAnsi="Arial"/>
          <w:sz w:val="18"/>
          <w:szCs w:val="18"/>
          <w:color w:val="auto"/>
        </w:rPr>
        <w:t>By one or a combination of the following items (described in the Option Agreement):</w:t>
      </w:r>
    </w:p>
    <w:p>
      <w:pPr>
        <w:spacing w:after="0" w:line="121" w:lineRule="exact"/>
        <w:rPr>
          <w:sz w:val="20"/>
          <w:szCs w:val="20"/>
          <w:color w:val="auto"/>
        </w:rPr>
      </w:pPr>
    </w:p>
    <w:p>
      <w:pPr>
        <w:ind w:left="3120" w:right="2780" w:firstLine="280"/>
        <w:spacing w:after="0" w:line="287" w:lineRule="auto"/>
        <w:rPr>
          <w:sz w:val="20"/>
          <w:szCs w:val="20"/>
          <w:color w:val="auto"/>
        </w:rPr>
      </w:pPr>
      <w:r>
        <w:rPr>
          <w:rFonts w:ascii="Arial" w:cs="Arial" w:eastAsia="Arial" w:hAnsi="Arial"/>
          <w:sz w:val="16"/>
          <w:szCs w:val="16"/>
          <w:color w:val="auto"/>
        </w:rPr>
        <w:t>By cash, check, bank draft or money order payable to the Company Pursuant to a Regulation T Program if the shares are publicly traded o By delivery of already-owned shares if the shares are publicly traded</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    Subject to the Company’s consent at the time of exercise, by a “net exercise”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285295881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both"/>
        <w:ind w:left="140" w:right="20"/>
        <w:spacing w:after="0" w:line="268"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Optionholder acknowledges receipt of, and understands and agrees to, this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w:t>
      </w:r>
    </w:p>
    <w:p>
      <w:pPr>
        <w:spacing w:after="0" w:line="2" w:lineRule="exact"/>
        <w:rPr>
          <w:sz w:val="20"/>
          <w:szCs w:val="20"/>
          <w:color w:val="auto"/>
        </w:rPr>
      </w:pPr>
    </w:p>
    <w:p>
      <w:pPr>
        <w:jc w:val="both"/>
        <w:ind w:left="140" w:hanging="9"/>
        <w:spacing w:after="0" w:line="292" w:lineRule="auto"/>
        <w:tabs>
          <w:tab w:leader="none" w:pos="39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compensation recovery policy that is adopted by the Company or is otherwise required by applicable law and (iii) 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800" w:type="dxa"/>
            <w:vAlign w:val="bottom"/>
          </w:tcPr>
          <w:p>
            <w:pPr>
              <w:ind w:left="11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vMerge w:val="restart"/>
          </w:tcPr>
          <w:p>
            <w:pPr>
              <w:ind w:left="1140"/>
              <w:spacing w:after="0"/>
              <w:rPr>
                <w:sz w:val="20"/>
                <w:szCs w:val="20"/>
                <w:color w:val="auto"/>
              </w:rPr>
            </w:pPr>
            <w:r>
              <w:rPr>
                <w:rFonts w:ascii="Arial" w:cs="Arial" w:eastAsia="Arial" w:hAnsi="Arial"/>
                <w:sz w:val="18"/>
                <w:szCs w:val="18"/>
                <w:color w:val="auto"/>
              </w:rPr>
              <w:t>Signature</w:t>
            </w:r>
          </w:p>
        </w:tc>
        <w:tc>
          <w:tcPr>
            <w:tcW w:w="2800" w:type="dxa"/>
            <w:vAlign w:val="bottom"/>
            <w:vMerge w:val="restart"/>
          </w:tcPr>
          <w:p>
            <w:pPr>
              <w:ind w:left="2100"/>
              <w:spacing w:after="0"/>
              <w:rPr>
                <w:sz w:val="20"/>
                <w:szCs w:val="20"/>
                <w:color w:val="auto"/>
              </w:rPr>
            </w:pPr>
            <w:r>
              <w:rPr>
                <w:rFonts w:ascii="Arial" w:cs="Arial" w:eastAsia="Arial" w:hAnsi="Arial"/>
                <w:sz w:val="18"/>
                <w:szCs w:val="18"/>
                <w:color w:val="auto"/>
                <w:w w:val="88"/>
              </w:rPr>
              <w:t>Signature</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tcPr>
          <w:p>
            <w:pPr>
              <w:ind w:left="200"/>
              <w:spacing w:after="0"/>
              <w:rPr>
                <w:sz w:val="20"/>
                <w:szCs w:val="20"/>
                <w:color w:val="auto"/>
              </w:rPr>
            </w:pPr>
            <w:r>
              <w:rPr>
                <w:rFonts w:ascii="Arial" w:cs="Arial" w:eastAsia="Arial" w:hAnsi="Arial"/>
                <w:sz w:val="18"/>
                <w:szCs w:val="18"/>
                <w:color w:val="auto"/>
              </w:rPr>
              <w:t>Date:</w:t>
            </w:r>
          </w:p>
        </w:tc>
        <w:tc>
          <w:tcPr>
            <w:tcW w:w="2800" w:type="dxa"/>
            <w:vAlign w:val="bottom"/>
            <w:vMerge w:val="restart"/>
          </w:tcPr>
          <w:p>
            <w:pPr>
              <w:ind w:left="11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Amended and Restated 2019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40"/>
          </w:cols>
          <w:pgMar w:left="1440" w:top="405" w:right="1319" w:bottom="1440" w:gutter="0" w:footer="0" w:header="0"/>
        </w:sectPr>
      </w:pPr>
    </w:p>
    <w:bookmarkStart w:id="143" w:name="page144"/>
    <w:bookmarkEnd w:id="143"/>
    <w:p>
      <w:pPr>
        <w:jc w:val="center"/>
        <w:ind w:right="-1159"/>
        <w:spacing w:after="0"/>
        <w:rPr>
          <w:sz w:val="20"/>
          <w:szCs w:val="20"/>
          <w:color w:val="auto"/>
        </w:rPr>
      </w:pPr>
      <w:r>
        <w:rPr>
          <w:rFonts w:ascii="Arial" w:cs="Arial" w:eastAsia="Arial" w:hAnsi="Arial"/>
          <w:sz w:val="19"/>
          <w:szCs w:val="19"/>
          <w:b w:val="1"/>
          <w:bCs w:val="1"/>
          <w:color w:val="auto"/>
        </w:rPr>
        <w:t>ATTACHMENT I</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3"/>
          <w:szCs w:val="13"/>
          <w:b w:val="1"/>
          <w:bCs w:val="1"/>
          <w:color w:val="auto"/>
        </w:rPr>
        <w:t>empest</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p>
      <w:pPr>
        <w:spacing w:after="0" w:line="214" w:lineRule="exact"/>
        <w:rPr>
          <w:sz w:val="20"/>
          <w:szCs w:val="20"/>
          <w:color w:val="auto"/>
        </w:rPr>
      </w:pPr>
    </w:p>
    <w:p>
      <w:pPr>
        <w:jc w:val="center"/>
        <w:ind w:right="-1199"/>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nducement</w:t>
      </w:r>
      <w:r>
        <w:rPr>
          <w:rFonts w:ascii="Arial" w:cs="Arial" w:eastAsia="Arial" w:hAnsi="Arial"/>
          <w:sz w:val="19"/>
          <w:szCs w:val="19"/>
          <w:b w:val="1"/>
          <w:bCs w:val="1"/>
          <w:color w:val="auto"/>
        </w:rPr>
        <w:t xml:space="preserve"> G</w:t>
      </w:r>
      <w:r>
        <w:rPr>
          <w:rFonts w:ascii="Arial" w:cs="Arial" w:eastAsia="Arial" w:hAnsi="Arial"/>
          <w:sz w:val="13"/>
          <w:szCs w:val="13"/>
          <w:b w:val="1"/>
          <w:bCs w:val="1"/>
          <w:color w:val="auto"/>
        </w:rPr>
        <w:t>rant</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utside</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f</w:t>
      </w:r>
    </w:p>
    <w:p>
      <w:pPr>
        <w:spacing w:after="0" w:line="20" w:lineRule="exact"/>
        <w:rPr>
          <w:sz w:val="20"/>
          <w:szCs w:val="20"/>
          <w:color w:val="auto"/>
        </w:rPr>
      </w:pPr>
    </w:p>
    <w:p>
      <w:pPr>
        <w:jc w:val="center"/>
        <w:ind w:right="-1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mended and</w:t>
      </w:r>
      <w:r>
        <w:rPr>
          <w:rFonts w:ascii="Arial" w:cs="Arial" w:eastAsia="Arial" w:hAnsi="Arial"/>
          <w:sz w:val="19"/>
          <w:szCs w:val="19"/>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9"/>
          <w:szCs w:val="19"/>
          <w:b w:val="1"/>
          <w:bCs w:val="1"/>
          <w:color w:val="auto"/>
        </w:rPr>
        <w:t xml:space="preserve"> 2019 E</w:t>
      </w:r>
      <w:r>
        <w:rPr>
          <w:rFonts w:ascii="Arial" w:cs="Arial" w:eastAsia="Arial" w:hAnsi="Arial"/>
          <w:sz w:val="13"/>
          <w:szCs w:val="13"/>
          <w:b w:val="1"/>
          <w:bCs w:val="1"/>
          <w:color w:val="auto"/>
        </w:rPr>
        <w:t>quity</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lan</w:t>
      </w:r>
    </w:p>
    <w:p>
      <w:pPr>
        <w:spacing w:after="0" w:line="192"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O</w:t>
      </w:r>
      <w:r>
        <w:rPr>
          <w:rFonts w:ascii="Arial" w:cs="Arial" w:eastAsia="Arial" w:hAnsi="Arial"/>
          <w:sz w:val="13"/>
          <w:szCs w:val="13"/>
          <w:b w:val="1"/>
          <w:bCs w:val="1"/>
          <w:color w:val="auto"/>
        </w:rPr>
        <w:t>ption</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9"/>
          <w:szCs w:val="19"/>
          <w:b w:val="1"/>
          <w:bCs w:val="1"/>
          <w:color w:val="auto"/>
        </w:rPr>
        <w:t xml:space="preserve"> (N</w:t>
      </w:r>
      <w:r>
        <w:rPr>
          <w:rFonts w:ascii="Arial" w:cs="Arial" w:eastAsia="Arial" w:hAnsi="Arial"/>
          <w:sz w:val="13"/>
          <w:szCs w:val="13"/>
          <w:b w:val="1"/>
          <w:bCs w:val="1"/>
          <w:color w:val="auto"/>
        </w:rPr>
        <w:t>onstatutory</w:t>
      </w:r>
      <w:r>
        <w:rPr>
          <w:rFonts w:ascii="Arial" w:cs="Arial" w:eastAsia="Arial" w:hAnsi="Arial"/>
          <w:sz w:val="19"/>
          <w:szCs w:val="19"/>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9"/>
          <w:szCs w:val="19"/>
          <w:b w:val="1"/>
          <w:bCs w:val="1"/>
          <w:color w:val="auto"/>
        </w:rPr>
        <w:t>)</w:t>
      </w:r>
    </w:p>
    <w:p>
      <w:pPr>
        <w:spacing w:after="0" w:line="266" w:lineRule="exact"/>
        <w:rPr>
          <w:sz w:val="20"/>
          <w:szCs w:val="20"/>
          <w:color w:val="auto"/>
        </w:rPr>
      </w:pPr>
    </w:p>
    <w:p>
      <w:pPr>
        <w:jc w:val="both"/>
        <w:ind w:left="1180" w:right="20" w:firstLine="749"/>
        <w:spacing w:after="0" w:line="257"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Option Agreement, Tempest Therapeutics,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outside of, but subject to the terms of, its Amended and Restated 2019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99" w:lineRule="exact"/>
        <w:rPr>
          <w:sz w:val="20"/>
          <w:szCs w:val="20"/>
          <w:color w:val="auto"/>
        </w:rPr>
      </w:pPr>
    </w:p>
    <w:p>
      <w:pPr>
        <w:jc w:val="both"/>
        <w:ind w:left="1180" w:right="20" w:firstLine="749"/>
        <w:spacing w:after="0" w:line="243" w:lineRule="auto"/>
        <w:rPr>
          <w:sz w:val="20"/>
          <w:szCs w:val="20"/>
          <w:color w:val="auto"/>
        </w:rPr>
      </w:pPr>
      <w:r>
        <w:rPr>
          <w:rFonts w:ascii="Arial" w:cs="Arial" w:eastAsia="Arial" w:hAnsi="Arial"/>
          <w:sz w:val="20"/>
          <w:szCs w:val="20"/>
          <w:color w:val="auto"/>
        </w:rPr>
        <w:t>This option is granted in compliance with NASDAQ Listing Rule 5635(c)(4) as a material inducement to an employee or director of a listed company entering into employment with the Company. This option is granted outside of, but subject to the terms of, the Plan and other relevant Plan provisions as if the option had been granted as a Nonstatutory Stock Option Plan, provided that for the avoidance of doubt, the shares of Common Stock subject to this option shall not reduce and shall have no impact on the number of shares available for grant under the Plan.</w:t>
      </w:r>
    </w:p>
    <w:p>
      <w:pPr>
        <w:spacing w:after="0" w:line="20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60" w:lineRule="exact"/>
        <w:rPr>
          <w:sz w:val="20"/>
          <w:szCs w:val="20"/>
          <w:color w:val="auto"/>
        </w:rPr>
      </w:pPr>
    </w:p>
    <w:p>
      <w:pPr>
        <w:ind w:left="1180" w:firstLine="739"/>
        <w:spacing w:after="0" w:line="267" w:lineRule="auto"/>
        <w:tabs>
          <w:tab w:leader="none" w:pos="2428"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V</w:t>
      </w:r>
      <w:r>
        <w:rPr>
          <w:rFonts w:ascii="Arial" w:cs="Arial" w:eastAsia="Arial" w:hAnsi="Arial"/>
          <w:sz w:val="16"/>
          <w:szCs w:val="16"/>
          <w:b w:val="1"/>
          <w:bCs w:val="1"/>
          <w:color w:val="auto"/>
        </w:rPr>
        <w:t>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contained herein, your option will vest as provided in your</w:t>
      </w:r>
      <w:r>
        <w:rPr>
          <w:rFonts w:ascii="Arial" w:cs="Arial" w:eastAsia="Arial" w:hAnsi="Arial"/>
          <w:sz w:val="20"/>
          <w:szCs w:val="20"/>
          <w:b w:val="1"/>
          <w:bCs w:val="1"/>
          <w:color w:val="auto"/>
        </w:rPr>
        <w:t xml:space="preserve"> </w:t>
      </w:r>
      <w:r>
        <w:rPr>
          <w:rFonts w:ascii="Arial" w:cs="Arial" w:eastAsia="Arial" w:hAnsi="Arial"/>
          <w:sz w:val="20"/>
          <w:szCs w:val="20"/>
          <w:color w:val="auto"/>
        </w:rPr>
        <w:t>Grant Notice. Vesting will cease upon the termination of your Continuous Service.</w:t>
      </w:r>
    </w:p>
    <w:p>
      <w:pPr>
        <w:spacing w:after="0" w:line="163" w:lineRule="exact"/>
        <w:rPr>
          <w:rFonts w:ascii="Arial" w:cs="Arial" w:eastAsia="Arial" w:hAnsi="Arial"/>
          <w:sz w:val="20"/>
          <w:szCs w:val="20"/>
          <w:b w:val="1"/>
          <w:bCs w:val="1"/>
          <w:color w:val="auto"/>
        </w:rPr>
      </w:pPr>
    </w:p>
    <w:p>
      <w:pPr>
        <w:jc w:val="both"/>
        <w:ind w:left="1180" w:firstLine="739"/>
        <w:spacing w:after="0" w:line="253" w:lineRule="auto"/>
        <w:tabs>
          <w:tab w:leader="none" w:pos="2428"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UMBER OF</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HARES AND</w:t>
      </w:r>
      <w:r>
        <w:rPr>
          <w:rFonts w:ascii="Arial" w:cs="Arial" w:eastAsia="Arial" w:hAnsi="Arial"/>
          <w:sz w:val="20"/>
          <w:szCs w:val="20"/>
          <w:b w:val="1"/>
          <w:bCs w:val="1"/>
          <w:color w:val="auto"/>
        </w:rPr>
        <w:t xml:space="preserve"> E</w:t>
      </w:r>
      <w:r>
        <w:rPr>
          <w:rFonts w:ascii="Arial" w:cs="Arial" w:eastAsia="Arial" w:hAnsi="Arial"/>
          <w:sz w:val="16"/>
          <w:szCs w:val="16"/>
          <w:b w:val="1"/>
          <w:bCs w:val="1"/>
          <w:color w:val="auto"/>
        </w:rPr>
        <w:t>XERCISE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shares of Common Stock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your option and your exercise price per share in your Grant Notice will be adjusted for Capitalization Adjustments.</w:t>
      </w:r>
    </w:p>
    <w:p>
      <w:pPr>
        <w:spacing w:after="0" w:line="190" w:lineRule="exact"/>
        <w:rPr>
          <w:rFonts w:ascii="Arial" w:cs="Arial" w:eastAsia="Arial" w:hAnsi="Arial"/>
          <w:sz w:val="20"/>
          <w:szCs w:val="20"/>
          <w:b w:val="1"/>
          <w:bCs w:val="1"/>
          <w:color w:val="auto"/>
        </w:rPr>
      </w:pPr>
    </w:p>
    <w:p>
      <w:pPr>
        <w:jc w:val="both"/>
        <w:ind w:left="1180" w:firstLine="739"/>
        <w:spacing w:after="0" w:line="257" w:lineRule="auto"/>
        <w:tabs>
          <w:tab w:leader="none" w:pos="2428"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E</w:t>
      </w:r>
      <w:r>
        <w:rPr>
          <w:rFonts w:ascii="Arial" w:cs="Arial" w:eastAsia="Arial" w:hAnsi="Arial"/>
          <w:sz w:val="15"/>
          <w:szCs w:val="15"/>
          <w:b w:val="1"/>
          <w:bCs w:val="1"/>
          <w:color w:val="auto"/>
        </w:rPr>
        <w:t>XERCISE</w:t>
      </w:r>
      <w:r>
        <w:rPr>
          <w:rFonts w:ascii="Arial" w:cs="Arial" w:eastAsia="Arial" w:hAnsi="Arial"/>
          <w:sz w:val="19"/>
          <w:szCs w:val="19"/>
          <w:b w:val="1"/>
          <w:bCs w:val="1"/>
          <w:color w:val="auto"/>
        </w:rPr>
        <w:t xml:space="preserve"> R</w:t>
      </w:r>
      <w:r>
        <w:rPr>
          <w:rFonts w:ascii="Arial" w:cs="Arial" w:eastAsia="Arial" w:hAnsi="Arial"/>
          <w:sz w:val="15"/>
          <w:szCs w:val="15"/>
          <w:b w:val="1"/>
          <w:bCs w:val="1"/>
          <w:color w:val="auto"/>
        </w:rPr>
        <w:t>ESTRICTION FOR</w:t>
      </w:r>
      <w:r>
        <w:rPr>
          <w:rFonts w:ascii="Arial" w:cs="Arial" w:eastAsia="Arial" w:hAnsi="Arial"/>
          <w:sz w:val="19"/>
          <w:szCs w:val="19"/>
          <w:b w:val="1"/>
          <w:bCs w:val="1"/>
          <w:color w:val="auto"/>
        </w:rPr>
        <w:t xml:space="preserve"> N</w:t>
      </w:r>
      <w:r>
        <w:rPr>
          <w:rFonts w:ascii="Arial" w:cs="Arial" w:eastAsia="Arial" w:hAnsi="Arial"/>
          <w:sz w:val="15"/>
          <w:szCs w:val="15"/>
          <w:b w:val="1"/>
          <w:bCs w:val="1"/>
          <w:color w:val="auto"/>
        </w:rPr>
        <w:t>ON</w:t>
      </w:r>
      <w:r>
        <w:rPr>
          <w:rFonts w:ascii="Arial" w:cs="Arial" w:eastAsia="Arial" w:hAnsi="Arial"/>
          <w:sz w:val="19"/>
          <w:szCs w:val="19"/>
          <w:b w:val="1"/>
          <w:bCs w:val="1"/>
          <w:color w:val="auto"/>
        </w:rPr>
        <w:t>-E</w:t>
      </w:r>
      <w:r>
        <w:rPr>
          <w:rFonts w:ascii="Arial" w:cs="Arial" w:eastAsia="Arial" w:hAnsi="Arial"/>
          <w:sz w:val="15"/>
          <w:szCs w:val="15"/>
          <w:b w:val="1"/>
          <w:bCs w:val="1"/>
          <w:color w:val="auto"/>
        </w:rPr>
        <w:t>XEMPT</w:t>
      </w:r>
      <w:r>
        <w:rPr>
          <w:rFonts w:ascii="Arial" w:cs="Arial" w:eastAsia="Arial" w:hAnsi="Arial"/>
          <w:sz w:val="19"/>
          <w:szCs w:val="19"/>
          <w:b w:val="1"/>
          <w:bCs w:val="1"/>
          <w:color w:val="auto"/>
        </w:rPr>
        <w:t xml:space="preserve"> E</w:t>
      </w:r>
      <w:r>
        <w:rPr>
          <w:rFonts w:ascii="Arial" w:cs="Arial" w:eastAsia="Arial" w:hAnsi="Arial"/>
          <w:sz w:val="15"/>
          <w:szCs w:val="15"/>
          <w:b w:val="1"/>
          <w:bCs w:val="1"/>
          <w:color w:val="auto"/>
        </w:rPr>
        <w:t>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If you are an Employee eligible for</w:t>
      </w:r>
      <w:r>
        <w:rPr>
          <w:rFonts w:ascii="Arial" w:cs="Arial" w:eastAsia="Arial" w:hAnsi="Arial"/>
          <w:sz w:val="19"/>
          <w:szCs w:val="19"/>
          <w:b w:val="1"/>
          <w:bCs w:val="1"/>
          <w:color w:val="auto"/>
        </w:rPr>
        <w:t xml:space="preserve"> </w:t>
      </w:r>
      <w:r>
        <w:rPr>
          <w:rFonts w:ascii="Arial" w:cs="Arial" w:eastAsia="Arial" w:hAnsi="Arial"/>
          <w:sz w:val="19"/>
          <w:szCs w:val="19"/>
          <w:color w:val="auto"/>
        </w:rPr>
        <w:t>overtime compensation under the Fair Labor Standards Act of 1938, as amended (that is, a “</w:t>
      </w:r>
      <w:r>
        <w:rPr>
          <w:rFonts w:ascii="Arial" w:cs="Arial" w:eastAsia="Arial" w:hAnsi="Arial"/>
          <w:sz w:val="19"/>
          <w:szCs w:val="19"/>
          <w:b w:val="1"/>
          <w:bCs w:val="1"/>
          <w:i w:val="1"/>
          <w:iCs w:val="1"/>
          <w:color w:val="auto"/>
        </w:rPr>
        <w:t>Non-Exempt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and except as otherwise provided in the Plan, you may not exercise your option until you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9" w:lineRule="exact"/>
        <w:rPr>
          <w:rFonts w:ascii="Arial" w:cs="Arial" w:eastAsia="Arial" w:hAnsi="Arial"/>
          <w:sz w:val="19"/>
          <w:szCs w:val="19"/>
          <w:b w:val="1"/>
          <w:bCs w:val="1"/>
          <w:color w:val="auto"/>
        </w:rPr>
      </w:pPr>
    </w:p>
    <w:p>
      <w:pPr>
        <w:jc w:val="both"/>
        <w:ind w:left="1180" w:firstLine="739"/>
        <w:spacing w:after="0" w:line="248" w:lineRule="auto"/>
        <w:tabs>
          <w:tab w:leader="none" w:pos="2428"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ETHOD OF</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AYMENT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must pay the full amount of the exercise price for the shares you</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wish to exercise. You may pay the exercise price in cash or by check, bank draft or money order payable to the Company or in any other manner </w:t>
      </w:r>
      <w:r>
        <w:rPr>
          <w:rFonts w:ascii="Arial" w:cs="Arial" w:eastAsia="Arial" w:hAnsi="Arial"/>
          <w:sz w:val="20"/>
          <w:szCs w:val="20"/>
          <w:b w:val="1"/>
          <w:bCs w:val="1"/>
          <w:i w:val="1"/>
          <w:iCs w:val="1"/>
          <w:color w:val="auto"/>
        </w:rPr>
        <w:t>permitted by your Grant Notice</w:t>
      </w:r>
      <w:r>
        <w:rPr>
          <w:rFonts w:ascii="Arial" w:cs="Arial" w:eastAsia="Arial" w:hAnsi="Arial"/>
          <w:sz w:val="20"/>
          <w:szCs w:val="20"/>
          <w:color w:val="auto"/>
        </w:rPr>
        <w:t>, which may include one or more of the following: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00" w:top="327" w:right="1319" w:bottom="1440" w:gutter="0" w:footer="0" w:header="0"/>
        </w:sectPr>
      </w:pPr>
    </w:p>
    <w:bookmarkStart w:id="144" w:name="page145"/>
    <w:bookmarkEnd w:id="144"/>
    <w:p>
      <w:pPr>
        <w:jc w:val="both"/>
        <w:ind w:left="1180" w:firstLine="1488"/>
        <w:spacing w:after="0" w:line="278" w:lineRule="auto"/>
        <w:tabs>
          <w:tab w:leader="none" w:pos="296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51" w:lineRule="exact"/>
        <w:rPr>
          <w:rFonts w:ascii="Arial" w:cs="Arial" w:eastAsia="Arial" w:hAnsi="Arial"/>
          <w:sz w:val="18"/>
          <w:szCs w:val="18"/>
          <w:color w:val="auto"/>
        </w:rPr>
      </w:pPr>
    </w:p>
    <w:p>
      <w:pPr>
        <w:jc w:val="both"/>
        <w:ind w:left="1180" w:firstLine="1488"/>
        <w:spacing w:after="0" w:line="257" w:lineRule="auto"/>
        <w:tabs>
          <w:tab w:leader="none" w:pos="296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207" w:lineRule="exact"/>
        <w:rPr>
          <w:rFonts w:ascii="Arial" w:cs="Arial" w:eastAsia="Arial" w:hAnsi="Arial"/>
          <w:sz w:val="19"/>
          <w:szCs w:val="19"/>
          <w:color w:val="auto"/>
        </w:rPr>
      </w:pPr>
    </w:p>
    <w:p>
      <w:pPr>
        <w:jc w:val="both"/>
        <w:ind w:left="1180" w:firstLine="1488"/>
        <w:spacing w:after="0" w:line="257" w:lineRule="auto"/>
        <w:tabs>
          <w:tab w:leader="none" w:pos="296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5.W</w:t>
      </w:r>
      <w:r>
        <w:rPr>
          <w:rFonts w:ascii="Arial" w:cs="Arial" w:eastAsia="Arial" w:hAnsi="Arial"/>
          <w:sz w:val="16"/>
          <w:szCs w:val="16"/>
          <w:b w:val="1"/>
          <w:bCs w:val="1"/>
          <w:color w:val="auto"/>
        </w:rPr>
        <w:t>HOLE</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HARES</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exercise your option only for whole shares of Common Stock.</w:t>
      </w:r>
    </w:p>
    <w:p>
      <w:pPr>
        <w:spacing w:after="0" w:line="243" w:lineRule="exact"/>
        <w:rPr>
          <w:sz w:val="20"/>
          <w:szCs w:val="20"/>
          <w:color w:val="auto"/>
        </w:rPr>
      </w:pPr>
    </w:p>
    <w:p>
      <w:pPr>
        <w:jc w:val="both"/>
        <w:ind w:left="1180" w:firstLine="739"/>
        <w:spacing w:after="0" w:line="275" w:lineRule="auto"/>
        <w:tabs>
          <w:tab w:leader="none" w:pos="3109"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may you exercise your option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75" w:lineRule="exact"/>
        <w:rPr>
          <w:rFonts w:ascii="Arial" w:cs="Arial" w:eastAsia="Arial" w:hAnsi="Arial"/>
          <w:sz w:val="18"/>
          <w:szCs w:val="18"/>
          <w:b w:val="1"/>
          <w:bCs w:val="1"/>
          <w:color w:val="auto"/>
        </w:rPr>
      </w:pPr>
    </w:p>
    <w:p>
      <w:pPr>
        <w:jc w:val="both"/>
        <w:ind w:left="1180" w:firstLine="739"/>
        <w:spacing w:after="0" w:line="253" w:lineRule="auto"/>
        <w:tabs>
          <w:tab w:leader="none" w:pos="2428"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ERM</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not exercise your option before the Date of Grant or after the expiration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term. The term of your option expires, subject to the provisions of Section 5(h) of the Plan, upon the earliest of the following:</w:t>
      </w:r>
    </w:p>
    <w:p>
      <w:pPr>
        <w:spacing w:after="0" w:line="210" w:lineRule="exact"/>
        <w:rPr>
          <w:rFonts w:ascii="Arial" w:cs="Arial" w:eastAsia="Arial" w:hAnsi="Arial"/>
          <w:sz w:val="20"/>
          <w:szCs w:val="20"/>
          <w:b w:val="1"/>
          <w:bCs w:val="1"/>
          <w:color w:val="auto"/>
        </w:rPr>
      </w:pPr>
    </w:p>
    <w:p>
      <w:pPr>
        <w:ind w:left="3420" w:hanging="752"/>
        <w:spacing w:after="0"/>
        <w:tabs>
          <w:tab w:leader="none" w:pos="342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immediately upon the termination of your Continuous Service for Cause;</w:t>
      </w:r>
    </w:p>
    <w:p>
      <w:pPr>
        <w:spacing w:after="0" w:line="229" w:lineRule="exact"/>
        <w:rPr>
          <w:rFonts w:ascii="Arial" w:cs="Arial" w:eastAsia="Arial" w:hAnsi="Arial"/>
          <w:sz w:val="20"/>
          <w:szCs w:val="20"/>
          <w:color w:val="auto"/>
        </w:rPr>
      </w:pPr>
    </w:p>
    <w:p>
      <w:pPr>
        <w:jc w:val="both"/>
        <w:ind w:left="1180" w:firstLine="1488"/>
        <w:spacing w:after="0" w:line="246" w:lineRule="auto"/>
        <w:tabs>
          <w:tab w:leader="none" w:pos="2961"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ninety (90) days after the termination of your Continuous Service for any reason other than Cause, your Disability or your death (except as otherwise provided in Section 8(d) below);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during any part of such ninety (90) day period your option is not exercisable solely because of the condition set forth in the section above regarding “Securities Law Compliance,”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00" w:top="339" w:right="1319" w:bottom="1440" w:gutter="0" w:footer="0" w:header="0"/>
        </w:sectPr>
      </w:pPr>
    </w:p>
    <w:bookmarkStart w:id="145" w:name="page146"/>
    <w:bookmarkEnd w:id="145"/>
    <w:p>
      <w:pPr>
        <w:jc w:val="both"/>
        <w:ind w:left="1180" w:right="20"/>
        <w:spacing w:after="0" w:line="268" w:lineRule="auto"/>
        <w:rPr>
          <w:sz w:val="20"/>
          <w:szCs w:val="20"/>
          <w:color w:val="auto"/>
        </w:rPr>
      </w:pPr>
      <w:r>
        <w:rPr>
          <w:rFonts w:ascii="Arial" w:cs="Arial" w:eastAsia="Arial" w:hAnsi="Arial"/>
          <w:sz w:val="18"/>
          <w:szCs w:val="18"/>
          <w:color w:val="auto"/>
        </w:rPr>
        <w:t xml:space="preserve">your option will not expire until the earlier of the Expiration Date or until it has been exercisable for an aggregate period of ninety (90) days after the termination of your Continuous Service;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if during any part of such ninety (90) day period, the sale of any Common Stock received upon exercise of your option would violate the Company’s insider trading policy, then your option will not expire until the earlier of the Expiration Date or until it has been exercisable for an aggregate period of ninety (90) days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w:t>
      </w:r>
    </w:p>
    <w:p>
      <w:pPr>
        <w:spacing w:after="0" w:line="3" w:lineRule="exact"/>
        <w:rPr>
          <w:sz w:val="20"/>
          <w:szCs w:val="20"/>
          <w:color w:val="auto"/>
        </w:rPr>
      </w:pPr>
    </w:p>
    <w:p>
      <w:pPr>
        <w:jc w:val="both"/>
        <w:ind w:left="1180" w:right="20" w:hanging="5"/>
        <w:spacing w:after="0" w:line="241" w:lineRule="auto"/>
        <w:tabs>
          <w:tab w:leader="none" w:pos="155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you have vested in a portion of your option at the time of your termination of Continuous Service, your option will not expire until the earlier of (x) the later of (A) the date that is seven (7) months after the Date of Grant, and (B) the date that is ninety (90) days after the termination of your Continuous Service, and (y) the Expiration Date;</w:t>
      </w:r>
    </w:p>
    <w:p>
      <w:pPr>
        <w:spacing w:after="0" w:line="194" w:lineRule="exact"/>
        <w:rPr>
          <w:rFonts w:ascii="Arial" w:cs="Arial" w:eastAsia="Arial" w:hAnsi="Arial"/>
          <w:sz w:val="20"/>
          <w:szCs w:val="20"/>
          <w:color w:val="auto"/>
        </w:rPr>
      </w:pPr>
    </w:p>
    <w:p>
      <w:pPr>
        <w:ind w:left="1180" w:firstLine="1488"/>
        <w:spacing w:after="0" w:line="260" w:lineRule="auto"/>
        <w:tabs>
          <w:tab w:leader="none" w:pos="2961" w:val="left"/>
        </w:tabs>
        <w:numPr>
          <w:ilvl w:val="2"/>
          <w:numId w:val="145"/>
        </w:numPr>
        <w:rPr>
          <w:rFonts w:ascii="Arial" w:cs="Arial" w:eastAsia="Arial" w:hAnsi="Arial"/>
          <w:sz w:val="20"/>
          <w:szCs w:val="20"/>
          <w:color w:val="auto"/>
        </w:rPr>
      </w:pPr>
      <w:r>
        <w:rPr>
          <w:rFonts w:ascii="Arial" w:cs="Arial" w:eastAsia="Arial" w:hAnsi="Arial"/>
          <w:sz w:val="20"/>
          <w:szCs w:val="20"/>
          <w:color w:val="auto"/>
        </w:rPr>
        <w:t>twelve (12) months after the termination of your Continuous Service due to your Disability (except as otherwise provided in Section 7(d)) below;</w:t>
      </w:r>
    </w:p>
    <w:p>
      <w:pPr>
        <w:spacing w:after="0" w:line="203" w:lineRule="exact"/>
        <w:rPr>
          <w:rFonts w:ascii="Arial" w:cs="Arial" w:eastAsia="Arial" w:hAnsi="Arial"/>
          <w:sz w:val="20"/>
          <w:szCs w:val="20"/>
          <w:color w:val="auto"/>
        </w:rPr>
      </w:pPr>
    </w:p>
    <w:p>
      <w:pPr>
        <w:ind w:left="1180" w:firstLine="1488"/>
        <w:spacing w:after="0" w:line="316" w:lineRule="auto"/>
        <w:tabs>
          <w:tab w:leader="none" w:pos="2961"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eighteen (18) months after your death if you die either during your Continuous Service or within ninety (90) days after your Continuous Service terminates for any reason other than Cause;</w:t>
      </w:r>
    </w:p>
    <w:p>
      <w:pPr>
        <w:spacing w:after="0" w:line="116" w:lineRule="exact"/>
        <w:rPr>
          <w:rFonts w:ascii="Arial" w:cs="Arial" w:eastAsia="Arial" w:hAnsi="Arial"/>
          <w:sz w:val="18"/>
          <w:szCs w:val="18"/>
          <w:color w:val="auto"/>
        </w:rPr>
      </w:pPr>
    </w:p>
    <w:p>
      <w:pPr>
        <w:ind w:left="3420" w:hanging="752"/>
        <w:spacing w:after="0"/>
        <w:tabs>
          <w:tab w:leader="none" w:pos="3420" w:val="left"/>
        </w:tabs>
        <w:numPr>
          <w:ilvl w:val="2"/>
          <w:numId w:val="145"/>
        </w:numPr>
        <w:rPr>
          <w:rFonts w:ascii="Arial" w:cs="Arial" w:eastAsia="Arial" w:hAnsi="Arial"/>
          <w:sz w:val="20"/>
          <w:szCs w:val="20"/>
          <w:color w:val="auto"/>
        </w:rPr>
      </w:pPr>
      <w:r>
        <w:rPr>
          <w:rFonts w:ascii="Arial" w:cs="Arial" w:eastAsia="Arial" w:hAnsi="Arial"/>
          <w:sz w:val="20"/>
          <w:szCs w:val="20"/>
          <w:color w:val="auto"/>
        </w:rPr>
        <w:t>the Expiration Date indicated in your Grant Notice; or</w:t>
      </w:r>
    </w:p>
    <w:p>
      <w:pPr>
        <w:spacing w:after="0" w:line="242" w:lineRule="exact"/>
        <w:rPr>
          <w:rFonts w:ascii="Arial" w:cs="Arial" w:eastAsia="Arial" w:hAnsi="Arial"/>
          <w:sz w:val="20"/>
          <w:szCs w:val="20"/>
          <w:color w:val="auto"/>
        </w:rPr>
      </w:pPr>
    </w:p>
    <w:p>
      <w:pPr>
        <w:ind w:left="3420" w:hanging="752"/>
        <w:spacing w:after="0"/>
        <w:tabs>
          <w:tab w:leader="none" w:pos="3420" w:val="left"/>
        </w:tabs>
        <w:numPr>
          <w:ilvl w:val="2"/>
          <w:numId w:val="145"/>
        </w:numPr>
        <w:rPr>
          <w:rFonts w:ascii="Arial" w:cs="Arial" w:eastAsia="Arial" w:hAnsi="Arial"/>
          <w:sz w:val="20"/>
          <w:szCs w:val="20"/>
          <w:color w:val="auto"/>
        </w:rPr>
      </w:pPr>
      <w:r>
        <w:rPr>
          <w:rFonts w:ascii="Arial" w:cs="Arial" w:eastAsia="Arial" w:hAnsi="Arial"/>
          <w:sz w:val="20"/>
          <w:szCs w:val="20"/>
          <w:color w:val="auto"/>
        </w:rPr>
        <w:t>the day before the tenth (10th) anniversary of the Date of Grant.</w:t>
      </w: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2660" w:hanging="741"/>
        <w:spacing w:after="0"/>
        <w:tabs>
          <w:tab w:leader="none" w:pos="2660" w:val="left"/>
        </w:tabs>
        <w:numPr>
          <w:ilvl w:val="1"/>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XERCISE</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180" w:firstLine="1488"/>
        <w:spacing w:after="0" w:line="259" w:lineRule="auto"/>
        <w:tabs>
          <w:tab w:leader="none" w:pos="2961" w:val="left"/>
        </w:tabs>
        <w:numPr>
          <w:ilvl w:val="2"/>
          <w:numId w:val="146"/>
        </w:numPr>
        <w:rPr>
          <w:rFonts w:ascii="Arial" w:cs="Arial" w:eastAsia="Arial" w:hAnsi="Arial"/>
          <w:sz w:val="19"/>
          <w:szCs w:val="19"/>
          <w:color w:val="auto"/>
        </w:rPr>
      </w:pPr>
      <w:r>
        <w:rPr>
          <w:rFonts w:ascii="Arial" w:cs="Arial" w:eastAsia="Arial" w:hAnsi="Arial"/>
          <w:sz w:val="19"/>
          <w:szCs w:val="19"/>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91" w:lineRule="exact"/>
        <w:rPr>
          <w:rFonts w:ascii="Arial" w:cs="Arial" w:eastAsia="Arial" w:hAnsi="Arial"/>
          <w:sz w:val="19"/>
          <w:szCs w:val="19"/>
          <w:color w:val="auto"/>
        </w:rPr>
      </w:pPr>
    </w:p>
    <w:p>
      <w:pPr>
        <w:jc w:val="both"/>
        <w:ind w:left="1180" w:firstLine="1488"/>
        <w:spacing w:after="0" w:line="260" w:lineRule="auto"/>
        <w:tabs>
          <w:tab w:leader="none" w:pos="2961" w:val="left"/>
        </w:tabs>
        <w:numPr>
          <w:ilvl w:val="2"/>
          <w:numId w:val="146"/>
        </w:numPr>
        <w:rPr>
          <w:rFonts w:ascii="Arial" w:cs="Arial" w:eastAsia="Arial" w:hAnsi="Arial"/>
          <w:sz w:val="19"/>
          <w:szCs w:val="19"/>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00" w:top="406" w:right="1319" w:bottom="1440" w:gutter="0" w:footer="0" w:header="0"/>
        </w:sectPr>
      </w:pPr>
    </w:p>
    <w:bookmarkStart w:id="146" w:name="page147"/>
    <w:bookmarkEnd w:id="146"/>
    <w:p>
      <w:pPr>
        <w:jc w:val="both"/>
        <w:ind w:left="1180" w:firstLine="739"/>
        <w:spacing w:after="0" w:line="253" w:lineRule="auto"/>
        <w:tabs>
          <w:tab w:leader="none" w:pos="2428"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this Section 9, your option is not</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transferable, except by will or by the laws of descent and distribution, and is exercisable during your life only by you.</w:t>
      </w:r>
    </w:p>
    <w:p>
      <w:pPr>
        <w:spacing w:after="0" w:line="177" w:lineRule="exact"/>
        <w:rPr>
          <w:rFonts w:ascii="Arial" w:cs="Arial" w:eastAsia="Arial" w:hAnsi="Arial"/>
          <w:sz w:val="20"/>
          <w:szCs w:val="20"/>
          <w:b w:val="1"/>
          <w:bCs w:val="1"/>
          <w:color w:val="auto"/>
        </w:rPr>
      </w:pPr>
    </w:p>
    <w:p>
      <w:pPr>
        <w:jc w:val="both"/>
        <w:ind w:left="1180" w:firstLine="1488"/>
        <w:spacing w:after="0" w:line="265" w:lineRule="auto"/>
        <w:tabs>
          <w:tab w:leader="none" w:pos="2961" w:val="left"/>
        </w:tabs>
        <w:numPr>
          <w:ilvl w:val="1"/>
          <w:numId w:val="1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Trusts. </w:t>
      </w:r>
      <w:r>
        <w:rPr>
          <w:rFonts w:ascii="Arial" w:cs="Arial" w:eastAsia="Arial" w:hAnsi="Arial"/>
          <w:sz w:val="19"/>
          <w:szCs w:val="19"/>
          <w:color w:val="auto"/>
        </w:rPr>
        <w:t>Upon receiving written permission from the Board or its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82" w:lineRule="exact"/>
        <w:rPr>
          <w:rFonts w:ascii="Arial" w:cs="Arial" w:eastAsia="Arial" w:hAnsi="Arial"/>
          <w:sz w:val="19"/>
          <w:szCs w:val="19"/>
          <w:b w:val="1"/>
          <w:bCs w:val="1"/>
          <w:color w:val="auto"/>
        </w:rPr>
      </w:pPr>
    </w:p>
    <w:p>
      <w:pPr>
        <w:jc w:val="both"/>
        <w:ind w:left="1180" w:firstLine="1488"/>
        <w:spacing w:after="0" w:line="274" w:lineRule="auto"/>
        <w:tabs>
          <w:tab w:leader="none" w:pos="2961" w:val="left"/>
        </w:tabs>
        <w:numPr>
          <w:ilvl w:val="1"/>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88" w:lineRule="exact"/>
        <w:rPr>
          <w:rFonts w:ascii="Arial" w:cs="Arial" w:eastAsia="Arial" w:hAnsi="Arial"/>
          <w:sz w:val="18"/>
          <w:szCs w:val="18"/>
          <w:b w:val="1"/>
          <w:bCs w:val="1"/>
          <w:color w:val="auto"/>
        </w:rPr>
      </w:pPr>
    </w:p>
    <w:p>
      <w:pPr>
        <w:jc w:val="both"/>
        <w:ind w:left="1180" w:firstLine="1488"/>
        <w:spacing w:after="0" w:line="259" w:lineRule="auto"/>
        <w:tabs>
          <w:tab w:leader="none" w:pos="2961" w:val="left"/>
        </w:tabs>
        <w:numPr>
          <w:ilvl w:val="1"/>
          <w:numId w:val="1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Beneficiary Designation. </w:t>
      </w:r>
      <w:r>
        <w:rPr>
          <w:rFonts w:ascii="Arial" w:cs="Arial" w:eastAsia="Arial" w:hAnsi="Arial"/>
          <w:sz w:val="19"/>
          <w:szCs w:val="19"/>
          <w:color w:val="auto"/>
        </w:rPr>
        <w:t>Upon receiving written permission from the Board or its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85" w:lineRule="exact"/>
        <w:rPr>
          <w:rFonts w:ascii="Arial" w:cs="Arial" w:eastAsia="Arial" w:hAnsi="Arial"/>
          <w:sz w:val="19"/>
          <w:szCs w:val="19"/>
          <w:b w:val="1"/>
          <w:bCs w:val="1"/>
          <w:color w:val="auto"/>
        </w:rPr>
      </w:pPr>
    </w:p>
    <w:p>
      <w:pPr>
        <w:jc w:val="both"/>
        <w:ind w:left="1180" w:firstLine="739"/>
        <w:spacing w:after="0" w:line="245" w:lineRule="auto"/>
        <w:tabs>
          <w:tab w:leader="none" w:pos="2428"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PTION NOT A</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ONTRACT</w:t>
      </w:r>
      <w:r>
        <w:rPr>
          <w:rFonts w:ascii="Arial" w:cs="Arial" w:eastAsia="Arial" w:hAnsi="Arial"/>
          <w:sz w:val="20"/>
          <w:szCs w:val="20"/>
          <w:b w:val="1"/>
          <w:bCs w:val="1"/>
          <w:color w:val="auto"/>
        </w:rPr>
        <w:t xml:space="preserve">. </w:t>
      </w:r>
      <w:r>
        <w:rPr>
          <w:rFonts w:ascii="Arial" w:cs="Arial" w:eastAsia="Arial" w:hAnsi="Arial"/>
          <w:sz w:val="20"/>
          <w:szCs w:val="20"/>
          <w:color w:val="auto"/>
        </w:rPr>
        <w:t>Your option is not an employment or service contract, and</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97" w:lineRule="exact"/>
        <w:rPr>
          <w:rFonts w:ascii="Arial" w:cs="Arial" w:eastAsia="Arial" w:hAnsi="Arial"/>
          <w:sz w:val="20"/>
          <w:szCs w:val="20"/>
          <w:b w:val="1"/>
          <w:bCs w:val="1"/>
          <w:color w:val="auto"/>
        </w:rPr>
      </w:pPr>
    </w:p>
    <w:p>
      <w:pPr>
        <w:ind w:left="2660" w:hanging="741"/>
        <w:spacing w:after="0"/>
        <w:tabs>
          <w:tab w:leader="none" w:pos="266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BLIGATIONS</w:t>
      </w:r>
      <w:r>
        <w:rPr>
          <w:rFonts w:ascii="Arial" w:cs="Arial" w:eastAsia="Arial" w:hAnsi="Arial"/>
          <w:sz w:val="20"/>
          <w:szCs w:val="20"/>
          <w:b w:val="1"/>
          <w:bCs w:val="1"/>
          <w:color w:val="auto"/>
        </w:rPr>
        <w:t>.</w:t>
      </w:r>
    </w:p>
    <w:p>
      <w:pPr>
        <w:spacing w:after="0" w:line="248" w:lineRule="exact"/>
        <w:rPr>
          <w:rFonts w:ascii="Arial" w:cs="Arial" w:eastAsia="Arial" w:hAnsi="Arial"/>
          <w:sz w:val="20"/>
          <w:szCs w:val="20"/>
          <w:b w:val="1"/>
          <w:bCs w:val="1"/>
          <w:color w:val="auto"/>
        </w:rPr>
      </w:pPr>
    </w:p>
    <w:p>
      <w:pPr>
        <w:jc w:val="both"/>
        <w:ind w:left="1180" w:firstLine="1488"/>
        <w:spacing w:after="0" w:line="276" w:lineRule="auto"/>
        <w:tabs>
          <w:tab w:leader="none" w:pos="296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00" w:top="873" w:right="1319" w:bottom="1440" w:gutter="0" w:footer="0" w:header="0"/>
        </w:sectPr>
      </w:pPr>
    </w:p>
    <w:bookmarkStart w:id="147" w:name="page148"/>
    <w:bookmarkEnd w:id="147"/>
    <w:p>
      <w:pPr>
        <w:jc w:val="both"/>
        <w:ind w:left="1180" w:firstLine="1488"/>
        <w:spacing w:after="0" w:line="272" w:lineRule="auto"/>
        <w:tabs>
          <w:tab w:leader="none" w:pos="296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97" w:lineRule="exact"/>
        <w:rPr>
          <w:rFonts w:ascii="Arial" w:cs="Arial" w:eastAsia="Arial" w:hAnsi="Arial"/>
          <w:sz w:val="18"/>
          <w:szCs w:val="18"/>
          <w:color w:val="auto"/>
        </w:rPr>
      </w:pPr>
    </w:p>
    <w:p>
      <w:pPr>
        <w:jc w:val="both"/>
        <w:ind w:left="1180" w:firstLine="1488"/>
        <w:spacing w:after="0" w:line="244" w:lineRule="auto"/>
        <w:tabs>
          <w:tab w:leader="none" w:pos="2961" w:val="left"/>
        </w:tabs>
        <w:numPr>
          <w:ilvl w:val="1"/>
          <w:numId w:val="148"/>
        </w:numPr>
        <w:rPr>
          <w:rFonts w:ascii="Arial" w:cs="Arial" w:eastAsia="Arial" w:hAnsi="Arial"/>
          <w:sz w:val="20"/>
          <w:szCs w:val="20"/>
          <w:color w:val="auto"/>
        </w:rPr>
      </w:pPr>
      <w:r>
        <w:rPr>
          <w:rFonts w:ascii="Arial" w:cs="Arial" w:eastAsia="Arial" w:hAnsi="Arial"/>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201" w:lineRule="exact"/>
        <w:rPr>
          <w:rFonts w:ascii="Arial" w:cs="Arial" w:eastAsia="Arial" w:hAnsi="Arial"/>
          <w:sz w:val="20"/>
          <w:szCs w:val="20"/>
          <w:color w:val="auto"/>
        </w:rPr>
      </w:pPr>
    </w:p>
    <w:p>
      <w:pPr>
        <w:jc w:val="both"/>
        <w:ind w:left="1180" w:firstLine="739"/>
        <w:spacing w:after="0" w:line="259" w:lineRule="auto"/>
        <w:tabs>
          <w:tab w:leader="none" w:pos="2428"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T</w:t>
      </w:r>
      <w:r>
        <w:rPr>
          <w:rFonts w:ascii="Arial" w:cs="Arial" w:eastAsia="Arial" w:hAnsi="Arial"/>
          <w:sz w:val="15"/>
          <w:szCs w:val="15"/>
          <w:b w:val="1"/>
          <w:bCs w:val="1"/>
          <w:color w:val="auto"/>
        </w:rPr>
        <w:t>AX</w:t>
      </w:r>
      <w:r>
        <w:rPr>
          <w:rFonts w:ascii="Arial" w:cs="Arial" w:eastAsia="Arial" w:hAnsi="Arial"/>
          <w:sz w:val="19"/>
          <w:szCs w:val="19"/>
          <w:b w:val="1"/>
          <w:bCs w:val="1"/>
          <w:color w:val="auto"/>
        </w:rPr>
        <w:t xml:space="preserve"> C</w:t>
      </w:r>
      <w:r>
        <w:rPr>
          <w:rFonts w:ascii="Arial" w:cs="Arial" w:eastAsia="Arial" w:hAnsi="Arial"/>
          <w:sz w:val="15"/>
          <w:szCs w:val="15"/>
          <w:b w:val="1"/>
          <w:bCs w:val="1"/>
          <w:color w:val="auto"/>
        </w:rPr>
        <w:t>ONSEQUENCES</w:t>
      </w:r>
      <w:r>
        <w:rPr>
          <w:rFonts w:ascii="Arial" w:cs="Arial" w:eastAsia="Arial" w:hAnsi="Arial"/>
          <w:sz w:val="19"/>
          <w:szCs w:val="19"/>
          <w:color w:val="auto"/>
        </w:rPr>
        <w:t>. You hereby agree that the Company does not have a duty to design or</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85" w:lineRule="exact"/>
        <w:rPr>
          <w:rFonts w:ascii="Arial" w:cs="Arial" w:eastAsia="Arial" w:hAnsi="Arial"/>
          <w:sz w:val="19"/>
          <w:szCs w:val="19"/>
          <w:b w:val="1"/>
          <w:bCs w:val="1"/>
          <w:color w:val="auto"/>
        </w:rPr>
      </w:pPr>
    </w:p>
    <w:p>
      <w:pPr>
        <w:jc w:val="both"/>
        <w:ind w:left="1180" w:firstLine="739"/>
        <w:spacing w:after="0" w:line="274" w:lineRule="auto"/>
        <w:tabs>
          <w:tab w:leader="none" w:pos="2428"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provided for in your option or the Plan will be given in writing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8" w:lineRule="exact"/>
        <w:rPr>
          <w:rFonts w:ascii="Arial" w:cs="Arial" w:eastAsia="Arial" w:hAnsi="Arial"/>
          <w:sz w:val="18"/>
          <w:szCs w:val="18"/>
          <w:b w:val="1"/>
          <w:bCs w:val="1"/>
          <w:color w:val="auto"/>
        </w:rPr>
      </w:pPr>
    </w:p>
    <w:p>
      <w:pPr>
        <w:jc w:val="both"/>
        <w:ind w:left="1180" w:firstLine="739"/>
        <w:spacing w:after="0" w:line="258" w:lineRule="auto"/>
        <w:tabs>
          <w:tab w:leader="none" w:pos="2428"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G</w:t>
      </w:r>
      <w:r>
        <w:rPr>
          <w:rFonts w:ascii="Arial" w:cs="Arial" w:eastAsia="Arial" w:hAnsi="Arial"/>
          <w:sz w:val="15"/>
          <w:szCs w:val="15"/>
          <w:b w:val="1"/>
          <w:bCs w:val="1"/>
          <w:color w:val="auto"/>
        </w:rPr>
        <w:t>OVERNING</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9"/>
          <w:szCs w:val="19"/>
          <w:b w:val="1"/>
          <w:bCs w:val="1"/>
          <w:color w:val="auto"/>
        </w:rPr>
        <w:t xml:space="preserve"> D</w:t>
      </w:r>
      <w:r>
        <w:rPr>
          <w:rFonts w:ascii="Arial" w:cs="Arial" w:eastAsia="Arial" w:hAnsi="Arial"/>
          <w:sz w:val="15"/>
          <w:szCs w:val="15"/>
          <w:b w:val="1"/>
          <w:bCs w:val="1"/>
          <w:color w:val="auto"/>
        </w:rPr>
        <w:t>OCUMENT</w:t>
      </w:r>
      <w:r>
        <w:rPr>
          <w:rFonts w:ascii="Arial" w:cs="Arial" w:eastAsia="Arial" w:hAnsi="Arial"/>
          <w:sz w:val="19"/>
          <w:szCs w:val="19"/>
          <w:b w:val="1"/>
          <w:bCs w:val="1"/>
          <w:color w:val="auto"/>
        </w:rPr>
        <w:t xml:space="preserve">. </w:t>
      </w:r>
      <w:r>
        <w:rPr>
          <w:rFonts w:ascii="Arial" w:cs="Arial" w:eastAsia="Arial" w:hAnsi="Arial"/>
          <w:sz w:val="19"/>
          <w:szCs w:val="19"/>
          <w:color w:val="auto"/>
        </w:rPr>
        <w:t>Your option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6" w:lineRule="exact"/>
        <w:rPr>
          <w:rFonts w:ascii="Arial" w:cs="Arial" w:eastAsia="Arial" w:hAnsi="Arial"/>
          <w:sz w:val="19"/>
          <w:szCs w:val="19"/>
          <w:b w:val="1"/>
          <w:bCs w:val="1"/>
          <w:color w:val="auto"/>
        </w:rPr>
      </w:pPr>
    </w:p>
    <w:p>
      <w:pPr>
        <w:jc w:val="both"/>
        <w:ind w:left="1180" w:firstLine="739"/>
        <w:spacing w:after="0" w:line="246" w:lineRule="auto"/>
        <w:tabs>
          <w:tab w:leader="none" w:pos="2428"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receipt of and the right to receive a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the 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00" w:top="406" w:right="131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8</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99695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793" w:right="1440" w:bottom="1440" w:gutter="0" w:footer="0" w:header="0"/>
        </w:sectPr>
      </w:pPr>
    </w:p>
    <w:bookmarkStart w:id="149" w:name="page150"/>
    <w:bookmarkEnd w:id="149"/>
    <w:p>
      <w:pPr>
        <w:jc w:val="both"/>
        <w:ind w:left="1180" w:right="40" w:firstLine="739"/>
        <w:spacing w:after="0" w:line="246" w:lineRule="auto"/>
        <w:tabs>
          <w:tab w:leader="none" w:pos="2428"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FFECT ON</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E</w:t>
      </w:r>
      <w:r>
        <w:rPr>
          <w:rFonts w:ascii="Arial" w:cs="Arial" w:eastAsia="Arial" w:hAnsi="Arial"/>
          <w:sz w:val="16"/>
          <w:szCs w:val="16"/>
          <w:b w:val="1"/>
          <w:bCs w:val="1"/>
          <w:color w:val="auto"/>
        </w:rPr>
        <w:t>MPLOYEE</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ENEFIT</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LANS</w:t>
      </w:r>
      <w:r>
        <w:rPr>
          <w:rFonts w:ascii="Arial" w:cs="Arial" w:eastAsia="Arial" w:hAnsi="Arial"/>
          <w:sz w:val="20"/>
          <w:szCs w:val="20"/>
          <w:b w:val="1"/>
          <w:bCs w:val="1"/>
          <w:color w:val="auto"/>
        </w:rPr>
        <w:t xml:space="preserve">. </w:t>
      </w:r>
      <w:r>
        <w:rPr>
          <w:rFonts w:ascii="Arial" w:cs="Arial" w:eastAsia="Arial" w:hAnsi="Arial"/>
          <w:sz w:val="20"/>
          <w:szCs w:val="20"/>
          <w:color w:val="auto"/>
        </w:rPr>
        <w:t>The value of this option will not be included</w:t>
      </w:r>
      <w:r>
        <w:rPr>
          <w:rFonts w:ascii="Arial" w:cs="Arial" w:eastAsia="Arial" w:hAnsi="Arial"/>
          <w:sz w:val="20"/>
          <w:szCs w:val="20"/>
          <w:b w:val="1"/>
          <w:bCs w:val="1"/>
          <w:color w:val="auto"/>
        </w:rPr>
        <w:t xml:space="preserve"> </w:t>
      </w:r>
      <w:r>
        <w:rPr>
          <w:rFonts w:ascii="Arial" w:cs="Arial" w:eastAsia="Arial" w:hAnsi="Arial"/>
          <w:sz w:val="20"/>
          <w:szCs w:val="20"/>
          <w:color w:val="auto"/>
        </w:rPr>
        <w:t>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11" w:lineRule="exact"/>
        <w:rPr>
          <w:rFonts w:ascii="Arial" w:cs="Arial" w:eastAsia="Arial" w:hAnsi="Arial"/>
          <w:sz w:val="20"/>
          <w:szCs w:val="20"/>
          <w:b w:val="1"/>
          <w:bCs w:val="1"/>
          <w:color w:val="auto"/>
        </w:rPr>
      </w:pPr>
    </w:p>
    <w:p>
      <w:pPr>
        <w:jc w:val="both"/>
        <w:ind w:left="1180" w:right="40" w:firstLine="739"/>
        <w:spacing w:after="0" w:line="262" w:lineRule="auto"/>
        <w:tabs>
          <w:tab w:leader="none" w:pos="2428" w:val="left"/>
        </w:tabs>
        <w:numPr>
          <w:ilvl w:val="0"/>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V</w:t>
      </w:r>
      <w:r>
        <w:rPr>
          <w:rFonts w:ascii="Arial" w:cs="Arial" w:eastAsia="Arial" w:hAnsi="Arial"/>
          <w:sz w:val="15"/>
          <w:szCs w:val="15"/>
          <w:b w:val="1"/>
          <w:bCs w:val="1"/>
          <w:color w:val="auto"/>
        </w:rPr>
        <w:t>OTING</w:t>
      </w:r>
      <w:r>
        <w:rPr>
          <w:rFonts w:ascii="Arial" w:cs="Arial" w:eastAsia="Arial" w:hAnsi="Arial"/>
          <w:sz w:val="19"/>
          <w:szCs w:val="19"/>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have voting or any other rights as a stockholder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84" w:lineRule="exact"/>
        <w:rPr>
          <w:rFonts w:ascii="Arial" w:cs="Arial" w:eastAsia="Arial" w:hAnsi="Arial"/>
          <w:sz w:val="19"/>
          <w:szCs w:val="19"/>
          <w:b w:val="1"/>
          <w:bCs w:val="1"/>
          <w:color w:val="auto"/>
        </w:rPr>
      </w:pPr>
    </w:p>
    <w:p>
      <w:pPr>
        <w:jc w:val="both"/>
        <w:ind w:left="1180" w:right="40" w:firstLine="739"/>
        <w:spacing w:after="0" w:line="245" w:lineRule="auto"/>
        <w:tabs>
          <w:tab w:leader="none" w:pos="2428"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all or any part of this Option Agreement or the Plan is declared by any court</w:t>
      </w:r>
      <w:r>
        <w:rPr>
          <w:rFonts w:ascii="Arial" w:cs="Arial" w:eastAsia="Arial" w:hAnsi="Arial"/>
          <w:sz w:val="20"/>
          <w:szCs w:val="20"/>
          <w:b w:val="1"/>
          <w:bCs w:val="1"/>
          <w:color w:val="auto"/>
        </w:rPr>
        <w:t xml:space="preserve"> </w:t>
      </w:r>
      <w:r>
        <w:rPr>
          <w:rFonts w:ascii="Arial" w:cs="Arial" w:eastAsia="Arial" w:hAnsi="Arial"/>
          <w:sz w:val="20"/>
          <w:szCs w:val="20"/>
          <w:color w:val="auto"/>
        </w:rPr>
        <w:t>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97" w:lineRule="exact"/>
        <w:rPr>
          <w:rFonts w:ascii="Arial" w:cs="Arial" w:eastAsia="Arial" w:hAnsi="Arial"/>
          <w:sz w:val="20"/>
          <w:szCs w:val="20"/>
          <w:b w:val="1"/>
          <w:bCs w:val="1"/>
          <w:color w:val="auto"/>
        </w:rPr>
      </w:pPr>
    </w:p>
    <w:p>
      <w:pPr>
        <w:ind w:left="2660" w:hanging="741"/>
        <w:spacing w:after="0"/>
        <w:tabs>
          <w:tab w:leader="none" w:pos="2660"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ISCELLANEOUS</w:t>
      </w:r>
      <w:r>
        <w:rPr>
          <w:rFonts w:ascii="Arial" w:cs="Arial" w:eastAsia="Arial" w:hAnsi="Arial"/>
          <w:sz w:val="20"/>
          <w:szCs w:val="20"/>
          <w:color w:val="auto"/>
        </w:rPr>
        <w:t>.</w:t>
      </w:r>
    </w:p>
    <w:p>
      <w:pPr>
        <w:spacing w:after="0" w:line="248" w:lineRule="exact"/>
        <w:rPr>
          <w:rFonts w:ascii="Arial" w:cs="Arial" w:eastAsia="Arial" w:hAnsi="Arial"/>
          <w:sz w:val="20"/>
          <w:szCs w:val="20"/>
          <w:b w:val="1"/>
          <w:bCs w:val="1"/>
          <w:color w:val="auto"/>
        </w:rPr>
      </w:pPr>
    </w:p>
    <w:p>
      <w:pPr>
        <w:jc w:val="both"/>
        <w:ind w:left="1180" w:right="40" w:firstLine="1488"/>
        <w:spacing w:after="0" w:line="250" w:lineRule="auto"/>
        <w:tabs>
          <w:tab w:leader="none" w:pos="2961" w:val="left"/>
        </w:tabs>
        <w:numPr>
          <w:ilvl w:val="1"/>
          <w:numId w:val="150"/>
        </w:numPr>
        <w:rPr>
          <w:rFonts w:ascii="Arial" w:cs="Arial" w:eastAsia="Arial" w:hAnsi="Arial"/>
          <w:sz w:val="20"/>
          <w:szCs w:val="20"/>
          <w:color w:val="auto"/>
        </w:rPr>
      </w:pPr>
      <w:r>
        <w:rPr>
          <w:rFonts w:ascii="Arial" w:cs="Arial" w:eastAsia="Arial" w:hAnsi="Arial"/>
          <w:sz w:val="20"/>
          <w:szCs w:val="20"/>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99" w:lineRule="exact"/>
        <w:rPr>
          <w:rFonts w:ascii="Arial" w:cs="Arial" w:eastAsia="Arial" w:hAnsi="Arial"/>
          <w:sz w:val="20"/>
          <w:szCs w:val="20"/>
          <w:color w:val="auto"/>
        </w:rPr>
      </w:pPr>
    </w:p>
    <w:p>
      <w:pPr>
        <w:ind w:left="1180" w:right="40" w:firstLine="1488"/>
        <w:spacing w:after="0" w:line="287" w:lineRule="auto"/>
        <w:tabs>
          <w:tab w:leader="none" w:pos="2961" w:val="left"/>
        </w:tabs>
        <w:numPr>
          <w:ilvl w:val="1"/>
          <w:numId w:val="150"/>
        </w:numPr>
        <w:rPr>
          <w:rFonts w:ascii="Arial" w:cs="Arial" w:eastAsia="Arial" w:hAnsi="Arial"/>
          <w:sz w:val="19"/>
          <w:szCs w:val="19"/>
          <w:color w:val="auto"/>
        </w:rPr>
      </w:pPr>
      <w:r>
        <w:rPr>
          <w:rFonts w:ascii="Arial" w:cs="Arial" w:eastAsia="Arial" w:hAnsi="Arial"/>
          <w:sz w:val="19"/>
          <w:szCs w:val="19"/>
          <w:color w:val="auto"/>
        </w:rPr>
        <w:t>You agree upon request to execute any further documents or instruments necessary or desirable in the sole determination of the Company to carry out the purposes or intent of your option.</w:t>
      </w:r>
    </w:p>
    <w:p>
      <w:pPr>
        <w:spacing w:after="0" w:line="152" w:lineRule="exact"/>
        <w:rPr>
          <w:rFonts w:ascii="Arial" w:cs="Arial" w:eastAsia="Arial" w:hAnsi="Arial"/>
          <w:sz w:val="19"/>
          <w:szCs w:val="19"/>
          <w:color w:val="auto"/>
        </w:rPr>
      </w:pPr>
    </w:p>
    <w:p>
      <w:pPr>
        <w:jc w:val="both"/>
        <w:ind w:left="1180" w:right="40" w:firstLine="1488"/>
        <w:spacing w:after="0" w:line="250" w:lineRule="auto"/>
        <w:tabs>
          <w:tab w:leader="none" w:pos="2961" w:val="left"/>
        </w:tabs>
        <w:numPr>
          <w:ilvl w:val="1"/>
          <w:numId w:val="150"/>
        </w:numPr>
        <w:rPr>
          <w:rFonts w:ascii="Arial" w:cs="Arial" w:eastAsia="Arial" w:hAnsi="Arial"/>
          <w:sz w:val="20"/>
          <w:szCs w:val="20"/>
          <w:color w:val="auto"/>
        </w:rPr>
      </w:pPr>
      <w:r>
        <w:rPr>
          <w:rFonts w:ascii="Arial" w:cs="Arial" w:eastAsia="Arial" w:hAnsi="Arial"/>
          <w:sz w:val="20"/>
          <w:szCs w:val="20"/>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99" w:lineRule="exact"/>
        <w:rPr>
          <w:rFonts w:ascii="Arial" w:cs="Arial" w:eastAsia="Arial" w:hAnsi="Arial"/>
          <w:sz w:val="20"/>
          <w:szCs w:val="20"/>
          <w:color w:val="auto"/>
        </w:rPr>
      </w:pPr>
    </w:p>
    <w:p>
      <w:pPr>
        <w:ind w:left="1180" w:right="40" w:firstLine="1488"/>
        <w:spacing w:after="0" w:line="287" w:lineRule="auto"/>
        <w:tabs>
          <w:tab w:leader="none" w:pos="2961"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This Option Agreement will be subject to all applicable laws, rules, and regulations, and to such approvals by any governmental agencies or national securities exchanges as may be required.</w:t>
      </w:r>
    </w:p>
    <w:p>
      <w:pPr>
        <w:spacing w:after="0" w:line="138" w:lineRule="exact"/>
        <w:rPr>
          <w:rFonts w:ascii="Arial" w:cs="Arial" w:eastAsia="Arial" w:hAnsi="Arial"/>
          <w:sz w:val="19"/>
          <w:szCs w:val="19"/>
          <w:color w:val="auto"/>
        </w:rPr>
      </w:pPr>
    </w:p>
    <w:p>
      <w:pPr>
        <w:jc w:val="both"/>
        <w:ind w:left="1180" w:right="40" w:firstLine="1488"/>
        <w:spacing w:after="0" w:line="246" w:lineRule="auto"/>
        <w:tabs>
          <w:tab w:leader="none" w:pos="2961"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sz w:val="20"/>
          <w:szCs w:val="20"/>
          <w:color w:val="auto"/>
        </w:rPr>
      </w:pPr>
    </w:p>
    <w:p>
      <w:pPr>
        <w:spacing w:after="0" w:line="221" w:lineRule="exact"/>
        <w:rPr>
          <w:sz w:val="20"/>
          <w:szCs w:val="20"/>
          <w:color w:val="auto"/>
        </w:rPr>
      </w:pPr>
    </w:p>
    <w:p>
      <w:pPr>
        <w:ind w:left="5220"/>
        <w:spacing w:after="0"/>
        <w:tabs>
          <w:tab w:leader="none" w:pos="5600" w:val="left"/>
          <w:tab w:leader="none" w:pos="6000" w:val="left"/>
        </w:tabs>
        <w:rPr>
          <w:sz w:val="20"/>
          <w:szCs w:val="20"/>
          <w:color w:val="auto"/>
        </w:rPr>
      </w:pPr>
      <w:r>
        <w:rPr>
          <w:rFonts w:ascii="Arial" w:cs="Arial" w:eastAsia="Arial" w:hAnsi="Arial"/>
          <w:sz w:val="20"/>
          <w:szCs w:val="20"/>
          <w:color w:val="auto"/>
        </w:rPr>
        <w:t>*</w:t>
        <w:tab/>
        <w:t>*</w:t>
        <w:tab/>
        <w:t>*</w:t>
      </w:r>
    </w:p>
    <w:p>
      <w:pPr>
        <w:spacing w:after="0" w:line="229" w:lineRule="exact"/>
        <w:rPr>
          <w:sz w:val="20"/>
          <w:szCs w:val="20"/>
          <w:color w:val="auto"/>
        </w:rPr>
      </w:pPr>
    </w:p>
    <w:p>
      <w:pPr>
        <w:ind w:left="1180" w:firstLine="749"/>
        <w:spacing w:after="0" w:line="260" w:lineRule="auto"/>
        <w:rPr>
          <w:sz w:val="20"/>
          <w:szCs w:val="20"/>
          <w:color w:val="auto"/>
        </w:rPr>
      </w:pPr>
      <w:r>
        <w:rPr>
          <w:rFonts w:ascii="Arial" w:cs="Arial" w:eastAsia="Arial" w:hAnsi="Arial"/>
          <w:sz w:val="20"/>
          <w:szCs w:val="20"/>
          <w:color w:val="auto"/>
        </w:rPr>
        <w:t>This Option Agreement will be deemed to be signed by you upon the signing by you of the Stock Option Grant Notice to which it is attached.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400" w:top="400" w:right="127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Form 10-Q of Tempest Therapeutics, Inc.;</w:t>
      </w:r>
    </w:p>
    <w:p>
      <w:pPr>
        <w:spacing w:after="0" w:line="225"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60" w:hanging="378"/>
        <w:spacing w:after="0" w:line="308" w:lineRule="auto"/>
        <w:tabs>
          <w:tab w:leader="none" w:pos="7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378"/>
        <w:spacing w:after="0" w:line="277" w:lineRule="auto"/>
        <w:tabs>
          <w:tab w:leader="none" w:pos="7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10, 2023</w:t>
      </w:r>
    </w:p>
    <w:p>
      <w:pPr>
        <w:spacing w:after="0" w:line="279" w:lineRule="exact"/>
        <w:rPr>
          <w:sz w:val="20"/>
          <w:szCs w:val="20"/>
          <w:color w:val="auto"/>
        </w:rPr>
      </w:pPr>
    </w:p>
    <w:p>
      <w:pPr>
        <w:ind w:left="6960"/>
        <w:spacing w:after="0"/>
        <w:tabs>
          <w:tab w:leader="none" w:pos="7420" w:val="left"/>
        </w:tabs>
        <w:rPr>
          <w:sz w:val="20"/>
          <w:szCs w:val="20"/>
          <w:color w:val="auto"/>
        </w:rPr>
      </w:pPr>
      <w:r>
        <w:rPr>
          <w:rFonts w:ascii="Arial" w:cs="Arial" w:eastAsia="Arial" w:hAnsi="Arial"/>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23495</wp:posOffset>
            </wp:positionV>
            <wp:extent cx="24263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Stephen Brady</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Form 10-Q of Tempest Therapeutics, Inc.;</w:t>
      </w:r>
    </w:p>
    <w:p>
      <w:pPr>
        <w:spacing w:after="0" w:line="225"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60" w:hanging="378"/>
        <w:spacing w:after="0" w:line="308" w:lineRule="auto"/>
        <w:tabs>
          <w:tab w:leader="none" w:pos="7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378"/>
        <w:spacing w:after="0" w:line="277" w:lineRule="auto"/>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10, 2023</w:t>
      </w:r>
    </w:p>
    <w:p>
      <w:pPr>
        <w:spacing w:after="0" w:line="279" w:lineRule="exact"/>
        <w:rPr>
          <w:sz w:val="20"/>
          <w:szCs w:val="20"/>
          <w:color w:val="auto"/>
        </w:rPr>
      </w:pPr>
    </w:p>
    <w:p>
      <w:pPr>
        <w:ind w:left="6960"/>
        <w:spacing w:after="0"/>
        <w:tabs>
          <w:tab w:leader="none" w:pos="7420" w:val="left"/>
        </w:tabs>
        <w:rPr>
          <w:sz w:val="20"/>
          <w:szCs w:val="20"/>
          <w:color w:val="auto"/>
        </w:rPr>
      </w:pPr>
      <w:r>
        <w:rPr>
          <w:rFonts w:ascii="Arial" w:cs="Arial" w:eastAsia="Arial" w:hAnsi="Arial"/>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23495</wp:posOffset>
            </wp:positionV>
            <wp:extent cx="24263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Nicholas Maestas</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Vice-President, Strategy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49" w:lineRule="exact"/>
        <w:rPr>
          <w:sz w:val="20"/>
          <w:szCs w:val="20"/>
          <w:color w:val="auto"/>
        </w:rPr>
      </w:pPr>
    </w:p>
    <w:p>
      <w:pPr>
        <w:ind w:left="380" w:hanging="372"/>
        <w:spacing w:after="0" w:line="277" w:lineRule="auto"/>
        <w:tabs>
          <w:tab w:leader="none" w:pos="3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2023, to which this Certification is attached as Exhibit 32.1 (the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20" w:firstLine="8"/>
        <w:spacing w:after="0" w:line="527" w:lineRule="auto"/>
        <w:tabs>
          <w:tab w:leader="none" w:pos="3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10,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 Stephen Brady</w:t>
            </w:r>
          </w:p>
        </w:tc>
        <w:tc>
          <w:tcPr>
            <w:tcW w:w="32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 Nicholas Maestas</w:t>
            </w:r>
          </w:p>
        </w:tc>
      </w:tr>
      <w:tr>
        <w:trPr>
          <w:trHeight w:val="41"/>
        </w:trPr>
        <w:tc>
          <w:tcPr>
            <w:tcW w:w="4120" w:type="dxa"/>
            <w:vAlign w:val="bottom"/>
            <w:tcBorders>
              <w:bottom w:val="single" w:sz="8" w:color="auto"/>
            </w:tcBorders>
          </w:tcPr>
          <w:p>
            <w:pPr>
              <w:spacing w:after="0"/>
              <w:rPr>
                <w:sz w:val="3"/>
                <w:szCs w:val="3"/>
                <w:color w:val="auto"/>
              </w:rPr>
            </w:pPr>
          </w:p>
        </w:tc>
        <w:tc>
          <w:tcPr>
            <w:tcW w:w="324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Stephen Brady</w:t>
            </w:r>
          </w:p>
        </w:tc>
        <w:tc>
          <w:tcPr>
            <w:tcW w:w="3240" w:type="dxa"/>
            <w:vAlign w:val="bottom"/>
          </w:tcPr>
          <w:p>
            <w:pPr>
              <w:spacing w:after="0"/>
              <w:rPr>
                <w:sz w:val="22"/>
                <w:szCs w:val="22"/>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Nicholas Maestas</w:t>
            </w:r>
          </w:p>
        </w:tc>
      </w:tr>
      <w:tr>
        <w:trPr>
          <w:trHeight w:val="324"/>
        </w:trPr>
        <w:tc>
          <w:tcPr>
            <w:tcW w:w="41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3240" w:type="dxa"/>
            <w:vAlign w:val="bottom"/>
          </w:tcPr>
          <w:p>
            <w:pPr>
              <w:spacing w:after="0"/>
              <w:rPr>
                <w:sz w:val="24"/>
                <w:szCs w:val="24"/>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Vice-President, Strategy and Finance</w:t>
            </w:r>
          </w:p>
        </w:tc>
      </w:tr>
    </w:tbl>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7"/>
    </w:lvl>
  </w:abstractNum>
  <w:abstractNum w:abstractNumId="5">
    <w:nsid w:val="3B0FD379"/>
    <w:multiLevelType w:val="hybridMultilevel"/>
    <w:lvl w:ilvl="0">
      <w:lvlJc w:val="left"/>
      <w:lvlText w:val="%1."/>
      <w:numFmt w:val="decimal"/>
      <w:start w:val="8"/>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lvl w:ilvl="1">
      <w:lvlJc w:val="left"/>
      <w:lvlText w:val="%2"/>
      <w:numFmt w:val="decimal"/>
      <w:start w:val="104"/>
    </w:lvl>
  </w:abstractNum>
  <w:abstractNum w:abstractNumId="36">
    <w:nsid w:val="7F01579B"/>
    <w:multiLevelType w:val="hybridMultilevel"/>
    <w:lvl w:ilvl="0">
      <w:lvlJc w:val="left"/>
      <w:lvlText w:val="%1."/>
      <w:numFmt w:val="decimal"/>
      <w:start w:val="1"/>
    </w:lvl>
  </w:abstractNum>
  <w:abstractNum w:abstractNumId="37">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7055A5F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9">
    <w:nsid w:val="5FB8370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0">
    <w:nsid w:val="50801EE1"/>
    <w:multiLevelType w:val="hybridMultilevel"/>
    <w:lvl w:ilvl="0">
      <w:lvlJc w:val="left"/>
      <w:lvlText w:val="(%1)"/>
      <w:numFmt w:val="lowerRoman"/>
      <w:start w:val="2"/>
    </w:lvl>
  </w:abstractNum>
  <w:abstractNum w:abstractNumId="41">
    <w:nsid w:val="488AC1A"/>
    <w:multiLevelType w:val="hybridMultilevel"/>
    <w:lvl w:ilvl="0">
      <w:lvlJc w:val="left"/>
      <w:lvlText w:val="%1"/>
      <w:numFmt w:val="lowerLetter"/>
      <w:start w:val="1"/>
    </w:lvl>
    <w:lvl w:ilvl="1">
      <w:lvlJc w:val="left"/>
      <w:lvlText w:val="(%2)"/>
      <w:numFmt w:val="lowerRoman"/>
      <w:start w:val="6"/>
    </w:lvl>
  </w:abstractNum>
  <w:abstractNum w:abstractNumId="42">
    <w:nsid w:val="5FB8011C"/>
    <w:multiLevelType w:val="hybridMultilevel"/>
    <w:lvl w:ilvl="0">
      <w:lvlJc w:val="left"/>
      <w:lvlText w:val="(%1)"/>
      <w:numFmt w:val="lowerLetter"/>
      <w:start w:val="3"/>
    </w:lvl>
    <w:lvl w:ilvl="1">
      <w:lvlJc w:val="left"/>
      <w:lvlText w:val="(%2)"/>
      <w:numFmt w:val="lowerRoman"/>
      <w:start w:val="1"/>
    </w:lvl>
  </w:abstractNum>
  <w:abstractNum w:abstractNumId="43">
    <w:nsid w:val="6AA78F7F"/>
    <w:multiLevelType w:val="hybridMultilevel"/>
    <w:lvl w:ilvl="0">
      <w:lvlJc w:val="left"/>
      <w:lvlText w:val="%1"/>
      <w:numFmt w:val="decimal"/>
      <w:start w:val="1"/>
    </w:lvl>
    <w:lvl w:ilvl="1">
      <w:lvlJc w:val="left"/>
      <w:lvlText w:val="(%2)"/>
      <w:numFmt w:val="lowerLetter"/>
      <w:start w:val="4"/>
    </w:lvl>
  </w:abstractNum>
  <w:abstractNum w:abstractNumId="44">
    <w:nsid w:val="7672BD23"/>
    <w:multiLevelType w:val="hybridMultilevel"/>
    <w:lvl w:ilvl="0">
      <w:lvlJc w:val="left"/>
      <w:lvlText w:val="%1."/>
      <w:numFmt w:val="decimal"/>
      <w:start w:val="3"/>
    </w:lvl>
    <w:lvl w:ilvl="1">
      <w:lvlJc w:val="left"/>
      <w:lvlText w:val="%2"/>
      <w:numFmt w:val="lowerLetter"/>
      <w:start w:val="1"/>
    </w:lvl>
  </w:abstractNum>
  <w:abstractNum w:abstractNumId="45">
    <w:nsid w:val="6FC75AF8"/>
    <w:multiLevelType w:val="hybridMultilevel"/>
    <w:lvl w:ilvl="0">
      <w:lvlJc w:val="left"/>
      <w:lvlText w:val="(%1)"/>
      <w:numFmt w:val="lowerLetter"/>
      <w:start w:val="1"/>
    </w:lvl>
  </w:abstractNum>
  <w:abstractNum w:abstractNumId="46">
    <w:nsid w:val="6A5F7029"/>
    <w:multiLevelType w:val="hybridMultilevel"/>
    <w:lvl w:ilvl="0">
      <w:lvlJc w:val="left"/>
      <w:lvlText w:val="(%1)"/>
      <w:numFmt w:val="lowerLetter"/>
      <w:start w:val="2"/>
    </w:lvl>
  </w:abstractNum>
  <w:abstractNum w:abstractNumId="47">
    <w:nsid w:val="7D5E18F8"/>
    <w:multiLevelType w:val="hybridMultilevel"/>
    <w:lvl w:ilvl="0">
      <w:lvlJc w:val="left"/>
      <w:lvlText w:val="%1"/>
      <w:numFmt w:val="decimal"/>
      <w:start w:val="1"/>
    </w:lvl>
    <w:lvl w:ilvl="1">
      <w:lvlJc w:val="left"/>
      <w:lvlText w:val="(%2)"/>
      <w:numFmt w:val="lowerLetter"/>
      <w:start w:val="3"/>
    </w:lvl>
  </w:abstractNum>
  <w:abstractNum w:abstractNumId="48">
    <w:nsid w:val="5F3534A4"/>
    <w:multiLevelType w:val="hybridMultilevel"/>
    <w:lvl w:ilvl="0">
      <w:lvlJc w:val="left"/>
      <w:lvlText w:val="%1."/>
      <w:numFmt w:val="decimal"/>
      <w:start w:val="4"/>
    </w:lvl>
    <w:lvl w:ilvl="1">
      <w:lvlJc w:val="left"/>
      <w:lvlText w:val="(%2)"/>
      <w:numFmt w:val="lowerLetter"/>
      <w:start w:val="1"/>
    </w:lvl>
  </w:abstractNum>
  <w:abstractNum w:abstractNumId="49">
    <w:nsid w:val="73A1821B"/>
    <w:multiLevelType w:val="hybridMultilevel"/>
    <w:lvl w:ilvl="0">
      <w:lvlJc w:val="left"/>
      <w:lvlText w:val="(%1)"/>
      <w:numFmt w:val="lowerLetter"/>
      <w:start w:val="1"/>
    </w:lvl>
  </w:abstractNum>
  <w:abstractNum w:abstractNumId="50">
    <w:nsid w:val="7DE67713"/>
    <w:multiLevelType w:val="hybridMultilevel"/>
    <w:lvl w:ilvl="0">
      <w:lvlJc w:val="left"/>
      <w:lvlText w:val="%1"/>
      <w:numFmt w:val="lowerLetter"/>
      <w:start w:val="1"/>
    </w:lvl>
    <w:lvl w:ilvl="1">
      <w:lvlJc w:val="left"/>
      <w:lvlText w:val="(%2)"/>
      <w:numFmt w:val="lowerRoman"/>
      <w:start w:val="1"/>
    </w:lvl>
  </w:abstractNum>
  <w:abstractNum w:abstractNumId="51">
    <w:nsid w:val="555C55B5"/>
    <w:multiLevelType w:val="hybridMultilevel"/>
    <w:lvl w:ilvl="0">
      <w:lvlJc w:val="left"/>
      <w:lvlText w:val="(%1)"/>
      <w:numFmt w:val="lowerLetter"/>
      <w:start w:val="4"/>
    </w:lvl>
    <w:lvl w:ilvl="1">
      <w:lvlJc w:val="left"/>
      <w:lvlText w:val="(%2)"/>
      <w:numFmt w:val="lowerRoman"/>
      <w:start w:val="1"/>
    </w:lvl>
  </w:abstractNum>
  <w:abstractNum w:abstractNumId="52">
    <w:nsid w:val="3FA62ACA"/>
    <w:multiLevelType w:val="hybridMultilevel"/>
    <w:lvl w:ilvl="0">
      <w:lvlJc w:val="left"/>
      <w:lvlText w:val="(%1)"/>
      <w:numFmt w:val="lowerLetter"/>
      <w:start w:val="6"/>
    </w:lvl>
  </w:abstractNum>
  <w:abstractNum w:abstractNumId="53">
    <w:nsid w:val="14FCE74E"/>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54">
    <w:nsid w:val="6A3DD3E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
    <w:nsid w:val="71C91298"/>
    <w:multiLevelType w:val="hybridMultilevel"/>
    <w:lvl w:ilvl="0">
      <w:lvlJc w:val="left"/>
      <w:lvlText w:val="%1"/>
      <w:numFmt w:val="lowerLetter"/>
      <w:start w:val="1"/>
    </w:lvl>
    <w:lvl w:ilvl="1">
      <w:lvlJc w:val="left"/>
      <w:lvlText w:val="(%2)"/>
      <w:numFmt w:val="lowerRoman"/>
      <w:start w:val="1"/>
    </w:lvl>
  </w:abstractNum>
  <w:abstractNum w:abstractNumId="56">
    <w:nsid w:val="9DAF632"/>
    <w:multiLevelType w:val="hybridMultilevel"/>
    <w:lvl w:ilvl="0">
      <w:lvlJc w:val="left"/>
      <w:lvlText w:val="(%1)"/>
      <w:numFmt w:val="lowerLetter"/>
      <w:start w:val="3"/>
    </w:lvl>
    <w:lvl w:ilvl="1">
      <w:lvlJc w:val="left"/>
      <w:lvlText w:val="(%2)"/>
      <w:numFmt w:val="lowerRoman"/>
      <w:start w:val="1"/>
    </w:lvl>
  </w:abstractNum>
  <w:abstractNum w:abstractNumId="57">
    <w:nsid w:val="53299938"/>
    <w:multiLevelType w:val="hybridMultilevel"/>
    <w:lvl w:ilvl="0">
      <w:lvlJc w:val="left"/>
      <w:lvlText w:val="%1"/>
      <w:numFmt w:val="decimal"/>
      <w:start w:val="1"/>
    </w:lvl>
    <w:lvl w:ilvl="1">
      <w:lvlJc w:val="left"/>
      <w:lvlText w:val="(%2)"/>
      <w:numFmt w:val="lowerLetter"/>
      <w:start w:val="4"/>
    </w:lvl>
  </w:abstractNum>
  <w:abstractNum w:abstractNumId="58">
    <w:nsid w:val="1FBFE8E0"/>
    <w:multiLevelType w:val="hybridMultilevel"/>
    <w:lvl w:ilvl="0">
      <w:lvlJc w:val="left"/>
      <w:lvlText w:val="%1."/>
      <w:numFmt w:val="decimal"/>
      <w:start w:val="7"/>
    </w:lvl>
    <w:lvl w:ilvl="1">
      <w:lvlJc w:val="left"/>
      <w:lvlText w:val="(%2)"/>
      <w:numFmt w:val="lowerLetter"/>
      <w:start w:val="1"/>
    </w:lvl>
  </w:abstractNum>
  <w:abstractNum w:abstractNumId="59">
    <w:nsid w:val="5092CA79"/>
    <w:multiLevelType w:val="hybridMultilevel"/>
    <w:lvl w:ilvl="0">
      <w:lvlJc w:val="left"/>
      <w:lvlText w:val="%1"/>
      <w:numFmt w:val="lowerLetter"/>
      <w:start w:val="1"/>
    </w:lvl>
    <w:lvl w:ilvl="1">
      <w:lvlJc w:val="left"/>
      <w:lvlText w:val="(%2)"/>
      <w:numFmt w:val="lowerLetter"/>
      <w:start w:val="5"/>
    </w:lvl>
  </w:abstractNum>
  <w:abstractNum w:abstractNumId="60">
    <w:nsid w:val="1D545C4D"/>
    <w:multiLevelType w:val="hybridMultilevel"/>
    <w:lvl w:ilvl="0">
      <w:lvlJc w:val="left"/>
      <w:lvlText w:val="(%1)"/>
      <w:numFmt w:val="lowerLetter"/>
      <w:start w:val="9"/>
    </w:lvl>
    <w:lvl w:ilvl="1">
      <w:lvlJc w:val="left"/>
      <w:lvlText w:val="(%2)"/>
      <w:numFmt w:val="lowerLetter"/>
      <w:start w:val="8"/>
    </w:lvl>
  </w:abstractNum>
  <w:abstractNum w:abstractNumId="61">
    <w:nsid w:val="59ADEA3D"/>
    <w:multiLevelType w:val="hybridMultilevel"/>
    <w:lvl w:ilvl="0">
      <w:lvlJc w:val="left"/>
      <w:lvlText w:val="%1"/>
      <w:numFmt w:val="decimal"/>
      <w:start w:val="1"/>
    </w:lvl>
    <w:lvl w:ilvl="1">
      <w:lvlJc w:val="left"/>
      <w:lvlText w:val="(%2)"/>
      <w:numFmt w:val="lowerLetter"/>
      <w:start w:val="11"/>
    </w:lvl>
  </w:abstractNum>
  <w:abstractNum w:abstractNumId="62">
    <w:nsid w:val="288F1A34"/>
    <w:multiLevelType w:val="hybridMultilevel"/>
    <w:lvl w:ilvl="0">
      <w:lvlJc w:val="left"/>
      <w:lvlText w:val="%1."/>
      <w:numFmt w:val="decimal"/>
      <w:start w:val="9"/>
    </w:lvl>
    <w:lvl w:ilvl="1">
      <w:lvlJc w:val="left"/>
      <w:lvlText w:val="(%2)"/>
      <w:numFmt w:val="lowerLetter"/>
      <w:start w:val="1"/>
    </w:lvl>
  </w:abstractNum>
  <w:abstractNum w:abstractNumId="63">
    <w:nsid w:val="2A155DBC"/>
    <w:multiLevelType w:val="hybridMultilevel"/>
    <w:lvl w:ilvl="0">
      <w:lvlJc w:val="left"/>
      <w:lvlText w:val="(%1)"/>
      <w:numFmt w:val="lowerRoman"/>
      <w:start w:val="1"/>
    </w:lvl>
  </w:abstractNum>
  <w:abstractNum w:abstractNumId="64">
    <w:nsid w:val="1D9F6E5F"/>
    <w:multiLevelType w:val="hybridMultilevel"/>
    <w:lvl w:ilvl="0">
      <w:lvlJc w:val="left"/>
      <w:lvlText w:val="%1"/>
      <w:numFmt w:val="decimal"/>
      <w:start w:val="1"/>
    </w:lvl>
    <w:lvl w:ilvl="1">
      <w:lvlJc w:val="left"/>
      <w:lvlText w:val="(%2)"/>
      <w:numFmt w:val="lowerLetter"/>
      <w:start w:val="4"/>
    </w:lvl>
  </w:abstractNum>
  <w:abstractNum w:abstractNumId="65">
    <w:nsid w:val="97E1B4E"/>
    <w:multiLevelType w:val="hybridMultilevel"/>
    <w:lvl w:ilvl="0">
      <w:lvlJc w:val="left"/>
      <w:lvlText w:val="%1."/>
      <w:numFmt w:val="decimal"/>
      <w:start w:val="10"/>
    </w:lvl>
    <w:lvl w:ilvl="1">
      <w:lvlJc w:val="left"/>
      <w:lvlText w:val="%2"/>
      <w:numFmt w:val="lowerLetter"/>
      <w:start w:val="1"/>
    </w:lvl>
  </w:abstractNum>
  <w:abstractNum w:abstractNumId="66">
    <w:nsid w:val="51088277"/>
    <w:multiLevelType w:val="hybridMultilevel"/>
    <w:lvl w:ilvl="0">
      <w:lvlJc w:val="left"/>
      <w:lvlText w:val="%1."/>
      <w:numFmt w:val="decimal"/>
      <w:start w:val="13"/>
    </w:lvl>
    <w:lvl w:ilvl="1">
      <w:lvlJc w:val="left"/>
      <w:lvlText w:val="(%2)"/>
      <w:numFmt w:val="lowerLetter"/>
      <w:start w:val="1"/>
    </w:lvl>
  </w:abstractNum>
  <w:abstractNum w:abstractNumId="67">
    <w:nsid w:val="1CA0C5FA"/>
    <w:multiLevelType w:val="hybridMultilevel"/>
    <w:lvl w:ilvl="0">
      <w:lvlJc w:val="left"/>
      <w:lvlText w:val="(%1)"/>
      <w:numFmt w:val="lowerLetter"/>
      <w:start w:val="8"/>
    </w:lvl>
  </w:abstractNum>
  <w:abstractNum w:abstractNumId="68">
    <w:nsid w:val="53584BCB"/>
    <w:multiLevelType w:val="hybridMultilevel"/>
    <w:lvl w:ilvl="0">
      <w:lvlJc w:val="left"/>
      <w:lvlText w:val="(%1)"/>
      <w:numFmt w:val="lowerRoman"/>
      <w:start w:val="1"/>
    </w:lvl>
  </w:abstractNum>
  <w:abstractNum w:abstractNumId="69">
    <w:nsid w:val="415E286C"/>
    <w:multiLevelType w:val="hybridMultilevel"/>
    <w:lvl w:ilvl="0">
      <w:lvlJc w:val="left"/>
      <w:lvlText w:val="(%1)"/>
      <w:numFmt w:val="lowerLetter"/>
      <w:start w:val="9"/>
    </w:lvl>
  </w:abstractNum>
  <w:abstractNum w:abstractNumId="70">
    <w:nsid w:val="7C58FD05"/>
    <w:multiLevelType w:val="hybridMultilevel"/>
    <w:lvl w:ilvl="0">
      <w:lvlJc w:val="left"/>
      <w:lvlText w:val="(%1)"/>
      <w:numFmt w:val="lowerLetter"/>
      <w:start w:val="11"/>
    </w:lvl>
    <w:lvl w:ilvl="1">
      <w:lvlJc w:val="left"/>
      <w:lvlText w:val="(%2)"/>
      <w:numFmt w:val="lowerRoman"/>
      <w:start w:val="1"/>
    </w:lvl>
  </w:abstractNum>
  <w:abstractNum w:abstractNumId="71">
    <w:nsid w:val="23D86AAC"/>
    <w:multiLevelType w:val="hybridMultilevel"/>
    <w:lvl w:ilvl="0">
      <w:lvlJc w:val="left"/>
      <w:lvlText w:val="(%1)"/>
      <w:numFmt w:val="lowerLetter"/>
      <w:start w:val="18"/>
    </w:lvl>
    <w:lvl w:ilvl="1">
      <w:lvlJc w:val="left"/>
      <w:lvlText w:val="(%2)"/>
      <w:numFmt w:val="lowerRoman"/>
      <w:start w:val="1"/>
    </w:lvl>
  </w:abstractNum>
  <w:abstractNum w:abstractNumId="72">
    <w:nsid w:val="45E6D486"/>
    <w:multiLevelType w:val="hybridMultilevel"/>
    <w:lvl w:ilvl="0">
      <w:lvlJc w:val="left"/>
      <w:lvlText w:val="(%1)"/>
      <w:numFmt w:val="lowerLetter"/>
      <w:start w:val="27"/>
    </w:lvl>
  </w:abstractNum>
  <w:abstractNum w:abstractNumId="73">
    <w:nsid w:val="5C10FE21"/>
    <w:multiLevelType w:val="hybridMultilevel"/>
    <w:lvl w:ilvl="0">
      <w:lvlJc w:val="left"/>
      <w:lvlText w:val="(%1)"/>
      <w:numFmt w:val="lowerLetter"/>
      <w:start w:val="29"/>
    </w:lvl>
  </w:abstractNum>
  <w:abstractNum w:abstractNumId="74">
    <w:nsid w:val="E7FFA2B"/>
    <w:multiLevelType w:val="hybridMultilevel"/>
    <w:lvl w:ilvl="0">
      <w:lvlJc w:val="left"/>
      <w:lvlText w:val="%1"/>
      <w:numFmt w:val="lowerRoman"/>
      <w:start w:val="1"/>
    </w:lvl>
    <w:lvl w:ilvl="1">
      <w:lvlJc w:val="left"/>
      <w:lvlText w:val="(%2)"/>
      <w:numFmt w:val="lowerLetter"/>
      <w:start w:val="31"/>
    </w:lvl>
  </w:abstractNum>
  <w:abstractNum w:abstractNumId="75">
    <w:nsid w:val="3C5991AA"/>
    <w:multiLevelType w:val="hybridMultilevel"/>
    <w:lvl w:ilvl="0">
      <w:lvlJc w:val="left"/>
      <w:lvlText w:val="(%1)"/>
      <w:numFmt w:val="lowerRoman"/>
      <w:start w:val="15"/>
    </w:lvl>
    <w:lvl w:ilvl="1">
      <w:lvlJc w:val="left"/>
      <w:lvlText w:val="%2"/>
      <w:numFmt w:val="lowerLetter"/>
      <w:start w:val="1"/>
    </w:lvl>
  </w:abstractNum>
  <w:abstractNum w:abstractNumId="76">
    <w:nsid w:val="4BD8591A"/>
    <w:multiLevelType w:val="hybridMultilevel"/>
    <w:lvl w:ilvl="0">
      <w:lvlJc w:val="left"/>
      <w:lvlText w:val="%1"/>
      <w:numFmt w:val="lowerLetter"/>
      <w:start w:val="1"/>
    </w:lvl>
    <w:lvl w:ilvl="1">
      <w:lvlJc w:val="left"/>
      <w:lvlText w:val="(%2)"/>
      <w:numFmt w:val="lowerLetter"/>
      <w:start w:val="39"/>
    </w:lvl>
  </w:abstractNum>
  <w:abstractNum w:abstractNumId="77">
    <w:nsid w:val="78DF6A55"/>
    <w:multiLevelType w:val="hybridMultilevel"/>
    <w:lvl w:ilvl="0">
      <w:lvlJc w:val="left"/>
      <w:lvlText w:val="(%1)"/>
      <w:numFmt w:val="lowerLetter"/>
      <w:start w:val="35"/>
    </w:lvl>
    <w:lvl w:ilvl="1">
      <w:lvlJc w:val="left"/>
      <w:lvlText w:val="(%2)"/>
      <w:numFmt w:val="lowerLetter"/>
      <w:start w:val="40"/>
    </w:lvl>
  </w:abstractNum>
  <w:abstractNum w:abstractNumId="78">
    <w:nsid w:val="39B7AAA2"/>
    <w:multiLevelType w:val="hybridMultilevel"/>
    <w:lvl w:ilvl="0">
      <w:lvlJc w:val="left"/>
      <w:lvlText w:val="(%1)"/>
      <w:numFmt w:val="lowerLetter"/>
      <w:start w:val="49"/>
    </w:lvl>
  </w:abstractNum>
  <w:abstractNum w:abstractNumId="79">
    <w:nsid w:val="2B0D8DBE"/>
    <w:multiLevelType w:val="hybridMultilevel"/>
    <w:lvl w:ilvl="0">
      <w:lvlJc w:val="left"/>
      <w:lvlText w:val="(%1)"/>
      <w:numFmt w:val="lowerLetter"/>
      <w:start w:val="53"/>
    </w:lvl>
  </w:abstractNum>
  <w:abstractNum w:abstractNumId="80">
    <w:nsid w:val="6C80EC70"/>
    <w:multiLevelType w:val="hybridMultilevel"/>
    <w:lvl w:ilvl="0">
      <w:lvlJc w:val="left"/>
      <w:lvlText w:val="(%1)"/>
      <w:numFmt w:val="lowerLetter"/>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1)"/>
      <w:numFmt w:val="lowerLetter"/>
      <w:start w:val="1"/>
    </w:lvl>
  </w:abstractNum>
  <w:abstractNum w:abstractNumId="84">
    <w:nsid w:val="4C9B0904"/>
    <w:multiLevelType w:val="hybridMultilevel"/>
    <w:lvl w:ilvl="0">
      <w:lvlJc w:val="left"/>
      <w:lvlText w:val="(%1)"/>
      <w:numFmt w:val="lowerLetter"/>
      <w:start w:val="1"/>
    </w:lvl>
  </w:abstractNum>
  <w:abstractNum w:abstractNumId="85">
    <w:nsid w:val="6AA7B75C"/>
    <w:multiLevelType w:val="hybridMultilevel"/>
    <w:lvl w:ilvl="0">
      <w:lvlJc w:val="left"/>
      <w:lvlText w:val="(%1)"/>
      <w:numFmt w:val="decimal"/>
      <w:start w:val="12"/>
    </w:lvl>
  </w:abstractNum>
  <w:abstractNum w:abstractNumId="86">
    <w:nsid w:val="1DF029D3"/>
    <w:multiLevelType w:val="hybridMultilevel"/>
    <w:lvl w:ilvl="0">
      <w:lvlJc w:val="left"/>
      <w:lvlText w:val="(%1)"/>
      <w:numFmt w:val="decimal"/>
      <w:start w:val="18"/>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1."/>
      <w:numFmt w:val="decimal"/>
      <w:start w:val="1"/>
    </w:lvl>
    <w:lvl w:ilvl="1">
      <w:lvlJc w:val="left"/>
      <w:lvlText w:val="(%2)"/>
      <w:numFmt w:val="lowerLetter"/>
      <w:start w:val="1"/>
    </w:lvl>
  </w:abstractNum>
  <w:abstractNum w:abstractNumId="89">
    <w:nsid w:val="3DB012B3"/>
    <w:multiLevelType w:val="hybridMultilevel"/>
    <w:lvl w:ilvl="0">
      <w:lvlJc w:val="left"/>
      <w:lvlText w:val="%1"/>
      <w:numFmt w:val="decimal"/>
      <w:start w:val="1"/>
    </w:lvl>
    <w:lvl w:ilvl="1">
      <w:lvlJc w:val="left"/>
      <w:lvlText w:val="(%2)"/>
      <w:numFmt w:val="lowerLetter"/>
      <w:start w:val="3"/>
    </w:lvl>
  </w:abstractNum>
  <w:abstractNum w:abstractNumId="90">
    <w:nsid w:val="2708C9AF"/>
    <w:multiLevelType w:val="hybridMultilevel"/>
    <w:lvl w:ilvl="0">
      <w:lvlJc w:val="left"/>
      <w:lvlText w:val="%1."/>
      <w:numFmt w:val="decimal"/>
      <w:start w:val="5"/>
    </w:lvl>
    <w:lvl w:ilvl="1">
      <w:lvlJc w:val="left"/>
      <w:lvlText w:val="(%2)"/>
      <w:numFmt w:val="lowerLetter"/>
      <w:start w:val="1"/>
    </w:lvl>
  </w:abstractNum>
  <w:abstractNum w:abstractNumId="91">
    <w:nsid w:val="5B25ACE2"/>
    <w:multiLevelType w:val="hybridMultilevel"/>
    <w:lvl w:ilvl="0">
      <w:lvlJc w:val="left"/>
      <w:lvlText w:val="(%1)"/>
      <w:numFmt w:val="lowerLetter"/>
      <w:start w:val="3"/>
    </w:lvl>
  </w:abstractNum>
  <w:abstractNum w:abstractNumId="92">
    <w:nsid w:val="175DFCF0"/>
    <w:multiLevelType w:val="hybridMultilevel"/>
    <w:lvl w:ilvl="0">
      <w:lvlJc w:val="left"/>
      <w:lvlText w:val="%1."/>
      <w:numFmt w:val="decimal"/>
      <w:start w:val="8"/>
    </w:lvl>
    <w:lvl w:ilvl="1">
      <w:lvlJc w:val="left"/>
      <w:lvlText w:val="(%2)"/>
      <w:numFmt w:val="lowerLetter"/>
      <w:start w:val="1"/>
    </w:lvl>
  </w:abstractNum>
  <w:abstractNum w:abstractNumId="93">
    <w:nsid w:val="4F97E3E4"/>
    <w:multiLevelType w:val="hybridMultilevel"/>
    <w:lvl w:ilvl="0">
      <w:lvlJc w:val="left"/>
      <w:lvlText w:val="%1"/>
      <w:numFmt w:val="decimal"/>
      <w:start w:val="1"/>
    </w:lvl>
    <w:lvl w:ilvl="1">
      <w:lvlJc w:val="left"/>
      <w:lvlText w:val="(%2)"/>
      <w:numFmt w:val="lowerLetter"/>
      <w:start w:val="2"/>
    </w:lvl>
  </w:abstractNum>
  <w:abstractNum w:abstractNumId="94">
    <w:nsid w:val="53B0A9E"/>
    <w:multiLevelType w:val="hybridMultilevel"/>
    <w:lvl w:ilvl="0">
      <w:lvlJc w:val="left"/>
      <w:lvlText w:val="%1."/>
      <w:numFmt w:val="decimal"/>
      <w:start w:val="10"/>
    </w:lvl>
    <w:lvl w:ilvl="1">
      <w:lvlJc w:val="left"/>
      <w:lvlText w:val="(%2)"/>
      <w:numFmt w:val="lowerLetter"/>
      <w:start w:val="1"/>
    </w:lvl>
  </w:abstractNum>
  <w:abstractNum w:abstractNumId="95">
    <w:nsid w:val="34FD6B4F"/>
    <w:multiLevelType w:val="hybridMultilevel"/>
    <w:lvl w:ilvl="0">
      <w:lvlJc w:val="left"/>
      <w:lvlText w:val="%1."/>
      <w:numFmt w:val="decimal"/>
      <w:start w:val="12"/>
    </w:lvl>
  </w:abstractNum>
  <w:abstractNum w:abstractNumId="96">
    <w:nsid w:val="5915FF32"/>
    <w:multiLevelType w:val="hybridMultilevel"/>
    <w:lvl w:ilvl="0">
      <w:lvlJc w:val="left"/>
      <w:lvlText w:val="%1."/>
      <w:numFmt w:val="decimal"/>
      <w:start w:val="19"/>
    </w:lvl>
    <w:lvl w:ilvl="1">
      <w:lvlJc w:val="left"/>
      <w:lvlText w:val="(%2)"/>
      <w:numFmt w:val="lowerLetter"/>
      <w:start w:val="1"/>
    </w:lvl>
  </w:abstractNum>
  <w:abstractNum w:abstractNumId="97">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
    <w:nsid w:val="519E3149"/>
    <w:multiLevelType w:val="hybridMultilevel"/>
    <w:lvl w:ilvl="0">
      <w:lvlJc w:val="left"/>
      <w:lvlText w:val="%1"/>
      <w:numFmt w:val="lowerLetter"/>
      <w:start w:val="1"/>
    </w:lvl>
    <w:lvl w:ilvl="1">
      <w:lvlJc w:val="left"/>
      <w:lvlText w:val="(%2)"/>
      <w:numFmt w:val="lowerRoman"/>
      <w:start w:val="6"/>
    </w:lvl>
  </w:abstractNum>
  <w:abstractNum w:abstractNumId="99">
    <w:nsid w:val="2C6E4AFD"/>
    <w:multiLevelType w:val="hybridMultilevel"/>
    <w:lvl w:ilvl="0">
      <w:lvlJc w:val="left"/>
      <w:lvlText w:val="(%1)"/>
      <w:numFmt w:val="lowerLetter"/>
      <w:start w:val="3"/>
    </w:lvl>
    <w:lvl w:ilvl="1">
      <w:lvlJc w:val="left"/>
      <w:lvlText w:val="(%2)"/>
      <w:numFmt w:val="lowerRoman"/>
      <w:start w:val="1"/>
    </w:lvl>
  </w:abstractNum>
  <w:abstractNum w:abstractNumId="100">
    <w:nsid w:val="17A1B582"/>
    <w:multiLevelType w:val="hybridMultilevel"/>
    <w:lvl w:ilvl="0">
      <w:lvlJc w:val="left"/>
      <w:lvlText w:val="%1."/>
      <w:numFmt w:val="decimal"/>
      <w:start w:val="3"/>
    </w:lvl>
    <w:lvl w:ilvl="1">
      <w:lvlJc w:val="left"/>
      <w:lvlText w:val="(%2)"/>
      <w:numFmt w:val="lowerLetter"/>
      <w:start w:val="1"/>
    </w:lvl>
  </w:abstractNum>
  <w:abstractNum w:abstractNumId="101">
    <w:nsid w:val="4DF72E4E"/>
    <w:multiLevelType w:val="hybridMultilevel"/>
    <w:lvl w:ilvl="0">
      <w:lvlJc w:val="left"/>
      <w:lvlText w:val="%1"/>
      <w:numFmt w:val="decimal"/>
      <w:start w:val="1"/>
    </w:lvl>
    <w:lvl w:ilvl="1">
      <w:lvlJc w:val="left"/>
      <w:lvlText w:val="(%2)"/>
      <w:numFmt w:val="lowerLetter"/>
      <w:start w:val="2"/>
    </w:lvl>
  </w:abstractNum>
  <w:abstractNum w:abstractNumId="102">
    <w:nsid w:val="5046B5A9"/>
    <w:multiLevelType w:val="hybridMultilevel"/>
    <w:lvl w:ilvl="0">
      <w:lvlJc w:val="left"/>
      <w:lvlText w:val="%1."/>
      <w:numFmt w:val="decimal"/>
      <w:start w:val="4"/>
    </w:lvl>
    <w:lvl w:ilvl="1">
      <w:lvlJc w:val="left"/>
      <w:lvlText w:val="(%2)"/>
      <w:numFmt w:val="lowerLetter"/>
      <w:start w:val="1"/>
    </w:lvl>
  </w:abstractNum>
  <w:abstractNum w:abstractNumId="103">
    <w:nsid w:val="5D888A08"/>
    <w:multiLevelType w:val="hybridMultilevel"/>
    <w:lvl w:ilvl="0">
      <w:lvlJc w:val="left"/>
      <w:lvlText w:val="(%1)"/>
      <w:numFmt w:val="lowerLetter"/>
      <w:start w:val="1"/>
    </w:lvl>
  </w:abstractNum>
  <w:abstractNum w:abstractNumId="104">
    <w:nsid w:val="2A082C70"/>
    <w:multiLevelType w:val="hybridMultilevel"/>
    <w:lvl w:ilvl="0">
      <w:lvlJc w:val="left"/>
      <w:lvlText w:val="(%1)"/>
      <w:numFmt w:val="lowerLetter"/>
      <w:start w:val="2"/>
    </w:lvl>
    <w:lvl w:ilvl="1">
      <w:lvlJc w:val="left"/>
      <w:lvlText w:val="(%2)"/>
      <w:numFmt w:val="lowerRoman"/>
      <w:start w:val="1"/>
    </w:lvl>
  </w:abstractNum>
  <w:abstractNum w:abstractNumId="105">
    <w:nsid w:val="5EC6AFD4"/>
    <w:multiLevelType w:val="hybridMultilevel"/>
    <w:lvl w:ilvl="0">
      <w:lvlJc w:val="left"/>
      <w:lvlText w:val="%1"/>
      <w:numFmt w:val="lowerLetter"/>
      <w:start w:val="1"/>
    </w:lvl>
    <w:lvl w:ilvl="1">
      <w:lvlJc w:val="left"/>
      <w:lvlText w:val="(%2)"/>
      <w:numFmt w:val="lowerLetter"/>
      <w:start w:val="61"/>
    </w:lvl>
  </w:abstractNum>
  <w:abstractNum w:abstractNumId="106">
    <w:nsid w:val="19E21BB2"/>
    <w:multiLevelType w:val="hybridMultilevel"/>
    <w:lvl w:ilvl="0">
      <w:lvlJc w:val="left"/>
      <w:lvlText w:val="(%1)"/>
      <w:numFmt w:val="lowerLetter"/>
      <w:start w:val="6"/>
    </w:lvl>
    <w:lvl w:ilvl="1">
      <w:lvlJc w:val="left"/>
      <w:lvlText w:val="%2"/>
      <w:numFmt w:val="lowerLetter"/>
      <w:start w:val="1"/>
    </w:lvl>
  </w:abstractNum>
  <w:abstractNum w:abstractNumId="107">
    <w:nsid w:val="75E0858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08">
    <w:nsid w:val="57A61A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9">
    <w:nsid w:val="5399C654"/>
    <w:multiLevelType w:val="hybridMultilevel"/>
    <w:lvl w:ilvl="0">
      <w:lvlJc w:val="left"/>
      <w:lvlText w:val="%1"/>
      <w:numFmt w:val="lowerLetter"/>
      <w:start w:val="1"/>
    </w:lvl>
    <w:lvl w:ilvl="1">
      <w:lvlJc w:val="left"/>
      <w:lvlText w:val="(%2)"/>
      <w:numFmt w:val="lowerLetter"/>
      <w:start w:val="22"/>
    </w:lvl>
  </w:abstractNum>
  <w:abstractNum w:abstractNumId="110">
    <w:nsid w:val="20EE1348"/>
    <w:multiLevelType w:val="hybridMultilevel"/>
    <w:lvl w:ilvl="0">
      <w:lvlJc w:val="left"/>
      <w:lvlText w:val="(%1)"/>
      <w:numFmt w:val="lowerLetter"/>
      <w:start w:val="2"/>
    </w:lvl>
    <w:lvl w:ilvl="1">
      <w:lvlJc w:val="left"/>
      <w:lvlText w:val="(%2)"/>
      <w:numFmt w:val="lowerLetter"/>
      <w:start w:val="9"/>
    </w:lvl>
  </w:abstractNum>
  <w:abstractNum w:abstractNumId="111">
    <w:nsid w:val="4427069A"/>
    <w:multiLevelType w:val="hybridMultilevel"/>
    <w:lvl w:ilvl="0">
      <w:lvlJc w:val="left"/>
      <w:lvlText w:val="%1"/>
      <w:numFmt w:val="lowerLetter"/>
      <w:start w:val="1"/>
    </w:lvl>
    <w:lvl w:ilvl="1">
      <w:lvlJc w:val="left"/>
      <w:lvlText w:val="(%2)"/>
      <w:numFmt w:val="lowerRoman"/>
      <w:start w:val="2"/>
    </w:lvl>
  </w:abstractNum>
  <w:abstractNum w:abstractNumId="112">
    <w:nsid w:val="B37E80A"/>
    <w:multiLevelType w:val="hybridMultilevel"/>
    <w:lvl w:ilvl="0">
      <w:lvlJc w:val="left"/>
      <w:lvlText w:val="(%1)"/>
      <w:numFmt w:val="lowerLetter"/>
      <w:start w:val="3"/>
    </w:lvl>
    <w:lvl w:ilvl="1">
      <w:lvlJc w:val="left"/>
      <w:lvlText w:val="(%2)"/>
      <w:numFmt w:val="lowerRoman"/>
      <w:start w:val="1"/>
    </w:lvl>
  </w:abstractNum>
  <w:abstractNum w:abstractNumId="113">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4">
    <w:nsid w:val="704E1DD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5">
    <w:nsid w:val="57D2F10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6">
    <w:nsid w:val="BFFAE18"/>
    <w:multiLevelType w:val="hybridMultilevel"/>
    <w:lvl w:ilvl="0">
      <w:lvlJc w:val="left"/>
      <w:lvlText w:val="%1"/>
      <w:numFmt w:val="lowerLetter"/>
      <w:start w:val="1"/>
    </w:lvl>
    <w:lvl w:ilvl="1">
      <w:lvlJc w:val="left"/>
      <w:lvlText w:val="(%2)"/>
      <w:numFmt w:val="lowerLetter"/>
      <w:start w:val="2"/>
    </w:lvl>
  </w:abstractNum>
  <w:abstractNum w:abstractNumId="117">
    <w:nsid w:val="E3E47A8"/>
    <w:multiLevelType w:val="hybridMultilevel"/>
    <w:lvl w:ilvl="0">
      <w:lvlJc w:val="left"/>
      <w:lvlText w:val="(%1)"/>
      <w:numFmt w:val="lowerLetter"/>
      <w:start w:val="9"/>
    </w:lvl>
    <w:lvl w:ilvl="1">
      <w:lvlJc w:val="left"/>
      <w:lvlText w:val="(%2)"/>
      <w:numFmt w:val="lowerLetter"/>
      <w:start w:val="7"/>
    </w:lvl>
  </w:abstractNum>
  <w:abstractNum w:abstractNumId="118">
    <w:nsid w:val="2E48F044"/>
    <w:multiLevelType w:val="hybridMultilevel"/>
    <w:lvl w:ilvl="0">
      <w:lvlJc w:val="left"/>
      <w:lvlText w:val="%1"/>
      <w:numFmt w:val="decimal"/>
      <w:start w:val="1"/>
    </w:lvl>
    <w:lvl w:ilvl="1">
      <w:lvlJc w:val="left"/>
      <w:lvlText w:val="(%2)"/>
      <w:numFmt w:val="lowerLetter"/>
      <w:start w:val="8"/>
    </w:lvl>
  </w:abstractNum>
  <w:abstractNum w:abstractNumId="119">
    <w:nsid w:val="49D0FEAC"/>
    <w:multiLevelType w:val="hybridMultilevel"/>
    <w:lvl w:ilvl="0">
      <w:lvlJc w:val="left"/>
      <w:lvlText w:val="%1."/>
      <w:numFmt w:val="decimal"/>
      <w:start w:val="9"/>
    </w:lvl>
    <w:lvl w:ilvl="1">
      <w:lvlJc w:val="left"/>
      <w:lvlText w:val="(%2)"/>
      <w:numFmt w:val="lowerLetter"/>
      <w:start w:val="1"/>
    </w:lvl>
  </w:abstractNum>
  <w:abstractNum w:abstractNumId="120">
    <w:nsid w:val="4BEE5A5B"/>
    <w:multiLevelType w:val="hybridMultilevel"/>
    <w:lvl w:ilvl="0">
      <w:lvlJc w:val="left"/>
      <w:lvlText w:val="(%1)"/>
      <w:numFmt w:val="lowerLetter"/>
      <w:start w:val="3"/>
    </w:lvl>
    <w:lvl w:ilvl="1">
      <w:lvlJc w:val="left"/>
      <w:lvlText w:val="(%2)"/>
      <w:numFmt w:val="lowerRoman"/>
      <w:start w:val="1"/>
    </w:lvl>
  </w:abstractNum>
  <w:abstractNum w:abstractNumId="121">
    <w:nsid w:val="5551B9F3"/>
    <w:multiLevelType w:val="hybridMultilevel"/>
    <w:lvl w:ilvl="0">
      <w:lvlJc w:val="left"/>
      <w:lvlText w:val="%1"/>
      <w:numFmt w:val="decimal"/>
      <w:start w:val="1"/>
    </w:lvl>
    <w:lvl w:ilvl="1">
      <w:lvlJc w:val="left"/>
      <w:lvlText w:val="(%2)"/>
      <w:numFmt w:val="lowerLetter"/>
      <w:start w:val="4"/>
    </w:lvl>
  </w:abstractNum>
  <w:abstractNum w:abstractNumId="122">
    <w:nsid w:val="24F6AB8E"/>
    <w:multiLevelType w:val="hybridMultilevel"/>
    <w:lvl w:ilvl="0">
      <w:lvlJc w:val="left"/>
      <w:lvlText w:val="%1."/>
      <w:numFmt w:val="decimal"/>
      <w:start w:val="10"/>
    </w:lvl>
    <w:lvl w:ilvl="1">
      <w:lvlJc w:val="left"/>
      <w:lvlText w:val="%2"/>
      <w:numFmt w:val="lowerLetter"/>
      <w:start w:val="1"/>
    </w:lvl>
  </w:abstractNum>
  <w:abstractNum w:abstractNumId="123">
    <w:nsid w:val="634C574C"/>
    <w:multiLevelType w:val="hybridMultilevel"/>
    <w:lvl w:ilvl="0">
      <w:lvlJc w:val="left"/>
      <w:lvlText w:val="%1."/>
      <w:numFmt w:val="decimal"/>
      <w:start w:val="13"/>
    </w:lvl>
    <w:lvl w:ilvl="1">
      <w:lvlJc w:val="left"/>
      <w:lvlText w:val="(%2)"/>
      <w:numFmt w:val="lowerLetter"/>
      <w:start w:val="1"/>
    </w:lvl>
  </w:abstractNum>
  <w:abstractNum w:abstractNumId="124">
    <w:nsid w:val="24E99DD7"/>
    <w:multiLevelType w:val="hybridMultilevel"/>
    <w:lvl w:ilvl="0">
      <w:lvlJc w:val="left"/>
      <w:lvlText w:val="(%1)"/>
      <w:numFmt w:val="lowerLetter"/>
      <w:start w:val="8"/>
    </w:lvl>
  </w:abstractNum>
  <w:abstractNum w:abstractNumId="125">
    <w:nsid w:val="2A31B62D"/>
    <w:multiLevelType w:val="hybridMultilevel"/>
    <w:lvl w:ilvl="0">
      <w:lvlJc w:val="left"/>
      <w:lvlText w:val="(%1)"/>
      <w:numFmt w:val="lowerRoman"/>
      <w:start w:val="1"/>
    </w:lvl>
  </w:abstractNum>
  <w:abstractNum w:abstractNumId="126">
    <w:nsid w:val="1849C29B"/>
    <w:multiLevelType w:val="hybridMultilevel"/>
    <w:lvl w:ilvl="0">
      <w:lvlJc w:val="left"/>
      <w:lvlText w:val="(%1)"/>
      <w:numFmt w:val="lowerLetter"/>
      <w:start w:val="9"/>
    </w:lvl>
    <w:lvl w:ilvl="1">
      <w:lvlJc w:val="left"/>
      <w:lvlText w:val="(%2)"/>
      <w:numFmt w:val="lowerRoman"/>
      <w:start w:val="1"/>
    </w:lvl>
  </w:abstractNum>
  <w:abstractNum w:abstractNumId="127">
    <w:nsid w:val="7DFF9D09"/>
    <w:multiLevelType w:val="hybridMultilevel"/>
    <w:lvl w:ilvl="0">
      <w:lvlJc w:val="left"/>
      <w:lvlText w:val="(%1)"/>
      <w:numFmt w:val="lowerLetter"/>
      <w:start w:val="16"/>
    </w:lvl>
  </w:abstractNum>
  <w:abstractNum w:abstractNumId="128">
    <w:nsid w:val="754342"/>
    <w:multiLevelType w:val="hybridMultilevel"/>
    <w:lvl w:ilvl="0">
      <w:lvlJc w:val="left"/>
      <w:lvlText w:val="(%1)"/>
      <w:numFmt w:val="lowerLetter"/>
      <w:start w:val="17"/>
    </w:lvl>
  </w:abstractNum>
  <w:abstractNum w:abstractNumId="129">
    <w:nsid w:val="69E7F3E5"/>
    <w:multiLevelType w:val="hybridMultilevel"/>
    <w:lvl w:ilvl="0">
      <w:lvlJc w:val="left"/>
      <w:lvlText w:val="(%1)"/>
      <w:numFmt w:val="lowerLetter"/>
      <w:start w:val="20"/>
    </w:lvl>
    <w:lvl w:ilvl="1">
      <w:lvlJc w:val="left"/>
      <w:lvlText w:val="(%2)"/>
      <w:numFmt w:val="lowerRoman"/>
      <w:start w:val="1"/>
    </w:lvl>
  </w:abstractNum>
  <w:abstractNum w:abstractNumId="130">
    <w:nsid w:val="2A6DE806"/>
    <w:multiLevelType w:val="hybridMultilevel"/>
    <w:lvl w:ilvl="0">
      <w:lvlJc w:val="left"/>
      <w:lvlText w:val="%1"/>
      <w:numFmt w:val="lowerRoman"/>
      <w:start w:val="1"/>
    </w:lvl>
    <w:lvl w:ilvl="1">
      <w:lvlJc w:val="left"/>
      <w:lvlText w:val="(%2)"/>
      <w:numFmt w:val="lowerLetter"/>
      <w:start w:val="27"/>
    </w:lvl>
  </w:abstractNum>
  <w:abstractNum w:abstractNumId="131">
    <w:nsid w:val="1816F8C4"/>
    <w:multiLevelType w:val="hybridMultilevel"/>
    <w:lvl w:ilvl="0">
      <w:lvlJc w:val="left"/>
      <w:lvlText w:val="(%1)"/>
      <w:numFmt w:val="lowerRoman"/>
      <w:start w:val="15"/>
    </w:lvl>
    <w:lvl w:ilvl="1">
      <w:lvlJc w:val="left"/>
      <w:lvlText w:val="%2"/>
      <w:numFmt w:val="lowerLetter"/>
      <w:start w:val="1"/>
    </w:lvl>
  </w:abstractNum>
  <w:abstractNum w:abstractNumId="132">
    <w:nsid w:val="37DF2233"/>
    <w:multiLevelType w:val="hybridMultilevel"/>
    <w:lvl w:ilvl="0">
      <w:lvlJc w:val="left"/>
      <w:lvlText w:val="(%1)"/>
      <w:numFmt w:val="lowerLetter"/>
      <w:start w:val="37"/>
    </w:lvl>
  </w:abstractNum>
  <w:abstractNum w:abstractNumId="133">
    <w:nsid w:val="7AB49DAF"/>
    <w:multiLevelType w:val="hybridMultilevel"/>
    <w:lvl w:ilvl="0">
      <w:lvlJc w:val="left"/>
      <w:lvlText w:val="(%1)"/>
      <w:numFmt w:val="lowerLetter"/>
      <w:start w:val="45"/>
    </w:lvl>
  </w:abstractNum>
  <w:abstractNum w:abstractNumId="134">
    <w:nsid w:val="759F82CD"/>
    <w:multiLevelType w:val="hybridMultilevel"/>
    <w:lvl w:ilvl="0">
      <w:lvlJc w:val="left"/>
      <w:lvlText w:val="(%1)"/>
      <w:numFmt w:val="lowerLetter"/>
      <w:start w:val="53"/>
    </w:lvl>
  </w:abstractNum>
  <w:abstractNum w:abstractNumId="135">
    <w:nsid w:val="61E74EA3"/>
    <w:multiLevelType w:val="hybridMultilevel"/>
    <w:lvl w:ilvl="0">
      <w:lvlJc w:val="left"/>
      <w:lvlText w:val="•"/>
      <w:numFmt w:val="bullet"/>
      <w:start w:val="1"/>
    </w:lvl>
  </w:abstractNum>
  <w:abstractNum w:abstractNumId="136">
    <w:nsid w:val="597B4D84"/>
    <w:multiLevelType w:val="hybridMultilevel"/>
    <w:lvl w:ilvl="0">
      <w:lvlJc w:val="left"/>
      <w:lvlText w:val="(%1)"/>
      <w:numFmt w:val="lowerLetter"/>
      <w:start w:val="1"/>
    </w:lvl>
  </w:abstractNum>
  <w:abstractNum w:abstractNumId="137">
    <w:nsid w:val="F819E7F"/>
    <w:multiLevelType w:val="hybridMultilevel"/>
    <w:lvl w:ilvl="0">
      <w:lvlJc w:val="left"/>
      <w:lvlText w:val="(%1)"/>
      <w:numFmt w:val="lowerLetter"/>
      <w:start w:val="1"/>
    </w:lvl>
  </w:abstractNum>
  <w:abstractNum w:abstractNumId="138">
    <w:nsid w:val="57C7D42D"/>
    <w:multiLevelType w:val="hybridMultilevel"/>
    <w:lvl w:ilvl="0">
      <w:lvlJc w:val="left"/>
      <w:lvlText w:val="(%1)"/>
      <w:numFmt w:val="lowerLetter"/>
      <w:start w:val="1"/>
    </w:lvl>
  </w:abstractNum>
  <w:abstractNum w:abstractNumId="139">
    <w:nsid w:val="312167AD"/>
    <w:multiLevelType w:val="hybridMultilevel"/>
    <w:lvl w:ilvl="0">
      <w:lvlJc w:val="left"/>
      <w:lvlText w:val=" "/>
      <w:numFmt w:val="bullet"/>
      <w:start w:val="1"/>
    </w:lvl>
  </w:abstractNum>
  <w:abstractNum w:abstractNumId="140">
    <w:nsid w:val="631B64D4"/>
    <w:multiLevelType w:val="hybridMultilevel"/>
    <w:lvl w:ilvl="0">
      <w:lvlJc w:val="left"/>
      <w:lvlText w:val="(%1)"/>
      <w:numFmt w:val="lowerRoman"/>
      <w:start w:val="2"/>
    </w:lvl>
  </w:abstractNum>
  <w:abstractNum w:abstractNumId="141">
    <w:nsid w:val="78B5E776"/>
    <w:multiLevelType w:val="hybridMultilevel"/>
    <w:lvl w:ilvl="0">
      <w:lvlJc w:val="left"/>
      <w:lvlText w:val="%1."/>
      <w:numFmt w:val="decimal"/>
      <w:start w:val="1"/>
    </w:lvl>
  </w:abstractNum>
  <w:abstractNum w:abstractNumId="142">
    <w:nsid w:val="75486E47"/>
    <w:multiLevelType w:val="hybridMultilevel"/>
    <w:lvl w:ilvl="0">
      <w:lvlJc w:val="left"/>
      <w:lvlText w:val="(%1)"/>
      <w:numFmt w:val="lowerLetter"/>
      <w:start w:val="1"/>
    </w:lvl>
  </w:abstractNum>
  <w:abstractNum w:abstractNumId="143">
    <w:nsid w:val="6E534CDE"/>
    <w:multiLevelType w:val="hybridMultilevel"/>
    <w:lvl w:ilvl="0">
      <w:lvlJc w:val="left"/>
      <w:lvlText w:val="%1."/>
      <w:numFmt w:val="decimal"/>
      <w:start w:val="6"/>
    </w:lvl>
    <w:lvl w:ilvl="1">
      <w:lvlJc w:val="left"/>
      <w:lvlText w:val="(%2)"/>
      <w:numFmt w:val="lowerLetter"/>
      <w:start w:val="1"/>
    </w:lvl>
  </w:abstractNum>
  <w:abstractNum w:abstractNumId="144">
    <w:nsid w:val="1A0DDE32"/>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3"/>
    </w:lvl>
  </w:abstractNum>
  <w:abstractNum w:abstractNumId="145">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6">
    <w:nsid w:val="46263DEC"/>
    <w:multiLevelType w:val="hybridMultilevel"/>
    <w:lvl w:ilvl="0">
      <w:lvlJc w:val="left"/>
      <w:lvlText w:val="%1."/>
      <w:numFmt w:val="decimal"/>
      <w:start w:val="9"/>
    </w:lvl>
    <w:lvl w:ilvl="1">
      <w:lvlJc w:val="left"/>
      <w:lvlText w:val="(%2)"/>
      <w:numFmt w:val="lowerLetter"/>
      <w:start w:val="1"/>
    </w:lvl>
  </w:abstractNum>
  <w:abstractNum w:abstractNumId="147">
    <w:nsid w:val="260D8C4A"/>
    <w:multiLevelType w:val="hybridMultilevel"/>
    <w:lvl w:ilvl="0">
      <w:lvlJc w:val="left"/>
      <w:lvlText w:val="%1"/>
      <w:numFmt w:val="decimal"/>
      <w:start w:val="1"/>
    </w:lvl>
    <w:lvl w:ilvl="1">
      <w:lvlJc w:val="left"/>
      <w:lvlText w:val="(%2)"/>
      <w:numFmt w:val="lowerLetter"/>
      <w:start w:val="2"/>
    </w:lvl>
  </w:abstractNum>
  <w:abstractNum w:abstractNumId="148">
    <w:nsid w:val="73D4D3C4"/>
    <w:multiLevelType w:val="hybridMultilevel"/>
    <w:lvl w:ilvl="0">
      <w:lvlJc w:val="left"/>
      <w:lvlText w:val="%1."/>
      <w:numFmt w:val="decimal"/>
      <w:start w:val="12"/>
    </w:lvl>
    <w:lvl w:ilvl="1">
      <w:lvlJc w:val="left"/>
      <w:lvlText w:val="%2"/>
      <w:numFmt w:val="lowerLetter"/>
      <w:start w:val="1"/>
    </w:lvl>
  </w:abstractNum>
  <w:abstractNum w:abstractNumId="149">
    <w:nsid w:val="746F2E30"/>
    <w:multiLevelType w:val="hybridMultilevel"/>
    <w:lvl w:ilvl="0">
      <w:lvlJc w:val="left"/>
      <w:lvlText w:val="%1."/>
      <w:numFmt w:val="decimal"/>
      <w:start w:val="16"/>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231" Type="http://schemas.openxmlformats.org/officeDocument/2006/relationships/hyperlink" Target="https://www.sec.gov/Archives/edgar/data/1544227/000155837019005038/mlnd-20190331ex31b53fa83.htm" TargetMode="External"/><Relationship Id="rId232" Type="http://schemas.openxmlformats.org/officeDocument/2006/relationships/hyperlink" Target="https://www.sec.gov/Archives/edgar/data/1544227/000119312521201157/d196630dex31.htm" TargetMode="External"/><Relationship Id="rId233" Type="http://schemas.openxmlformats.org/officeDocument/2006/relationships/hyperlink" Target="https://www.sec.gov/Archives/edgar/data/1544227/000119312521201157/d196630dex32.htm" TargetMode="External"/><Relationship Id="rId234" Type="http://schemas.openxmlformats.org/officeDocument/2006/relationships/hyperlink" Target="https://www.sec.gov/Archives/edgar/data/1544227/000119312521281694/d22203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2023-08-10T15:46:47Z</dcterms:created>
  <dcterms:modified xsi:type="dcterms:W3CDTF">2023-08-10T15:46:47Z</dcterms:modified>
</cp:coreProperties>
</file>