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8423-pre14a_tempest.htm"/>
      <w:bookmarkStart w:id="1" w:name="ksea0308423pre14a_tempest"/>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SCHEDULE 14A</w:t>
      </w:r>
      <w:r>
        <w:rPr>
          <w:rFonts w:ascii="Times New Roman;Times;Serif" w:hAnsi="Times New Roman;Times;Serif"/>
          <w:b w:val="false"/>
          <w:i w:val="false"/>
          <w:caps w:val="false"/>
          <w:smallCaps w:val="false"/>
          <w:sz w:val="24"/>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Proxy Statement Pursuant to Section 14(a)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245"/>
        <w:gridCol w:w="8105"/>
      </w:tblGrid>
      <w:tr>
        <w:trPr/>
        <w:tc>
          <w:tcPr>
            <w:tcW w:w="245"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left"/>
              <w:rPr>
                <w:b/>
              </w:rPr>
            </w:pPr>
            <w:r>
              <w:rPr>
                <w:b/>
              </w:rPr>
              <w:t>Confidential, for Use of the Commission Only (as permitted by Rule 14a-6(e)(2))</w:t>
            </w:r>
          </w:p>
        </w:tc>
      </w:tr>
      <w:tr>
        <w:trPr/>
        <w:tc>
          <w:tcPr>
            <w:tcW w:w="245"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left"/>
              <w:rPr/>
            </w:pPr>
            <w:r>
              <w:rPr/>
              <w:t>Soliciting Material under §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Tempest Therapeutics,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Person(s) Filing Proxy Statement if other than the Registrant)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Proxy Statement - Subject to Completion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23975" cy="1219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23975" cy="12192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2000 Sierra Point Parkway, Suite 400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Brisbane, CA 94005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 Be Held On November 9, 2026, at 1:00 p.m. Pacific Time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Annual Meeting of Stockholders (the “</w:t>
      </w:r>
      <w:r>
        <w:rPr>
          <w:rFonts w:ascii="Times New Roman;Times;Serif" w:hAnsi="Times New Roman;Times;Serif"/>
          <w:b/>
          <w:i/>
          <w:caps w:val="false"/>
          <w:smallCaps w:val="false"/>
          <w:sz w:val="20"/>
        </w:rPr>
        <w:t>Annual Meeting</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TEMPEST THERAPEUTICS,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The Annual Meeting will be held on November 9, 2026, at 1:00 p.m. Pacific Time and will be a virtual stockholder meeting through which you can listen to the meeting, submit questions and vote online, for the following purposes: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1.</w:t>
            </w:r>
          </w:p>
        </w:tc>
        <w:tc>
          <w:tcPr>
            <w:tcW w:w="10005" w:type="dxa"/>
            <w:tcBorders/>
            <w:vAlign w:val="center"/>
          </w:tcPr>
          <w:p>
            <w:pPr>
              <w:pStyle w:val="TableContents"/>
              <w:bidi w:val="0"/>
              <w:spacing w:before="0" w:after="283"/>
              <w:jc w:val="left"/>
              <w:rPr/>
            </w:pPr>
            <w:r>
              <w:rPr/>
              <w:t>To elect the Board’s Class II nominees, Dr. John David Yee and Mr. William Drake Richey, to the Board of Directors to hold office until the 2029 Annual Meeting of Stockholders and until their respective successors are duly elected and qualified;</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2.</w:t>
            </w:r>
          </w:p>
        </w:tc>
        <w:tc>
          <w:tcPr>
            <w:tcW w:w="9991" w:type="dxa"/>
            <w:tcBorders/>
            <w:vAlign w:val="center"/>
          </w:tcPr>
          <w:p>
            <w:pPr>
              <w:pStyle w:val="TableContents"/>
              <w:bidi w:val="0"/>
              <w:spacing w:before="0" w:after="283"/>
              <w:jc w:val="left"/>
              <w:rPr/>
            </w:pPr>
            <w:r>
              <w:rPr/>
              <w:t>To ratify the selection of Ernst &amp; Young LLP as the independent registered public accounting firm of the Company for its fiscal year ending December 31, 2026;</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3.</w:t>
            </w:r>
          </w:p>
        </w:tc>
        <w:tc>
          <w:tcPr>
            <w:tcW w:w="10010" w:type="dxa"/>
            <w:tcBorders/>
            <w:vAlign w:val="center"/>
          </w:tcPr>
          <w:p>
            <w:pPr>
              <w:pStyle w:val="TableContents"/>
              <w:bidi w:val="0"/>
              <w:spacing w:before="0" w:after="283"/>
              <w:jc w:val="left"/>
              <w:rPr/>
            </w:pPr>
            <w:r>
              <w:rPr/>
              <w:t>To approve, for purposes of complying with Nasdaq Listing Rule 5635(d), the potential issuance and sale of 20% or more of our issued and outstanding common stock, par value $0.001 per share of the Company (the “</w:t>
            </w:r>
            <w:r>
              <w:rPr>
                <w:b/>
                <w:i/>
              </w:rPr>
              <w:t>common stock</w:t>
            </w:r>
            <w:r>
              <w:rPr/>
              <w:t>”), pursuant to our purchase agreement with Lincoln Park Capital Fund, LLC;</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4.</w:t>
            </w:r>
          </w:p>
        </w:tc>
        <w:tc>
          <w:tcPr>
            <w:tcW w:w="10021" w:type="dxa"/>
            <w:tcBorders/>
            <w:vAlign w:val="center"/>
          </w:tcPr>
          <w:p>
            <w:pPr>
              <w:pStyle w:val="TableContents"/>
              <w:bidi w:val="0"/>
              <w:spacing w:before="0" w:after="283"/>
              <w:jc w:val="left"/>
              <w:rPr/>
            </w:pPr>
            <w:r>
              <w:rPr/>
              <w:t>To approve, pursuant to Nasdaq Listing Rule 5635(d), the issuance of up to (A) (i) 3,105,591 shares of common stock issuable upon the exercise of outstanding Series C Warrants and (ii) 3,105,591 shares of common stock issuable upon the exercise of outstanding Series D Warrants, which warrants were issued in connection with the Company’s private placement pursuant to the Securities Purchase Agreement, dated September 11, 2026, by and between the Company and the investor party thereto (the “</w:t>
            </w:r>
            <w:r>
              <w:rPr>
                <w:b/>
                <w:i/>
              </w:rPr>
              <w:t>SPA</w:t>
            </w:r>
            <w:r>
              <w:rPr/>
              <w:t>”) and (B)  up to 217,391 shares of our common stock issuable upon the exercise of certain placement agent warrants issued to designees of H.C. Wainwright &amp; Co., LLC, our placement agent in connection with the private placement; and</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306"/>
        <w:gridCol w:w="9842"/>
      </w:tblGrid>
      <w:tr>
        <w:trPr/>
        <w:tc>
          <w:tcPr>
            <w:tcW w:w="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5.</w:t>
            </w:r>
          </w:p>
        </w:tc>
        <w:tc>
          <w:tcPr>
            <w:tcW w:w="9842" w:type="dxa"/>
            <w:tcBorders/>
            <w:vAlign w:val="center"/>
          </w:tcPr>
          <w:p>
            <w:pPr>
              <w:pStyle w:val="TableContents"/>
              <w:bidi w:val="0"/>
              <w:spacing w:before="0" w:after="283"/>
              <w:jc w:val="left"/>
              <w:rPr/>
            </w:pPr>
            <w:r>
              <w:rPr/>
              <w:t>To conduct any other business properly brought before the meeting.</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items of business are more fully described in the accompanying proxy statement.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Annual Meeting can be accessed by visiting </w:t>
      </w:r>
      <w:r>
        <w:rPr>
          <w:rFonts w:ascii="Times New Roman;Times;Serif" w:hAnsi="Times New Roman;Times;Serif"/>
          <w:b w:val="false"/>
          <w:i/>
          <w:caps w:val="false"/>
          <w:smallCaps w:val="false"/>
          <w:sz w:val="20"/>
        </w:rPr>
        <w:t>www.virtualshareholdermeeting.com/TPST2026</w:t>
      </w:r>
      <w:r>
        <w:rPr>
          <w:rFonts w:ascii="Times New Roman;Times;Serif" w:hAnsi="Times New Roman;Times;Serif"/>
          <w:b w:val="false"/>
          <w:i w:val="false"/>
          <w:caps w:val="false"/>
          <w:smallCaps w:val="false"/>
          <w:sz w:val="20"/>
        </w:rPr>
        <w:t xml:space="preserve"> and entering the control number included in the proxy card in the enclosed proxy materials. You will not be able to attend the Annual Meeting in person.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 for the Annual Meeting is October 23, 2026. Only stockholders of record at the close of business on that date may vote at the meeting or any adjournment thereof.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 for the Virtual Stockholders’ Meeting to Be</w:t>
        <w:br/>
        <w:t>Held on November 9, 2026, at 1:00 p.m. Pacific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proxy statement and annual report to stockholders are available at </w:t>
      </w:r>
      <w:r>
        <w:rPr>
          <w:rFonts w:ascii="Times New Roman;Times;Serif" w:hAnsi="Times New Roman;Times;Serif"/>
          <w:b w:val="false"/>
          <w:i/>
          <w:caps w:val="false"/>
          <w:smallCaps w:val="false"/>
          <w:sz w:val="20"/>
        </w:rPr>
        <w:t>ir.tempesttx.com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www.proxyvote.com.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Constance Ames</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Brisbane,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are cordially invited to attend the virtual Annual Meeting. You will not be able to attend the meeting in person. Whether or not you expect to attend the meeting virtually,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online if you attend the virtual Annual Meeting. Please note, however, that if your shares are held of record by a broker, bank or other nominee and you wish to vote at the meeting, you must obtain a proxy issued in your name from that record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90"/>
        <w:gridCol w:w="140"/>
        <w:gridCol w:w="275"/>
      </w:tblGrid>
      <w:tr>
        <w:trPr/>
        <w:tc>
          <w:tcPr>
            <w:tcW w:w="9790" w:type="dxa"/>
            <w:tcBorders/>
            <w:shd w:fill="CCEEFF" w:val="clear"/>
            <w:vAlign w:val="center"/>
          </w:tcPr>
          <w:p>
            <w:pPr>
              <w:pStyle w:val="TableContents"/>
              <w:bidi w:val="0"/>
              <w:spacing w:before="0" w:after="283"/>
              <w:ind w:left="0" w:right="0" w:hanging="180"/>
              <w:jc w:val="left"/>
              <w:rPr/>
            </w:pPr>
            <w:hyperlink w:anchor="a_001">
              <w:r>
                <w:rPr>
                  <w:rStyle w:val="InternetLink"/>
                  <w:sz w:val="20"/>
                </w:rPr>
                <w:t>QUESTIONS AND ANSWERS ABOUT THESE PROXY MATERIALS AND VOTING</w:t>
              </w:r>
            </w:hyperlink>
          </w:p>
        </w:tc>
        <w:tc>
          <w:tcPr>
            <w:tcW w:w="14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1</w:t>
            </w:r>
          </w:p>
        </w:tc>
      </w:tr>
      <w:tr>
        <w:trPr/>
        <w:tc>
          <w:tcPr>
            <w:tcW w:w="9790" w:type="dxa"/>
            <w:tcBorders/>
            <w:shd w:fill="FFFFFF" w:val="clear"/>
            <w:vAlign w:val="center"/>
          </w:tcPr>
          <w:p>
            <w:pPr>
              <w:pStyle w:val="TableContents"/>
              <w:bidi w:val="0"/>
              <w:spacing w:before="0" w:after="283"/>
              <w:jc w:val="left"/>
              <w:rPr/>
            </w:pPr>
            <w:hyperlink w:anchor="a_002">
              <w:r>
                <w:rPr>
                  <w:rStyle w:val="InternetLink"/>
                  <w:sz w:val="20"/>
                </w:rPr>
                <w:t>PROPOSAL 1 ELECTION OF DIRECTORS</w:t>
              </w:r>
            </w:hyperlink>
          </w:p>
        </w:tc>
        <w:tc>
          <w:tcPr>
            <w:tcW w:w="14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8</w:t>
            </w:r>
          </w:p>
        </w:tc>
      </w:tr>
      <w:tr>
        <w:trPr/>
        <w:tc>
          <w:tcPr>
            <w:tcW w:w="9790" w:type="dxa"/>
            <w:tcBorders/>
            <w:shd w:fill="CCEEFF" w:val="clear"/>
            <w:vAlign w:val="center"/>
          </w:tcPr>
          <w:p>
            <w:pPr>
              <w:pStyle w:val="TableContents"/>
              <w:bidi w:val="0"/>
              <w:spacing w:before="0" w:after="283"/>
              <w:jc w:val="left"/>
              <w:rPr/>
            </w:pPr>
            <w:hyperlink w:anchor="a_003">
              <w:r>
                <w:rPr>
                  <w:rStyle w:val="InternetLink"/>
                  <w:sz w:val="20"/>
                </w:rPr>
                <w:t>INFORMATION REGARDING DIRECTOR NOMINEES AND CONTINUING DIRECTORS</w:t>
              </w:r>
            </w:hyperlink>
          </w:p>
        </w:tc>
        <w:tc>
          <w:tcPr>
            <w:tcW w:w="14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9</w:t>
            </w:r>
          </w:p>
        </w:tc>
      </w:tr>
      <w:tr>
        <w:trPr/>
        <w:tc>
          <w:tcPr>
            <w:tcW w:w="9790" w:type="dxa"/>
            <w:tcBorders/>
            <w:shd w:fill="FFFFFF" w:val="clear"/>
            <w:vAlign w:val="center"/>
          </w:tcPr>
          <w:p>
            <w:pPr>
              <w:pStyle w:val="TableContents"/>
              <w:bidi w:val="0"/>
              <w:spacing w:before="0" w:after="283"/>
              <w:jc w:val="left"/>
              <w:rPr/>
            </w:pPr>
            <w:hyperlink w:anchor="a_004">
              <w:r>
                <w:rPr>
                  <w:rStyle w:val="InternetLink"/>
                  <w:sz w:val="20"/>
                </w:rPr>
                <w:t>INFORMATION REGARDING THE BOARD OF DIRECTORS AND CORPORATE GOVERNANCE</w:t>
              </w:r>
            </w:hyperlink>
          </w:p>
        </w:tc>
        <w:tc>
          <w:tcPr>
            <w:tcW w:w="14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11</w:t>
            </w:r>
          </w:p>
        </w:tc>
      </w:tr>
      <w:tr>
        <w:trPr/>
        <w:tc>
          <w:tcPr>
            <w:tcW w:w="9790" w:type="dxa"/>
            <w:tcBorders/>
            <w:shd w:fill="CCEEFF" w:val="clear"/>
            <w:vAlign w:val="center"/>
          </w:tcPr>
          <w:p>
            <w:pPr>
              <w:pStyle w:val="TableContents"/>
              <w:bidi w:val="0"/>
              <w:spacing w:before="0" w:after="283"/>
              <w:jc w:val="left"/>
              <w:rPr/>
            </w:pPr>
            <w:hyperlink w:anchor="a_005">
              <w:r>
                <w:rPr>
                  <w:rStyle w:val="InternetLink"/>
                  <w:sz w:val="20"/>
                </w:rPr>
                <w:t>PROPOSAL 2 RATIFICATION OF SELECTION OF INDEPENDENT REGISTERED PUBLIC ACCOUNTING FIRM</w:t>
              </w:r>
            </w:hyperlink>
          </w:p>
        </w:tc>
        <w:tc>
          <w:tcPr>
            <w:tcW w:w="14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19</w:t>
            </w:r>
          </w:p>
        </w:tc>
      </w:tr>
      <w:tr>
        <w:trPr/>
        <w:tc>
          <w:tcPr>
            <w:tcW w:w="9790" w:type="dxa"/>
            <w:tcBorders/>
            <w:shd w:fill="FFFFFF" w:val="clear"/>
            <w:vAlign w:val="center"/>
          </w:tcPr>
          <w:p>
            <w:pPr>
              <w:pStyle w:val="TableContents"/>
              <w:bidi w:val="0"/>
              <w:spacing w:before="0" w:after="283"/>
              <w:jc w:val="left"/>
              <w:rPr/>
            </w:pPr>
            <w:hyperlink w:anchor="a_006">
              <w:r>
                <w:rPr>
                  <w:rStyle w:val="InternetLink"/>
                  <w:sz w:val="20"/>
                </w:rPr>
                <w:t>EXECUTIVE OFFICERS</w:t>
              </w:r>
            </w:hyperlink>
          </w:p>
        </w:tc>
        <w:tc>
          <w:tcPr>
            <w:tcW w:w="14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20</w:t>
            </w:r>
          </w:p>
        </w:tc>
      </w:tr>
      <w:tr>
        <w:trPr/>
        <w:tc>
          <w:tcPr>
            <w:tcW w:w="9790" w:type="dxa"/>
            <w:tcBorders/>
            <w:shd w:fill="CCEEFF" w:val="clear"/>
            <w:vAlign w:val="center"/>
          </w:tcPr>
          <w:p>
            <w:pPr>
              <w:pStyle w:val="TableContents"/>
              <w:bidi w:val="0"/>
              <w:spacing w:before="0" w:after="283"/>
              <w:jc w:val="left"/>
              <w:rPr/>
            </w:pPr>
            <w:hyperlink w:anchor="a_007">
              <w:r>
                <w:rPr>
                  <w:rStyle w:val="InternetLink"/>
                  <w:sz w:val="20"/>
                </w:rPr>
                <w:t>EXECUTIVE AND DIRECTOR COMPENSATION</w:t>
              </w:r>
            </w:hyperlink>
          </w:p>
        </w:tc>
        <w:tc>
          <w:tcPr>
            <w:tcW w:w="14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21</w:t>
            </w:r>
          </w:p>
        </w:tc>
      </w:tr>
      <w:tr>
        <w:trPr/>
        <w:tc>
          <w:tcPr>
            <w:tcW w:w="9790" w:type="dxa"/>
            <w:tcBorders/>
            <w:shd w:fill="FFFFFF" w:val="clear"/>
            <w:vAlign w:val="center"/>
          </w:tcPr>
          <w:p>
            <w:pPr>
              <w:pStyle w:val="TableContents"/>
              <w:bidi w:val="0"/>
              <w:spacing w:before="0" w:after="283"/>
              <w:jc w:val="left"/>
              <w:rPr/>
            </w:pPr>
            <w:hyperlink w:anchor="a_008">
              <w:r>
                <w:rPr>
                  <w:rStyle w:val="InternetLink"/>
                  <w:sz w:val="20"/>
                </w:rPr>
                <w:t>EQUITY COMPENSATION PLAN INFORMATION</w:t>
              </w:r>
            </w:hyperlink>
          </w:p>
        </w:tc>
        <w:tc>
          <w:tcPr>
            <w:tcW w:w="14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31</w:t>
            </w:r>
          </w:p>
        </w:tc>
      </w:tr>
      <w:tr>
        <w:trPr/>
        <w:tc>
          <w:tcPr>
            <w:tcW w:w="9790" w:type="dxa"/>
            <w:tcBorders/>
            <w:shd w:fill="CCEEFF" w:val="clear"/>
            <w:vAlign w:val="center"/>
          </w:tcPr>
          <w:p>
            <w:pPr>
              <w:pStyle w:val="TableContents"/>
              <w:bidi w:val="0"/>
              <w:spacing w:before="0" w:after="283"/>
              <w:jc w:val="left"/>
              <w:rPr/>
            </w:pPr>
            <w:hyperlink w:anchor="a_009">
              <w:r>
                <w:rPr>
                  <w:rStyle w:val="InternetLink"/>
                  <w:sz w:val="20"/>
                </w:rPr>
                <w:t>SECURITY OWNERSHIP OF CERTAIN BENEFICIAL OWNERS AND MANAGEMENT</w:t>
              </w:r>
            </w:hyperlink>
          </w:p>
        </w:tc>
        <w:tc>
          <w:tcPr>
            <w:tcW w:w="14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32</w:t>
            </w:r>
          </w:p>
        </w:tc>
      </w:tr>
      <w:tr>
        <w:trPr/>
        <w:tc>
          <w:tcPr>
            <w:tcW w:w="9790" w:type="dxa"/>
            <w:tcBorders/>
            <w:shd w:fill="FFFFFF" w:val="clear"/>
            <w:vAlign w:val="center"/>
          </w:tcPr>
          <w:p>
            <w:pPr>
              <w:pStyle w:val="TableContents"/>
              <w:bidi w:val="0"/>
              <w:spacing w:before="0" w:after="283"/>
              <w:jc w:val="left"/>
              <w:rPr/>
            </w:pPr>
            <w:hyperlink w:anchor="a_010">
              <w:r>
                <w:rPr>
                  <w:rStyle w:val="InternetLink"/>
                  <w:sz w:val="20"/>
                </w:rPr>
                <w:t>TRANSACTIONS WITH RELATED PERSONS AND INDEMNIFICATION</w:t>
              </w:r>
            </w:hyperlink>
          </w:p>
        </w:tc>
        <w:tc>
          <w:tcPr>
            <w:tcW w:w="14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33</w:t>
            </w:r>
          </w:p>
        </w:tc>
      </w:tr>
      <w:tr>
        <w:trPr/>
        <w:tc>
          <w:tcPr>
            <w:tcW w:w="9790" w:type="dxa"/>
            <w:tcBorders/>
            <w:shd w:fill="CCEEFF" w:val="clear"/>
            <w:vAlign w:val="center"/>
          </w:tcPr>
          <w:p>
            <w:pPr>
              <w:pStyle w:val="TableContents"/>
              <w:bidi w:val="0"/>
              <w:spacing w:before="0" w:after="283"/>
              <w:jc w:val="left"/>
              <w:rPr/>
            </w:pPr>
            <w:hyperlink w:anchor="a_011">
              <w:r>
                <w:rPr>
                  <w:rStyle w:val="InternetLink"/>
                  <w:sz w:val="20"/>
                </w:rPr>
                <w:t>PROPOSAL 3 LINCOLN PARK STOCK ISSUANCE PROPOSAL</w:t>
              </w:r>
            </w:hyperlink>
          </w:p>
        </w:tc>
        <w:tc>
          <w:tcPr>
            <w:tcW w:w="14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37</w:t>
            </w:r>
          </w:p>
        </w:tc>
      </w:tr>
      <w:tr>
        <w:trPr/>
        <w:tc>
          <w:tcPr>
            <w:tcW w:w="9790" w:type="dxa"/>
            <w:tcBorders/>
            <w:shd w:fill="FFFFFF" w:val="clear"/>
            <w:vAlign w:val="center"/>
          </w:tcPr>
          <w:p>
            <w:pPr>
              <w:pStyle w:val="TableContents"/>
              <w:bidi w:val="0"/>
              <w:spacing w:before="0" w:after="283"/>
              <w:jc w:val="left"/>
              <w:rPr/>
            </w:pPr>
            <w:hyperlink w:anchor="a_012">
              <w:r>
                <w:rPr>
                  <w:rStyle w:val="InternetLink"/>
                  <w:sz w:val="20"/>
                </w:rPr>
                <w:t>PROPOSAL 4 APPROVAL OF THE ISSUANCE OF SHARES OF COMMON STOCK ISSUABLE UPON EXERCISE OF THE PIPE WARRANTS</w:t>
              </w:r>
            </w:hyperlink>
          </w:p>
        </w:tc>
        <w:tc>
          <w:tcPr>
            <w:tcW w:w="14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39</w:t>
            </w:r>
          </w:p>
        </w:tc>
      </w:tr>
      <w:tr>
        <w:trPr/>
        <w:tc>
          <w:tcPr>
            <w:tcW w:w="9790" w:type="dxa"/>
            <w:tcBorders/>
            <w:shd w:fill="CCEEFF" w:val="clear"/>
            <w:vAlign w:val="center"/>
          </w:tcPr>
          <w:p>
            <w:pPr>
              <w:pStyle w:val="TableContents"/>
              <w:bidi w:val="0"/>
              <w:spacing w:before="0" w:after="283"/>
              <w:jc w:val="left"/>
              <w:rPr/>
            </w:pPr>
            <w:hyperlink w:anchor="a_013">
              <w:r>
                <w:rPr>
                  <w:rStyle w:val="InternetLink"/>
                  <w:sz w:val="20"/>
                </w:rPr>
                <w:t>OTHER INFORMATION FOR STOCKHOLDERS</w:t>
              </w:r>
            </w:hyperlink>
          </w:p>
        </w:tc>
        <w:tc>
          <w:tcPr>
            <w:tcW w:w="14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42</w:t>
            </w:r>
          </w:p>
        </w:tc>
      </w:tr>
      <w:tr>
        <w:trPr/>
        <w:tc>
          <w:tcPr>
            <w:tcW w:w="9790" w:type="dxa"/>
            <w:tcBorders/>
            <w:shd w:fill="FFFFFF" w:val="clear"/>
            <w:vAlign w:val="center"/>
          </w:tcPr>
          <w:p>
            <w:pPr>
              <w:pStyle w:val="TableContents"/>
              <w:bidi w:val="0"/>
              <w:spacing w:before="0" w:after="283"/>
              <w:jc w:val="left"/>
              <w:rPr/>
            </w:pPr>
            <w:hyperlink w:anchor="a_014">
              <w:r>
                <w:rPr>
                  <w:rStyle w:val="InternetLink"/>
                  <w:sz w:val="20"/>
                </w:rPr>
                <w:t>OTHER MATTERS</w:t>
              </w:r>
            </w:hyperlink>
          </w:p>
        </w:tc>
        <w:tc>
          <w:tcPr>
            <w:tcW w:w="14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43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 xml:space="preserve">PROXY STATEMENT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2026 ANNUAL MEETING OF STOCKHOLDERS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 BE HELD ON NOVEMBER 9, 2026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QUESTIONS AND ANSWERS ABOUT THESE PROXY MATERIALS AND VOTING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Why am I receiving these proxy materials?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sent you these proxy materials because the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Board of Directors</w:t>
      </w:r>
      <w:r>
        <w:rPr>
          <w:rFonts w:ascii="Times New Roman;Times;Serif" w:hAnsi="Times New Roman;Times;Serif"/>
          <w:b w:val="false"/>
          <w:i w:val="false"/>
          <w:caps w:val="false"/>
          <w:smallCaps w:val="false"/>
          <w:sz w:val="20"/>
        </w:rPr>
        <w:t>”) of Tempest is soliciting your proxy to vote at the 2026 Annual Meeting of Stockholders to be held on November 9, 2026 (the “</w:t>
      </w:r>
      <w:r>
        <w:rPr>
          <w:rFonts w:ascii="Times New Roman;Times;Serif" w:hAnsi="Times New Roman;Times;Serif"/>
          <w:b/>
          <w:i/>
          <w:caps w:val="false"/>
          <w:smallCaps w:val="false"/>
          <w:sz w:val="20"/>
        </w:rPr>
        <w:t>Annual Meeting</w:t>
      </w:r>
      <w:r>
        <w:rPr>
          <w:rFonts w:ascii="Times New Roman;Times;Serif" w:hAnsi="Times New Roman;Times;Serif"/>
          <w:b w:val="false"/>
          <w:i w:val="false"/>
          <w:caps w:val="false"/>
          <w:smallCaps w:val="false"/>
          <w:sz w:val="20"/>
        </w:rPr>
        <w:t>”), including at any adjournments or postponements of the meeting. All references to “Tempest,” the “Company,” “we,” “our” or “us” in this Proxy Statement are to Tempest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invited to attend the Annual Meeting virtually to vote on the proposals described in this proxy statement. However, you do not need to attend the meeting to vote your shares. Instead, you may simply complete, sign and return the enclosed proxy card</w:t>
      </w:r>
      <w:r>
        <w:rPr>
          <w:rFonts w:ascii="Times New Roman;Times;Serif" w:hAnsi="Times New Roman;Times;Serif"/>
          <w:b/>
          <w:i w:val="false"/>
          <w:caps w:val="false"/>
          <w:smallCaps w:val="false"/>
          <w:sz w:val="20"/>
        </w:rPr>
        <w:t>, or follow the instructions below to submit your proxy over the telephone or through the internet</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mail these proxy materials on or about October 26, 2026, to all stockholders of record entitled to vote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How do I attend the Annual Meeting?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Annual Meeting will be held through a live webcast at </w:t>
      </w:r>
      <w:r>
        <w:rPr>
          <w:rFonts w:ascii="Times New Roman;Times;Serif" w:hAnsi="Times New Roman;Times;Serif"/>
          <w:b w:val="false"/>
          <w:i/>
          <w:caps w:val="false"/>
          <w:smallCaps w:val="false"/>
          <w:sz w:val="20"/>
        </w:rPr>
        <w:t>www.virtualshareholdermeeting.com/TPST2026</w:t>
      </w:r>
      <w:r>
        <w:rPr>
          <w:rFonts w:ascii="Times New Roman;Times;Serif" w:hAnsi="Times New Roman;Times;Serif"/>
          <w:b w:val="false"/>
          <w:i w:val="false"/>
          <w:caps w:val="false"/>
          <w:smallCaps w:val="false"/>
          <w:sz w:val="20"/>
        </w:rPr>
        <w:t>. You will not be able to attend the Annual Meeting in person. Stockholders attending the virtual Annual Meeting will generally be afforded the same rights and opportunities to participate as they would at an in-person meeting.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entitled to attend the Annual Meeting if you were a stockholder as of the close of business on October 23, 2026 (the “</w:t>
      </w:r>
      <w:r>
        <w:rPr>
          <w:rFonts w:ascii="Times New Roman;Times;Serif" w:hAnsi="Times New Roman;Times;Serif"/>
          <w:b/>
          <w:i/>
          <w:caps w:val="false"/>
          <w:smallCaps w:val="false"/>
          <w:sz w:val="20"/>
        </w:rPr>
        <w:t>Record Date</w:t>
      </w:r>
      <w:r>
        <w:rPr>
          <w:rFonts w:ascii="Times New Roman;Times;Serif" w:hAnsi="Times New Roman;Times;Serif"/>
          <w:b w:val="false"/>
          <w:i w:val="false"/>
          <w:caps w:val="false"/>
          <w:smallCaps w:val="false"/>
          <w:sz w:val="20"/>
        </w:rPr>
        <w:t xml:space="preserve">”) or hold a valid proxy for the meeting. To be admitted to the Annual Meeting, you will need to visit </w:t>
      </w:r>
      <w:r>
        <w:rPr>
          <w:rFonts w:ascii="Times New Roman;Times;Serif" w:hAnsi="Times New Roman;Times;Serif"/>
          <w:b w:val="false"/>
          <w:i/>
          <w:caps w:val="false"/>
          <w:smallCaps w:val="false"/>
          <w:sz w:val="20"/>
        </w:rPr>
        <w:t>www.virtualshareholdermeeting.com/TPST2026</w:t>
      </w:r>
      <w:r>
        <w:rPr>
          <w:rFonts w:ascii="Times New Roman;Times;Serif" w:hAnsi="Times New Roman;Times;Serif"/>
          <w:b w:val="false"/>
          <w:i w:val="false"/>
          <w:caps w:val="false"/>
          <w:smallCaps w:val="false"/>
          <w:sz w:val="20"/>
        </w:rPr>
        <w:t xml:space="preserve"> and enter the control number found next to the label “control number” included in the proxy card in the enclosed proxy materials. If you are a beneficial stockholder, you should contact the bank, broker or other institution where you hold your account well in advance of the meeting if you have questions about obtaining your control number or proxy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Whether or not you participate in the Annual Meeting, it is important that you vote your shares.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will begin promptly at 1:00 p.m. Pacific Time on November 9, 2026. We encourage you to access the Annual Meeting a few minutes before it begins. Online check-in will start approximately 15 minutes before the meeting begins.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What if I cannot find my control number?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do not have your control number and you are a registered stockholder, please contact us at cc@tempesttx.com and we will be able to provide your control number to you. If you do not have a control number, you will be able to log in as a guest. To view the meeting webcast, visit </w:t>
      </w:r>
      <w:r>
        <w:rPr>
          <w:rFonts w:ascii="Times New Roman;Times;Serif" w:hAnsi="Times New Roman;Times;Serif"/>
          <w:b w:val="false"/>
          <w:i/>
          <w:caps w:val="false"/>
          <w:smallCaps w:val="false"/>
          <w:sz w:val="20"/>
        </w:rPr>
        <w:t>www.virtualshareholdermeeting.com/TPST2026</w:t>
      </w:r>
      <w:r>
        <w:rPr>
          <w:rFonts w:ascii="Times New Roman;Times;Serif" w:hAnsi="Times New Roman;Times;Serif"/>
          <w:b w:val="false"/>
          <w:i w:val="false"/>
          <w:caps w:val="false"/>
          <w:smallCaps w:val="false"/>
          <w:sz w:val="20"/>
        </w:rPr>
        <w:t xml:space="preserve"> and register as a guest. If you log in as a guest, you will not be able to vote your shares or ask questions.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(that is, you hold your shares in an account at a bank, broker or other holder of record), you will need to contact that bank, broker or other holder of record to obtain your control number prior to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What if I have technical difficulties or trouble accessing the virtual Annual Meeting?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have technicians ready to assist you with any technical difficulties you may have in accessing the virtual Annual Meeting. If you encounter any difficulties accessing the virtual Annual Meeting during the check-in or meeting time, please call the technical support number that will be posted at </w:t>
      </w:r>
      <w:r>
        <w:rPr>
          <w:rFonts w:ascii="Times New Roman;Times;Serif" w:hAnsi="Times New Roman;Times;Serif"/>
          <w:b w:val="false"/>
          <w:i/>
          <w:caps w:val="false"/>
          <w:smallCaps w:val="false"/>
          <w:sz w:val="20"/>
        </w:rPr>
        <w:t>www.virtualshareholdermeeting.com/TPST2026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Will a list of record stockholders as of the Record Date be available?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list of our record stockholders as of the close of business on the Record Date will be made available to stockholders during the meeting at </w:t>
      </w:r>
      <w:r>
        <w:rPr>
          <w:rFonts w:ascii="Times New Roman;Times;Serif" w:hAnsi="Times New Roman;Times;Serif"/>
          <w:b w:val="false"/>
          <w:i/>
          <w:caps w:val="false"/>
          <w:smallCaps w:val="false"/>
          <w:sz w:val="20"/>
        </w:rPr>
        <w:t>www.virtualshareholdermeeting.com/TPST2026</w:t>
      </w:r>
      <w:r>
        <w:rPr>
          <w:rFonts w:ascii="Times New Roman;Times;Serif" w:hAnsi="Times New Roman;Times;Serif"/>
          <w:b w:val="false"/>
          <w:i w:val="false"/>
          <w:caps w:val="false"/>
          <w:smallCaps w:val="false"/>
          <w:sz w:val="20"/>
        </w:rPr>
        <w:t>. In addition, for the 10 days ending on the day prior to the Annual Meeting, the list will be available for examination by any stockholder of record for any purpose germane to the meeting during regular business hours. To access the list of record stockholders, stockholders should email cc@tempesttx.com.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Who can vote at the Annual Meeting?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of record at the close of business on the Record Date will be entitled to vote at the Annual Meeting. On the Record Date, there were [____] shares of common stock, par value $0.001 per share, of the Company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outstanding and entitled to vote. Whether or not you participate in the Annual Meeting, it is important that you vote your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Stockholder of Record: Shares Registered in Your Name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Record Date your shares were registered directly in your name with the Company’s transfer agent, Computershare Trust Company, N.A., then you are a stockholder of record. As a stockholder of record, you may vote online during the meeting or vote by proxy. Whether or not you plan to attend the Annual Meeting, to ensure your vote is counted, we urge you to vote by proxy by using the enclosed proxy card, or by voting over the telephone or through the internet.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Beneficial Owner: Shares Registered in the Name of a Broker or Bank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Record Date your shares were held not in your name, but rather in an account at a brokerage firm, bank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However, since you are not the stockholder of record, you may not vote your shares online during the meeting unless you request and obtain a valid proxy from your broker, bank or other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What am I voting 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four matters scheduled for a vote:</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Election of the Board’s Class II nominees, Dr. John David Yee and Mr. William Drake Richey, to the Board to hold office until the 2029 Annual Meeting of Stockholders and until their respective successors are duly elected and qualified (the “</w:t>
            </w:r>
            <w:r>
              <w:rPr>
                <w:b/>
                <w:i/>
              </w:rPr>
              <w:t>Election of Directors Proposal</w:t>
            </w:r>
            <w:r>
              <w:rPr/>
              <w:t>” or “</w:t>
            </w:r>
            <w:r>
              <w:rPr>
                <w:b/>
                <w:i/>
              </w:rPr>
              <w:t>Proposal 1</w:t>
            </w:r>
            <w:r>
              <w:rPr/>
              <w:t>”);</w:t>
            </w:r>
          </w:p>
        </w:tc>
      </w:tr>
    </w:tbl>
    <w:p>
      <w:pPr>
        <w:pStyle w:val="TextBody"/>
        <w:bidi w:val="0"/>
        <w:spacing w:before="0" w:after="0"/>
        <w:ind w:left="7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Ratification of the selection of Ernst &amp; Young LLP as our independent registered public accounting firm for our fiscal year ending December 31, 2026 (the “</w:t>
            </w:r>
            <w:r>
              <w:rPr>
                <w:b/>
                <w:i/>
              </w:rPr>
              <w:t>Auditor Ratification Proposal</w:t>
            </w:r>
            <w:r>
              <w:rPr/>
              <w:t>” or “</w:t>
            </w:r>
            <w:r>
              <w:rPr>
                <w:b/>
                <w:i/>
              </w:rPr>
              <w:t>Proposal 2</w:t>
            </w:r>
            <w:r>
              <w:rPr/>
              <w:t>”);</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for purposes of complying with Nasdaq Listing Rule 5635(d), of the potential issuance and sale of 20% or more of our issued and outstanding common stock, pursuant to our purchase agreement with Lincoln Park Capital Fund, LLC (the “</w:t>
            </w:r>
            <w:r>
              <w:rPr>
                <w:rFonts w:ascii="Times New Roman;Times;Serif" w:hAnsi="Times New Roman;Times;Serif"/>
                <w:b/>
                <w:i/>
                <w:caps w:val="false"/>
                <w:smallCaps w:val="false"/>
                <w:sz w:val="20"/>
              </w:rPr>
              <w:t>Lincoln Park Stock Issuance Proposal</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Proposal 3</w:t>
            </w:r>
            <w:r>
              <w:rPr>
                <w:rFonts w:ascii="Times New Roman;Times;Serif" w:hAnsi="Times New Roman;Times;Serif"/>
                <w:b w:val="false"/>
                <w:i w:val="false"/>
                <w:caps w:val="false"/>
                <w:smallCaps w:val="false"/>
                <w:sz w:val="20"/>
              </w:rPr>
              <w:t>”); and</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Approval, pursuant to Nasdaq Listing Rule 5635(d), of the issuance of up to (A) (i) 3,105,591 shares of common stock issuable upon the exercise of outstanding Series C Warrants (the “</w:t>
            </w:r>
            <w:r>
              <w:rPr>
                <w:b/>
                <w:i/>
              </w:rPr>
              <w:t>Series C Warrants</w:t>
            </w:r>
            <w:r>
              <w:rPr/>
              <w:t>”) and (ii) 3,105,591 shares of common stock issuable upon the exercise of outstanding Series D Warrants (the “</w:t>
            </w:r>
            <w:r>
              <w:rPr>
                <w:b/>
                <w:i/>
              </w:rPr>
              <w:t>Series D Warrants</w:t>
            </w:r>
            <w:r>
              <w:rPr/>
              <w:t>,” and together with the Series C Warrants, the “</w:t>
            </w:r>
            <w:r>
              <w:rPr>
                <w:b/>
                <w:i/>
              </w:rPr>
              <w:t>PIPE Warrants</w:t>
            </w:r>
            <w:r>
              <w:rPr/>
              <w:t>”), which warrants were issued in connection with the Company’s private placement pursuant to the Securities Purchase Agreement, dated September 11, 2026, by and between the Company and the investor party thereto (the “</w:t>
            </w:r>
            <w:r>
              <w:rPr>
                <w:b/>
                <w:i/>
              </w:rPr>
              <w:t>SPA</w:t>
            </w:r>
            <w:r>
              <w:rPr/>
              <w:t>”) and (B)  up to 217,391 shares of our common stock issuable upon the exercise of certain placement agent warrants (the “</w:t>
            </w:r>
            <w:r>
              <w:rPr>
                <w:b/>
                <w:i/>
              </w:rPr>
              <w:t>PA Warrants</w:t>
            </w:r>
            <w:r>
              <w:rPr/>
              <w:t>,” and together with the PIPE Warrants, the “</w:t>
            </w:r>
            <w:r>
              <w:rPr>
                <w:b/>
                <w:i/>
              </w:rPr>
              <w:t>Warrants</w:t>
            </w:r>
            <w:r>
              <w:rPr/>
              <w:t>”) issued to designees of H.C. Wainwright &amp; Co., LLC, our placement agent (the “</w:t>
            </w:r>
            <w:r>
              <w:rPr>
                <w:b/>
                <w:i/>
              </w:rPr>
              <w:t>Placement Agen</w:t>
            </w:r>
            <w:r>
              <w:rPr/>
              <w:t>t”) in connection with the private transaction pursuant to which we issued the Warrants (the “</w:t>
            </w:r>
            <w:r>
              <w:rPr>
                <w:b/>
                <w:i/>
              </w:rPr>
              <w:t>PIPE Proposal</w:t>
            </w:r>
            <w:r>
              <w:rPr/>
              <w:t>” or “</w:t>
            </w:r>
            <w:r>
              <w:rPr>
                <w:b/>
                <w:i/>
              </w:rPr>
              <w:t>Proposal 4</w:t>
            </w:r>
            <w:r>
              <w:rPr/>
              <w:t>”).</w:t>
            </w:r>
          </w:p>
        </w:tc>
      </w:tr>
    </w:tbl>
    <w:p>
      <w:pPr>
        <w:pStyle w:val="TextBody"/>
        <w:bidi w:val="0"/>
        <w:spacing w:before="0" w:after="0"/>
        <w:ind w:left="760" w:right="0" w:hanging="360"/>
        <w:jc w:val="left"/>
        <w:rPr>
          <w:caps w:val="false"/>
          <w:smallCaps w:val="false"/>
        </w:rPr>
      </w:pPr>
      <w:r>
        <w:rPr>
          <w:caps w:val="false"/>
          <w:smallCaps w:val="false"/>
        </w:rPr>
        <w:t> </w:t>
      </w:r>
    </w:p>
    <w:p>
      <w:pPr>
        <w:pStyle w:val="TextBody"/>
        <w:bidi w:val="0"/>
        <w:spacing w:before="0" w:after="0"/>
        <w:ind w:left="7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7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What if another matter is properly brought before the Annual Meeting?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How do I vote?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Proposal 1, you may vote “For” or “Withhold” with respect to each nominee. For Proposals 2, 3 and 4, you may vote “For” or “Against,” or abstain from voting.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for voting are fairly simple: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Stockholder of Record: Shares Registered in Your Name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 may vote online during the Annual Meeting, vote by proxy using the enclosed proxy card, vote by proxy over the telephone or vote by proxy through the internet. Whether or not you plan to attend the meeting, we urge you to vote by proxy to ensure your vote is counted. You may still attend the meeting and vote online during the meeting even if you have already voted by proxy.</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 xml:space="preserve">To vote online during the meeting, visit </w:t>
            </w:r>
            <w:r>
              <w:rPr>
                <w:i/>
              </w:rPr>
              <w:t>www.virtualshareholdermeeting.com/TPST2026</w:t>
            </w:r>
            <w:r>
              <w:rPr/>
              <w:t>, enter your control number and follow the instructions to submit an electronic ballot during the meeting.</w:t>
            </w:r>
          </w:p>
        </w:tc>
      </w:tr>
    </w:tbl>
    <w:p>
      <w:pPr>
        <w:pStyle w:val="TextBody"/>
        <w:bidi w:val="0"/>
        <w:spacing w:before="0" w:after="0"/>
        <w:ind w:left="7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To vote using the proxy card, simply complete, sign and date the enclosed proxy card and return it promptly in the envelope provided. If you return your signed proxy card to us before the Annual Meeting, we will vote your shares as you direct.</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To vote over the telephone, dial toll-free 1-800-690-6903 using a touch-tone phone and follow the recorded instructions. You will be asked to provide the company number and control number from the enclosed proxy card. To ensure your vote is counted, your telephone vote must be received before 11:59 p.m., Eastern Time on November 8, 2026.</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 xml:space="preserve">To vote through the internet, go to </w:t>
            </w:r>
            <w:r>
              <w:rPr>
                <w:i/>
              </w:rPr>
              <w:t>www.proxyvote.com</w:t>
            </w:r>
            <w:r>
              <w:rPr/>
              <w:t xml:space="preserve"> to complete an electronic proxy card. You will be asked to provide the company number and control number from the enclosed proxy card. To ensure your vote is counted, your internet vote must be received before 11:59 p.m., Eastern Time on November 8,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Beneficial Owner: Shares Registered in the Name of Broker or Bank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a beneficial owner of shares registered in the name of your broker, bank or other agent, you should have received a voting instruction form with these proxy materials from that organization rather than from us. Simply complete and mail the voting instruction form to ensure that your vote is counted. Alternatively, you may vote by telephone or over the internet as instructed by your broker or bank. To vote online during the Annual Meeting, you must obtain a valid proxy from your broker, bank or other agent. Follow the instructions from your broker, bank or other agent included with these proxy materials, or contact that organization to request a proxy form. You must also register to attend the meeting at </w:t>
      </w:r>
      <w:r>
        <w:rPr>
          <w:rFonts w:ascii="Times New Roman;Times;Serif" w:hAnsi="Times New Roman;Times;Serif"/>
          <w:b w:val="false"/>
          <w:i/>
          <w:caps w:val="false"/>
          <w:smallCaps w:val="false"/>
          <w:sz w:val="20"/>
        </w:rPr>
        <w:t xml:space="preserve">www.virtualshareholdermeeting.com/TPST2026 </w:t>
      </w:r>
      <w:r>
        <w:rPr>
          <w:rFonts w:ascii="Times New Roman;Times;Serif" w:hAnsi="Times New Roman;Times;Serif"/>
          <w:b w:val="false"/>
          <w:i w:val="false"/>
          <w:caps w:val="false"/>
          <w:smallCaps w:val="false"/>
          <w:sz w:val="20"/>
        </w:rPr>
        <w:t>using the control number as provided by your broker, bank or other agent.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How many votes do I have?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holder of our common stock, on each matter to be voted upon, you have one vote for each share of common stock you held as of the close of business on the Record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If I am a stockholder of record and I do not vote, or if I return a proxy card or otherwise vote without giving specific voting instructions, what happens?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and do not vote by completing your proxy card, by telephone, through the internet or online during the Annual Meeting, your shares will not be voted.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return a signed and dated proxy card or otherwise vote without marking voting selections, your shares will be voted, as applicable, “</w:t>
      </w:r>
      <w:r>
        <w:rPr>
          <w:rFonts w:ascii="Times New Roman;Times;Serif" w:hAnsi="Times New Roman;Times;Serif"/>
          <w:b/>
          <w:i/>
          <w:caps w:val="false"/>
          <w:smallCaps w:val="false"/>
          <w:sz w:val="20"/>
        </w:rPr>
        <w:t>For</w:t>
      </w:r>
      <w:r>
        <w:rPr>
          <w:rFonts w:ascii="Times New Roman;Times;Serif" w:hAnsi="Times New Roman;Times;Serif"/>
          <w:b w:val="false"/>
          <w:i w:val="false"/>
          <w:caps w:val="false"/>
          <w:smallCaps w:val="false"/>
          <w:sz w:val="20"/>
        </w:rPr>
        <w:t>” the Election of Directors Proposal, “</w:t>
      </w:r>
      <w:r>
        <w:rPr>
          <w:rFonts w:ascii="Times New Roman;Times;Serif" w:hAnsi="Times New Roman;Times;Serif"/>
          <w:b/>
          <w:i/>
          <w:caps w:val="false"/>
          <w:smallCaps w:val="false"/>
          <w:sz w:val="20"/>
        </w:rPr>
        <w:t>For</w:t>
      </w:r>
      <w:r>
        <w:rPr>
          <w:rFonts w:ascii="Times New Roman;Times;Serif" w:hAnsi="Times New Roman;Times;Serif"/>
          <w:b w:val="false"/>
          <w:i w:val="false"/>
          <w:caps w:val="false"/>
          <w:smallCaps w:val="false"/>
          <w:sz w:val="20"/>
        </w:rPr>
        <w:t>” the Auditor Ratification Proposal, “</w:t>
      </w:r>
      <w:r>
        <w:rPr>
          <w:rFonts w:ascii="Times New Roman;Times;Serif" w:hAnsi="Times New Roman;Times;Serif"/>
          <w:b/>
          <w:i/>
          <w:caps w:val="false"/>
          <w:smallCaps w:val="false"/>
          <w:sz w:val="20"/>
        </w:rPr>
        <w:t>For</w:t>
      </w:r>
      <w:r>
        <w:rPr>
          <w:rFonts w:ascii="Times New Roman;Times;Serif" w:hAnsi="Times New Roman;Times;Serif"/>
          <w:b w:val="false"/>
          <w:i w:val="false"/>
          <w:caps w:val="false"/>
          <w:smallCaps w:val="false"/>
          <w:sz w:val="20"/>
        </w:rPr>
        <w:t>” the Lincoln Park Stock Issuance Proposal and “</w:t>
      </w:r>
      <w:r>
        <w:rPr>
          <w:rFonts w:ascii="Times New Roman;Times;Serif" w:hAnsi="Times New Roman;Times;Serif"/>
          <w:b/>
          <w:i/>
          <w:caps w:val="false"/>
          <w:smallCaps w:val="false"/>
          <w:sz w:val="20"/>
        </w:rPr>
        <w:t>For</w:t>
      </w:r>
      <w:r>
        <w:rPr>
          <w:rFonts w:ascii="Times New Roman;Times;Serif" w:hAnsi="Times New Roman;Times;Serif"/>
          <w:b w:val="false"/>
          <w:i w:val="false"/>
          <w:caps w:val="false"/>
          <w:smallCaps w:val="false"/>
          <w:sz w:val="20"/>
        </w:rPr>
        <w:t>” the PIPE Proposal. If any other matter is properly presented at the meeting, your proxyholder (one of the individuals named on your proxy card) will vote your shares using their best judgment.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If I am a beneficial owner of shares held in street name and I do not provide my broker or bank with voting instructions, what happens?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held in street name and you do not instruct your broker, bank or other agent how to vote your shares, your broker, bank or other agent may still be able to vote your shares in its discretion. Under the rules of the New York Stock Exchange (the “</w:t>
      </w:r>
      <w:r>
        <w:rPr>
          <w:rFonts w:ascii="Times New Roman;Times;Serif" w:hAnsi="Times New Roman;Times;Serif"/>
          <w:b/>
          <w:i/>
          <w:caps w:val="false"/>
          <w:smallCaps w:val="false"/>
          <w:sz w:val="20"/>
        </w:rPr>
        <w:t>NYSE</w:t>
      </w:r>
      <w:r>
        <w:rPr>
          <w:rFonts w:ascii="Times New Roman;Times;Serif" w:hAnsi="Times New Roman;Times;Serif"/>
          <w:b w:val="false"/>
          <w:i w:val="false"/>
          <w:caps w:val="false"/>
          <w:smallCaps w:val="false"/>
          <w:sz w:val="20"/>
        </w:rPr>
        <w:t>”), brokers, banks and other securities intermediaries that are subject to NYSE rules may use their discretion to vote your “uninstructed” shares with respect to matters considered to be “routine” under NYSE rules, but not with respect to “non-routine” matters. In this regard, Proposals 1, 3 and 4 are considered to be “non-routine” under NYSE rules meaning that your broker may not vote your shares on those proposals in the absence of your voting instructions. However, Proposal 2 is considered to be a “routine” matter under NYSE rules, meaning that if you do not return voting instructions to your broker by its deadline, your shares may be voted by your broker in its discretion on Proposal 2.</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If you are a beneficial owner of shares held in street name and you do not plan to obtain a proxy from your broker, bank or other agent and vote at the Annual Meeting, in order to ensure your shares are voted in the way you would prefer, you </w:t>
      </w:r>
      <w:r>
        <w:rPr>
          <w:rFonts w:ascii="Times New Roman;Times;Serif" w:hAnsi="Times New Roman;Times;Serif"/>
          <w:b w:val="false"/>
          <w:i/>
          <w:caps w:val="false"/>
          <w:smallCaps w:val="false"/>
          <w:sz w:val="20"/>
          <w:u w:val="single"/>
        </w:rPr>
        <w:t>must</w:t>
      </w:r>
      <w:r>
        <w:rPr>
          <w:rFonts w:ascii="Times New Roman;Times;Serif" w:hAnsi="Times New Roman;Times;Serif"/>
          <w:b w:val="false"/>
          <w:i/>
          <w:caps w:val="false"/>
          <w:smallCaps w:val="false"/>
          <w:sz w:val="20"/>
        </w:rPr>
        <w:t xml:space="preserve"> provide voting instructions to your broker, bank or other agent by the deadline provided in the materials you receive from your broker, bank or other agent.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What are “broker non-votes”?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“broker non-vote” occurs when your broker submits a proxy for the meeting with respect to at least one “routine” matter but does not vote on “non-routine” matters because you did not provide voting instructions on such matters. These unvoted shares with respect to “non-routine” matters are counted as “broker non-votes.” Only Proposal 2 (the Auditor Ratification Proposal) is considered a routine matter under applicable stock exchange rules, and without your instruction, your broker, bank or other agent may vote your shares in its discretion. Proposals 1, 3 and 4 are considered non-routine under applicable stock exchange rules, and without your instruction, your broker, bank or other agent cannot vote your shares on these matters. Please instruct your broker, bank or other agent so your vote can be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Who is paying for this proxy solicitation?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What does it mean if I receive more than one set of proxy materials?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receive more than one set of proxy materials, your shares may be registered in more than one name or in different accounts. Please follow the voting instructions on the proxy cards in the proxy materials to ensure that all of your shares are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Can I change my vote after submitting my proxy?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Stockholder of Record: Shares Registered in Your Name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revoke your proxy at any time before the final vote at the Annual Meeting. If you are the record holder of your shares, you may revoke your proxy in any one of the following ways:</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78"/>
        <w:gridCol w:w="9865"/>
      </w:tblGrid>
      <w:tr>
        <w:trPr/>
        <w:tc>
          <w:tcPr>
            <w:tcW w:w="6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w:t>
            </w:r>
          </w:p>
        </w:tc>
        <w:tc>
          <w:tcPr>
            <w:tcW w:w="9865" w:type="dxa"/>
            <w:tcBorders/>
            <w:vAlign w:val="center"/>
          </w:tcPr>
          <w:p>
            <w:pPr>
              <w:pStyle w:val="TableContents"/>
              <w:bidi w:val="0"/>
              <w:spacing w:before="0" w:after="283"/>
              <w:jc w:val="left"/>
              <w:rPr/>
            </w:pPr>
            <w:r>
              <w:rPr/>
              <w:t>submit another properly completed proxy card with a later date;</w:t>
            </w:r>
          </w:p>
        </w:tc>
      </w:tr>
    </w:tbl>
    <w:p>
      <w:pPr>
        <w:pStyle w:val="TextBody"/>
        <w:bidi w:val="0"/>
        <w:spacing w:before="0" w:after="0"/>
        <w:ind w:left="7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84"/>
        <w:gridCol w:w="9858"/>
      </w:tblGrid>
      <w:tr>
        <w:trPr/>
        <w:tc>
          <w:tcPr>
            <w:tcW w:w="6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w:t>
            </w:r>
          </w:p>
        </w:tc>
        <w:tc>
          <w:tcPr>
            <w:tcW w:w="9858" w:type="dxa"/>
            <w:tcBorders/>
            <w:vAlign w:val="center"/>
          </w:tcPr>
          <w:p>
            <w:pPr>
              <w:pStyle w:val="TableContents"/>
              <w:bidi w:val="0"/>
              <w:spacing w:before="0" w:after="283"/>
              <w:jc w:val="left"/>
              <w:rPr/>
            </w:pPr>
            <w:r>
              <w:rPr/>
              <w:t>grant a subsequent proxy by telephone or through the internet;</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send a written notice that you are revoking your proxy to our Corporate Secretary at 2000 Sierra Point Parkway, Suite 400, Brisbane, CA 94005; or</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attend the Annual Meeting and vote online. Simply attending the meeting will not, by itself, revoke your proxy.</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most current proxy card or telephone or internet proxy is the one that is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Beneficial Owner: Shares Registered in the Name of Broker or Bank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by your broker, bank or other agent, you should follow the instructions provided by your broker, bank or other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How are votes counted?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will be counted by the inspector of election appointed for the meeting, who will separately count, with respect to Proposal 1, votes “For” and “Withhold” for each nominee and, with respect to Proposals 2, 3 and 4, votes “For” and “Against” and abstentions.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How many votes are needed to approve each proposal?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minimum vote needed to approve each proposal and the effect of abstentions and broker non-votes.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81"/>
        <w:gridCol w:w="140"/>
        <w:gridCol w:w="1507"/>
        <w:gridCol w:w="140"/>
        <w:gridCol w:w="5032"/>
        <w:gridCol w:w="140"/>
        <w:gridCol w:w="1050"/>
        <w:gridCol w:w="140"/>
        <w:gridCol w:w="1075"/>
      </w:tblGrid>
      <w:tr>
        <w:trPr/>
        <w:tc>
          <w:tcPr>
            <w:tcW w:w="981" w:type="dxa"/>
            <w:tcBorders>
              <w:bottom w:val="single" w:sz="12" w:space="0" w:color="000000"/>
            </w:tcBorders>
            <w:vAlign w:val="center"/>
          </w:tcPr>
          <w:p>
            <w:pPr>
              <w:pStyle w:val="TableContents"/>
              <w:bidi w:val="0"/>
              <w:spacing w:before="0" w:after="283"/>
              <w:jc w:val="center"/>
              <w:rPr>
                <w:b/>
                <w:sz w:val="20"/>
              </w:rPr>
            </w:pPr>
            <w:r>
              <w:rPr>
                <w:b/>
                <w:sz w:val="20"/>
              </w:rPr>
              <w:t>Proposal Number</w:t>
            </w:r>
          </w:p>
        </w:tc>
        <w:tc>
          <w:tcPr>
            <w:tcW w:w="140" w:type="dxa"/>
            <w:tcBorders/>
            <w:tcMar>
              <w:bottom w:w="0" w:type="dxa"/>
            </w:tcMar>
            <w:vAlign w:val="center"/>
          </w:tcPr>
          <w:p>
            <w:pPr>
              <w:pStyle w:val="TableContents"/>
              <w:bidi w:val="0"/>
              <w:spacing w:before="0" w:after="283"/>
              <w:jc w:val="left"/>
              <w:rPr/>
            </w:pPr>
            <w:r>
              <w:rPr/>
              <w:t> </w:t>
            </w:r>
          </w:p>
        </w:tc>
        <w:tc>
          <w:tcPr>
            <w:tcW w:w="1507" w:type="dxa"/>
            <w:tcBorders>
              <w:bottom w:val="single" w:sz="12" w:space="0" w:color="000000"/>
            </w:tcBorders>
            <w:vAlign w:val="center"/>
          </w:tcPr>
          <w:p>
            <w:pPr>
              <w:pStyle w:val="TableContents"/>
              <w:bidi w:val="0"/>
              <w:spacing w:before="0" w:after="283"/>
              <w:jc w:val="center"/>
              <w:rPr>
                <w:b/>
                <w:sz w:val="20"/>
              </w:rPr>
            </w:pPr>
            <w:r>
              <w:rPr>
                <w:b/>
                <w:sz w:val="20"/>
              </w:rPr>
              <w:t>Proposal Description</w:t>
            </w:r>
          </w:p>
        </w:tc>
        <w:tc>
          <w:tcPr>
            <w:tcW w:w="140" w:type="dxa"/>
            <w:tcBorders/>
            <w:tcMar>
              <w:bottom w:w="0" w:type="dxa"/>
            </w:tcMar>
            <w:vAlign w:val="center"/>
          </w:tcPr>
          <w:p>
            <w:pPr>
              <w:pStyle w:val="TableContents"/>
              <w:bidi w:val="0"/>
              <w:spacing w:before="0" w:after="283"/>
              <w:jc w:val="left"/>
              <w:rPr/>
            </w:pPr>
            <w:r>
              <w:rPr/>
              <w:t> </w:t>
            </w:r>
          </w:p>
        </w:tc>
        <w:tc>
          <w:tcPr>
            <w:tcW w:w="5032" w:type="dxa"/>
            <w:tcBorders>
              <w:bottom w:val="single" w:sz="12" w:space="0" w:color="000000"/>
            </w:tcBorders>
            <w:vAlign w:val="center"/>
          </w:tcPr>
          <w:p>
            <w:pPr>
              <w:pStyle w:val="TableContents"/>
              <w:bidi w:val="0"/>
              <w:spacing w:before="0" w:after="283"/>
              <w:jc w:val="center"/>
              <w:rPr>
                <w:b/>
                <w:sz w:val="20"/>
              </w:rPr>
            </w:pPr>
            <w:r>
              <w:rPr>
                <w:b/>
                <w:sz w:val="20"/>
              </w:rPr>
              <w:t>Vote Required for Approval</w:t>
            </w:r>
          </w:p>
        </w:tc>
        <w:tc>
          <w:tcPr>
            <w:tcW w:w="140" w:type="dxa"/>
            <w:tcBorders/>
            <w:tcMar>
              <w:bottom w:w="0" w:type="dxa"/>
            </w:tcMar>
            <w:vAlign w:val="center"/>
          </w:tcPr>
          <w:p>
            <w:pPr>
              <w:pStyle w:val="TableContents"/>
              <w:bidi w:val="0"/>
              <w:spacing w:before="0" w:after="283"/>
              <w:jc w:val="left"/>
              <w:rPr/>
            </w:pPr>
            <w:r>
              <w:rPr/>
              <w:t> </w:t>
            </w:r>
          </w:p>
        </w:tc>
        <w:tc>
          <w:tcPr>
            <w:tcW w:w="105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Effect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c>
          <w:tcPr>
            <w:tcW w:w="140" w:type="dxa"/>
            <w:tcBorders/>
            <w:tcMar>
              <w:bottom w:w="0" w:type="dxa"/>
            </w:tcMar>
            <w:vAlign w:val="center"/>
          </w:tcPr>
          <w:p>
            <w:pPr>
              <w:pStyle w:val="TableContents"/>
              <w:bidi w:val="0"/>
              <w:spacing w:before="0" w:after="283"/>
              <w:jc w:val="left"/>
              <w:rPr/>
            </w:pPr>
            <w:r>
              <w:rPr/>
              <w:t> </w:t>
            </w:r>
          </w:p>
        </w:tc>
        <w:tc>
          <w:tcPr>
            <w:tcW w:w="1075" w:type="dxa"/>
            <w:tcBorders>
              <w:bottom w:val="single" w:sz="12" w:space="0" w:color="000000"/>
            </w:tcBorders>
            <w:vAlign w:val="center"/>
          </w:tcPr>
          <w:p>
            <w:pPr>
              <w:pStyle w:val="TableContents"/>
              <w:bidi w:val="0"/>
              <w:spacing w:before="0" w:after="283"/>
              <w:jc w:val="center"/>
              <w:rPr>
                <w:b/>
                <w:sz w:val="20"/>
              </w:rPr>
            </w:pPr>
            <w:r>
              <w:rPr>
                <w:b/>
                <w:sz w:val="20"/>
              </w:rPr>
              <w:t xml:space="preserve">Effect of Broker </w:t>
              <w:br/>
              <w:t xml:space="preserve">Non-Votes </w:t>
            </w:r>
          </w:p>
        </w:tc>
      </w:tr>
      <w:tr>
        <w:trPr/>
        <w:tc>
          <w:tcPr>
            <w:tcW w:w="981" w:type="dxa"/>
            <w:tcBorders/>
            <w:shd w:fill="CCEEFF" w:val="clear"/>
            <w:tcMar>
              <w:bottom w:w="0" w:type="dxa"/>
            </w:tcMar>
            <w:vAlign w:val="center"/>
          </w:tcPr>
          <w:p>
            <w:pPr>
              <w:pStyle w:val="TableContents"/>
              <w:bidi w:val="0"/>
              <w:spacing w:before="0" w:after="283"/>
              <w:jc w:val="left"/>
              <w:rPr>
                <w:sz w:val="20"/>
              </w:rPr>
            </w:pPr>
            <w:r>
              <w:rPr>
                <w:sz w:val="20"/>
              </w:rPr>
              <w:t>1.</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507" w:type="dxa"/>
            <w:tcBorders/>
            <w:shd w:fill="CCEEFF" w:val="clear"/>
            <w:tcMar>
              <w:bottom w:w="0" w:type="dxa"/>
            </w:tcMar>
            <w:vAlign w:val="center"/>
          </w:tcPr>
          <w:p>
            <w:pPr>
              <w:pStyle w:val="TableContents"/>
              <w:bidi w:val="0"/>
              <w:spacing w:before="0" w:after="283"/>
              <w:jc w:val="left"/>
              <w:rPr>
                <w:sz w:val="20"/>
              </w:rPr>
            </w:pPr>
            <w:r>
              <w:rPr>
                <w:sz w:val="20"/>
              </w:rPr>
              <w:t>Election of Directors Proposal</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032" w:type="dxa"/>
            <w:tcBorders/>
            <w:shd w:fill="CCEEFF" w:val="clear"/>
            <w:tcMar>
              <w:bottom w:w="0" w:type="dxa"/>
            </w:tcMar>
            <w:vAlign w:val="center"/>
          </w:tcPr>
          <w:p>
            <w:pPr>
              <w:pStyle w:val="TableContents"/>
              <w:bidi w:val="0"/>
              <w:spacing w:before="0" w:after="283"/>
              <w:jc w:val="left"/>
              <w:rPr>
                <w:sz w:val="20"/>
              </w:rPr>
            </w:pPr>
            <w:r>
              <w:rPr>
                <w:sz w:val="20"/>
              </w:rPr>
              <w:t>Nominees receiving the most “For” votes; withheld votes will have no effect</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0" w:type="dxa"/>
            <w:tcBorders/>
            <w:shd w:fill="CCEEFF" w:val="clear"/>
            <w:tcMar>
              <w:bottom w:w="0" w:type="dxa"/>
            </w:tcMar>
            <w:vAlign w:val="center"/>
          </w:tcPr>
          <w:p>
            <w:pPr>
              <w:pStyle w:val="TableContents"/>
              <w:bidi w:val="0"/>
              <w:spacing w:before="0" w:after="283"/>
              <w:jc w:val="center"/>
              <w:rPr>
                <w:sz w:val="20"/>
              </w:rPr>
            </w:pPr>
            <w:r>
              <w:rPr>
                <w:sz w:val="20"/>
              </w:rPr>
              <w:t>Not applicable</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center"/>
              <w:rPr>
                <w:sz w:val="20"/>
              </w:rPr>
            </w:pPr>
            <w:r>
              <w:rPr>
                <w:sz w:val="20"/>
              </w:rPr>
              <w:t xml:space="preserve">No effect </w:t>
            </w:r>
          </w:p>
        </w:tc>
      </w:tr>
      <w:tr>
        <w:trPr/>
        <w:tc>
          <w:tcPr>
            <w:tcW w:w="981"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507"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032"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0" w:type="dxa"/>
            <w:tcBorders/>
            <w:shd w:fill="FFFFFF" w:val="clear"/>
            <w:tcMar>
              <w:bottom w:w="0" w:type="dxa"/>
            </w:tcMar>
            <w:vAlign w:val="center"/>
          </w:tcPr>
          <w:p>
            <w:pPr>
              <w:pStyle w:val="TableContents"/>
              <w:bidi w:val="0"/>
              <w:spacing w:before="0" w:after="283"/>
              <w:jc w:val="center"/>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75" w:type="dxa"/>
            <w:tcBorders/>
            <w:shd w:fill="FFFFFF" w:val="clear"/>
            <w:tcMar>
              <w:bottom w:w="0" w:type="dxa"/>
            </w:tcMar>
            <w:vAlign w:val="center"/>
          </w:tcPr>
          <w:p>
            <w:pPr>
              <w:pStyle w:val="TableContents"/>
              <w:bidi w:val="0"/>
              <w:spacing w:before="0" w:after="283"/>
              <w:jc w:val="center"/>
              <w:rPr/>
            </w:pPr>
            <w:r>
              <w:rPr/>
              <w:t> </w:t>
            </w:r>
          </w:p>
        </w:tc>
      </w:tr>
      <w:tr>
        <w:trPr/>
        <w:tc>
          <w:tcPr>
            <w:tcW w:w="981" w:type="dxa"/>
            <w:tcBorders/>
            <w:shd w:fill="CCEEFF" w:val="clear"/>
            <w:tcMar>
              <w:bottom w:w="0" w:type="dxa"/>
            </w:tcMar>
            <w:vAlign w:val="center"/>
          </w:tcPr>
          <w:p>
            <w:pPr>
              <w:pStyle w:val="TableContents"/>
              <w:bidi w:val="0"/>
              <w:spacing w:before="0" w:after="283"/>
              <w:jc w:val="left"/>
              <w:rPr>
                <w:sz w:val="20"/>
              </w:rPr>
            </w:pPr>
            <w:r>
              <w:rPr>
                <w:sz w:val="20"/>
              </w:rPr>
              <w:t>2.</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507" w:type="dxa"/>
            <w:tcBorders/>
            <w:shd w:fill="CCEEFF" w:val="clear"/>
            <w:tcMar>
              <w:bottom w:w="0" w:type="dxa"/>
            </w:tcMar>
            <w:vAlign w:val="center"/>
          </w:tcPr>
          <w:p>
            <w:pPr>
              <w:pStyle w:val="TableContents"/>
              <w:bidi w:val="0"/>
              <w:spacing w:before="0" w:after="283"/>
              <w:jc w:val="left"/>
              <w:rPr>
                <w:sz w:val="20"/>
              </w:rPr>
            </w:pPr>
            <w:r>
              <w:rPr>
                <w:sz w:val="20"/>
              </w:rPr>
              <w:t>Auditor Ratification Proposal</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032" w:type="dxa"/>
            <w:tcBorders/>
            <w:shd w:fill="CCEEFF" w:val="clear"/>
            <w:tcMar>
              <w:bottom w:w="0" w:type="dxa"/>
            </w:tcMar>
            <w:vAlign w:val="center"/>
          </w:tcPr>
          <w:p>
            <w:pPr>
              <w:pStyle w:val="TableContents"/>
              <w:bidi w:val="0"/>
              <w:spacing w:before="0" w:after="283"/>
              <w:jc w:val="left"/>
              <w:rPr/>
            </w:pPr>
            <w:r>
              <w:rPr/>
              <w:t>“</w:t>
            </w:r>
            <w:r>
              <w:rPr>
                <w:sz w:val="20"/>
              </w:rPr>
              <w:t>For” votes from the holders of a majority of the voting power of the votes cast by the holders of all the shares present or represented by proxy at the meeting and voting affirmatively or negatively on such matter</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0" w:type="dxa"/>
            <w:tcBorders/>
            <w:shd w:fill="CCEEFF" w:val="clear"/>
            <w:tcMar>
              <w:bottom w:w="0" w:type="dxa"/>
            </w:tcMar>
            <w:vAlign w:val="center"/>
          </w:tcPr>
          <w:p>
            <w:pPr>
              <w:pStyle w:val="TableContents"/>
              <w:bidi w:val="0"/>
              <w:spacing w:before="0" w:after="283"/>
              <w:jc w:val="center"/>
              <w:rPr>
                <w:sz w:val="20"/>
              </w:rPr>
            </w:pPr>
            <w:r>
              <w:rPr>
                <w:sz w:val="20"/>
              </w:rPr>
              <w:t>No effect</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w:t>
            </w:r>
          </w:p>
        </w:tc>
      </w:tr>
      <w:tr>
        <w:trPr/>
        <w:tc>
          <w:tcPr>
            <w:tcW w:w="981"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507"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032"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0" w:type="dxa"/>
            <w:tcBorders/>
            <w:shd w:fill="FFFFFF" w:val="clear"/>
            <w:tcMar>
              <w:bottom w:w="0" w:type="dxa"/>
            </w:tcMar>
            <w:vAlign w:val="center"/>
          </w:tcPr>
          <w:p>
            <w:pPr>
              <w:pStyle w:val="TableContents"/>
              <w:bidi w:val="0"/>
              <w:spacing w:before="0" w:after="283"/>
              <w:jc w:val="center"/>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75" w:type="dxa"/>
            <w:tcBorders/>
            <w:shd w:fill="FFFFFF" w:val="clear"/>
            <w:tcMar>
              <w:bottom w:w="0" w:type="dxa"/>
            </w:tcMar>
            <w:vAlign w:val="center"/>
          </w:tcPr>
          <w:p>
            <w:pPr>
              <w:pStyle w:val="TableContents"/>
              <w:bidi w:val="0"/>
              <w:spacing w:before="0" w:after="283"/>
              <w:jc w:val="left"/>
              <w:rPr/>
            </w:pPr>
            <w:r>
              <w:rPr/>
              <w:t> </w:t>
            </w:r>
          </w:p>
        </w:tc>
      </w:tr>
      <w:tr>
        <w:trPr/>
        <w:tc>
          <w:tcPr>
            <w:tcW w:w="981" w:type="dxa"/>
            <w:tcBorders/>
            <w:shd w:fill="CCEEFF" w:val="clear"/>
            <w:tcMar>
              <w:bottom w:w="0" w:type="dxa"/>
            </w:tcMar>
            <w:vAlign w:val="center"/>
          </w:tcPr>
          <w:p>
            <w:pPr>
              <w:pStyle w:val="TableContents"/>
              <w:bidi w:val="0"/>
              <w:spacing w:before="0" w:after="283"/>
              <w:jc w:val="left"/>
              <w:rPr>
                <w:sz w:val="20"/>
              </w:rPr>
            </w:pPr>
            <w:r>
              <w:rPr>
                <w:sz w:val="20"/>
              </w:rPr>
              <w:t>3.</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507" w:type="dxa"/>
            <w:tcBorders/>
            <w:shd w:fill="CCEEFF" w:val="clear"/>
            <w:tcMar>
              <w:bottom w:w="0" w:type="dxa"/>
            </w:tcMar>
            <w:vAlign w:val="center"/>
          </w:tcPr>
          <w:p>
            <w:pPr>
              <w:pStyle w:val="TableContents"/>
              <w:bidi w:val="0"/>
              <w:spacing w:before="0" w:after="283"/>
              <w:jc w:val="left"/>
              <w:rPr>
                <w:sz w:val="20"/>
              </w:rPr>
            </w:pPr>
            <w:r>
              <w:rPr>
                <w:sz w:val="20"/>
              </w:rPr>
              <w:t>Lincoln Park Stock Issuance Proposal</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032" w:type="dxa"/>
            <w:tcBorders/>
            <w:shd w:fill="CCEEFF" w:val="clear"/>
            <w:tcMar>
              <w:bottom w:w="0" w:type="dxa"/>
            </w:tcMar>
            <w:vAlign w:val="center"/>
          </w:tcPr>
          <w:p>
            <w:pPr>
              <w:pStyle w:val="TableContents"/>
              <w:bidi w:val="0"/>
              <w:spacing w:before="0" w:after="283"/>
              <w:jc w:val="left"/>
              <w:rPr/>
            </w:pPr>
            <w:r>
              <w:rPr/>
              <w:t>“</w:t>
            </w:r>
            <w:r>
              <w:rPr>
                <w:sz w:val="20"/>
              </w:rPr>
              <w:t>For” votes from the holders of a majority of the voting power of the votes cast by the holders of all the shares present or represented by proxy at the meeting and voting affirmatively or negatively on such matter</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0" w:type="dxa"/>
            <w:tcBorders/>
            <w:shd w:fill="CCEEFF" w:val="clear"/>
            <w:tcMar>
              <w:bottom w:w="0" w:type="dxa"/>
            </w:tcMar>
            <w:vAlign w:val="center"/>
          </w:tcPr>
          <w:p>
            <w:pPr>
              <w:pStyle w:val="TableContents"/>
              <w:bidi w:val="0"/>
              <w:spacing w:before="0" w:after="283"/>
              <w:jc w:val="center"/>
              <w:rPr>
                <w:sz w:val="20"/>
              </w:rPr>
            </w:pPr>
            <w:r>
              <w:rPr>
                <w:sz w:val="20"/>
              </w:rPr>
              <w:t>No effect</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center"/>
              <w:rPr>
                <w:sz w:val="20"/>
              </w:rPr>
            </w:pPr>
            <w:r>
              <w:rPr>
                <w:sz w:val="20"/>
              </w:rPr>
              <w:t xml:space="preserve">No effect </w:t>
            </w:r>
          </w:p>
        </w:tc>
      </w:tr>
      <w:tr>
        <w:trPr/>
        <w:tc>
          <w:tcPr>
            <w:tcW w:w="981"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507"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032"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0" w:type="dxa"/>
            <w:tcBorders/>
            <w:shd w:fill="FFFFFF" w:val="clear"/>
            <w:tcMar>
              <w:bottom w:w="0" w:type="dxa"/>
            </w:tcMar>
            <w:vAlign w:val="center"/>
          </w:tcPr>
          <w:p>
            <w:pPr>
              <w:pStyle w:val="TableContents"/>
              <w:bidi w:val="0"/>
              <w:spacing w:before="0" w:after="283"/>
              <w:jc w:val="center"/>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75" w:type="dxa"/>
            <w:tcBorders/>
            <w:shd w:fill="FFFFFF" w:val="clear"/>
            <w:tcMar>
              <w:bottom w:w="0" w:type="dxa"/>
            </w:tcMar>
            <w:vAlign w:val="center"/>
          </w:tcPr>
          <w:p>
            <w:pPr>
              <w:pStyle w:val="TableContents"/>
              <w:bidi w:val="0"/>
              <w:spacing w:before="0" w:after="283"/>
              <w:jc w:val="center"/>
              <w:rPr/>
            </w:pPr>
            <w:r>
              <w:rPr/>
              <w:t> </w:t>
            </w:r>
          </w:p>
        </w:tc>
      </w:tr>
      <w:tr>
        <w:trPr/>
        <w:tc>
          <w:tcPr>
            <w:tcW w:w="981" w:type="dxa"/>
            <w:tcBorders/>
            <w:shd w:fill="CCEEFF" w:val="clear"/>
            <w:tcMar>
              <w:bottom w:w="0" w:type="dxa"/>
            </w:tcMar>
            <w:vAlign w:val="center"/>
          </w:tcPr>
          <w:p>
            <w:pPr>
              <w:pStyle w:val="TableContents"/>
              <w:bidi w:val="0"/>
              <w:spacing w:before="0" w:after="283"/>
              <w:jc w:val="left"/>
              <w:rPr>
                <w:sz w:val="20"/>
              </w:rPr>
            </w:pPr>
            <w:r>
              <w:rPr>
                <w:sz w:val="20"/>
              </w:rPr>
              <w:t>4.</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507" w:type="dxa"/>
            <w:tcBorders/>
            <w:shd w:fill="CCEEFF" w:val="clear"/>
            <w:tcMar>
              <w:bottom w:w="0" w:type="dxa"/>
            </w:tcMar>
            <w:vAlign w:val="center"/>
          </w:tcPr>
          <w:p>
            <w:pPr>
              <w:pStyle w:val="TableContents"/>
              <w:bidi w:val="0"/>
              <w:spacing w:before="0" w:after="283"/>
              <w:jc w:val="left"/>
              <w:rPr>
                <w:sz w:val="20"/>
              </w:rPr>
            </w:pPr>
            <w:r>
              <w:rPr>
                <w:sz w:val="20"/>
              </w:rPr>
              <w:t>PIPE Proposal</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032" w:type="dxa"/>
            <w:tcBorders/>
            <w:shd w:fill="CCEEFF" w:val="clear"/>
            <w:tcMar>
              <w:bottom w:w="0" w:type="dxa"/>
            </w:tcMar>
            <w:vAlign w:val="center"/>
          </w:tcPr>
          <w:p>
            <w:pPr>
              <w:pStyle w:val="TableContents"/>
              <w:bidi w:val="0"/>
              <w:spacing w:before="0" w:after="283"/>
              <w:jc w:val="left"/>
              <w:rPr/>
            </w:pPr>
            <w:r>
              <w:rPr/>
              <w:t>“</w:t>
            </w:r>
            <w:r>
              <w:rPr>
                <w:sz w:val="20"/>
              </w:rPr>
              <w:t>For” votes from the holders of a majority of the voting power of the votes cast by the holders of all the shares present or represented by proxy at the meeting and voting affirmatively or negatively on such matter</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0" w:type="dxa"/>
            <w:tcBorders/>
            <w:shd w:fill="CCEEFF" w:val="clear"/>
            <w:tcMar>
              <w:bottom w:w="0" w:type="dxa"/>
            </w:tcMar>
            <w:vAlign w:val="center"/>
          </w:tcPr>
          <w:p>
            <w:pPr>
              <w:pStyle w:val="TableContents"/>
              <w:bidi w:val="0"/>
              <w:spacing w:before="0" w:after="283"/>
              <w:jc w:val="center"/>
              <w:rPr>
                <w:sz w:val="20"/>
              </w:rPr>
            </w:pPr>
            <w:r>
              <w:rPr>
                <w:sz w:val="20"/>
              </w:rPr>
              <w:t>No effect</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center"/>
              <w:rPr>
                <w:sz w:val="20"/>
              </w:rPr>
            </w:pPr>
            <w:r>
              <w:rPr>
                <w:sz w:val="20"/>
              </w:rPr>
              <w:t xml:space="preserve">No effect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sz w:val="20"/>
              </w:rPr>
            </w:pPr>
            <w:r>
              <w:rPr>
                <w:sz w:val="20"/>
              </w:rPr>
              <w:t>(1)</w:t>
            </w:r>
          </w:p>
        </w:tc>
        <w:tc>
          <w:tcPr>
            <w:tcW w:w="9982" w:type="dxa"/>
            <w:tcBorders/>
            <w:vAlign w:val="center"/>
          </w:tcPr>
          <w:p>
            <w:pPr>
              <w:pStyle w:val="TableContents"/>
              <w:bidi w:val="0"/>
              <w:spacing w:before="0" w:after="283"/>
              <w:jc w:val="left"/>
              <w:rPr>
                <w:sz w:val="20"/>
              </w:rPr>
            </w:pPr>
            <w:r>
              <w:rPr>
                <w:sz w:val="20"/>
              </w:rPr>
              <w:t>This proposal is considered to be a “routine” matter. Accordingly, if you hold your shares in street name and do not provide voting instructions to your broker, bank or other agent that holds your shares, your broker, bank or other agent has discretionary authority to vote your shares on this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What is the quorum requirement?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of stockholders is necessary to hold a valid meeting. A quorum will be present if stockholders holding at least a majority of the outstanding shares entitled to vote are present at the meeting or represented by proxy. On the Record Date, there were [____] shares outstanding and entitled to vote. Thus, the holders of [____] shares must be present or represented by proxy at the meeting to have a quorum.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shares will be counted toward the quorum only if you submit a valid proxy (or one is submitted on your behalf by your broker, bank or other nominee) or if you vote online at the Annual Meeting. Abstentions and broker non-votes will be counted toward the quorum requirement. If there is no quorum, either the chairperson of the meeting or the holders of a majority of shares present at the meeting or represented by proxy may adjourn the meeting to another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ask a question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Only stockholders of record as of the Record Date may submit questions or comments at the Annual Meeting. If you would like to submit a question, you may do so by joining the virtual meeting at </w:t>
      </w:r>
      <w:r>
        <w:rPr>
          <w:rFonts w:ascii="Times New Roman;Times;Serif" w:hAnsi="Times New Roman;Times;Serif"/>
          <w:b w:val="false"/>
          <w:i/>
          <w:caps w:val="false"/>
          <w:smallCaps w:val="false"/>
          <w:sz w:val="20"/>
        </w:rPr>
        <w:t xml:space="preserve">www.virtualshareholdermeeting.com/TPST2026 </w:t>
      </w:r>
      <w:r>
        <w:rPr>
          <w:rFonts w:ascii="Times New Roman;Times;Serif" w:hAnsi="Times New Roman;Times;Serif"/>
          <w:b w:val="false"/>
          <w:i w:val="false"/>
          <w:caps w:val="false"/>
          <w:smallCaps w:val="false"/>
          <w:sz w:val="20"/>
        </w:rPr>
        <w:t>and typing your question in the box in the meeting portal.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help ensure that we have a productive and efficient meeting, and in fairness to all stockholders in attendance, you will also find posted our rules of conduct for the Annual Meeting when you log in prior to the start of the Annual Meeting. In accordance with the rules of conduct, we ask that you limit your questions and remarks to those that are relevant to the proposals at the Annual Meeting. Our management may group questions by topic with a representative question read aloud and answered. In addition, questions may be ruled out of order if they are, among other things, irrelevant to the proposals at the Annual Meeting, related to pending or threatened litigation, disorderly, repetitious of statements already made, or in furtherance of the speaker’s own personal, political or business interests.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How can I find out the results of the voting at the Annual Meeting?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What proxy materials are available on the internet?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proxy statement and annual report to stockholders are available at </w:t>
      </w:r>
      <w:r>
        <w:rPr>
          <w:rFonts w:ascii="Times New Roman;Times;Serif" w:hAnsi="Times New Roman;Times;Serif"/>
          <w:b w:val="false"/>
          <w:i/>
          <w:caps w:val="false"/>
          <w:smallCaps w:val="false"/>
          <w:sz w:val="20"/>
        </w:rPr>
        <w:t>ir.tempesttx.com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is the Company proposing each of the Lincoln Park Stock Issuance Proposal and the PIPE Proposal?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SPA, the Company agreed to seek approval from its stockholders for the issuance of the shares issuable upon exercise of the PIPE Warrants within 90 days following the date of the SPA (the “</w:t>
      </w:r>
      <w:r>
        <w:rPr>
          <w:rFonts w:ascii="Times New Roman;Times;Serif" w:hAnsi="Times New Roman;Times;Serif"/>
          <w:b/>
          <w:i/>
          <w:caps w:val="false"/>
          <w:smallCaps w:val="false"/>
          <w:sz w:val="20"/>
        </w:rPr>
        <w:t>PIPE Stockholder Approval</w:t>
      </w:r>
      <w:r>
        <w:rPr>
          <w:rFonts w:ascii="Times New Roman;Times;Serif" w:hAnsi="Times New Roman;Times;Serif"/>
          <w:b w:val="false"/>
          <w:i w:val="false"/>
          <w:caps w:val="false"/>
          <w:smallCaps w:val="false"/>
          <w:sz w:val="20"/>
        </w:rPr>
        <w:t>”). Pursuant to the Lincoln Park Purchase Agreement, the aggregate number of shares of common stock that the Company may issue to Lincoln Park under the Purchase Agreement cannot exceed 19.99% of the shares of common stock issued and outstanding immediately prior to the execution of the Purchase Agreement (the “</w:t>
      </w:r>
      <w:r>
        <w:rPr>
          <w:rFonts w:ascii="Times New Roman;Times;Serif" w:hAnsi="Times New Roman;Times;Serif"/>
          <w:b/>
          <w:i/>
          <w:caps w:val="false"/>
          <w:smallCaps w:val="false"/>
          <w:sz w:val="20"/>
        </w:rPr>
        <w:t>Exchange Cap</w:t>
      </w:r>
      <w:r>
        <w:rPr>
          <w:rFonts w:ascii="Times New Roman;Times;Serif" w:hAnsi="Times New Roman;Times;Serif"/>
          <w:b w:val="false"/>
          <w:i w:val="false"/>
          <w:caps w:val="false"/>
          <w:smallCaps w:val="false"/>
          <w:sz w:val="20"/>
        </w:rPr>
        <w:t>”) or 3,195,881 shares of common stock, unless (i) the Company first obtains stockholder approval to issue shares of common stock in excess of the Exchange Cap in accordance with applicable Nasdaq listing rules, or (ii) at the time the Company has issued shares of common stock equal to the Exchange Cap and at all times thereafter, the average price per share of common stock for all shares of common stock sold by the Company to Lincoln Park under the Purchase Agreement equals or exceeds $1.3854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C Warrants will become exercisable on the effective date of the PIPE Stockholder Approval (the “</w:t>
      </w:r>
      <w:r>
        <w:rPr>
          <w:rFonts w:ascii="Times New Roman;Times;Serif" w:hAnsi="Times New Roman;Times;Serif"/>
          <w:b/>
          <w:i/>
          <w:caps w:val="false"/>
          <w:smallCaps w:val="false"/>
          <w:sz w:val="20"/>
        </w:rPr>
        <w:t>PIPE Stockholder Approval Date</w:t>
      </w:r>
      <w:r>
        <w:rPr>
          <w:rFonts w:ascii="Times New Roman;Times;Serif" w:hAnsi="Times New Roman;Times;Serif"/>
          <w:b w:val="false"/>
          <w:i w:val="false"/>
          <w:caps w:val="false"/>
          <w:smallCaps w:val="false"/>
          <w:sz w:val="20"/>
        </w:rPr>
        <w:t>”) and have a term of six years from the later of the PIPE Stockholder Approval Date and the Effectiveness Date. The Series D Warrants will become exercisable on the PIPE Stockholder Approval Date and have a term of three years from the later of the PIPE Stockholder Approval Date and the Effectiveness Date. The “</w:t>
      </w:r>
      <w:r>
        <w:rPr>
          <w:rFonts w:ascii="Times New Roman;Times;Serif" w:hAnsi="Times New Roman;Times;Serif"/>
          <w:b/>
          <w:i/>
          <w:caps w:val="false"/>
          <w:smallCaps w:val="false"/>
          <w:sz w:val="20"/>
        </w:rPr>
        <w:t>Effectiveness Date</w:t>
      </w:r>
      <w:r>
        <w:rPr>
          <w:rFonts w:ascii="Times New Roman;Times;Serif" w:hAnsi="Times New Roman;Times;Serif"/>
          <w:b w:val="false"/>
          <w:i w:val="false"/>
          <w:caps w:val="false"/>
          <w:smallCaps w:val="false"/>
          <w:sz w:val="20"/>
        </w:rPr>
        <w:t>” means the date on which the registration statement registering the resale of the shares of common stock underlying the PIPE Warrants is declared effective by the SEC pursuant to the registration rights agreement entered into in connection with the private placement.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stockholder approval of the stock issuances described above in order to comply with Nasdaq Listing Rule 5635(d), as applicable.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5635(d) requires stockholder approval of transactions other than a public offering involving the sale or issuance by the issuer of common stock (or securities convertible into or exercisable for common stock) equal to 20% or more of the common stock or 20% or more of the voting power outstanding before the issuance for a price that is less than the lower of: (i) the closing price of the common stock immediately preceding the signing of the binding agreement for the issuance of such securities; or (ii) the average closing price of the common stock for the five trading days immediately preceding the signing of the binding agreement for the issuance of such securities (the “</w:t>
      </w:r>
      <w:r>
        <w:rPr>
          <w:rFonts w:ascii="Times New Roman;Times;Serif" w:hAnsi="Times New Roman;Times;Serif"/>
          <w:b/>
          <w:i/>
          <w:caps w:val="false"/>
          <w:smallCaps w:val="false"/>
          <w:sz w:val="20"/>
        </w:rPr>
        <w:t>Minimum Price</w:t>
      </w:r>
      <w:r>
        <w:rPr>
          <w:rFonts w:ascii="Times New Roman;Times;Serif" w:hAnsi="Times New Roman;Times;Serif"/>
          <w:b w:val="false"/>
          <w:i w:val="false"/>
          <w:caps w:val="false"/>
          <w:smallCaps w:val="false"/>
          <w:sz w:val="20"/>
        </w:rPr>
        <w:t>”), regardless of whether such shares are issued to one person or group or are more widely distributed.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PROPOSAL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ELECTION OF DIRECTORS PROPOSAL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divided into three classes. Each class consists, as nearly as possible,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presently has five members. There are two directors in Class II, which is the class whose term of office expires at the Annual Meeting. Upon the recommendation of the Nominating and Corporate Governance Committee, our Board has nominated each of Dr. John David Yee and Mr. William Drake Richey for election as a director at the Annual Meeting. Each nominee currently serves as a director of the Company who was previously elected by the directors of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biographies below under “Information Regarding Director Nominees and Continuing Directors” include information, as of the date of this proxy statement, regarding the experience, qualifications, attributes and skills of each director nominee that led the Nominating and Corporate Governance Committee to recommend each nominee for election to the Board. If elected, each nominee will hold office until the 2029 Annual Meeting of Stockholders and until his successor has been duly elected and qualified, or until his earlier death, resignation or removal. Each nominee currently serves on our Board and has consented to be named in this proxy statement and to serve if elected.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nominee becomes unavailable for election, the persons named as proxies may vote for a substitute nominee designated by the Board, unless the Board reduces the authorized number of directors.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executive officers or directors.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OF DIRECTORS RECOMMENDS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VOTE “FOR” THE ELECTION OF EACH NOMINEE.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 xml:space="preserve">INFORMATION REGARDING DIRECTOR NOMINEES AND CONTINUING DIRECTORS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for the Class II nominees and our other continuing directors, their ages and position or office held with us as of the date of this proxy statement:</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90"/>
        <w:gridCol w:w="140"/>
        <w:gridCol w:w="350"/>
        <w:gridCol w:w="140"/>
        <w:gridCol w:w="3157"/>
        <w:gridCol w:w="140"/>
        <w:gridCol w:w="788"/>
      </w:tblGrid>
      <w:tr>
        <w:trPr/>
        <w:tc>
          <w:tcPr>
            <w:tcW w:w="5490" w:type="dxa"/>
            <w:tcBorders>
              <w:bottom w:val="single" w:sz="12" w:space="0" w:color="000000"/>
            </w:tcBorders>
            <w:vAlign w:val="center"/>
          </w:tcPr>
          <w:p>
            <w:pPr>
              <w:pStyle w:val="TableContents"/>
              <w:bidi w:val="0"/>
              <w:spacing w:before="0" w:after="283"/>
              <w:ind w:left="0" w:right="0" w:hanging="180"/>
              <w:jc w:val="left"/>
              <w:rPr>
                <w:b/>
                <w:sz w:val="20"/>
              </w:rPr>
            </w:pPr>
            <w:r>
              <w:rPr>
                <w:b/>
                <w:sz w:val="20"/>
              </w:rPr>
              <w:t>Name</w:t>
            </w:r>
          </w:p>
        </w:tc>
        <w:tc>
          <w:tcPr>
            <w:tcW w:w="14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b/>
                <w:sz w:val="20"/>
              </w:rPr>
            </w:pPr>
            <w:r>
              <w:rPr>
                <w:b/>
                <w:sz w:val="20"/>
              </w:rPr>
              <w:t>Age</w:t>
            </w:r>
          </w:p>
        </w:tc>
        <w:tc>
          <w:tcPr>
            <w:tcW w:w="140" w:type="dxa"/>
            <w:tcBorders/>
            <w:tcMar>
              <w:bottom w:w="0" w:type="dxa"/>
            </w:tcMar>
            <w:vAlign w:val="center"/>
          </w:tcPr>
          <w:p>
            <w:pPr>
              <w:pStyle w:val="TableContents"/>
              <w:bidi w:val="0"/>
              <w:spacing w:before="0" w:after="283"/>
              <w:jc w:val="left"/>
              <w:rPr/>
            </w:pPr>
            <w:r>
              <w:rPr/>
              <w:t> </w:t>
            </w:r>
          </w:p>
        </w:tc>
        <w:tc>
          <w:tcPr>
            <w:tcW w:w="3157" w:type="dxa"/>
            <w:tcBorders>
              <w:bottom w:val="single" w:sz="12" w:space="0" w:color="000000"/>
            </w:tcBorders>
            <w:vAlign w:val="center"/>
          </w:tcPr>
          <w:p>
            <w:pPr>
              <w:pStyle w:val="TableContents"/>
              <w:bidi w:val="0"/>
              <w:spacing w:before="0" w:after="283"/>
              <w:jc w:val="center"/>
              <w:rPr>
                <w:b/>
                <w:sz w:val="20"/>
              </w:rPr>
            </w:pPr>
            <w:r>
              <w:rPr>
                <w:b/>
                <w:sz w:val="20"/>
              </w:rPr>
              <w:t>Position</w:t>
            </w:r>
          </w:p>
        </w:tc>
        <w:tc>
          <w:tcPr>
            <w:tcW w:w="140" w:type="dxa"/>
            <w:tcBorders/>
            <w:tcMar>
              <w:bottom w:w="0" w:type="dxa"/>
            </w:tcMar>
            <w:vAlign w:val="center"/>
          </w:tcPr>
          <w:p>
            <w:pPr>
              <w:pStyle w:val="TableContents"/>
              <w:bidi w:val="0"/>
              <w:spacing w:before="0" w:after="283"/>
              <w:jc w:val="left"/>
              <w:rPr/>
            </w:pPr>
            <w:r>
              <w:rPr/>
              <w:t> </w:t>
            </w:r>
          </w:p>
        </w:tc>
        <w:tc>
          <w:tcPr>
            <w:tcW w:w="788"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 </w:t>
            </w:r>
          </w:p>
          <w:p>
            <w:pPr>
              <w:pStyle w:val="TableContents"/>
              <w:bidi w:val="0"/>
              <w:spacing w:before="0" w:after="0"/>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Since </w:t>
            </w:r>
          </w:p>
        </w:tc>
      </w:tr>
      <w:tr>
        <w:trPr/>
        <w:tc>
          <w:tcPr>
            <w:tcW w:w="5490" w:type="dxa"/>
            <w:tcBorders/>
            <w:shd w:fill="CCEEFF" w:val="clear"/>
            <w:tcMar>
              <w:bottom w:w="0" w:type="dxa"/>
            </w:tcMar>
            <w:vAlign w:val="center"/>
          </w:tcPr>
          <w:p>
            <w:pPr>
              <w:pStyle w:val="TableContents"/>
              <w:bidi w:val="0"/>
              <w:spacing w:before="0" w:after="283"/>
              <w:jc w:val="left"/>
              <w:rPr>
                <w:b/>
                <w:i/>
                <w:sz w:val="20"/>
              </w:rPr>
            </w:pPr>
            <w:r>
              <w:rPr>
                <w:b/>
                <w:i/>
                <w:sz w:val="20"/>
              </w:rPr>
              <w:t>Class II Nominees for Election at the 2026 Annual Meeting of Stockholders</w:t>
            </w:r>
          </w:p>
        </w:tc>
        <w:tc>
          <w:tcPr>
            <w:tcW w:w="14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3157" w:type="dxa"/>
            <w:tcBorders/>
            <w:shd w:fill="CCEEFF" w:val="clear"/>
            <w:tcMar>
              <w:bottom w:w="0" w:type="dxa"/>
            </w:tcMar>
            <w:vAlign w:val="center"/>
          </w:tcPr>
          <w:p>
            <w:pPr>
              <w:pStyle w:val="TableContents"/>
              <w:bidi w:val="0"/>
              <w:spacing w:before="0" w:after="283"/>
              <w:jc w:val="center"/>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88" w:type="dxa"/>
            <w:tcBorders/>
            <w:shd w:fill="CCEEFF" w:val="clear"/>
            <w:tcMar>
              <w:bottom w:w="0" w:type="dxa"/>
            </w:tcMar>
            <w:vAlign w:val="center"/>
          </w:tcPr>
          <w:p>
            <w:pPr>
              <w:pStyle w:val="TableContents"/>
              <w:bidi w:val="0"/>
              <w:spacing w:before="0" w:after="283"/>
              <w:ind w:left="0" w:right="0" w:hanging="180"/>
              <w:jc w:val="center"/>
              <w:rPr/>
            </w:pPr>
            <w:r>
              <w:rPr/>
              <w:t> </w:t>
            </w:r>
          </w:p>
        </w:tc>
      </w:tr>
      <w:tr>
        <w:trPr/>
        <w:tc>
          <w:tcPr>
            <w:tcW w:w="5490" w:type="dxa"/>
            <w:tcBorders/>
            <w:shd w:fill="CCEEFF" w:val="clear"/>
            <w:tcMar>
              <w:bottom w:w="0" w:type="dxa"/>
            </w:tcMar>
            <w:vAlign w:val="center"/>
          </w:tcPr>
          <w:p>
            <w:pPr>
              <w:pStyle w:val="TableContents"/>
              <w:bidi w:val="0"/>
              <w:spacing w:before="0" w:after="283"/>
              <w:jc w:val="left"/>
              <w:rPr>
                <w:sz w:val="20"/>
              </w:rPr>
            </w:pPr>
            <w:r>
              <w:rPr>
                <w:sz w:val="20"/>
              </w:rPr>
              <w:t>John David Yee</w:t>
            </w:r>
          </w:p>
        </w:tc>
        <w:tc>
          <w:tcPr>
            <w:tcW w:w="14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63</w:t>
            </w:r>
          </w:p>
        </w:tc>
        <w:tc>
          <w:tcPr>
            <w:tcW w:w="140" w:type="dxa"/>
            <w:tcBorders/>
            <w:shd w:fill="CCEEFF" w:val="clear"/>
            <w:tcMar>
              <w:bottom w:w="0" w:type="dxa"/>
            </w:tcMar>
            <w:vAlign w:val="center"/>
          </w:tcPr>
          <w:p>
            <w:pPr>
              <w:pStyle w:val="TableContents"/>
              <w:bidi w:val="0"/>
              <w:spacing w:before="0" w:after="283"/>
              <w:jc w:val="left"/>
              <w:rPr/>
            </w:pPr>
            <w:r>
              <w:rPr/>
              <w:t> </w:t>
            </w:r>
          </w:p>
        </w:tc>
        <w:tc>
          <w:tcPr>
            <w:tcW w:w="3157" w:type="dxa"/>
            <w:tcBorders/>
            <w:shd w:fill="CCEEFF" w:val="clear"/>
            <w:tcMar>
              <w:bottom w:w="0" w:type="dxa"/>
            </w:tcMar>
            <w:vAlign w:val="center"/>
          </w:tcPr>
          <w:p>
            <w:pPr>
              <w:pStyle w:val="TableContents"/>
              <w:bidi w:val="0"/>
              <w:spacing w:before="0" w:after="283"/>
              <w:jc w:val="center"/>
              <w:rPr>
                <w:sz w:val="20"/>
              </w:rPr>
            </w:pPr>
            <w:r>
              <w:rPr>
                <w:sz w:val="20"/>
              </w:rPr>
              <w:t>Director</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88"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 xml:space="preserve">2026 </w:t>
            </w:r>
          </w:p>
        </w:tc>
      </w:tr>
      <w:tr>
        <w:trPr/>
        <w:tc>
          <w:tcPr>
            <w:tcW w:w="5490" w:type="dxa"/>
            <w:tcBorders/>
            <w:shd w:fill="CCEEFF" w:val="clear"/>
            <w:tcMar>
              <w:bottom w:w="0" w:type="dxa"/>
            </w:tcMar>
            <w:vAlign w:val="center"/>
          </w:tcPr>
          <w:p>
            <w:pPr>
              <w:pStyle w:val="TableContents"/>
              <w:bidi w:val="0"/>
              <w:spacing w:before="0" w:after="283"/>
              <w:jc w:val="left"/>
              <w:rPr>
                <w:sz w:val="20"/>
              </w:rPr>
            </w:pPr>
            <w:r>
              <w:rPr>
                <w:sz w:val="20"/>
              </w:rPr>
              <w:t>William Drake Richey</w:t>
            </w:r>
          </w:p>
        </w:tc>
        <w:tc>
          <w:tcPr>
            <w:tcW w:w="14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44</w:t>
            </w:r>
          </w:p>
        </w:tc>
        <w:tc>
          <w:tcPr>
            <w:tcW w:w="140" w:type="dxa"/>
            <w:tcBorders/>
            <w:shd w:fill="CCEEFF" w:val="clear"/>
            <w:tcMar>
              <w:bottom w:w="0" w:type="dxa"/>
            </w:tcMar>
            <w:vAlign w:val="center"/>
          </w:tcPr>
          <w:p>
            <w:pPr>
              <w:pStyle w:val="TableContents"/>
              <w:bidi w:val="0"/>
              <w:spacing w:before="0" w:after="283"/>
              <w:jc w:val="left"/>
              <w:rPr/>
            </w:pPr>
            <w:r>
              <w:rPr/>
              <w:t> </w:t>
            </w:r>
          </w:p>
        </w:tc>
        <w:tc>
          <w:tcPr>
            <w:tcW w:w="3157" w:type="dxa"/>
            <w:tcBorders/>
            <w:shd w:fill="CCEEFF" w:val="clear"/>
            <w:tcMar>
              <w:bottom w:w="0" w:type="dxa"/>
            </w:tcMar>
            <w:vAlign w:val="center"/>
          </w:tcPr>
          <w:p>
            <w:pPr>
              <w:pStyle w:val="TableContents"/>
              <w:bidi w:val="0"/>
              <w:spacing w:before="0" w:after="283"/>
              <w:jc w:val="center"/>
              <w:rPr>
                <w:sz w:val="20"/>
              </w:rPr>
            </w:pPr>
            <w:r>
              <w:rPr>
                <w:sz w:val="20"/>
              </w:rPr>
              <w:t>Director</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88"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2026</w:t>
            </w:r>
          </w:p>
        </w:tc>
      </w:tr>
      <w:tr>
        <w:trPr/>
        <w:tc>
          <w:tcPr>
            <w:tcW w:w="5490" w:type="dxa"/>
            <w:tcBorders/>
            <w:shd w:fill="FFFFFF" w:val="clear"/>
            <w:tcMar>
              <w:bottom w:w="0" w:type="dxa"/>
            </w:tcMar>
            <w:vAlign w:val="center"/>
          </w:tcPr>
          <w:p>
            <w:pPr>
              <w:pStyle w:val="TableContents"/>
              <w:bidi w:val="0"/>
              <w:spacing w:before="0" w:after="283"/>
              <w:jc w:val="left"/>
              <w:rPr>
                <w:b/>
                <w:i/>
                <w:sz w:val="20"/>
              </w:rPr>
            </w:pPr>
            <w:r>
              <w:rPr>
                <w:b/>
                <w:i/>
                <w:sz w:val="20"/>
              </w:rPr>
              <w:t>Class III Directors Continuing in Office Until the 2027 Annual Meeting of Stockholders</w:t>
            </w:r>
          </w:p>
        </w:tc>
        <w:tc>
          <w:tcPr>
            <w:tcW w:w="14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3157" w:type="dxa"/>
            <w:tcBorders/>
            <w:shd w:fill="FFFFFF" w:val="clear"/>
            <w:tcMar>
              <w:bottom w:w="0" w:type="dxa"/>
            </w:tcMar>
            <w:vAlign w:val="center"/>
          </w:tcPr>
          <w:p>
            <w:pPr>
              <w:pStyle w:val="TableContents"/>
              <w:bidi w:val="0"/>
              <w:spacing w:before="0" w:after="283"/>
              <w:jc w:val="center"/>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88"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5490" w:type="dxa"/>
            <w:tcBorders/>
            <w:shd w:fill="FFFFFF" w:val="clear"/>
            <w:tcMar>
              <w:bottom w:w="0" w:type="dxa"/>
            </w:tcMar>
            <w:vAlign w:val="center"/>
          </w:tcPr>
          <w:p>
            <w:pPr>
              <w:pStyle w:val="TableContents"/>
              <w:bidi w:val="0"/>
              <w:spacing w:before="0" w:after="283"/>
              <w:jc w:val="left"/>
              <w:rPr>
                <w:sz w:val="20"/>
              </w:rPr>
            </w:pPr>
            <w:r>
              <w:rPr>
                <w:sz w:val="20"/>
              </w:rPr>
              <w:t>Nancy Freda-Smith</w:t>
            </w:r>
          </w:p>
        </w:tc>
        <w:tc>
          <w:tcPr>
            <w:tcW w:w="14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54</w:t>
            </w:r>
          </w:p>
        </w:tc>
        <w:tc>
          <w:tcPr>
            <w:tcW w:w="140" w:type="dxa"/>
            <w:tcBorders/>
            <w:shd w:fill="FFFFFF" w:val="clear"/>
            <w:tcMar>
              <w:bottom w:w="0" w:type="dxa"/>
            </w:tcMar>
            <w:vAlign w:val="center"/>
          </w:tcPr>
          <w:p>
            <w:pPr>
              <w:pStyle w:val="TableContents"/>
              <w:bidi w:val="0"/>
              <w:spacing w:before="0" w:after="283"/>
              <w:jc w:val="left"/>
              <w:rPr/>
            </w:pPr>
            <w:r>
              <w:rPr/>
              <w:t> </w:t>
            </w:r>
          </w:p>
        </w:tc>
        <w:tc>
          <w:tcPr>
            <w:tcW w:w="3157" w:type="dxa"/>
            <w:tcBorders/>
            <w:shd w:fill="FFFFFF" w:val="clear"/>
            <w:tcMar>
              <w:bottom w:w="0" w:type="dxa"/>
            </w:tcMar>
            <w:vAlign w:val="center"/>
          </w:tcPr>
          <w:p>
            <w:pPr>
              <w:pStyle w:val="TableContents"/>
              <w:bidi w:val="0"/>
              <w:spacing w:before="0" w:after="283"/>
              <w:jc w:val="center"/>
              <w:rPr>
                <w:sz w:val="20"/>
              </w:rPr>
            </w:pPr>
            <w:r>
              <w:rPr>
                <w:sz w:val="20"/>
              </w:rPr>
              <w:t>Director</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88"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 xml:space="preserve">2026 </w:t>
            </w:r>
          </w:p>
        </w:tc>
      </w:tr>
      <w:tr>
        <w:trPr/>
        <w:tc>
          <w:tcPr>
            <w:tcW w:w="5490" w:type="dxa"/>
            <w:tcBorders/>
            <w:shd w:fill="FFFFFF" w:val="clear"/>
            <w:tcMar>
              <w:bottom w:w="0" w:type="dxa"/>
            </w:tcMar>
            <w:vAlign w:val="center"/>
          </w:tcPr>
          <w:p>
            <w:pPr>
              <w:pStyle w:val="TableContents"/>
              <w:bidi w:val="0"/>
              <w:spacing w:before="0" w:after="283"/>
              <w:jc w:val="left"/>
              <w:rPr>
                <w:sz w:val="20"/>
              </w:rPr>
            </w:pPr>
            <w:r>
              <w:rPr>
                <w:sz w:val="20"/>
              </w:rPr>
              <w:t>John Frederick</w:t>
            </w:r>
          </w:p>
        </w:tc>
        <w:tc>
          <w:tcPr>
            <w:tcW w:w="14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63</w:t>
            </w:r>
          </w:p>
        </w:tc>
        <w:tc>
          <w:tcPr>
            <w:tcW w:w="140" w:type="dxa"/>
            <w:tcBorders/>
            <w:shd w:fill="FFFFFF" w:val="clear"/>
            <w:tcMar>
              <w:bottom w:w="0" w:type="dxa"/>
            </w:tcMar>
            <w:vAlign w:val="center"/>
          </w:tcPr>
          <w:p>
            <w:pPr>
              <w:pStyle w:val="TableContents"/>
              <w:bidi w:val="0"/>
              <w:spacing w:before="0" w:after="283"/>
              <w:jc w:val="left"/>
              <w:rPr/>
            </w:pPr>
            <w:r>
              <w:rPr/>
              <w:t> </w:t>
            </w:r>
          </w:p>
        </w:tc>
        <w:tc>
          <w:tcPr>
            <w:tcW w:w="3157" w:type="dxa"/>
            <w:tcBorders/>
            <w:shd w:fill="FFFFFF" w:val="clear"/>
            <w:tcMar>
              <w:bottom w:w="0" w:type="dxa"/>
            </w:tcMar>
            <w:vAlign w:val="center"/>
          </w:tcPr>
          <w:p>
            <w:pPr>
              <w:pStyle w:val="TableContents"/>
              <w:bidi w:val="0"/>
              <w:spacing w:before="0" w:after="283"/>
              <w:jc w:val="center"/>
              <w:rPr>
                <w:sz w:val="20"/>
              </w:rPr>
            </w:pPr>
            <w:r>
              <w:rPr>
                <w:sz w:val="20"/>
              </w:rPr>
              <w:t>Director</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88"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2026</w:t>
            </w:r>
          </w:p>
        </w:tc>
      </w:tr>
      <w:tr>
        <w:trPr/>
        <w:tc>
          <w:tcPr>
            <w:tcW w:w="5490" w:type="dxa"/>
            <w:tcBorders/>
            <w:shd w:fill="CCEEFF" w:val="clear"/>
            <w:tcMar>
              <w:bottom w:w="0" w:type="dxa"/>
            </w:tcMar>
            <w:vAlign w:val="center"/>
          </w:tcPr>
          <w:p>
            <w:pPr>
              <w:pStyle w:val="TableContents"/>
              <w:bidi w:val="0"/>
              <w:spacing w:before="0" w:after="283"/>
              <w:jc w:val="left"/>
              <w:rPr>
                <w:b/>
                <w:i/>
                <w:sz w:val="20"/>
              </w:rPr>
            </w:pPr>
            <w:r>
              <w:rPr>
                <w:b/>
                <w:i/>
                <w:sz w:val="20"/>
              </w:rPr>
              <w:t>Class I Directors Continuing in Office Until the 2028 Annual Meeting of Stockholders</w:t>
            </w:r>
          </w:p>
        </w:tc>
        <w:tc>
          <w:tcPr>
            <w:tcW w:w="14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3157" w:type="dxa"/>
            <w:tcBorders/>
            <w:shd w:fill="CCEEFF" w:val="clear"/>
            <w:tcMar>
              <w:bottom w:w="0" w:type="dxa"/>
            </w:tcMar>
            <w:vAlign w:val="center"/>
          </w:tcPr>
          <w:p>
            <w:pPr>
              <w:pStyle w:val="TableContents"/>
              <w:bidi w:val="0"/>
              <w:spacing w:before="0" w:after="283"/>
              <w:jc w:val="center"/>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88" w:type="dxa"/>
            <w:tcBorders/>
            <w:shd w:fill="CCEEFF" w:val="clear"/>
            <w:tcMar>
              <w:bottom w:w="0" w:type="dxa"/>
            </w:tcMar>
            <w:vAlign w:val="center"/>
          </w:tcPr>
          <w:p>
            <w:pPr>
              <w:pStyle w:val="TableContents"/>
              <w:bidi w:val="0"/>
              <w:spacing w:before="0" w:after="283"/>
              <w:jc w:val="center"/>
              <w:rPr/>
            </w:pPr>
            <w:r>
              <w:rPr/>
              <w:t> </w:t>
            </w:r>
          </w:p>
        </w:tc>
      </w:tr>
      <w:tr>
        <w:trPr/>
        <w:tc>
          <w:tcPr>
            <w:tcW w:w="5490" w:type="dxa"/>
            <w:tcBorders/>
            <w:shd w:fill="CCEEFF" w:val="clear"/>
            <w:tcMar>
              <w:bottom w:w="0" w:type="dxa"/>
            </w:tcMar>
            <w:vAlign w:val="center"/>
          </w:tcPr>
          <w:p>
            <w:pPr>
              <w:pStyle w:val="TableContents"/>
              <w:bidi w:val="0"/>
              <w:spacing w:before="0" w:after="283"/>
              <w:jc w:val="left"/>
              <w:rPr>
                <w:sz w:val="20"/>
              </w:rPr>
            </w:pPr>
            <w:r>
              <w:rPr>
                <w:sz w:val="20"/>
              </w:rPr>
              <w:t>Matthew Angel</w:t>
            </w:r>
          </w:p>
        </w:tc>
        <w:tc>
          <w:tcPr>
            <w:tcW w:w="140" w:type="dxa"/>
            <w:tcBorders/>
            <w:shd w:fill="CCEEFF" w:val="clear"/>
            <w:tcMar>
              <w:bottom w:w="0" w:type="dxa"/>
            </w:tcMar>
            <w:vAlign w:val="center"/>
          </w:tcPr>
          <w:p>
            <w:pPr>
              <w:pStyle w:val="TableContents"/>
              <w:bidi w:val="0"/>
              <w:spacing w:before="0" w:after="283"/>
              <w:jc w:val="center"/>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45</w:t>
            </w:r>
          </w:p>
        </w:tc>
        <w:tc>
          <w:tcPr>
            <w:tcW w:w="140" w:type="dxa"/>
            <w:tcBorders/>
            <w:shd w:fill="CCEEFF" w:val="clear"/>
            <w:tcMar>
              <w:bottom w:w="0" w:type="dxa"/>
            </w:tcMar>
            <w:vAlign w:val="center"/>
          </w:tcPr>
          <w:p>
            <w:pPr>
              <w:pStyle w:val="TableContents"/>
              <w:bidi w:val="0"/>
              <w:spacing w:before="0" w:after="283"/>
              <w:jc w:val="center"/>
              <w:rPr/>
            </w:pPr>
            <w:r>
              <w:rPr/>
              <w:t> </w:t>
            </w:r>
          </w:p>
        </w:tc>
        <w:tc>
          <w:tcPr>
            <w:tcW w:w="3157" w:type="dxa"/>
            <w:tcBorders/>
            <w:shd w:fill="CCEEFF" w:val="clear"/>
            <w:tcMar>
              <w:bottom w:w="0" w:type="dxa"/>
            </w:tcMar>
            <w:vAlign w:val="center"/>
          </w:tcPr>
          <w:p>
            <w:pPr>
              <w:pStyle w:val="TableContents"/>
              <w:bidi w:val="0"/>
              <w:spacing w:before="0" w:after="283"/>
              <w:jc w:val="center"/>
              <w:rPr>
                <w:sz w:val="20"/>
              </w:rPr>
            </w:pPr>
            <w:r>
              <w:rPr>
                <w:sz w:val="20"/>
              </w:rPr>
              <w:t xml:space="preserve">President, Chief Executive Officer and </w:t>
              <w:br/>
              <w:t>Chair of the Board</w:t>
            </w:r>
          </w:p>
        </w:tc>
        <w:tc>
          <w:tcPr>
            <w:tcW w:w="140" w:type="dxa"/>
            <w:tcBorders/>
            <w:shd w:fill="CCEEFF" w:val="clear"/>
            <w:tcMar>
              <w:bottom w:w="0" w:type="dxa"/>
            </w:tcMar>
            <w:vAlign w:val="center"/>
          </w:tcPr>
          <w:p>
            <w:pPr>
              <w:pStyle w:val="TableContents"/>
              <w:bidi w:val="0"/>
              <w:spacing w:before="0" w:after="283"/>
              <w:jc w:val="center"/>
              <w:rPr/>
            </w:pPr>
            <w:r>
              <w:rPr/>
              <w:t> </w:t>
            </w:r>
          </w:p>
        </w:tc>
        <w:tc>
          <w:tcPr>
            <w:tcW w:w="788" w:type="dxa"/>
            <w:tcBorders/>
            <w:shd w:fill="CCEEFF" w:val="clear"/>
            <w:tcMar>
              <w:bottom w:w="0" w:type="dxa"/>
            </w:tcMar>
            <w:vAlign w:val="center"/>
          </w:tcPr>
          <w:p>
            <w:pPr>
              <w:pStyle w:val="TableContents"/>
              <w:bidi w:val="0"/>
              <w:spacing w:before="0" w:after="283"/>
              <w:jc w:val="center"/>
              <w:rPr>
                <w:sz w:val="20"/>
              </w:rPr>
            </w:pPr>
            <w:r>
              <w:rPr>
                <w:sz w:val="20"/>
              </w:rPr>
              <w:t xml:space="preserve">2026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biographical information for the director nominees and each person whose term of office as a director will continue after the Annual Meeting. This includes information regarding each director’s experience, qualifications, attributes or skills that led our Board to recommend such person for Board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CLASS II NOMINEES FOR ELECTION AT THE 2026 ANNUAL MEETING OF STOCKHOLDERS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John David Yee, MD, MPH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David Yee has served as a member of our Board since June 2026. Dr. Yee has more than 25 years of leadership experience at biotechnology, pharmaceutical and health care technology companies and at a major academic medical center. Dr. Yee has served as Senior Vice President, Medical Affairs at Apnimed, Inc. (Nasdaq: APMD) since September 2023. Prior to joining Apnimed, Dr. Yee served as Chief Medical Officer at Sobi North America (Nasdaq Stockholm: SOBI) from 2020 to 2023, and previously held senior medical leadership roles at Genzyme Corporation, AstraZeneca Pharmaceuticals (NYSE: AZN), Intarcia Therapeutics, Inc., Vertex Pharmaceuticals, Inc. (Nasdaq: VRTX) and Flexion Therapeutics, Inc. Dr. Yee previously served as an independent director on the board of Comera Life Sciences (OTC: CMRA) from 2021 to 2023. Dr. Yee earned an M.D. from Harvard Medical School, an M.P.H. in Health Care Management from the Harvard T.H. Chan School of Public Health and an A.B. in History and Science from Harvard College. We believe Dr. Yee’s extensive biopharmaceutical and medical affairs experience provides him with the qualifications and skills to serve as a member of our Board.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Drake Richey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Drake Richey has served as a member of our Board since June 2026. He has also served as President of Bush &amp; Company, a financial advisory firm that advises high-net-worth families and business owners on investment strategy, risk management and multigenerational planning, since 2015, and previously served as a partner and lead executive. Mr. Richey previously served as President of Life Check, an independent insurance policy review firm serving investment fiduciaries, professional trustees and trusted advisors, as Vice President, Portfolio Manager at Wells Fargo and as Director at Fitch Ratings. Mr. Richey is a founding member of the Boston Chapter of the Exit Planning Institute and has served on the boards of DEAF Inc., International Fellowship House and Park Street Church. Mr. Richey earned a B.Sc. degree from Trinity College. We believe Mr. Richey’s financial and strategic experience provides him with the qualifications and skills to serve as a member of our Board.</w:t>
      </w:r>
    </w:p>
    <w:p>
      <w:pPr>
        <w:pStyle w:val="TextBody"/>
        <w:bidi w:val="0"/>
        <w:spacing w:before="0" w:after="0"/>
        <w:ind w:left="200" w:right="0" w:hanging="200"/>
        <w:jc w:val="left"/>
        <w:rPr>
          <w:caps w:val="false"/>
          <w:smallCaps w:val="false"/>
        </w:rPr>
      </w:pPr>
      <w:r>
        <w:rPr>
          <w:caps w:val="false"/>
          <w:smallCaps w:val="false"/>
        </w:rPr>
        <w:t> </w:t>
      </w:r>
    </w:p>
    <w:p>
      <w:pPr>
        <w:pStyle w:val="TextBody"/>
        <w:bidi w:val="0"/>
        <w:spacing w:before="0" w:after="0"/>
        <w:ind w:left="200" w:right="0" w:hanging="2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200" w:right="0" w:hanging="2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III DIRECTORS CONTINUING IN OFFICE UNTIL THE 2027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Nancy Freda-Smith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Nancy Freda-Smith has served as a member of our Board since September 2026. Previously, from 2017 to August 2026, Ms. Freda-Smith served as the Chief Audit Executive and Global Head of Asset Protection at Ralph Lauren Corporation (NYSE: RL), a global leader in the design, marketing and distribution of premium lifestyle products. At Ralph Lauren, she led various strategic functions, including internal audit, enterprise risk management and asset protection, where her primary responsibility was to identify and assess key business risks relating to cybersecurity, internal controls and business continuity. From 2011 to 2017, Ms. Freda-Smith also served in various vice president positions at Ralph Lauren. She also served as an independent director and audit committee member of Chuy’s Holdings, providing oversight during its acquisition by Darden Restaurants. Earlier in her career, she was a Managing Director at Deloitte, providing accounting, audit and business advisory services in the New York metropolitan area and London offices from September 1994 until November 2011. Ms. Freda-Smith is a Certified Public Accountant as well as a Certified Fraud Examiner. She holds a B.Sc. in Accounting from Boston College. We believe Ms. Freda-Smith’s experience as an executive and her extensive professional accounting, financial and risk management expertise provide her with the qualifications and skills to serve as a member of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John Frederick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Frederick has served as a member of our Board since October 2026. Mr. Frederick is a retired senior financial and operating executive with more than three decades of leadership across public, private equity-backed and venture-backed companies, principally in technology and technology-enabled business. From 2025 to September 2026, he served as Chief Financial Officer of Skillsoft Corp. (NYSE: SKIL) (“</w:t>
      </w:r>
      <w:r>
        <w:rPr>
          <w:rFonts w:ascii="Times New Roman;Times;Serif" w:hAnsi="Times New Roman;Times;Serif"/>
          <w:b/>
          <w:i/>
          <w:caps w:val="false"/>
          <w:smallCaps w:val="false"/>
          <w:sz w:val="20"/>
        </w:rPr>
        <w:t>Skillsoft</w:t>
      </w:r>
      <w:r>
        <w:rPr>
          <w:rFonts w:ascii="Times New Roman;Times;Serif" w:hAnsi="Times New Roman;Times;Serif"/>
          <w:b w:val="false"/>
          <w:i w:val="false"/>
          <w:caps w:val="false"/>
          <w:smallCaps w:val="false"/>
          <w:sz w:val="20"/>
        </w:rPr>
        <w:t>”) and previously, beginning in August 2024, he served as Skillsoft’s Chief Transformation Officer, a position in which he oversaw Skillsoft’s business planning. From September 2021 to February 2024, prior to his employment at Skillsoft, Mr. Frederick also held strategic leadership positions of increasing responsibility at Indigo Ag, an agriculture technology company, including Global Head of Carbon Commercial Operations and Chief Financial Officer, where he helped scale the business through a considerable growth phase while reducing core costs and deleveraging the business. Mr. Frederick acted as an advisor to Indigo Ag from March 2021 through September 2021. Mr. Frederick previously held senior positions at a predecessor Skillsoft entity, serving as Chief Administrative Officer from November 2018 to June 2021 and simultaneously serving as Chief Executive Officer of SumTotal Systems LLC, a former subsidiary of that entity, from September 2019 to June 2021. In those roles, he led Skillsoft’s transformation efforts. Among other roles, he has previously held senior finance and administrative roles in several consumer product and technology companies as well as a predecessor company to a prominent “Big 4” public accounting firm. Mr. Frederick has served as a member of the Board of Directors of SenSanna, Inc., an early-stage sensor technology business, since August 2016. He has more than twenty years of experience leading financial, operational and administrative functions within private and public companies ranging from start-ups through companies with revenue of more than $2 billion. Mr. Frederick holds a Bachelor of Arts in Economics from the University of Maryland Baltimore County. We believe Mr. Frederick’s experience as an executive and his extensive financial, operational and business transformation expertise provide him with the qualifications and skills to serve as a member of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CLASS I DIRECTORS CONTINUING IN OFFICE UNTIL THE 2028 ANNUAL MEETING OF STOCKHOLDERS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Matthew Angel, PhD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Angel has served as our Chief Executive Officer, President and as a member of our Board since February 2026, and as our Chair of the Board since July 2026. Dr. Angel is the Co-Founder and Chairman of the Board of Directors of Factor Bioscience Inc. (“</w:t>
      </w:r>
      <w:r>
        <w:rPr>
          <w:rFonts w:ascii="Times New Roman;Times;Serif" w:hAnsi="Times New Roman;Times;Serif"/>
          <w:b/>
          <w:i/>
          <w:caps w:val="false"/>
          <w:smallCaps w:val="false"/>
          <w:sz w:val="20"/>
        </w:rPr>
        <w:t>Factor</w:t>
      </w:r>
      <w:r>
        <w:rPr>
          <w:rFonts w:ascii="Times New Roman;Times;Serif" w:hAnsi="Times New Roman;Times;Serif"/>
          <w:b w:val="false"/>
          <w:i w:val="false"/>
          <w:caps w:val="false"/>
          <w:smallCaps w:val="false"/>
          <w:sz w:val="20"/>
        </w:rPr>
        <w:t>”) and has served as Factor’s President and Chief Executive Officer since 2011. From January 2023 to December 2023, Dr. Angel served as President and Chief Executive Officer and as a director of Ernexa Therapeutics Inc. (f/k/a Eterna Therapeutics Inc.). From May 2022 to December 2022, Dr. Angel served as Interim President, Chief Executive Officer and as a director of Ernexa Therapeutics Inc. In 2020, Dr. Angel co-founded Exacis Biotherapeutics Inc. (“</w:t>
      </w:r>
      <w:r>
        <w:rPr>
          <w:rFonts w:ascii="Times New Roman;Times;Serif" w:hAnsi="Times New Roman;Times;Serif"/>
          <w:b/>
          <w:i/>
          <w:caps w:val="false"/>
          <w:smallCaps w:val="false"/>
          <w:sz w:val="20"/>
        </w:rPr>
        <w:t>Exacis</w:t>
      </w:r>
      <w:r>
        <w:rPr>
          <w:rFonts w:ascii="Times New Roman;Times;Serif" w:hAnsi="Times New Roman;Times;Serif"/>
          <w:b w:val="false"/>
          <w:i w:val="false"/>
          <w:caps w:val="false"/>
          <w:smallCaps w:val="false"/>
          <w:sz w:val="20"/>
        </w:rPr>
        <w:t>”) and served as the Chief Science Officer, Secretary, Treasurer and as a director of Exacis from 2020 until the sale of Exacis in May 2023. Dr. Angel also co-founded and served as the Chief Science Officer, Secretary and as a director of Novellus, Inc., from 2014 until the sale of Novellus in July 2021. Dr. Angel received a Ph.D. from the Massachusetts Institute of Technology in 2012 and a B.Sc. in Engineering from Princeton University in 2003. We believe Dr. Angel’s role as our Chief Executive Officer, his business expertise and his prior leadership roles in biotechnology companies provide him with the qualifications and skills to serve as a member of our Board.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INFORMATION REGARDING THE BOARD OF DIRECTORS AND CORPORATE GOVERNANCE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INDEPENDENCE OF THE BOARD OF DIRECTORS; EXECUTIVE SESSIONS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under the listing standards of The Nasdaq Stock Market LLC (“</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 a majority of the board of directors of a listed company must be comprised of directors who qualify as “independent” pursuant to such rules. In addition, applicable Nasdaq rules require that, subject to specified exceptions, each member of a listed company’s audit committee, compensation committee and nominating and corporate governance committee be independent within the meaning of applicable Nasdaq rules. Audit Committee members must also satisfy the independence criteria set forth in Rule 10A-3 under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undertook a review of the independence of each director and considered whether any director has a material relationship with us that could compromise his or her ability to exercise independent judgment in carrying out his or her responsibilities. As a result of this review, our Board determined that all of our directors, other than Dr. Angel, our President, Chief Executive Officer and Chair of the Board, qualify as “independent” directors within the meaning of Nasdaq rules. Accordingly, a majority of our directors are independent, as required under applicable Nasdaq rules. The Board also determined that each member of our Audit, Compensation and Nominating and Corporate Governance Committees satisfies the independence standards for such committees established by the SEC and the Nasdaq listing standards, as applicable.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non-employee directors have been meeting, and we anticipate that they will continue to meet, in regularly scheduled executive sessions at which only non-employee directors are present.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LEADERSHIP STRUCTURE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Governance Guidelines specify that our Board will select our Chief Executive Officer and Chairperson of the Board in the manner that it determines to be in the best interests of the Company and our stockholders. The Board will conduct an annual assessment of its leadership structure to determine whether the leadership structure is the most appropriate for the Company at the time. As further provided in our Corporate Governance Guidelines, the Board anticipates that our Chief Executive Officer will serve on the Board. The Chairperson of the Board and Chief Executive Officer positions may be held by the same individual or separated as determined by the Board. The Board also anticipates that other members of our management, who can assist the Board in fulfilling its responsibilities based on their experience and role at the Company, may serve on the Board as appropriate. In July 2026, our Board appointed Dr. Angel, our President and Chief Executive Officer, as the Chair of the Board, and also appointed Mr. Richey as the Lead Independent Director concurrently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our Corporate Governance Guidelines, as Lead Independent Director, Mr. Richey presides over executive sessions of the independent directors, serves as a liaison between the independent directors and the Chair of the Board and President and Chief Executive Officer, has authority to call meetings of the independent directors, leads the Board in discussions concerning the Chief Executive Officer’s performance, compensation and succession, has the authority to approve meeting agendas and meeting schedules for the Board and its committees, as well as the authority to approve information sent to the Board, and performs such other duties as the Board may determine from time to time. The Lead Independent Director is also available for consultation and direct communication, if requested by significant stockholders.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combining the roles of Chair of the Board and Chief Executive Officer is appropriate for the Company at this time because Dr. Angel’s detailed knowledge of the Company’s business, strategy and operations enables him to lead Board discussions with a focus on the matters most important to the Company’s development and financing plans. The Board also believes that appointing an independent Lead Independent Director, together with a Board composed of a majority of independent directors and independent Board committees, provides an effective counterbalance to the combined role and promotes independent oversight. In light of the Company’s current size, stage of development and strategic focus on advancing its in vivo CAR-T pipeline and related collaborations and financing activities, the Board believes this structure supports efficient decision-making while preserving strong independent Board leadership.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its charter, the Nominating and Corporate Governance Committee periodically reviews this matter and makes recommendations to the Board.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ROLE OF THE BOARD IN RISK OVERSIGHT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Board’s key functions is informed oversight of our risk management process. In particular, our Board is responsible for monitoring and assessing strategic risk exposure, including a determination of the nature and level of risk appropriate for the Company. The Board does not have a standing risk management committee but rather administers this oversight function directly through the Board as a whole, as well as through various standing Board committees that address risks inherent in their respective areas of oversight. Our Board and its committees consider specific risk topics, including risks associated with our strategic plan, business operations, capital structure, information technology, data privacy and cybersecurity. It is the responsibility of the committee chairs to report findings regarding material risk exposures to the Board on a timely basis.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the responsibility to consider and discuss with management and the auditors, as appropriate, our guidelines and policies with respect to financial risk management and financial risk assessment, including the Company’s major financial risk exposures and the steps taken by management to monitor and control these exposures. In addition, the Audit Committee reviews and discusses with management and the auditors, as appropriate, the Company’s guidelines and policies with respect to financial risk management and financial risk assessment, including the Company’s major financial, litigation, cybersecurity, data privacy and other information technology risk exposures and the steps taken by management to monitor and control these exposures. Our Compensation Committee assesses whether the Company’s compensation policies and practices create risks that are reasonably likely to have a material adverse effect on the Company, including whether the Company’s incentive compensation arrangements encourage excessive or inappropriate risk-taking. Our Nominating and Corporate Governance Committee monitors the effectiveness of our corporate governance guidelines, including proxy advisory firm policies and recommendations. The Nominating and Corporate Governance Committee also oversees and reviews with management our major legal compliance risk exposures and the steps management has taken to monitor or mitigate such exposures, including our procedures and any related policies with respect to risk assessment and risk management.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its reviews of the operations and corporate functions of the Company, our Board addresses the primary risks associated with those operations and corporate functions. In addition, our Board periodically reviews the risks associated with the Company’s business strategies throughout the year as part of its consideration of undertaking such business strategies. While the Board and its committees oversee risk management strategy, management is responsible for implementing and supervising day-to-day risk management processes and reporting to the Board and its committees on such matters.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MEETINGS OF THE BOARD OF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formally met 17 times during the fiscal year ended December 31, 2025. Each Board member attended 75% or more of the aggregate number of meetings of the Board on which she or he served, held during the portion of the last full fiscal year for which she or he was a director. In addition, we encourage each of our directors to attend our Annual Meetings of Stockholders. Each of our directors then presiding attended the 2025 Annual Meeting of Stockholders.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REGARDING COMMITTEES OF THE BOARD OF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three standing committees: Audit, Compensation and Nominating and Corporate Governance. Our Board previously maintained a Science &amp; Technology Committee, which was dissolved in 2026. Our Board may establish other committees to facilitate the management of our business. Our Board has adopted a written charter for each of the standing committees, which are available to stockholders on our investor relations website at </w:t>
      </w:r>
      <w:r>
        <w:rPr>
          <w:rFonts w:ascii="Times New Roman;Times;Serif" w:hAnsi="Times New Roman;Times;Serif"/>
          <w:b w:val="false"/>
          <w:i/>
          <w:caps w:val="false"/>
          <w:smallCaps w:val="false"/>
          <w:sz w:val="20"/>
        </w:rPr>
        <w:t>ir.tempesttx.com.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membership and meeting information for the fiscal year ended December 31, 2025 for each committee. Each Board member attended 75% or more of the aggregate number of meetings of each standing committee on which she or he served, held during the portion of the last fiscal year for which she or he was a committee member.</w:t>
      </w:r>
    </w:p>
    <w:p>
      <w:pPr>
        <w:pStyle w:val="TextBody"/>
        <w:bidi w:val="0"/>
        <w:spacing w:before="0" w:after="0"/>
        <w:ind w:left="0" w:right="0" w:firstLine="360"/>
        <w:jc w:val="left"/>
        <w:rPr>
          <w:caps w:val="false"/>
          <w:smallCaps w:val="false"/>
        </w:rPr>
      </w:pPr>
      <w:r>
        <w:rPr>
          <w:caps w:val="false"/>
          <w:smallCaps w:val="false"/>
        </w:rPr>
        <w:t> </w:t>
      </w:r>
    </w:p>
    <w:tbl>
      <w:tblPr>
        <w:tblW w:w="6945" w:type="dxa"/>
        <w:jc w:val="left"/>
        <w:tblInd w:w="0" w:type="dxa"/>
        <w:tblLayout w:type="fixed"/>
        <w:tblCellMar>
          <w:top w:w="0" w:type="dxa"/>
          <w:left w:w="0" w:type="dxa"/>
          <w:bottom w:w="28" w:type="dxa"/>
          <w:right w:w="0" w:type="dxa"/>
        </w:tblCellMar>
      </w:tblPr>
      <w:tblGrid>
        <w:gridCol w:w="1970"/>
        <w:gridCol w:w="140"/>
        <w:gridCol w:w="950"/>
        <w:gridCol w:w="140"/>
        <w:gridCol w:w="1280"/>
        <w:gridCol w:w="140"/>
        <w:gridCol w:w="1100"/>
        <w:gridCol w:w="140"/>
        <w:gridCol w:w="1085"/>
      </w:tblGrid>
      <w:tr>
        <w:trPr/>
        <w:tc>
          <w:tcPr>
            <w:tcW w:w="1970"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14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Audit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w:t>
            </w:r>
          </w:p>
        </w:tc>
        <w:tc>
          <w:tcPr>
            <w:tcW w:w="140" w:type="dxa"/>
            <w:tcBorders/>
            <w:tcMar>
              <w:bottom w:w="0" w:type="dxa"/>
            </w:tcMar>
            <w:vAlign w:val="center"/>
          </w:tcPr>
          <w:p>
            <w:pPr>
              <w:pStyle w:val="TableContents"/>
              <w:bidi w:val="0"/>
              <w:spacing w:before="0" w:after="283"/>
              <w:jc w:val="left"/>
              <w:rPr/>
            </w:pPr>
            <w:r>
              <w:rPr/>
              <w:t> </w:t>
            </w:r>
          </w:p>
        </w:tc>
        <w:tc>
          <w:tcPr>
            <w:tcW w:w="128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Compensation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w:t>
            </w:r>
          </w:p>
        </w:tc>
        <w:tc>
          <w:tcPr>
            <w:tcW w:w="140" w:type="dxa"/>
            <w:tcBorders/>
            <w:tcMar>
              <w:bottom w:w="0" w:type="dxa"/>
            </w:tcMar>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Nominating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Corporate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Governance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w:t>
            </w:r>
          </w:p>
        </w:tc>
        <w:tc>
          <w:tcPr>
            <w:tcW w:w="140" w:type="dxa"/>
            <w:tcBorders/>
            <w:tcMar>
              <w:bottom w:w="0" w:type="dxa"/>
            </w:tcMar>
            <w:vAlign w:val="center"/>
          </w:tcPr>
          <w:p>
            <w:pPr>
              <w:pStyle w:val="TableContents"/>
              <w:bidi w:val="0"/>
              <w:spacing w:before="0" w:after="283"/>
              <w:jc w:val="left"/>
              <w:rPr/>
            </w:pPr>
            <w:r>
              <w:rPr/>
              <w:t> </w:t>
            </w:r>
          </w:p>
        </w:tc>
        <w:tc>
          <w:tcPr>
            <w:tcW w:w="108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Science &amp;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Technology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Committee </w:t>
            </w:r>
          </w:p>
        </w:tc>
      </w:tr>
      <w:tr>
        <w:trPr/>
        <w:tc>
          <w:tcPr>
            <w:tcW w:w="1970" w:type="dxa"/>
            <w:tcBorders/>
            <w:shd w:fill="CCEEFF" w:val="clear"/>
            <w:tcMar>
              <w:bottom w:w="0" w:type="dxa"/>
            </w:tcMar>
            <w:vAlign w:val="center"/>
          </w:tcPr>
          <w:p>
            <w:pPr>
              <w:pStyle w:val="TableContents"/>
              <w:bidi w:val="0"/>
              <w:spacing w:before="0" w:after="283"/>
              <w:jc w:val="left"/>
              <w:rPr>
                <w:sz w:val="20"/>
              </w:rPr>
            </w:pPr>
            <w:r>
              <w:rPr>
                <w:sz w:val="20"/>
              </w:rPr>
              <w:t>Geoff Nichol</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85725"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 cy="152400"/>
                          </a:xfrm>
                          <a:prstGeom prst="rect">
                            <a:avLst/>
                          </a:prstGeom>
                        </pic:spPr>
                      </pic:pic>
                    </a:graphicData>
                  </a:graphic>
                </wp:inline>
              </w:drawing>
            </w: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center"/>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85725" cy="152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5725" cy="152400"/>
                          </a:xfrm>
                          <a:prstGeom prst="rect">
                            <a:avLst/>
                          </a:prstGeom>
                        </pic:spPr>
                      </pic:pic>
                    </a:graphicData>
                  </a:graphic>
                </wp:inline>
              </w:drawing>
            </w:r>
          </w:p>
        </w:tc>
        <w:tc>
          <w:tcPr>
            <w:tcW w:w="14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85725" cy="152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 cy="152400"/>
                          </a:xfrm>
                          <a:prstGeom prst="rect">
                            <a:avLst/>
                          </a:prstGeom>
                        </pic:spPr>
                      </pic:pic>
                    </a:graphicData>
                  </a:graphic>
                </wp:inline>
              </w:drawing>
            </w:r>
          </w:p>
        </w:tc>
      </w:tr>
      <w:tr>
        <w:trPr/>
        <w:tc>
          <w:tcPr>
            <w:tcW w:w="1970" w:type="dxa"/>
            <w:tcBorders/>
            <w:shd w:fill="FFFFFF" w:val="clear"/>
            <w:tcMar>
              <w:bottom w:w="0" w:type="dxa"/>
            </w:tcMar>
            <w:vAlign w:val="center"/>
          </w:tcPr>
          <w:p>
            <w:pPr>
              <w:pStyle w:val="TableContents"/>
              <w:bidi w:val="0"/>
              <w:spacing w:before="0" w:after="283"/>
              <w:jc w:val="left"/>
              <w:rPr>
                <w:sz w:val="20"/>
              </w:rPr>
            </w:pPr>
            <w:r>
              <w:rPr>
                <w:sz w:val="20"/>
              </w:rPr>
              <w:t xml:space="preserve">Christine Pellizzari </w:t>
            </w:r>
            <w:r>
              <w:rPr>
                <w:sz w:val="20"/>
              </w:rPr>
              <w:drawing>
                <wp:inline distT="0" distB="0" distL="0" distR="0">
                  <wp:extent cx="85725" cy="114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5725" cy="114300"/>
                          </a:xfrm>
                          <a:prstGeom prst="rect">
                            <a:avLst/>
                          </a:prstGeom>
                        </pic:spPr>
                      </pic:pic>
                    </a:graphicData>
                  </a:graphic>
                </wp:inline>
              </w:drawing>
            </w:r>
          </w:p>
        </w:tc>
        <w:tc>
          <w:tcPr>
            <w:tcW w:w="14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85725"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5725" cy="152400"/>
                          </a:xfrm>
                          <a:prstGeom prst="rect">
                            <a:avLst/>
                          </a:prstGeom>
                        </pic:spPr>
                      </pic:pic>
                    </a:graphicData>
                  </a:graphic>
                </wp:inline>
              </w:drawing>
            </w:r>
          </w:p>
        </w:tc>
        <w:tc>
          <w:tcPr>
            <w:tcW w:w="14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85725"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5725" cy="152400"/>
                          </a:xfrm>
                          <a:prstGeom prst="rect">
                            <a:avLst/>
                          </a:prstGeom>
                        </pic:spPr>
                      </pic:pic>
                    </a:graphicData>
                  </a:graphic>
                </wp:inline>
              </w:drawing>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85" w:type="dxa"/>
            <w:tcBorders/>
            <w:shd w:fill="FFFFFF" w:val="clear"/>
            <w:tcMar>
              <w:bottom w:w="0" w:type="dxa"/>
            </w:tcMar>
            <w:vAlign w:val="center"/>
          </w:tcPr>
          <w:p>
            <w:pPr>
              <w:pStyle w:val="TableContents"/>
              <w:bidi w:val="0"/>
              <w:spacing w:before="0" w:after="283"/>
              <w:jc w:val="center"/>
              <w:rPr/>
            </w:pPr>
            <w:r>
              <w:rPr/>
              <w:t> </w:t>
            </w:r>
          </w:p>
        </w:tc>
      </w:tr>
      <w:tr>
        <w:trPr/>
        <w:tc>
          <w:tcPr>
            <w:tcW w:w="1970" w:type="dxa"/>
            <w:tcBorders/>
            <w:shd w:fill="CCEEFF" w:val="clear"/>
            <w:tcMar>
              <w:bottom w:w="0" w:type="dxa"/>
            </w:tcMar>
            <w:vAlign w:val="center"/>
          </w:tcPr>
          <w:p>
            <w:pPr>
              <w:pStyle w:val="TableContents"/>
              <w:bidi w:val="0"/>
              <w:spacing w:before="0" w:after="283"/>
              <w:jc w:val="left"/>
              <w:rPr>
                <w:sz w:val="20"/>
              </w:rPr>
            </w:pPr>
            <w:r>
              <w:rPr>
                <w:sz w:val="20"/>
              </w:rPr>
              <w:t>Michael Raab†</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85725" cy="15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5725" cy="152400"/>
                          </a:xfrm>
                          <a:prstGeom prst="rect">
                            <a:avLst/>
                          </a:prstGeom>
                        </pic:spPr>
                      </pic:pic>
                    </a:graphicData>
                  </a:graphic>
                </wp:inline>
              </w:drawing>
            </w:r>
          </w:p>
        </w:tc>
        <w:tc>
          <w:tcPr>
            <w:tcW w:w="14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85725" cy="15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5725" cy="152400"/>
                          </a:xfrm>
                          <a:prstGeom prst="rect">
                            <a:avLst/>
                          </a:prstGeom>
                        </pic:spPr>
                      </pic:pic>
                    </a:graphicData>
                  </a:graphic>
                </wp:inline>
              </w:drawing>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85725" cy="152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5725" cy="152400"/>
                          </a:xfrm>
                          <a:prstGeom prst="rect">
                            <a:avLst/>
                          </a:prstGeom>
                        </pic:spPr>
                      </pic:pic>
                    </a:graphicData>
                  </a:graphic>
                </wp:inline>
              </w:drawing>
            </w:r>
          </w:p>
        </w:tc>
        <w:tc>
          <w:tcPr>
            <w:tcW w:w="14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center"/>
              <w:rPr/>
            </w:pPr>
            <w:r>
              <w:rPr/>
              <w:t> </w:t>
            </w:r>
          </w:p>
        </w:tc>
      </w:tr>
      <w:tr>
        <w:trPr/>
        <w:tc>
          <w:tcPr>
            <w:tcW w:w="1970" w:type="dxa"/>
            <w:tcBorders/>
            <w:shd w:fill="FFFFFF" w:val="clear"/>
            <w:tcMar>
              <w:bottom w:w="0" w:type="dxa"/>
            </w:tcMar>
            <w:vAlign w:val="center"/>
          </w:tcPr>
          <w:p>
            <w:pPr>
              <w:pStyle w:val="TableContents"/>
              <w:bidi w:val="0"/>
              <w:spacing w:before="0" w:after="283"/>
              <w:jc w:val="left"/>
              <w:rPr>
                <w:sz w:val="20"/>
              </w:rPr>
            </w:pPr>
            <w:r>
              <w:rPr>
                <w:sz w:val="20"/>
              </w:rPr>
              <w:t>Ronit Simantov</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center"/>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85" w:type="dxa"/>
            <w:tcBorders/>
            <w:shd w:fill="FFFF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85725" cy="152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5725" cy="152400"/>
                          </a:xfrm>
                          <a:prstGeom prst="rect">
                            <a:avLst/>
                          </a:prstGeom>
                        </pic:spPr>
                      </pic:pic>
                    </a:graphicData>
                  </a:graphic>
                </wp:inline>
              </w:drawing>
            </w:r>
          </w:p>
        </w:tc>
      </w:tr>
      <w:tr>
        <w:trPr/>
        <w:tc>
          <w:tcPr>
            <w:tcW w:w="1970" w:type="dxa"/>
            <w:tcBorders/>
            <w:shd w:fill="CCEEFF" w:val="clear"/>
            <w:tcMar>
              <w:bottom w:w="0" w:type="dxa"/>
            </w:tcMar>
            <w:vAlign w:val="center"/>
          </w:tcPr>
          <w:p>
            <w:pPr>
              <w:pStyle w:val="TableContents"/>
              <w:bidi w:val="0"/>
              <w:spacing w:before="0" w:after="283"/>
              <w:jc w:val="left"/>
              <w:rPr>
                <w:b/>
                <w:sz w:val="20"/>
              </w:rPr>
            </w:pPr>
            <w:r>
              <w:rPr>
                <w:b/>
                <w:sz w:val="20"/>
              </w:rPr>
              <w:t>Total meetings in 2025</w:t>
            </w:r>
          </w:p>
        </w:tc>
        <w:tc>
          <w:tcPr>
            <w:tcW w:w="14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4</w:t>
            </w:r>
          </w:p>
        </w:tc>
        <w:tc>
          <w:tcPr>
            <w:tcW w:w="140" w:type="dxa"/>
            <w:tcBorders/>
            <w:shd w:fill="CCEEFF" w:val="clear"/>
            <w:tcMar>
              <w:bottom w:w="0" w:type="dxa"/>
            </w:tcMar>
            <w:vAlign w:val="center"/>
          </w:tcPr>
          <w:p>
            <w:pPr>
              <w:pStyle w:val="TableContents"/>
              <w:bidi w:val="0"/>
              <w:spacing w:before="0" w:after="283"/>
              <w:jc w:val="center"/>
              <w:rPr/>
            </w:pPr>
            <w:r>
              <w:rPr/>
              <w:t> </w:t>
            </w:r>
          </w:p>
        </w:tc>
        <w:tc>
          <w:tcPr>
            <w:tcW w:w="1280" w:type="dxa"/>
            <w:tcBorders/>
            <w:shd w:fill="CCEEFF" w:val="clear"/>
            <w:tcMar>
              <w:bottom w:w="0" w:type="dxa"/>
            </w:tcMar>
            <w:vAlign w:val="center"/>
          </w:tcPr>
          <w:p>
            <w:pPr>
              <w:pStyle w:val="TableContents"/>
              <w:bidi w:val="0"/>
              <w:spacing w:before="0" w:after="283"/>
              <w:jc w:val="center"/>
              <w:rPr>
                <w:sz w:val="20"/>
              </w:rPr>
            </w:pPr>
            <w:r>
              <w:rPr>
                <w:sz w:val="20"/>
              </w:rPr>
              <w:t>3</w:t>
            </w:r>
          </w:p>
        </w:tc>
        <w:tc>
          <w:tcPr>
            <w:tcW w:w="140" w:type="dxa"/>
            <w:tcBorders/>
            <w:shd w:fill="CCEEFF" w:val="clear"/>
            <w:tcMar>
              <w:bottom w:w="0" w:type="dxa"/>
            </w:tcMar>
            <w:vAlign w:val="center"/>
          </w:tcPr>
          <w:p>
            <w:pPr>
              <w:pStyle w:val="TableContents"/>
              <w:bidi w:val="0"/>
              <w:spacing w:before="0" w:after="283"/>
              <w:jc w:val="center"/>
              <w:rPr/>
            </w:pPr>
            <w:r>
              <w:rPr/>
              <w:t> </w:t>
            </w:r>
          </w:p>
        </w:tc>
        <w:tc>
          <w:tcPr>
            <w:tcW w:w="1100" w:type="dxa"/>
            <w:tcBorders/>
            <w:shd w:fill="CCEEFF" w:val="clear"/>
            <w:tcMar>
              <w:bottom w:w="0" w:type="dxa"/>
            </w:tcMar>
            <w:vAlign w:val="center"/>
          </w:tcPr>
          <w:p>
            <w:pPr>
              <w:pStyle w:val="TableContents"/>
              <w:bidi w:val="0"/>
              <w:spacing w:before="0" w:after="283"/>
              <w:jc w:val="center"/>
              <w:rPr/>
            </w:pPr>
            <w:r>
              <w:rPr/>
              <w:t>1</w:t>
            </w:r>
          </w:p>
        </w:tc>
        <w:tc>
          <w:tcPr>
            <w:tcW w:w="140" w:type="dxa"/>
            <w:tcBorders/>
            <w:shd w:fill="CCEEFF" w:val="clear"/>
            <w:tcMar>
              <w:bottom w:w="0" w:type="dxa"/>
            </w:tcMar>
            <w:vAlign w:val="center"/>
          </w:tcPr>
          <w:p>
            <w:pPr>
              <w:pStyle w:val="TableContents"/>
              <w:bidi w:val="0"/>
              <w:spacing w:before="0" w:after="283"/>
              <w:jc w:val="center"/>
              <w:rPr/>
            </w:pPr>
            <w:r>
              <w:rPr/>
              <w:t> </w:t>
            </w:r>
          </w:p>
        </w:tc>
        <w:tc>
          <w:tcPr>
            <w:tcW w:w="1085" w:type="dxa"/>
            <w:tcBorders/>
            <w:shd w:fill="CCEEFF" w:val="clear"/>
            <w:tcMar>
              <w:bottom w:w="0" w:type="dxa"/>
            </w:tcMar>
            <w:vAlign w:val="center"/>
          </w:tcPr>
          <w:p>
            <w:pPr>
              <w:pStyle w:val="TableContents"/>
              <w:bidi w:val="0"/>
              <w:spacing w:before="0" w:after="283"/>
              <w:jc w:val="center"/>
              <w:rPr/>
            </w:pPr>
            <w:r>
              <w:rPr/>
              <w:t>1</w:t>
            </w:r>
          </w:p>
        </w:tc>
      </w:tr>
    </w:tbl>
    <w:p>
      <w:pPr>
        <w:pStyle w:val="TextBody"/>
        <w:bidi w:val="0"/>
        <w:spacing w:before="0" w:after="0"/>
        <w:ind w:left="0" w:right="0" w:hanging="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155"/>
        <w:gridCol w:w="1655"/>
      </w:tblGrid>
      <w:tr>
        <w:trPr/>
        <w:tc>
          <w:tcPr>
            <w:tcW w:w="155" w:type="dxa"/>
            <w:tcBorders/>
            <w:vAlign w:val="center"/>
          </w:tcPr>
          <w:p>
            <w:pPr>
              <w:pStyle w:val="TableContents"/>
              <w:bidi w:val="0"/>
              <w:spacing w:before="0" w:after="283"/>
              <w:jc w:val="left"/>
              <w:rPr>
                <w:color w:val="000000"/>
              </w:rPr>
            </w:pPr>
            <w:r>
              <w:rPr>
                <w:color w:val="000000"/>
              </w:rPr>
              <w:drawing>
                <wp:inline distT="0" distB="0" distL="0" distR="0">
                  <wp:extent cx="85725" cy="152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5725" cy="152400"/>
                          </a:xfrm>
                          <a:prstGeom prst="rect">
                            <a:avLst/>
                          </a:prstGeom>
                        </pic:spPr>
                      </pic:pic>
                    </a:graphicData>
                  </a:graphic>
                </wp:inline>
              </w:drawing>
            </w:r>
          </w:p>
        </w:tc>
        <w:tc>
          <w:tcPr>
            <w:tcW w:w="1655" w:type="dxa"/>
            <w:tcBorders/>
            <w:vAlign w:val="center"/>
          </w:tcPr>
          <w:p>
            <w:pPr>
              <w:pStyle w:val="TableContents"/>
              <w:bidi w:val="0"/>
              <w:spacing w:before="0" w:after="283"/>
              <w:jc w:val="both"/>
              <w:rPr>
                <w:color w:val="000000"/>
                <w:sz w:val="20"/>
              </w:rPr>
            </w:pPr>
            <w:r>
              <w:rPr>
                <w:color w:val="000000"/>
                <w:sz w:val="20"/>
              </w:rPr>
              <w:t>Committee Chair</w:t>
            </w:r>
          </w:p>
        </w:tc>
      </w:tr>
      <w:tr>
        <w:trPr/>
        <w:tc>
          <w:tcPr>
            <w:tcW w:w="155" w:type="dxa"/>
            <w:tcBorders/>
            <w:vAlign w:val="center"/>
          </w:tcPr>
          <w:p>
            <w:pPr>
              <w:pStyle w:val="TableContents"/>
              <w:bidi w:val="0"/>
              <w:spacing w:before="0" w:after="283"/>
              <w:jc w:val="left"/>
              <w:rPr>
                <w:color w:val="000000"/>
              </w:rPr>
            </w:pPr>
            <w:r>
              <w:rPr>
                <w:color w:val="000000"/>
              </w:rPr>
              <w:drawing>
                <wp:inline distT="0" distB="0" distL="0" distR="0">
                  <wp:extent cx="85725" cy="152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5725" cy="152400"/>
                          </a:xfrm>
                          <a:prstGeom prst="rect">
                            <a:avLst/>
                          </a:prstGeom>
                        </pic:spPr>
                      </pic:pic>
                    </a:graphicData>
                  </a:graphic>
                </wp:inline>
              </w:drawing>
            </w:r>
          </w:p>
        </w:tc>
        <w:tc>
          <w:tcPr>
            <w:tcW w:w="1655" w:type="dxa"/>
            <w:tcBorders/>
            <w:vAlign w:val="center"/>
          </w:tcPr>
          <w:p>
            <w:pPr>
              <w:pStyle w:val="TableContents"/>
              <w:bidi w:val="0"/>
              <w:spacing w:before="0" w:after="283"/>
              <w:jc w:val="both"/>
              <w:rPr>
                <w:color w:val="000000"/>
                <w:sz w:val="20"/>
              </w:rPr>
            </w:pPr>
            <w:r>
              <w:rPr>
                <w:color w:val="000000"/>
                <w:sz w:val="20"/>
              </w:rPr>
              <w:t>Committee Member</w:t>
            </w:r>
          </w:p>
        </w:tc>
      </w:tr>
      <w:tr>
        <w:trPr/>
        <w:tc>
          <w:tcPr>
            <w:tcW w:w="155" w:type="dxa"/>
            <w:tcBorders/>
            <w:vAlign w:val="center"/>
          </w:tcPr>
          <w:p>
            <w:pPr>
              <w:pStyle w:val="TableContents"/>
              <w:bidi w:val="0"/>
              <w:spacing w:before="0" w:after="283"/>
              <w:jc w:val="left"/>
              <w:rPr>
                <w:color w:val="000000"/>
              </w:rPr>
            </w:pPr>
            <w:r>
              <w:rPr>
                <w:color w:val="000000"/>
              </w:rPr>
              <w:drawing>
                <wp:inline distT="0" distB="0" distL="0" distR="0">
                  <wp:extent cx="85725" cy="1143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5725" cy="114300"/>
                          </a:xfrm>
                          <a:prstGeom prst="rect">
                            <a:avLst/>
                          </a:prstGeom>
                        </pic:spPr>
                      </pic:pic>
                    </a:graphicData>
                  </a:graphic>
                </wp:inline>
              </w:drawing>
            </w:r>
          </w:p>
        </w:tc>
        <w:tc>
          <w:tcPr>
            <w:tcW w:w="1655" w:type="dxa"/>
            <w:tcBorders/>
            <w:vAlign w:val="center"/>
          </w:tcPr>
          <w:p>
            <w:pPr>
              <w:pStyle w:val="TableContents"/>
              <w:bidi w:val="0"/>
              <w:spacing w:before="0" w:after="283"/>
              <w:jc w:val="both"/>
              <w:rPr>
                <w:rFonts w:ascii="Sans-Serif" w:hAnsi="Sans-Serif"/>
                <w:color w:val="000000"/>
                <w:sz w:val="18"/>
              </w:rPr>
            </w:pPr>
            <w:r>
              <w:rPr>
                <w:rFonts w:ascii="Sans-Serif" w:hAnsi="Sans-Serif"/>
                <w:color w:val="000000"/>
                <w:sz w:val="18"/>
              </w:rPr>
              <w:t>Financial Expert</w:t>
            </w:r>
          </w:p>
        </w:tc>
      </w:tr>
      <w:tr>
        <w:trPr/>
        <w:tc>
          <w:tcPr>
            <w:tcW w:w="155" w:type="dxa"/>
            <w:tcBorders/>
            <w:vAlign w:val="center"/>
          </w:tcPr>
          <w:p>
            <w:pPr>
              <w:pStyle w:val="TableContents"/>
              <w:bidi w:val="0"/>
              <w:spacing w:before="0" w:after="283"/>
              <w:jc w:val="left"/>
              <w:rPr>
                <w:color w:val="000000"/>
              </w:rPr>
            </w:pPr>
            <w:r>
              <w:rPr>
                <w:color w:val="000000"/>
              </w:rPr>
              <w:t>†</w:t>
            </w:r>
          </w:p>
        </w:tc>
        <w:tc>
          <w:tcPr>
            <w:tcW w:w="1655" w:type="dxa"/>
            <w:tcBorders/>
            <w:vAlign w:val="center"/>
          </w:tcPr>
          <w:p>
            <w:pPr>
              <w:pStyle w:val="TableContents"/>
              <w:bidi w:val="0"/>
              <w:spacing w:before="0" w:after="283"/>
              <w:jc w:val="both"/>
              <w:rPr>
                <w:color w:val="000000"/>
                <w:sz w:val="20"/>
              </w:rPr>
            </w:pPr>
            <w:r>
              <w:rPr>
                <w:color w:val="000000"/>
                <w:sz w:val="20"/>
              </w:rPr>
              <w:t>Chair of the Board</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standing committees has authority to engage legal counsel or other experts or consultants, as it deems appropriate to carry out its responsibilities. Our Board has determined that each member of our standing committees meets the Nasdaq and SEC rules and regulations regarding “independence,” as applicable, and each member is free of any relationship that would impair his or her individual exercise of independent judgment with regard to the Company. The Nominating and Corporate Governance Committee periodically reviews the performance of the Board, including Board committees and management, and makes recommendations to the Board and management, as applicable, for areas of improvement as it deems appropriate.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description of each committee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Audit Committee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currently composed of three directors: Ms. Nancy Freda-Smith, Dr. John David Yee and Mr. William Drake Richey, with Ms. Freda-Smith serving as Chair of the Audit Committee. Geoff Nichol, Christine Pellizzari and Michael Raab served as members of the Audit Committee during 2025 with Ms. Pellizzari serving as Chair. In February 2026, Ronit Simantov was appointed to the Audit Committee to fill the vacancy created by Dr. Nichol’s resignation, until her resignation. The Board determined that each member of the Audit Committee satisfies the independence requirements under Nasdaq listing standards and Rule 10A-3(b)(1) of the Exchange Act. Our Board has determined that each of Mr. Richey and Ms. Freda-Smith is an “audit committee financial expert” within the meaning of SEC regulations. Each member of the Audit Committee can read and understand fundamental financial statements in accordance with applicable requirements. In arriving at these determinations, our Board has examined each Audit Committee member’s scope of experience and the nature of their employment.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Audit Committee is to oversee the Company’s accounting and financial reporting processes, internal control over financial reporting and financial statement audits on behalf of the Board. The Audit Committee is also directly responsible for the appointment, compensation, retention and oversight of the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responsibilities of the Audit Committee include:</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left"/>
              <w:rPr/>
            </w:pPr>
            <w:r>
              <w:rPr/>
              <w:t>overseeing the Company’s corporate accounting and financial reporting process on behalf of the Board;</w:t>
            </w:r>
          </w:p>
        </w:tc>
      </w:tr>
    </w:tbl>
    <w:p>
      <w:pPr>
        <w:pStyle w:val="TextBody"/>
        <w:bidi w:val="0"/>
        <w:spacing w:before="0" w:after="0"/>
        <w:ind w:left="7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appointing, compensating, retaining and overseeing the independent registered public accounting firm engaged to audit the Company’s financial statements, and evaluating its qualifications, independence, and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obtaining and reviewing, at least annually, a report by the independent registered public accounting firm describing its internal quality-control procedures, any material issues raised by its most recent internal quality-control review, and the relationships between the firm and the Company bearing on independence;</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approving, or pre-approving as permitted, all audit and permissible non-audit services to be performed by the independent registered public accounting firm;</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discussing the scope and results of the audit with the independent registered public accounting firm; reviewing, with management and the independent registered public accounting firm, the Company’s quarterly and annual financial statements and related disclosures, and recommending whether the audited financial statements should be included in the Company’s Annual Report on Form 10-K;</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reviewing the Company’s policies on risk assessment and risk management, including with respect to cybersecurity, data privacy and other information technology risks;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3"/>
        <w:gridCol w:w="9921"/>
      </w:tblGrid>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w:t>
            </w:r>
          </w:p>
        </w:tc>
        <w:tc>
          <w:tcPr>
            <w:tcW w:w="9921" w:type="dxa"/>
            <w:tcBorders/>
            <w:vAlign w:val="center"/>
          </w:tcPr>
          <w:p>
            <w:pPr>
              <w:pStyle w:val="TableContents"/>
              <w:bidi w:val="0"/>
              <w:spacing w:before="0" w:after="283"/>
              <w:jc w:val="left"/>
              <w:rPr/>
            </w:pPr>
            <w:r>
              <w:rPr/>
              <w:t>reviewing related person transactions as defined under applicable SEC rules;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overseeing the Company’s internal control over financial reporting and disclosure controls and procedures;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reviewing significant audit findings, difficulties and disagreements between management and the independent registered public accounting firm, as well as material legal, regulatory and ethical compliance matters that could affect the Company’s financial statements or financial reporting;</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preparing the Audit Committee report required by SEC rules, annually evaluating the Audit Committee’s performance and periodically reviewing the adequacy of its charter and recommending proposed changes to the Board; and</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establishing procedures for the receipt, retention and treatment of complaints regarding accounting, internal accounting controls or auditing matters, including the confidential, anonymous submission by employees of concerns regarding questionable accounting or auditing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the Audit Committee of the Board of Directors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reviewed and discussed the audited financial statements for the fiscal year ended December 31, 2025 with management of the Company. The Audit Committee has discussed with the independent registered public accounting firm the matters required to be discussed by the applicable requirements of the Public Company Accounting Oversight Board (“</w:t>
      </w:r>
      <w:r>
        <w:rPr>
          <w:rFonts w:ascii="Times New Roman;Times;Serif" w:hAnsi="Times New Roman;Times;Serif"/>
          <w:b/>
          <w:i/>
          <w:caps w:val="false"/>
          <w:smallCaps w:val="false"/>
          <w:sz w:val="20"/>
        </w:rPr>
        <w:t>PCAOB</w:t>
      </w:r>
      <w:r>
        <w:rPr>
          <w:rFonts w:ascii="Times New Roman;Times;Serif" w:hAnsi="Times New Roman;Times;Serif"/>
          <w:b w:val="false"/>
          <w:i w:val="false"/>
          <w:caps w:val="false"/>
          <w:smallCaps w:val="false"/>
          <w:sz w:val="20"/>
        </w:rPr>
        <w:t>”)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consolidated financial statements be included in the Company’s Annual Report on Form 10-K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Tempest Therapeutics,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Christine Pellizzari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Michael Raab</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Ronit Simantov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Compensation Committee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currently composed of two directors: Dr. John David Yee and Mr. William Drake Richey, with Mr. Richey serving as Chair of the Compensation Committee. Michael Raab and Christine Pellizzari served as members of the Compensation Committee during 2025, with Mr. Raab as Chair. The Board determined that each member of the Compensation Committee is independent under the Nasdaq listing standards and a “non-employee director” as defined in Rule 16b-3 promulgated under the Exchange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Compensation Committee is to assist the Board in overseeing the Company’s compensation strategy, policies, plans and programs and to determine or recommend, as applicable, the compensation of the Company’s executive officers and directors.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responsibilities of the Compensation Committee include:</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reviewing and approving the compensation of our chief executive officer, other executive officers and senior management;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reviewing and recommending to the Board for its approval the compensation to be paid to non-employee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6"/>
        <w:gridCol w:w="9953"/>
      </w:tblGrid>
      <w:tr>
        <w:trPr/>
        <w:tc>
          <w:tcPr>
            <w:tcW w:w="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53" w:type="dxa"/>
            <w:tcBorders/>
            <w:vAlign w:val="center"/>
          </w:tcPr>
          <w:p>
            <w:pPr>
              <w:pStyle w:val="TableContents"/>
              <w:bidi w:val="0"/>
              <w:spacing w:before="0" w:after="283"/>
              <w:jc w:val="left"/>
              <w:rPr/>
            </w:pPr>
            <w:r>
              <w:rPr/>
              <w:t>administration of our equity compensation plans and other benefit plans and programs;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required compensation disclosures and reports, annually evaluating the Compensation Committee’s performance and periodically reviewing the adequacy of its charter and recommending proposed changes to the Board;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reviewing, adopting, amending and terminating incentive compensation and equity plans, severance agreements, profit sharing plans, bonus plans, change-of-control protections and any other compensatory arrangements for the executive officers and other senior management;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reviewing and establishing general policies relating to compensation and benefits of the employees, including the overall compensation philosophy.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Compensation Committee Processes and Procedures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generally meets at least two times annually and with greater frequency if necessary. The Compensation Committee also acts periodically by unanimous written consent in lieu of a formal meeting. The agenda for each meeting is usually developed by the Chair of the Compensation Committee, in consultation with management.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Chief Executive Officer may not participate in, or be present during, any deliberations or determinations of the Compensation Committee regarding his compensation or individual performance objectives.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there is no requirement that any adviser be independent.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past full fiscal year, after taking into consideration the six factors prescribed by the SEC and Nasdaq described above, the Compensation Committee engaged Alpine Rewards LLC as compensation consultants (the “</w:t>
      </w:r>
      <w:r>
        <w:rPr>
          <w:rFonts w:ascii="Times New Roman;Times;Serif" w:hAnsi="Times New Roman;Times;Serif"/>
          <w:b/>
          <w:i/>
          <w:caps w:val="false"/>
          <w:smallCaps w:val="false"/>
          <w:sz w:val="20"/>
        </w:rPr>
        <w:t>Compensation Consultants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engagement, the Compensation Consultants were asked to develop a comparative group of companies and to perform analyses of competitive performance and compensation levels for that group. The Compensation Consultants ultimately developed recommendations that were presented to the Compensation Committee for its consideration.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Compensation Committee has made most of the significant adjustments to annual compensation, determined bonus and equity awards and established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Nominating and Corporate Governance Committee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is currently composed of two directors: Dr. John David Yee and Mr. William Drake Richey, with Dr. Yee serving as Chair of the Nominating and Corporate Governance Committee. Geoff Nichol and Michael Raab served as members of the Nominating and Corporate Governance Committee during 2025, with Mr. Raab serving as Chair. The Board has determined that each member of the Nominating and Corporate Governance Committee is independent under the Nasdaq listing standards.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responsibilities of the Nominating and Corporate Governance Committee include:</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sz w:val="20"/>
              </w:rPr>
            </w:pPr>
            <w:r>
              <w:rPr>
                <w:sz w:val="20"/>
              </w:rPr>
              <w:t>identifying, evaluating and recommending candidates to serve on the Board consistent with criteria approved by the Board, including consideration of potential conflicts of interest and applicable independence and other requirements, and evaluating incumbent directors for nomination for re-election;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sz w:val="20"/>
              </w:rPr>
            </w:pPr>
            <w:r>
              <w:rPr>
                <w:sz w:val="20"/>
              </w:rPr>
              <w:t>monitoring the size and composition of the Board and recommending appropriate changes, and considering director candidates and proposals recommended or submitted by the Company’s stockholders;</w:t>
            </w:r>
          </w:p>
        </w:tc>
      </w:tr>
    </w:tbl>
    <w:p>
      <w:pPr>
        <w:pStyle w:val="TextBody"/>
        <w:bidi w:val="0"/>
        <w:spacing w:before="0" w:after="0"/>
        <w:ind w:left="7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sz w:val="20"/>
              </w:rPr>
            </w:pPr>
            <w:r>
              <w:rPr>
                <w:sz w:val="20"/>
              </w:rPr>
              <w:t>overseeing the Board’s committee structure and operations and, after considering the interests, independence and experience of the individual directors and applicable stock exchange, SEC and legal requirements, recommending to the Board the chairperson and membership of each committee;</w:t>
            </w:r>
          </w:p>
        </w:tc>
      </w:tr>
    </w:tbl>
    <w:p>
      <w:pPr>
        <w:pStyle w:val="TextBody"/>
        <w:bidi w:val="0"/>
        <w:spacing w:before="0" w:after="0"/>
        <w:ind w:left="760" w:right="0" w:hanging="0"/>
        <w:jc w:val="left"/>
        <w:rPr>
          <w:caps w:val="false"/>
          <w:smallCaps w:val="false"/>
        </w:rPr>
      </w:pPr>
      <w:r>
        <w:rPr>
          <w:caps w:val="false"/>
          <w:smallCaps w:val="false"/>
        </w:rPr>
        <w:t> </w:t>
      </w:r>
    </w:p>
    <w:p>
      <w:pPr>
        <w:pStyle w:val="TextBody"/>
        <w:bidi w:val="0"/>
        <w:spacing w:before="0" w:after="0"/>
        <w:ind w:left="7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7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sz w:val="20"/>
              </w:rPr>
            </w:pPr>
            <w:r>
              <w:rPr>
                <w:sz w:val="20"/>
              </w:rPr>
              <w:t>assessing the composition of the Board in light of the Company’s operating requirements; reviewing the Board’s leadership structure; and reviewing and approving the Company’s disclosures relating to Board leadership;</w:t>
            </w:r>
          </w:p>
        </w:tc>
      </w:tr>
    </w:tbl>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6"/>
        <w:gridCol w:w="9966"/>
      </w:tblGrid>
      <w:tr>
        <w:trPr/>
        <w:tc>
          <w:tcPr>
            <w:tcW w:w="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w:t>
            </w:r>
          </w:p>
        </w:tc>
        <w:tc>
          <w:tcPr>
            <w:tcW w:w="9966" w:type="dxa"/>
            <w:tcBorders/>
            <w:vAlign w:val="center"/>
          </w:tcPr>
          <w:p>
            <w:pPr>
              <w:pStyle w:val="TableContents"/>
              <w:bidi w:val="0"/>
              <w:spacing w:before="0" w:after="283"/>
              <w:jc w:val="left"/>
              <w:rPr>
                <w:sz w:val="20"/>
              </w:rPr>
            </w:pPr>
            <w:r>
              <w:rPr>
                <w:sz w:val="20"/>
              </w:rPr>
              <w:t>overseeing the Company’s environmental, sustainability and governance efforts, progress and disclosures;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sz w:val="20"/>
              </w:rPr>
            </w:pPr>
            <w:r>
              <w:rPr>
                <w:sz w:val="20"/>
              </w:rPr>
              <w:t xml:space="preserve">developing corporate governance guidelines applicable to the Company; periodically reviewing and assessing the Company’s corporate governance practices; and recommending to the Board any changes the Committee deems appropriate; </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sz w:val="20"/>
              </w:rPr>
            </w:pPr>
            <w:r>
              <w:rPr>
                <w:sz w:val="20"/>
              </w:rPr>
              <w:t>overseeing director orientation and continuing education and reviewing emerging corporate governance issues and practices, including proxy advisory firm policies and recommendations;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sz w:val="20"/>
              </w:rPr>
            </w:pPr>
            <w:r>
              <w:rPr>
                <w:sz w:val="20"/>
              </w:rPr>
              <w:t>periodically reviewing management succession plans for the Company’s executive officers and making recommendations to the Board regarding the selection of appropriate successors;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sz w:val="20"/>
              </w:rPr>
            </w:pPr>
            <w:r>
              <w:rPr>
                <w:sz w:val="20"/>
              </w:rPr>
              <w:t>reviewing the performance of the Board, its committees and management; overseeing the annual self-evaluation process for the Board, its committees and individual directors; and reporting the results of such evaluations to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believes that candidates for director should have certain minimum qualifications, including possessing relevant expertise upon which to offer advice and guidance to management, having sufficient time to devote to the affairs of the Company, demonstrating excellence in his or her field, having the ability to exercise sound business judgment, being able to read and understand basic financial statements, having the highest personal integrity and ethics and having the commitment to rigorously represent the long-term interests of our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age, skills and other factors as it deems appropriate, given the current needs of the Board and the Company, to maintain a balance of knowledge, experience and capability.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Board reviews such directors’ overall service during their term, including the number of meetings attended, level of participation, quality of performance, and any other relationships and transactions that might impair such directors’ independence.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providing timely notice in writing to our Secretary. See “Other Information for Stockholders—Stockholder Proposals for the 2027 Annual Meeting of Stockholders” for additional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Science &amp; Technology Committee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Geoff Nichol and Ronit Simantov served as members of the Science &amp; Technology Committee during 2025, with Dr. Simantov serving as Chair. The Board dissolved the Science &amp; Technology Committee in 2026. Specific responsibilities of the Science &amp; Technology Committee included reviewing our overall scientific, research and development strategies as well as our research and development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STOCKHOLDER COMMUNICATIONS WITH THE BOARD OF DIRECTORS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wish to communicate with the Board may do so by sending written communications addressed to our Corporate Secretary at 2000 Sierra Point Parkway, Suite 400, Brisbane, California 94005. These communications will be reviewed by the Corporate Secretary, who will determine whether the communication should be presented to the Board. The purpose of this screening is to allow the Board to avoid having to consider irrelevant or inappropriate communications (such as advertisements, solicitations and hostile communications). All communications directed to the Audit Committee in accordance with our Whistleblower Policy for Accounting and Auditing Matters that relate to questionable accounting or auditing matters involving the Company will be promptly and directly forwarded to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CODE OF ETHICS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Business Conduct that applies to all officers, directors and employees. The Code of Business Conduct is available on our website at https://ir.tempesttx.com. The Board is responsible for overseeing the Code of Business Conduct and must approve any waivers of the Code of Business Conduct for employees, executive officers and directors. If we make any substantive amendments to the Code of Business Conduct or grant any waiver from a provision of the Code to any executive officer or director, we will promptly disclose the nature of the amendment or waiver on our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including diversity, board meetings and involvement of senior management, Chief Executive Officer performance evaluation and succession planning, and board committees and compensation. The Corporate Governance Guidelines may be viewed on our website at https://ir.tempesttx.com.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POLICY ON HEDGING AND PLEDGING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Insider Trading Policy, our employees, directors and designated consultants are prohibited from engaging in short sales, transactions in publicly traded options, such as puts or calls, hedging transactions, margin accounts, pledges or other inherently speculative transactions with respect to our common stock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adopted an insider trading policy governing the purchase, sale, and/or other dispositions of the Company’s securities by directors, officers, employees and designated consultants that is designed to promote compliance with insider trading laws, rules and regulations, as well as procedures designed to further the foregoing purposes. A copy of our insider trading policy is filed as an exhibit to our Annual Report on Form 10-K for our fiscal year ended December 31, 2024, originally filed with the SEC on March 27, 2025.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 xml:space="preserve">PROPOSAL 2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AUDITOR RATIFICATION PROPOSAL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selected Ernst &amp; Young LLP (“</w:t>
      </w:r>
      <w:r>
        <w:rPr>
          <w:rFonts w:ascii="Times New Roman;Times;Serif" w:hAnsi="Times New Roman;Times;Serif"/>
          <w:b/>
          <w:i/>
          <w:caps w:val="false"/>
          <w:smallCaps w:val="false"/>
          <w:sz w:val="20"/>
        </w:rPr>
        <w:t>Ernst &amp; Young</w:t>
      </w:r>
      <w:r>
        <w:rPr>
          <w:rFonts w:ascii="Times New Roman;Times;Serif" w:hAnsi="Times New Roman;Times;Serif"/>
          <w:b w:val="false"/>
          <w:i w:val="false"/>
          <w:caps w:val="false"/>
          <w:smallCaps w:val="false"/>
          <w:sz w:val="20"/>
        </w:rPr>
        <w:t>”) as our independent registered public accounting firm for the fiscal year ending December 31, 2026 and has further directed that management submit the selection of its independent registered public accounting firm for ratification by the stockholders at the Annual Meeting. Ernst &amp; Young has audited the financial statements of Tempest since 2021 and was the independent registered public accounting firm for our legacy company since 2016. Representatives of Ernst &amp; Young are expected to be present at the Annual Meeting. They will have an opportunity to make a statement if they so desire and will be available to respond to appropriate questions.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our third amended and restated bylaws (“</w:t>
      </w:r>
      <w:r>
        <w:rPr>
          <w:rFonts w:ascii="Times New Roman;Times;Serif" w:hAnsi="Times New Roman;Times;Serif"/>
          <w:b/>
          <w:i/>
          <w:caps w:val="false"/>
          <w:smallCaps w:val="false"/>
          <w:sz w:val="20"/>
        </w:rPr>
        <w:t>Bylaws</w:t>
      </w:r>
      <w:r>
        <w:rPr>
          <w:rFonts w:ascii="Times New Roman;Times;Serif" w:hAnsi="Times New Roman;Times;Serif"/>
          <w:b w:val="false"/>
          <w:i w:val="false"/>
          <w:caps w:val="false"/>
          <w:smallCaps w:val="false"/>
          <w:sz w:val="20"/>
        </w:rPr>
        <w:t>”) nor other governing documents or law require stockholder ratification of the selection of Ernst &amp; Young as our independent registered public accounting firm. However, the Audit Committee is submitting the selection of Ernst &amp; Young to the stockholders for ratification as a matter of good corporate practice. If the stockholders fail to ratify the selection, the Audit Committee will reconsider whether or not to retain that firm for future annual periods. Even if the selection is ratified, the Audit Committee in its discretion may direct the appointment of different independent auditors at any time if they determine that such a change would be in the best interests of Tempest and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PRINCIPAL ACCOUNTANT FEES AND SERVICES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aggregate fees billed to the Company for the fiscal years ended December 31, 2025 and 2024 by Ernst &amp; Young, the Company’s independent registered public accounting firm. All fees described below were pre-approved by the Audit Committee.</w:t>
      </w:r>
    </w:p>
    <w:p>
      <w:pPr>
        <w:pStyle w:val="TextBody"/>
        <w:bidi w:val="0"/>
        <w:spacing w:before="0" w:after="0"/>
        <w:ind w:left="0" w:right="0" w:hanging="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1775"/>
        <w:gridCol w:w="60"/>
        <w:gridCol w:w="140"/>
        <w:gridCol w:w="800"/>
        <w:gridCol w:w="60"/>
        <w:gridCol w:w="60"/>
        <w:gridCol w:w="140"/>
        <w:gridCol w:w="800"/>
        <w:gridCol w:w="75"/>
      </w:tblGrid>
      <w:tr>
        <w:trPr/>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7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Audit Fees</w:t>
            </w:r>
            <w:r>
              <w:rPr>
                <w:rFonts w:ascii="Times New Roman;Times;Serif" w:hAnsi="Times New Roman;Times;Serif"/>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930,000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755,000</w:t>
            </w:r>
          </w:p>
        </w:tc>
        <w:tc>
          <w:tcPr>
            <w:tcW w:w="75" w:type="dxa"/>
            <w:tcBorders/>
            <w:shd w:fill="CCEEFF" w:val="clear"/>
            <w:vAlign w:val="center"/>
          </w:tcPr>
          <w:p>
            <w:pPr>
              <w:pStyle w:val="TableContents"/>
              <w:bidi w:val="0"/>
              <w:spacing w:before="0" w:after="283"/>
              <w:jc w:val="left"/>
              <w:rPr/>
            </w:pPr>
            <w:r>
              <w:rPr/>
              <w:t> </w:t>
            </w:r>
          </w:p>
        </w:tc>
      </w:tr>
      <w:tr>
        <w:trPr/>
        <w:tc>
          <w:tcPr>
            <w:tcW w:w="1775" w:type="dxa"/>
            <w:tcBorders/>
            <w:shd w:fill="FFFFFF" w:val="clear"/>
            <w:vAlign w:val="center"/>
          </w:tcPr>
          <w:p>
            <w:pPr>
              <w:pStyle w:val="TableContents"/>
              <w:bidi w:val="0"/>
              <w:spacing w:before="0" w:after="283"/>
              <w:jc w:val="left"/>
              <w:rPr/>
            </w:pPr>
            <w:r>
              <w:rPr/>
              <w:t>Audit-related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283"/>
              <w:jc w:val="left"/>
              <w:rPr/>
            </w:pPr>
            <w:r>
              <w:rPr/>
              <w:t>Tax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775" w:type="dxa"/>
            <w:tcBorders/>
            <w:shd w:fill="FFFFFF" w:val="clear"/>
            <w:vAlign w:val="center"/>
          </w:tcPr>
          <w:p>
            <w:pPr>
              <w:pStyle w:val="TableContents"/>
              <w:bidi w:val="0"/>
              <w:spacing w:before="0" w:after="283"/>
              <w:jc w:val="left"/>
              <w:rPr/>
            </w:pPr>
            <w:r>
              <w:rPr/>
              <w:t>All Other Fees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283"/>
              <w:jc w:val="left"/>
              <w:rPr/>
            </w:pPr>
            <w:r>
              <w:rPr/>
              <w:t>Total Fees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930,000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755,000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sz w:val="20"/>
              </w:rPr>
            </w:pPr>
            <w:r>
              <w:rPr>
                <w:sz w:val="20"/>
              </w:rPr>
              <w:t>(1)</w:t>
            </w:r>
          </w:p>
        </w:tc>
        <w:tc>
          <w:tcPr>
            <w:tcW w:w="9962"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relate to the audit of our annual financial statements, review of interim financial statements and assistance with registration statements filed with the SEC.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PRE-APPROVAL POLICIES AND PROCEDURES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adopted a pre-approval policy under which the Audit Committee approves in advance all audit and permissible non-audit services to be performed by the independent accountants (subject to a de minimis exception). These services may include audit services, audit-related services, tax services, and other non-audit services. As part of its pre-approval policy, the Audit Committee considers whether the provision of any proposed non-audit services is consistent with the SEC’s rules on auditor independence. In accordance with its pre-approval policy, the Audit Committee has pre-approved certain specified audit and non-audit services to be provided by our independent auditor. If there are any additional services to be provided, a request for pre-approval must be submitted to the Audit Committee for its consideration under the policy. The Audit Committee generally pre-approves particular services or categories of services on a case-by-case basis. Finally, in accordance with the pre-approval policy, the Audit Committee has delegated pre-approval authority to the Chair of the Audit Committee. The Chair must report any pre-approval decisions to the Audit Committee at its next meeting. The Audit Committee has determined that the rendering of services other than audit services by Ernst &amp; Young is compatible with maintaining the principal accountant’s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OF DIRECTORS RECOMMENDS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VOTE “FOR” PROPOSAL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executive officers as of the date of this proxy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74"/>
        <w:gridCol w:w="140"/>
        <w:gridCol w:w="350"/>
        <w:gridCol w:w="140"/>
        <w:gridCol w:w="8201"/>
      </w:tblGrid>
      <w:tr>
        <w:trPr/>
        <w:tc>
          <w:tcPr>
            <w:tcW w:w="1374"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14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b/>
                <w:sz w:val="20"/>
              </w:rPr>
            </w:pPr>
            <w:r>
              <w:rPr>
                <w:b/>
                <w:sz w:val="20"/>
              </w:rPr>
              <w:t>Age</w:t>
            </w:r>
          </w:p>
        </w:tc>
        <w:tc>
          <w:tcPr>
            <w:tcW w:w="140" w:type="dxa"/>
            <w:tcBorders/>
            <w:tcMar>
              <w:bottom w:w="0" w:type="dxa"/>
            </w:tcMar>
            <w:vAlign w:val="center"/>
          </w:tcPr>
          <w:p>
            <w:pPr>
              <w:pStyle w:val="TableContents"/>
              <w:bidi w:val="0"/>
              <w:spacing w:before="0" w:after="283"/>
              <w:jc w:val="left"/>
              <w:rPr/>
            </w:pPr>
            <w:r>
              <w:rPr/>
              <w:t> </w:t>
            </w:r>
          </w:p>
        </w:tc>
        <w:tc>
          <w:tcPr>
            <w:tcW w:w="8201" w:type="dxa"/>
            <w:tcBorders>
              <w:bottom w:val="single" w:sz="12" w:space="0" w:color="000000"/>
            </w:tcBorders>
            <w:vAlign w:val="center"/>
          </w:tcPr>
          <w:p>
            <w:pPr>
              <w:pStyle w:val="TableContents"/>
              <w:bidi w:val="0"/>
              <w:spacing w:before="0" w:after="283"/>
              <w:jc w:val="center"/>
              <w:rPr>
                <w:b/>
                <w:sz w:val="20"/>
              </w:rPr>
            </w:pPr>
            <w:r>
              <w:rPr>
                <w:b/>
                <w:sz w:val="20"/>
              </w:rPr>
              <w:t xml:space="preserve">Position </w:t>
            </w:r>
          </w:p>
        </w:tc>
      </w:tr>
      <w:tr>
        <w:trPr/>
        <w:tc>
          <w:tcPr>
            <w:tcW w:w="1374" w:type="dxa"/>
            <w:tcBorders/>
            <w:shd w:fill="CCEEFF" w:val="clear"/>
            <w:tcMar>
              <w:bottom w:w="0" w:type="dxa"/>
            </w:tcMar>
            <w:vAlign w:val="center"/>
          </w:tcPr>
          <w:p>
            <w:pPr>
              <w:pStyle w:val="TableContents"/>
              <w:bidi w:val="0"/>
              <w:spacing w:before="0" w:after="283"/>
              <w:jc w:val="left"/>
              <w:rPr>
                <w:sz w:val="20"/>
              </w:rPr>
            </w:pPr>
            <w:r>
              <w:rPr>
                <w:sz w:val="20"/>
              </w:rPr>
              <w:t>Matthew Angel</w:t>
            </w:r>
          </w:p>
        </w:tc>
        <w:tc>
          <w:tcPr>
            <w:tcW w:w="14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45</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201" w:type="dxa"/>
            <w:tcBorders/>
            <w:shd w:fill="CCEEFF" w:val="clear"/>
            <w:tcMar>
              <w:bottom w:w="0" w:type="dxa"/>
            </w:tcMar>
            <w:vAlign w:val="center"/>
          </w:tcPr>
          <w:p>
            <w:pPr>
              <w:pStyle w:val="TableContents"/>
              <w:bidi w:val="0"/>
              <w:spacing w:before="0" w:after="283"/>
              <w:jc w:val="left"/>
              <w:rPr>
                <w:sz w:val="20"/>
              </w:rPr>
            </w:pPr>
            <w:r>
              <w:rPr>
                <w:sz w:val="20"/>
              </w:rPr>
              <w:t xml:space="preserve">President, Chief Executive Officer and Chair of the Board </w:t>
            </w:r>
          </w:p>
        </w:tc>
      </w:tr>
      <w:tr>
        <w:trPr/>
        <w:tc>
          <w:tcPr>
            <w:tcW w:w="1374" w:type="dxa"/>
            <w:tcBorders/>
            <w:tcMar>
              <w:bottom w:w="0" w:type="dxa"/>
            </w:tcMar>
            <w:vAlign w:val="center"/>
          </w:tcPr>
          <w:p>
            <w:pPr>
              <w:pStyle w:val="TableContents"/>
              <w:bidi w:val="0"/>
              <w:spacing w:before="0" w:after="283"/>
              <w:jc w:val="left"/>
              <w:rPr>
                <w:sz w:val="20"/>
              </w:rPr>
            </w:pPr>
            <w:r>
              <w:rPr>
                <w:sz w:val="20"/>
              </w:rPr>
              <w:t>Constance Ames</w:t>
            </w:r>
          </w:p>
        </w:tc>
        <w:tc>
          <w:tcPr>
            <w:tcW w:w="14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sz w:val="20"/>
              </w:rPr>
            </w:pPr>
            <w:r>
              <w:rPr>
                <w:sz w:val="20"/>
              </w:rPr>
              <w:t>40</w:t>
            </w:r>
          </w:p>
        </w:tc>
        <w:tc>
          <w:tcPr>
            <w:tcW w:w="140" w:type="dxa"/>
            <w:tcBorders/>
            <w:tcMar>
              <w:bottom w:w="0" w:type="dxa"/>
            </w:tcMar>
            <w:vAlign w:val="center"/>
          </w:tcPr>
          <w:p>
            <w:pPr>
              <w:pStyle w:val="TableContents"/>
              <w:bidi w:val="0"/>
              <w:spacing w:before="0" w:after="283"/>
              <w:jc w:val="left"/>
              <w:rPr/>
            </w:pPr>
            <w:r>
              <w:rPr/>
              <w:t> </w:t>
            </w:r>
          </w:p>
        </w:tc>
        <w:tc>
          <w:tcPr>
            <w:tcW w:w="8201" w:type="dxa"/>
            <w:tcBorders/>
            <w:tcMar>
              <w:bottom w:w="0" w:type="dxa"/>
            </w:tcMar>
            <w:vAlign w:val="center"/>
          </w:tcPr>
          <w:p>
            <w:pPr>
              <w:pStyle w:val="TableContents"/>
              <w:bidi w:val="0"/>
              <w:spacing w:before="0" w:after="283"/>
              <w:jc w:val="left"/>
              <w:rPr>
                <w:sz w:val="20"/>
              </w:rPr>
            </w:pPr>
            <w:r>
              <w:rPr>
                <w:sz w:val="20"/>
              </w:rPr>
              <w:t>Chief Financial Officer, Principal Financial and Accounting Officer, Treasurer and Corporate Secretary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Biographical information for Dr. Angel is included above with the director biographies under the caption “Information Regarding Director Nominees and Continuing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CONSTANCE AMES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Constance Ames has served as our Chief Financial Officer, Principal Financial and Accounting Officer, Treasurer and Corporate Secretary since September 2026. Ms. Ames is an experienced financial executive with more than 15 years of experience working with public and private biopharma companies. Since 2017, she has been an independent consultant assisting companies with corporate finance and accounting services. Prior to consulting, from February 2015 to August 2017, Ms. Ames was the Vice President of Finance at Axsome Therapeutics, Inc. (Nasdaq: AXSM), where she was instrumental in the company’s initial public offering and other financings. From November 2010 to February 2015, she served in a variety of positions at Keryx Biopharmaceuticals, Inc., where she played a critical role in growing the finance and accounting department through Keryx’s transition from a development-stage company to a fully integrated commercial organization. Prior to joining Keryx, Ms. Ames started her career in public accounting at Deloitte and Touche, LLP. Ms. Ames received a B.S. in Accounting from Ithaca College.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 xml:space="preserve">EXECUTIVE AND DIRECTOR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numbers included in the following tables and footnotes in this Executive and Director Compensation section have been adjusted, as necessary, for the 1-for-13 reverse stock split of our common stock effected on April 8, 2025 (the “</w:t>
      </w:r>
      <w:r>
        <w:rPr>
          <w:rFonts w:ascii="Times New Roman;Times;Serif" w:hAnsi="Times New Roman;Times;Serif"/>
          <w:b/>
          <w:i/>
          <w:caps w:val="false"/>
          <w:smallCaps w:val="false"/>
          <w:sz w:val="20"/>
        </w:rPr>
        <w:t>Reverse Stock Split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for each of the last two completed fiscal years regarding compensation awarded to or earned by our Former Chief Executive Officer and the two other most highly compensated executive officers (the “</w:t>
      </w:r>
      <w:r>
        <w:rPr>
          <w:rFonts w:ascii="Times New Roman;Times;Serif" w:hAnsi="Times New Roman;Times;Serif"/>
          <w:b/>
          <w:i/>
          <w:caps w:val="false"/>
          <w:smallCaps w:val="false"/>
          <w:sz w:val="20"/>
        </w:rPr>
        <w:t>Named Executive Officers</w:t>
      </w:r>
      <w:r>
        <w:rPr>
          <w:rFonts w:ascii="Times New Roman;Times;Serif" w:hAnsi="Times New Roman;Times;Serif"/>
          <w:b w:val="false"/>
          <w:i w:val="false"/>
          <w:caps w:val="false"/>
          <w:smallCaps w:val="false"/>
          <w:sz w:val="20"/>
        </w:rPr>
        <w:t>”) during the fiscal years indicated:</w:t>
      </w:r>
    </w:p>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142"/>
        <w:gridCol w:w="60"/>
        <w:gridCol w:w="60"/>
        <w:gridCol w:w="500"/>
        <w:gridCol w:w="60"/>
        <w:gridCol w:w="60"/>
        <w:gridCol w:w="61"/>
        <w:gridCol w:w="825"/>
        <w:gridCol w:w="60"/>
        <w:gridCol w:w="60"/>
        <w:gridCol w:w="60"/>
        <w:gridCol w:w="800"/>
        <w:gridCol w:w="60"/>
        <w:gridCol w:w="60"/>
        <w:gridCol w:w="103"/>
        <w:gridCol w:w="1387"/>
        <w:gridCol w:w="60"/>
        <w:gridCol w:w="60"/>
        <w:gridCol w:w="103"/>
        <w:gridCol w:w="1387"/>
        <w:gridCol w:w="60"/>
        <w:gridCol w:w="60"/>
        <w:gridCol w:w="60"/>
        <w:gridCol w:w="980"/>
        <w:gridCol w:w="77"/>
      </w:tblGrid>
      <w:tr>
        <w:trPr/>
        <w:tc>
          <w:tcPr>
            <w:tcW w:w="3142" w:type="dxa"/>
            <w:tcBorders>
              <w:bottom w:val="single" w:sz="12" w:space="0" w:color="000000"/>
            </w:tcBorders>
            <w:vAlign w:val="center"/>
          </w:tcPr>
          <w:p>
            <w:pPr>
              <w:pStyle w:val="TableContents"/>
              <w:bidi w:val="0"/>
              <w:spacing w:before="0" w:after="283"/>
              <w:ind w:left="0" w:right="0" w:hanging="180"/>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6" w:type="dxa"/>
            <w:gridSpan w:val="2"/>
            <w:tcBorders>
              <w:bottom w:val="single" w:sz="12" w:space="0" w:color="000000"/>
            </w:tcBorders>
            <w:vAlign w:val="center"/>
          </w:tcPr>
          <w:p>
            <w:pPr>
              <w:pStyle w:val="TableContents"/>
              <w:bidi w:val="0"/>
              <w:spacing w:before="0" w:after="283"/>
              <w:jc w:val="center"/>
              <w:rPr>
                <w:b/>
              </w:rPr>
            </w:pPr>
            <w:r>
              <w:rPr>
                <w:b/>
              </w:rPr>
              <w:t>Salary</w:t>
            </w:r>
            <w:r>
              <w:rPr>
                <w:b/>
                <w:position w:val="8"/>
                <w:sz w:val="19"/>
              </w:rPr>
              <w:t>(1)</w:t>
            </w:r>
            <w:r>
              <w:rPr>
                <w:b/>
              </w:rPr>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Option</w:t>
              <w:br/>
              <w:t>Awards</w:t>
              <w:br/>
              <w:t>($)</w:t>
            </w:r>
            <w:r>
              <w:rPr>
                <w:b/>
                <w:position w:val="8"/>
                <w:sz w:val="19"/>
              </w:rPr>
              <w:t>(2)(3)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Non-Equity</w:t>
              <w:br/>
              <w:t>Incentive Plan</w:t>
              <w:br/>
              <w:t>Compensation</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All Other</w:t>
              <w:br/>
              <w:t>Compensation</w:t>
              <w:br/>
              <w:t>($)</w:t>
            </w:r>
            <w:r>
              <w:rPr>
                <w:b/>
                <w:position w:val="8"/>
                <w:sz w:val="19"/>
              </w:rPr>
              <w:t>(4)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Total</w:t>
              <w:br/>
              <w:t>($)</w:t>
            </w:r>
          </w:p>
        </w:tc>
        <w:tc>
          <w:tcPr>
            <w:tcW w:w="77" w:type="dxa"/>
            <w:tcBorders/>
            <w:tcMar>
              <w:bottom w:w="0" w:type="dxa"/>
            </w:tcMar>
            <w:vAlign w:val="center"/>
          </w:tcPr>
          <w:p>
            <w:pPr>
              <w:pStyle w:val="TableContents"/>
              <w:bidi w:val="0"/>
              <w:spacing w:before="0" w:after="283"/>
              <w:ind w:left="0" w:right="0" w:hanging="180"/>
              <w:jc w:val="left"/>
              <w:rPr/>
            </w:pPr>
            <w:r>
              <w:rPr/>
              <w:t> </w:t>
            </w:r>
          </w:p>
        </w:tc>
      </w:tr>
      <w:tr>
        <w:trPr/>
        <w:tc>
          <w:tcPr>
            <w:tcW w:w="3142" w:type="dxa"/>
            <w:tcBorders/>
            <w:shd w:fill="CCEEFF" w:val="clear"/>
            <w:tcMar>
              <w:bottom w:w="0" w:type="dxa"/>
            </w:tcMar>
            <w:vAlign w:val="center"/>
          </w:tcPr>
          <w:p>
            <w:pPr>
              <w:pStyle w:val="TableContents"/>
              <w:bidi w:val="0"/>
              <w:spacing w:before="0" w:after="283"/>
              <w:jc w:val="left"/>
              <w:rPr/>
            </w:pPr>
            <w:r>
              <w:rPr/>
              <w:t>Stephen Brady</w:t>
            </w:r>
            <w:r>
              <w:rPr>
                <w:position w:val="8"/>
                <w:sz w:val="19"/>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25" w:type="dxa"/>
            <w:tcBorders/>
            <w:shd w:fill="CCEEFF" w:val="clear"/>
            <w:tcMar>
              <w:bottom w:w="0" w:type="dxa"/>
            </w:tcMar>
            <w:vAlign w:val="center"/>
          </w:tcPr>
          <w:p>
            <w:pPr>
              <w:pStyle w:val="TableContents"/>
              <w:bidi w:val="0"/>
              <w:spacing w:before="0" w:after="283"/>
              <w:jc w:val="right"/>
              <w:rPr/>
            </w:pPr>
            <w:r>
              <w:rPr/>
              <w:t>906,400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556,981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836,094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2,299,475</w:t>
            </w:r>
          </w:p>
        </w:tc>
        <w:tc>
          <w:tcPr>
            <w:tcW w:w="7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142" w:type="dxa"/>
            <w:tcBorders/>
            <w:shd w:fill="CCEEFF" w:val="clear"/>
            <w:tcMar>
              <w:bottom w:w="0" w:type="dxa"/>
            </w:tcMar>
            <w:vAlign w:val="center"/>
          </w:tcPr>
          <w:p>
            <w:pPr>
              <w:pStyle w:val="TableContents"/>
              <w:bidi w:val="0"/>
              <w:spacing w:before="0" w:after="283"/>
              <w:jc w:val="left"/>
              <w:rPr>
                <w:i/>
              </w:rPr>
            </w:pPr>
            <w:r>
              <w:rPr>
                <w:i/>
              </w:rPr>
              <w:t>Former Chief Executive Officer and President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25" w:type="dxa"/>
            <w:tcBorders/>
            <w:shd w:fill="CCEEFF" w:val="clear"/>
            <w:tcMar>
              <w:bottom w:w="0" w:type="dxa"/>
            </w:tcMar>
            <w:vAlign w:val="center"/>
          </w:tcPr>
          <w:p>
            <w:pPr>
              <w:pStyle w:val="TableContents"/>
              <w:bidi w:val="0"/>
              <w:spacing w:before="0" w:after="283"/>
              <w:jc w:val="right"/>
              <w:rPr/>
            </w:pPr>
            <w:r>
              <w:rPr/>
              <w:t>600,000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977,999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280,500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13,800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1,872,299</w:t>
            </w:r>
          </w:p>
        </w:tc>
        <w:tc>
          <w:tcPr>
            <w:tcW w:w="7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14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2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8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8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142" w:type="dxa"/>
            <w:tcBorders/>
            <w:shd w:fill="CCEEFF" w:val="clear"/>
            <w:tcMar>
              <w:bottom w:w="0" w:type="dxa"/>
            </w:tcMar>
            <w:vAlign w:val="center"/>
          </w:tcPr>
          <w:p>
            <w:pPr>
              <w:pStyle w:val="TableContents"/>
              <w:bidi w:val="0"/>
              <w:spacing w:before="0" w:after="283"/>
              <w:jc w:val="left"/>
              <w:rPr/>
            </w:pPr>
            <w:r>
              <w:rPr/>
              <w:t>Samuel Whiting</w:t>
            </w:r>
            <w:r>
              <w:rPr>
                <w:position w:val="8"/>
                <w:sz w:val="19"/>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25" w:type="dxa"/>
            <w:tcBorders/>
            <w:shd w:fill="CCEEFF" w:val="clear"/>
            <w:tcMar>
              <w:bottom w:w="0" w:type="dxa"/>
            </w:tcMar>
            <w:vAlign w:val="center"/>
          </w:tcPr>
          <w:p>
            <w:pPr>
              <w:pStyle w:val="TableContents"/>
              <w:bidi w:val="0"/>
              <w:spacing w:before="0" w:after="283"/>
              <w:jc w:val="right"/>
              <w:rPr/>
            </w:pPr>
            <w:r>
              <w:rPr/>
              <w:t>222,708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300,246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453,459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976,413</w:t>
            </w:r>
          </w:p>
        </w:tc>
        <w:tc>
          <w:tcPr>
            <w:tcW w:w="7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142" w:type="dxa"/>
            <w:tcBorders/>
            <w:shd w:fill="CCEEFF" w:val="clear"/>
            <w:tcMar>
              <w:bottom w:w="0" w:type="dxa"/>
            </w:tcMar>
            <w:vAlign w:val="center"/>
          </w:tcPr>
          <w:p>
            <w:pPr>
              <w:pStyle w:val="TableContents"/>
              <w:bidi w:val="0"/>
              <w:spacing w:before="0" w:after="283"/>
              <w:jc w:val="left"/>
              <w:rPr>
                <w:i/>
              </w:rPr>
            </w:pPr>
            <w:r>
              <w:rPr>
                <w:i/>
              </w:rPr>
              <w:t>Former Chief Medical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25" w:type="dxa"/>
            <w:tcBorders/>
            <w:shd w:fill="CCEEFF" w:val="clear"/>
            <w:tcMar>
              <w:bottom w:w="0" w:type="dxa"/>
            </w:tcMar>
            <w:vAlign w:val="center"/>
          </w:tcPr>
          <w:p>
            <w:pPr>
              <w:pStyle w:val="TableContents"/>
              <w:bidi w:val="0"/>
              <w:spacing w:before="0" w:after="283"/>
              <w:jc w:val="right"/>
              <w:rPr/>
            </w:pPr>
            <w:r>
              <w:rPr/>
              <w:t>481,749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391,200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175,838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13,800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1,062,587</w:t>
            </w:r>
          </w:p>
        </w:tc>
        <w:tc>
          <w:tcPr>
            <w:tcW w:w="7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14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2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8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8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142" w:type="dxa"/>
            <w:tcBorders/>
            <w:shd w:fill="CCEEFF" w:val="clear"/>
            <w:tcMar>
              <w:bottom w:w="0" w:type="dxa"/>
            </w:tcMar>
            <w:vAlign w:val="center"/>
          </w:tcPr>
          <w:p>
            <w:pPr>
              <w:pStyle w:val="TableContents"/>
              <w:bidi w:val="0"/>
              <w:spacing w:before="0" w:after="283"/>
              <w:jc w:val="left"/>
              <w:rPr/>
            </w:pPr>
            <w:r>
              <w:rPr/>
              <w:t>Nicholas Maestas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25" w:type="dxa"/>
            <w:tcBorders/>
            <w:shd w:fill="CCEEFF" w:val="clear"/>
            <w:tcMar>
              <w:bottom w:w="0" w:type="dxa"/>
            </w:tcMar>
            <w:vAlign w:val="center"/>
          </w:tcPr>
          <w:p>
            <w:pPr>
              <w:pStyle w:val="TableContents"/>
              <w:bidi w:val="0"/>
              <w:spacing w:before="0" w:after="283"/>
              <w:jc w:val="right"/>
              <w:rPr/>
            </w:pPr>
            <w:r>
              <w:rPr/>
              <w:t>487,850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196,092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426,362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1,110,304</w:t>
            </w:r>
          </w:p>
        </w:tc>
        <w:tc>
          <w:tcPr>
            <w:tcW w:w="7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142" w:type="dxa"/>
            <w:tcBorders/>
            <w:shd w:fill="CCEEFF" w:val="clear"/>
            <w:tcMar>
              <w:bottom w:w="0" w:type="dxa"/>
            </w:tcMar>
            <w:vAlign w:val="center"/>
          </w:tcPr>
          <w:p>
            <w:pPr>
              <w:pStyle w:val="TableContents"/>
              <w:bidi w:val="0"/>
              <w:spacing w:before="0" w:after="283"/>
              <w:jc w:val="left"/>
              <w:rPr>
                <w:i/>
              </w:rPr>
            </w:pPr>
            <w:r>
              <w:rPr>
                <w:i/>
              </w:rPr>
              <w:t>Former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25" w:type="dxa"/>
            <w:tcBorders/>
            <w:shd w:fill="CCEEFF" w:val="clear"/>
            <w:tcMar>
              <w:bottom w:w="0" w:type="dxa"/>
            </w:tcMar>
            <w:vAlign w:val="center"/>
          </w:tcPr>
          <w:p>
            <w:pPr>
              <w:pStyle w:val="TableContents"/>
              <w:bidi w:val="0"/>
              <w:spacing w:before="0" w:after="283"/>
              <w:jc w:val="right"/>
              <w:rPr/>
            </w:pPr>
            <w:r>
              <w:rPr/>
              <w:t>365,547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156,480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100,068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622,095</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283"/>
              <w:jc w:val="left"/>
              <w:rPr/>
            </w:pPr>
            <w:r>
              <w:rPr/>
              <w:t>For 2025, such amounts reflect (i) salary paid to our Named Executive Officers, (ii) consulting payments following the Transition (as defined below) of $576,400, $13,950 and $254,100 for Mr. Brady, Dr. Whiting and Mr. Maestas, respectively, and (iii) salary paid to each of Mr. Brady and Mr. Maestas following the Rehire Transition (as defined below). See “—</w:t>
            </w:r>
            <w:r>
              <w:rPr>
                <w:i/>
              </w:rPr>
              <w:t>Narrative Disclosure to the Summary Compensation Table</w:t>
            </w:r>
            <w:r>
              <w:rPr/>
              <w:t>—</w:t>
            </w:r>
            <w:r>
              <w:rPr>
                <w:i/>
              </w:rPr>
              <w:t>Annual Base</w:t>
            </w:r>
            <w:r>
              <w:rPr/>
              <w:t> </w:t>
            </w:r>
            <w:r>
              <w:rPr>
                <w:i/>
              </w:rPr>
              <w:t>Salary</w:t>
            </w:r>
            <w:r>
              <w:rPr/>
              <w:t>” below.</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(2)</w:t>
            </w:r>
          </w:p>
        </w:tc>
        <w:tc>
          <w:tcPr>
            <w:tcW w:w="9968" w:type="dxa"/>
            <w:tcBorders/>
            <w:vAlign w:val="center"/>
          </w:tcPr>
          <w:p>
            <w:pPr>
              <w:pStyle w:val="TableContents"/>
              <w:bidi w:val="0"/>
              <w:spacing w:before="0" w:after="283"/>
              <w:jc w:val="left"/>
              <w:rPr/>
            </w:pPr>
            <w:r>
              <w:rPr/>
              <w:t>Amounts reflect (i) the aggregate grant date fair value of the option awards granted to our Named Executive Officers during the relevant fiscal years under our equity incentive plans and (ii) the incremental value of awards accelerated pursuant to the terms of the separation agreements entered into with each of the Named Executive Officers in connection with the Transition during 2025, and related extension, each as computed in accordance with Financial Accounting Standards Board Accounting Standards Codification Topic 718 (“</w:t>
            </w:r>
            <w:r>
              <w:rPr>
                <w:b/>
                <w:i/>
              </w:rPr>
              <w:t>ASC 718</w:t>
            </w:r>
            <w:r>
              <w:rPr/>
              <w:t>”). The assumptions used in calculating the grant date fair value of the options are set forth in the notes to our audited consolidated financial statements included in our Annual Report on Form 10-K for the fiscal year ended December 31, 2025. These amounts do not reflect the actual economic value that may be realized by the Named Executive Officers.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(3)</w:t>
            </w:r>
          </w:p>
        </w:tc>
        <w:tc>
          <w:tcPr>
            <w:tcW w:w="9941" w:type="dxa"/>
            <w:tcBorders/>
            <w:vAlign w:val="center"/>
          </w:tcPr>
          <w:p>
            <w:pPr>
              <w:pStyle w:val="TableContents"/>
              <w:bidi w:val="0"/>
              <w:spacing w:before="0" w:after="283"/>
              <w:jc w:val="left"/>
              <w:rPr/>
            </w:pPr>
            <w:r>
              <w:rPr/>
              <w:t>See “—</w:t>
            </w:r>
            <w:r>
              <w:rPr>
                <w:i/>
              </w:rPr>
              <w:t>Narrative Disclosure to Summary Compensation Table</w:t>
            </w:r>
            <w:r>
              <w:rPr/>
              <w:t>—</w:t>
            </w:r>
            <w:r>
              <w:rPr>
                <w:i/>
              </w:rPr>
              <w:t>Equity-Based Incentive Awards</w:t>
            </w:r>
            <w:r>
              <w:rPr/>
              <w:t>” below for a description of the material terms of the program pursuant to which this compensation was awarded.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(4)</w:t>
            </w:r>
          </w:p>
        </w:tc>
        <w:tc>
          <w:tcPr>
            <w:tcW w:w="9968" w:type="dxa"/>
            <w:tcBorders/>
            <w:vAlign w:val="center"/>
          </w:tcPr>
          <w:p>
            <w:pPr>
              <w:pStyle w:val="TableContents"/>
              <w:bidi w:val="0"/>
              <w:spacing w:before="0" w:after="283"/>
              <w:jc w:val="left"/>
              <w:rPr/>
            </w:pPr>
            <w:r>
              <w:rPr/>
              <w:t>The amounts reported represent (i) severance benefits of $825,802, $444,662 and $424,946 paid to Mr. Brady, Dr. Whiting and Mr. Maestas, respectively, pursuant to separation agreements we entered into with each of the Named Executive Officers in connection with the Transition, and (ii) matching contributions made by us to the Named Executive Officer’s 401(k) plan account in amounts of $10,292, $8,797 and $1,417 for Mr. Brady, Dr. Whiting and Mr. Maestas, respectively. For Mr. Brady, such severance payments include $600,000, representing 12 months of base salary, a prorated 2025 bonus of $142,738 and COBRA upfront payments of $83,064. For Dr. Whiting, such severance payments include $361,312, representing nine months of base salary, and a prorated 2025 bonus of $83,350. For Mr. Maestas, such severance payments include $318,750, representing nine months of base salary, a prorated 2025 bonus of $73,532 and COBRA upfront payments of $32,664.</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(5)</w:t>
            </w:r>
          </w:p>
        </w:tc>
        <w:tc>
          <w:tcPr>
            <w:tcW w:w="9959" w:type="dxa"/>
            <w:tcBorders/>
            <w:vAlign w:val="center"/>
          </w:tcPr>
          <w:p>
            <w:pPr>
              <w:pStyle w:val="TableContents"/>
              <w:bidi w:val="0"/>
              <w:spacing w:before="0" w:after="283"/>
              <w:jc w:val="left"/>
              <w:rPr/>
            </w:pPr>
            <w:r>
              <w:rPr/>
              <w:t>On February 3, 2026, Mr. Brady resigned from his positions as the Company’s President and Chief Executive Officer. Dr. Angel was appointed to serve as our President and Chief Executive Officer, succeeding Mr. Brady in such capacities. Further, on May 29, 2026, Mr. Maestas resigned from his positions as Chief Financial Officer of the Company and from any and all other positions he holds with the Company, effective as of June 5, 2026.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(6)</w:t>
            </w:r>
          </w:p>
        </w:tc>
        <w:tc>
          <w:tcPr>
            <w:tcW w:w="9924" w:type="dxa"/>
            <w:tcBorders/>
            <w:vAlign w:val="center"/>
          </w:tcPr>
          <w:p>
            <w:pPr>
              <w:pStyle w:val="TableContents"/>
              <w:bidi w:val="0"/>
              <w:spacing w:before="0" w:after="283"/>
              <w:jc w:val="left"/>
              <w:rPr/>
            </w:pPr>
            <w:r>
              <w:rPr/>
              <w:t>On June 5, 2025, Dr. Whiting transitioned to a consulting agreement with us, pursuant to which he continued to serve the Company as a consultant.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the 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2025, each of our Named Executive Officers transitioned (collectively, the “</w:t>
      </w:r>
      <w:r>
        <w:rPr>
          <w:rFonts w:ascii="Times New Roman;Times;Serif" w:hAnsi="Times New Roman;Times;Serif"/>
          <w:b/>
          <w:i/>
          <w:caps w:val="false"/>
          <w:smallCaps w:val="false"/>
          <w:sz w:val="20"/>
        </w:rPr>
        <w:t>Transition</w:t>
      </w:r>
      <w:r>
        <w:rPr>
          <w:rFonts w:ascii="Times New Roman;Times;Serif" w:hAnsi="Times New Roman;Times;Serif"/>
          <w:b w:val="false"/>
          <w:i w:val="false"/>
          <w:caps w:val="false"/>
          <w:smallCaps w:val="false"/>
          <w:sz w:val="20"/>
        </w:rPr>
        <w:t>”) to consulting agreements with us, pursuant to which they received hourly compensation. In connection with the acquisition of certain assets under the Asset Purchase Agreement with Erigen LLC and Factor, on November 19, 2025, we rehired each of Mr. Brady and Mr. Maestas on a full-time basis. During the period when each of our Named Executive Officers was not employed on a full-time basis, such officer received compensation pursuant to consulting arrangements. See “—</w:t>
      </w:r>
      <w:r>
        <w:rPr>
          <w:rFonts w:ascii="Times New Roman;Times;Serif" w:hAnsi="Times New Roman;Times;Serif"/>
          <w:b w:val="false"/>
          <w:i/>
          <w:caps w:val="false"/>
          <w:smallCaps w:val="false"/>
          <w:sz w:val="20"/>
        </w:rPr>
        <w:t>Consulting and Employment Arrangements</w:t>
      </w:r>
      <w:r>
        <w:rPr>
          <w:rFonts w:ascii="Times New Roman;Times;Serif" w:hAnsi="Times New Roman;Times;Serif"/>
          <w:b w:val="false"/>
          <w:i w:val="false"/>
          <w:caps w:val="false"/>
          <w:smallCaps w:val="false"/>
          <w:sz w:val="20"/>
        </w:rPr>
        <w:t>”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received a base salary to compensate them for services rendered to us while employed on a full-time basis. For 2025, such annual base salaries were $600,000, $481,749 and $425,000 for Mr. Brady, Dr. Whiting and Mr. Maestas, respectively. The annual base salary payable to each Named Executive Officer was intended to provide a fixed component of compensation reflecting the executive’s skill set, experience, role and responsibilities.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Named Executive Officers is currently a party to an employment agreement or other agreement or arrangement that provides for automatic or scheduled increases in base salary.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Equity-Based Incentive Awards</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our equity award program was the primary vehicle for offering long-term incentives to our executives. We believe that equity awards provided our executives with a strong link to our long-term performance, created an ownership culture and helped to align the interests of our executives and our stockholders. The use of options also can provide tax and other advantages relative to other forms of equity compensation.</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historically have awarded equity grants broadly to our employees, including our non-executive employees. Historically, grants to our executives, including the Named Executive Officers, and other employees were made at the discretion of the Board and were generally made upon commencement of employment, promotion or annually during the first quarter of each year. Moving forward we believe that our equity awards are an important retention tool for our Named Executive Officers, as well as for our other employees.</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annual grant process, on January 2, 2025, our Compensation Committee approved the grant to each of Mr. Brady, Dr. Whiting and Mr. Maestas of an option to purchase 42,307, 20,768 and 15,383 shares of our common stock, respectively, at an exercise price of $11.18 per share, under our Amended and Restated 2023 Equity Incentive Plan, as amended (the “</w:t>
      </w:r>
      <w:r>
        <w:rPr>
          <w:rFonts w:ascii="Times New Roman;Times;Serif" w:hAnsi="Times New Roman;Times;Serif"/>
          <w:b/>
          <w:i/>
          <w:caps w:val="false"/>
          <w:smallCaps w:val="false"/>
          <w:sz w:val="20"/>
        </w:rPr>
        <w:t>2023 EIP</w:t>
      </w:r>
      <w:r>
        <w:rPr>
          <w:rFonts w:ascii="Times New Roman;Times;Serif" w:hAnsi="Times New Roman;Times;Serif"/>
          <w:b w:val="false"/>
          <w:i w:val="false"/>
          <w:caps w:val="false"/>
          <w:smallCaps w:val="false"/>
          <w:sz w:val="20"/>
        </w:rPr>
        <w:t>”). Each option originally vested in equal monthly installments over a four-year period, subject to the executive’s continuous service to us through each vesting date. In addition, as described below under “-</w:t>
      </w:r>
      <w:r>
        <w:rPr>
          <w:rFonts w:ascii="Times New Roman;Times;Serif" w:hAnsi="Times New Roman;Times;Serif"/>
          <w:b w:val="false"/>
          <w:i/>
          <w:caps w:val="false"/>
          <w:smallCaps w:val="false"/>
          <w:sz w:val="20"/>
        </w:rPr>
        <w:t>Consulting and Employment Arrangements</w:t>
      </w:r>
      <w:r>
        <w:rPr>
          <w:rFonts w:ascii="Times New Roman;Times;Serif" w:hAnsi="Times New Roman;Times;Serif"/>
          <w:b w:val="false"/>
          <w:i w:val="false"/>
          <w:caps w:val="false"/>
          <w:smallCaps w:val="false"/>
          <w:sz w:val="20"/>
        </w:rPr>
        <w:t>,” on June 5, 2025, we entered into separation agreements with each of Mr. Brady, Dr. Whiting and Mr. Maestas pursuant to which they became entitled to full acceleration of all outstanding unvested equity awards, which became fully vested and exercisable as of June 5, 2025. See “—</w:t>
      </w:r>
      <w:r>
        <w:rPr>
          <w:rFonts w:ascii="Times New Roman;Times;Serif" w:hAnsi="Times New Roman;Times;Serif"/>
          <w:b w:val="false"/>
          <w:i/>
          <w:caps w:val="false"/>
          <w:smallCaps w:val="false"/>
          <w:sz w:val="20"/>
        </w:rPr>
        <w:t>Outstanding Equity Awards at Fiscal Year End</w:t>
      </w:r>
      <w:r>
        <w:rPr>
          <w:rFonts w:ascii="Times New Roman;Times;Serif" w:hAnsi="Times New Roman;Times;Serif"/>
          <w:b w:val="false"/>
          <w:i w:val="false"/>
          <w:caps w:val="false"/>
          <w:smallCaps w:val="false"/>
          <w:sz w:val="20"/>
        </w:rPr>
        <w:t>”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Performance-Based Cash Compensation</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developed a performance-based bonus program annually. Under the 2025 annual performance-based bonus program, each Named Executive Officer was eligible for an annual performance bonus based on (1) the individual’s target bonus, as a percentage of annual base salary, and (2) the percentage attainment of our 2025 corporate goals established by our Board in its sole discretion and communicated to each officer. </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Named Executive Officer was assigned a target performance bonus expressed as a percentage of their annual base salary, which for 2025 was 55% for Mr. Brady, 40% for Dr. Whiting and 40% for Mr. Maestas. As described more fully below under “—</w:t>
      </w:r>
      <w:r>
        <w:rPr>
          <w:rFonts w:ascii="Times New Roman;Times;Serif" w:hAnsi="Times New Roman;Times;Serif"/>
          <w:b w:val="false"/>
          <w:i/>
          <w:caps w:val="false"/>
          <w:smallCaps w:val="false"/>
          <w:sz w:val="20"/>
        </w:rPr>
        <w:t>Consulting and Employment Arrangements,</w:t>
      </w:r>
      <w:r>
        <w:rPr>
          <w:rFonts w:ascii="Times New Roman;Times;Serif" w:hAnsi="Times New Roman;Times;Serif"/>
          <w:b w:val="false"/>
          <w:i w:val="false"/>
          <w:caps w:val="false"/>
          <w:smallCaps w:val="false"/>
          <w:sz w:val="20"/>
        </w:rPr>
        <w:t>” in connection with the Transition, we entered into separation agreements with each of Mr. Brady, Dr. Whiting and Mr. Maestas. Each separation agreement provided for severance benefits resulting from a termination by us without “cause” under each of Mr. Brady’s, Dr. Whiting’s and Mr. Maestas’s respective employment agreements, each as described below in “—</w:t>
      </w:r>
      <w:r>
        <w:rPr>
          <w:rFonts w:ascii="Times New Roman;Times;Serif" w:hAnsi="Times New Roman;Times;Serif"/>
          <w:b w:val="false"/>
          <w:i/>
          <w:caps w:val="false"/>
          <w:smallCaps w:val="false"/>
          <w:sz w:val="20"/>
        </w:rPr>
        <w:t>Change in Control and Severance Arrangements</w:t>
      </w:r>
      <w:r>
        <w:rPr>
          <w:rFonts w:ascii="Times New Roman;Times;Serif" w:hAnsi="Times New Roman;Times;Serif"/>
          <w:b w:val="false"/>
          <w:i w:val="false"/>
          <w:caps w:val="false"/>
          <w:smallCaps w:val="false"/>
          <w:sz w:val="20"/>
        </w:rPr>
        <w:t>.” As a result, none of Mr. Brady, Dr. Whiting and Mr. Maestas were eligible to receive annual incentive compensation for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 End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for the fiscal year ended December 31, 2025, certain information regarding outstanding equity awards for the Named Executive Officers.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93"/>
        <w:gridCol w:w="60"/>
        <w:gridCol w:w="1105"/>
        <w:gridCol w:w="60"/>
        <w:gridCol w:w="161"/>
        <w:gridCol w:w="1509"/>
        <w:gridCol w:w="60"/>
        <w:gridCol w:w="60"/>
        <w:gridCol w:w="1585"/>
        <w:gridCol w:w="60"/>
        <w:gridCol w:w="102"/>
        <w:gridCol w:w="1163"/>
        <w:gridCol w:w="60"/>
        <w:gridCol w:w="60"/>
        <w:gridCol w:w="559"/>
        <w:gridCol w:w="886"/>
        <w:gridCol w:w="60"/>
        <w:gridCol w:w="60"/>
        <w:gridCol w:w="73"/>
        <w:gridCol w:w="852"/>
        <w:gridCol w:w="77"/>
      </w:tblGrid>
      <w:tr>
        <w:trPr/>
        <w:tc>
          <w:tcPr>
            <w:tcW w:w="1593"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center"/>
              <w:rPr/>
            </w:pPr>
            <w:r>
              <w:rPr/>
              <w:t> </w:t>
            </w:r>
          </w:p>
        </w:tc>
        <w:tc>
          <w:tcPr>
            <w:tcW w:w="1105" w:type="dxa"/>
            <w:tcBorders>
              <w:bottom w:val="single" w:sz="12" w:space="0" w:color="000000"/>
            </w:tcBorders>
            <w:vAlign w:val="center"/>
          </w:tcPr>
          <w:p>
            <w:pPr>
              <w:pStyle w:val="TableContents"/>
              <w:bidi w:val="0"/>
              <w:spacing w:before="0" w:after="283"/>
              <w:jc w:val="center"/>
              <w:rPr>
                <w:b/>
              </w:rPr>
            </w:pPr>
            <w:r>
              <w:rPr>
                <w:b/>
              </w:rPr>
              <w:t>Grant Date</w:t>
            </w:r>
          </w:p>
        </w:tc>
        <w:tc>
          <w:tcPr>
            <w:tcW w:w="60" w:type="dxa"/>
            <w:tcBorders/>
            <w:tcMar>
              <w:bottom w:w="0" w:type="dxa"/>
            </w:tcMar>
            <w:vAlign w:val="center"/>
          </w:tcPr>
          <w:p>
            <w:pPr>
              <w:pStyle w:val="TableContents"/>
              <w:bidi w:val="0"/>
              <w:spacing w:before="0" w:after="283"/>
              <w:jc w:val="center"/>
              <w:rPr/>
            </w:pPr>
            <w:r>
              <w:rPr/>
              <w:t> </w:t>
            </w:r>
          </w:p>
        </w:tc>
        <w:tc>
          <w:tcPr>
            <w:tcW w:w="1670" w:type="dxa"/>
            <w:gridSpan w:val="2"/>
            <w:tcBorders>
              <w:bottom w:val="single" w:sz="12" w:space="0" w:color="000000"/>
            </w:tcBorders>
            <w:vAlign w:val="center"/>
          </w:tcPr>
          <w:p>
            <w:pPr>
              <w:pStyle w:val="TableContents"/>
              <w:bidi w:val="0"/>
              <w:spacing w:before="0" w:after="283"/>
              <w:jc w:val="center"/>
              <w:rPr>
                <w:b/>
              </w:rPr>
            </w:pPr>
            <w:r>
              <w:rPr>
                <w:b/>
              </w:rPr>
              <w:t>Vesting</w:t>
              <w:br/>
              <w:t>Commencement</w:t>
              <w:br/>
              <w:t>Date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85" w:type="dxa"/>
            <w:tcBorders>
              <w:bottom w:val="single" w:sz="12" w:space="0" w:color="000000"/>
            </w:tcBorders>
            <w:vAlign w:val="center"/>
          </w:tcPr>
          <w:p>
            <w:pPr>
              <w:pStyle w:val="TableContents"/>
              <w:bidi w:val="0"/>
              <w:spacing w:before="0" w:after="283"/>
              <w:jc w:val="center"/>
              <w:rPr>
                <w:b/>
              </w:rPr>
            </w:pPr>
            <w:r>
              <w:rPr>
                <w:b/>
              </w:rPr>
              <w:t xml:space="preserve">Option </w:t>
              <w:br/>
              <w:t>Expiration Date</w:t>
            </w:r>
          </w:p>
        </w:tc>
        <w:tc>
          <w:tcPr>
            <w:tcW w:w="60" w:type="dxa"/>
            <w:tcBorders/>
            <w:tcMar>
              <w:bottom w:w="0" w:type="dxa"/>
            </w:tcMar>
            <w:vAlign w:val="center"/>
          </w:tcPr>
          <w:p>
            <w:pPr>
              <w:pStyle w:val="TableContents"/>
              <w:bidi w:val="0"/>
              <w:spacing w:before="0" w:after="283"/>
              <w:jc w:val="center"/>
              <w:rPr/>
            </w:pPr>
            <w:r>
              <w:rPr/>
              <w:t> </w:t>
            </w:r>
          </w:p>
        </w:tc>
        <w:tc>
          <w:tcPr>
            <w:tcW w:w="1265" w:type="dxa"/>
            <w:gridSpan w:val="2"/>
            <w:tcBorders>
              <w:bottom w:val="single" w:sz="12" w:space="0" w:color="000000"/>
            </w:tcBorders>
            <w:vAlign w:val="center"/>
          </w:tcPr>
          <w:p>
            <w:pPr>
              <w:pStyle w:val="TableContents"/>
              <w:bidi w:val="0"/>
              <w:spacing w:before="0" w:after="283"/>
              <w:jc w:val="center"/>
              <w:rPr>
                <w:b/>
              </w:rPr>
            </w:pPr>
            <w:r>
              <w:rPr>
                <w:b/>
              </w:rPr>
              <w:t>Number of</w:t>
              <w:br/>
              <w:t>Securities</w:t>
              <w:br/>
              <w:t>Underlying</w:t>
              <w:br/>
              <w:t>Unexercised</w:t>
              <w:br/>
              <w:t>Options</w:t>
              <w:br/>
              <w:t>(#)</w:t>
              <w:br/>
              <w:t>Exercisable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45" w:type="dxa"/>
            <w:gridSpan w:val="2"/>
            <w:tcBorders>
              <w:bottom w:val="single" w:sz="12" w:space="0" w:color="000000"/>
            </w:tcBorders>
            <w:vAlign w:val="center"/>
          </w:tcPr>
          <w:p>
            <w:pPr>
              <w:pStyle w:val="TableContents"/>
              <w:bidi w:val="0"/>
              <w:spacing w:before="0" w:after="283"/>
              <w:jc w:val="center"/>
              <w:rPr>
                <w:b/>
              </w:rPr>
            </w:pPr>
            <w:r>
              <w:rPr>
                <w:b/>
              </w:rPr>
              <w:t>Number of</w:t>
              <w:br/>
              <w:t>Securities</w:t>
              <w:br/>
              <w:t>Underlying</w:t>
              <w:br/>
              <w:t>Unexercised</w:t>
              <w:br/>
              <w:t>Options</w:t>
              <w:br/>
              <w:t>(#)</w:t>
              <w:br/>
              <w:t>Unexercisable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25" w:type="dxa"/>
            <w:gridSpan w:val="2"/>
            <w:tcBorders>
              <w:bottom w:val="single" w:sz="12" w:space="0" w:color="000000"/>
            </w:tcBorders>
            <w:vAlign w:val="center"/>
          </w:tcPr>
          <w:p>
            <w:pPr>
              <w:pStyle w:val="TableContents"/>
              <w:bidi w:val="0"/>
              <w:spacing w:before="0" w:after="283"/>
              <w:jc w:val="center"/>
              <w:rPr>
                <w:b/>
              </w:rPr>
            </w:pPr>
            <w:r>
              <w:rPr>
                <w:b/>
              </w:rPr>
              <w:t>Option</w:t>
              <w:br/>
              <w:t xml:space="preserve">Exercise </w:t>
              <w:br/>
              <w:t>Price</w:t>
              <w:br/>
              <w:t>($)</w:t>
            </w:r>
          </w:p>
        </w:tc>
        <w:tc>
          <w:tcPr>
            <w:tcW w:w="77" w:type="dxa"/>
            <w:tcBorders/>
            <w:tcMar>
              <w:bottom w:w="0" w:type="dxa"/>
            </w:tcMar>
            <w:vAlign w:val="center"/>
          </w:tcPr>
          <w:p>
            <w:pPr>
              <w:pStyle w:val="TableContents"/>
              <w:bidi w:val="0"/>
              <w:spacing w:before="0" w:after="283"/>
              <w:jc w:val="center"/>
              <w:rPr/>
            </w:pPr>
            <w:r>
              <w:rPr/>
              <w:t> </w:t>
            </w:r>
          </w:p>
        </w:tc>
      </w:tr>
      <w:tr>
        <w:trPr/>
        <w:tc>
          <w:tcPr>
            <w:tcW w:w="1593" w:type="dxa"/>
            <w:tcBorders/>
            <w:shd w:fill="CCEEFF" w:val="clear"/>
            <w:tcMar>
              <w:bottom w:w="0" w:type="dxa"/>
            </w:tcMar>
            <w:vAlign w:val="center"/>
          </w:tcPr>
          <w:p>
            <w:pPr>
              <w:pStyle w:val="TableContents"/>
              <w:bidi w:val="0"/>
              <w:spacing w:before="0" w:after="283"/>
              <w:jc w:val="left"/>
              <w:rPr/>
            </w:pPr>
            <w:r>
              <w:rPr/>
              <w:t>Stephen Brady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center"/>
              <w:rPr/>
            </w:pPr>
            <w:r>
              <w:rPr/>
              <w:t>1/2/2025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center"/>
              <w:rPr/>
            </w:pPr>
            <w:r>
              <w:rPr/>
              <w:t> </w:t>
            </w:r>
          </w:p>
        </w:tc>
        <w:tc>
          <w:tcPr>
            <w:tcW w:w="1509" w:type="dxa"/>
            <w:tcBorders/>
            <w:shd w:fill="CCEEFF" w:val="clear"/>
            <w:tcMar>
              <w:bottom w:w="0" w:type="dxa"/>
            </w:tcMar>
            <w:vAlign w:val="center"/>
          </w:tcPr>
          <w:p>
            <w:pPr>
              <w:pStyle w:val="TableContents"/>
              <w:bidi w:val="0"/>
              <w:spacing w:before="0" w:after="283"/>
              <w:jc w:val="center"/>
              <w:rPr/>
            </w:pPr>
            <w:r>
              <w:rPr/>
              <w:t>1/2/2025</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center"/>
              <w:rPr/>
            </w:pPr>
            <w:r>
              <w:rPr/>
              <w:t>1/1/2035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42,307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right"/>
              <w:rPr/>
            </w:pPr>
            <w:r>
              <w:rPr/>
              <w:t>11.18</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5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center"/>
              <w:rPr/>
            </w:pPr>
            <w:r>
              <w:rPr/>
              <w:t>1/3/2024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center"/>
              <w:rPr/>
            </w:pPr>
            <w:r>
              <w:rPr/>
              <w:t> </w:t>
            </w:r>
          </w:p>
        </w:tc>
        <w:tc>
          <w:tcPr>
            <w:tcW w:w="1509" w:type="dxa"/>
            <w:tcBorders/>
            <w:shd w:fill="CCEEFF" w:val="clear"/>
            <w:tcMar>
              <w:bottom w:w="0" w:type="dxa"/>
            </w:tcMar>
            <w:vAlign w:val="center"/>
          </w:tcPr>
          <w:p>
            <w:pPr>
              <w:pStyle w:val="TableContents"/>
              <w:bidi w:val="0"/>
              <w:spacing w:before="0" w:after="283"/>
              <w:jc w:val="center"/>
              <w:rPr/>
            </w:pPr>
            <w:r>
              <w:rPr/>
              <w:t>1/3/2024</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center"/>
              <w:rPr/>
            </w:pPr>
            <w:r>
              <w:rPr/>
              <w:t>1/2/2034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19,230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right"/>
              <w:rPr/>
            </w:pPr>
            <w:r>
              <w:rPr/>
              <w:t>60.58</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5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center"/>
              <w:rPr/>
            </w:pPr>
            <w:r>
              <w:rPr/>
              <w:t>10/11/23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center"/>
              <w:rPr/>
            </w:pPr>
            <w:r>
              <w:rPr/>
              <w:t> </w:t>
            </w:r>
          </w:p>
        </w:tc>
        <w:tc>
          <w:tcPr>
            <w:tcW w:w="1509" w:type="dxa"/>
            <w:tcBorders/>
            <w:shd w:fill="CCEEFF" w:val="clear"/>
            <w:tcMar>
              <w:bottom w:w="0" w:type="dxa"/>
            </w:tcMar>
            <w:vAlign w:val="center"/>
          </w:tcPr>
          <w:p>
            <w:pPr>
              <w:pStyle w:val="TableContents"/>
              <w:bidi w:val="0"/>
              <w:spacing w:before="0" w:after="283"/>
              <w:jc w:val="center"/>
              <w:rPr/>
            </w:pPr>
            <w:r>
              <w:rPr/>
              <w:t>10/11/23</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center"/>
              <w:rPr/>
            </w:pPr>
            <w:r>
              <w:rPr/>
              <w:t>10/10/33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55,768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right"/>
              <w:rPr/>
            </w:pPr>
            <w:r>
              <w:rPr/>
              <w:t>127.01</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5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center"/>
              <w:rPr/>
            </w:pPr>
            <w:r>
              <w:rPr/>
              <w:t>1/3/23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center"/>
              <w:rPr/>
            </w:pPr>
            <w:r>
              <w:rPr/>
              <w:t> </w:t>
            </w:r>
          </w:p>
        </w:tc>
        <w:tc>
          <w:tcPr>
            <w:tcW w:w="1509" w:type="dxa"/>
            <w:tcBorders/>
            <w:shd w:fill="CCEEFF" w:val="clear"/>
            <w:tcMar>
              <w:bottom w:w="0" w:type="dxa"/>
            </w:tcMar>
            <w:vAlign w:val="center"/>
          </w:tcPr>
          <w:p>
            <w:pPr>
              <w:pStyle w:val="TableContents"/>
              <w:bidi w:val="0"/>
              <w:spacing w:before="0" w:after="283"/>
              <w:jc w:val="center"/>
              <w:rPr/>
            </w:pPr>
            <w:r>
              <w:rPr/>
              <w:t>1/3/23</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center"/>
              <w:rPr/>
            </w:pPr>
            <w:r>
              <w:rPr/>
              <w:t>1/2/33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13,637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right"/>
              <w:rPr/>
            </w:pPr>
            <w:r>
              <w:rPr/>
              <w:t>15.99</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5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center"/>
              <w:rPr/>
            </w:pPr>
            <w:r>
              <w:rPr/>
              <w:t>6/21/22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center"/>
              <w:rPr/>
            </w:pPr>
            <w:r>
              <w:rPr/>
              <w:t> </w:t>
            </w:r>
          </w:p>
        </w:tc>
        <w:tc>
          <w:tcPr>
            <w:tcW w:w="1509" w:type="dxa"/>
            <w:tcBorders/>
            <w:shd w:fill="CCEEFF" w:val="clear"/>
            <w:tcMar>
              <w:bottom w:w="0" w:type="dxa"/>
            </w:tcMar>
            <w:vAlign w:val="center"/>
          </w:tcPr>
          <w:p>
            <w:pPr>
              <w:pStyle w:val="TableContents"/>
              <w:bidi w:val="0"/>
              <w:spacing w:before="0" w:after="283"/>
              <w:jc w:val="center"/>
              <w:rPr/>
            </w:pPr>
            <w:r>
              <w:rPr/>
              <w:t>6/21/22</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center"/>
              <w:rPr/>
            </w:pPr>
            <w:r>
              <w:rPr/>
              <w:t>6/20/32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13,347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right"/>
              <w:rPr/>
            </w:pPr>
            <w:r>
              <w:rPr/>
              <w:t>30.55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5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center"/>
              <w:rPr/>
            </w:pPr>
            <w:r>
              <w:rPr/>
              <w:t>1/4/22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center"/>
              <w:rPr/>
            </w:pPr>
            <w:r>
              <w:rPr/>
              <w:t> </w:t>
            </w:r>
          </w:p>
        </w:tc>
        <w:tc>
          <w:tcPr>
            <w:tcW w:w="1509" w:type="dxa"/>
            <w:tcBorders/>
            <w:shd w:fill="CCEEFF" w:val="clear"/>
            <w:tcMar>
              <w:bottom w:w="0" w:type="dxa"/>
            </w:tcMar>
            <w:vAlign w:val="center"/>
          </w:tcPr>
          <w:p>
            <w:pPr>
              <w:pStyle w:val="TableContents"/>
              <w:bidi w:val="0"/>
              <w:spacing w:before="0" w:after="283"/>
              <w:jc w:val="center"/>
              <w:rPr/>
            </w:pPr>
            <w:r>
              <w:rPr/>
              <w:t>1/4/22</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center"/>
              <w:rPr/>
            </w:pPr>
            <w:r>
              <w:rPr/>
              <w:t>1/3/32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7,269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right"/>
              <w:rPr/>
            </w:pPr>
            <w:r>
              <w:rPr/>
              <w:t>70.85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5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center"/>
              <w:rPr/>
            </w:pPr>
            <w:r>
              <w:rPr/>
              <w:t>4/29/21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center"/>
              <w:rPr/>
            </w:pPr>
            <w:r>
              <w:rPr/>
              <w:t> </w:t>
            </w:r>
          </w:p>
        </w:tc>
        <w:tc>
          <w:tcPr>
            <w:tcW w:w="1509" w:type="dxa"/>
            <w:tcBorders/>
            <w:shd w:fill="CCEEFF" w:val="clear"/>
            <w:tcMar>
              <w:bottom w:w="0" w:type="dxa"/>
            </w:tcMar>
            <w:vAlign w:val="center"/>
          </w:tcPr>
          <w:p>
            <w:pPr>
              <w:pStyle w:val="TableContents"/>
              <w:bidi w:val="0"/>
              <w:spacing w:before="0" w:after="283"/>
              <w:jc w:val="center"/>
              <w:rPr/>
            </w:pPr>
            <w:r>
              <w:rPr/>
              <w:t>6/25/21</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center"/>
              <w:rPr/>
            </w:pPr>
            <w:r>
              <w:rPr/>
              <w:t>4/28/31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4,909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right"/>
              <w:rPr/>
            </w:pPr>
            <w:r>
              <w:rPr/>
              <w:t>343.20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5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center"/>
              <w:rPr/>
            </w:pPr>
            <w:r>
              <w:rPr/>
              <w:t>3/10/21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center"/>
              <w:rPr/>
            </w:pPr>
            <w:r>
              <w:rPr/>
              <w:t> </w:t>
            </w:r>
          </w:p>
        </w:tc>
        <w:tc>
          <w:tcPr>
            <w:tcW w:w="1509" w:type="dxa"/>
            <w:tcBorders/>
            <w:shd w:fill="CCEEFF" w:val="clear"/>
            <w:tcMar>
              <w:bottom w:w="0" w:type="dxa"/>
            </w:tcMar>
            <w:vAlign w:val="center"/>
          </w:tcPr>
          <w:p>
            <w:pPr>
              <w:pStyle w:val="TableContents"/>
              <w:bidi w:val="0"/>
              <w:spacing w:before="0" w:after="283"/>
              <w:jc w:val="center"/>
              <w:rPr/>
            </w:pPr>
            <w:r>
              <w:rPr/>
              <w:t>3/5/21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center"/>
              <w:rPr/>
            </w:pPr>
            <w:r>
              <w:rPr/>
              <w:t>3/9/31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619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right"/>
              <w:rPr/>
            </w:pPr>
            <w:r>
              <w:rPr/>
              <w:t>133.25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5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center"/>
              <w:rPr/>
            </w:pPr>
            <w:r>
              <w:rPr/>
              <w:t>3/30/20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center"/>
              <w:rPr/>
            </w:pPr>
            <w:r>
              <w:rPr/>
              <w:t> </w:t>
            </w:r>
          </w:p>
        </w:tc>
        <w:tc>
          <w:tcPr>
            <w:tcW w:w="1509" w:type="dxa"/>
            <w:tcBorders/>
            <w:shd w:fill="CCEEFF" w:val="clear"/>
            <w:tcMar>
              <w:bottom w:w="0" w:type="dxa"/>
            </w:tcMar>
            <w:vAlign w:val="center"/>
          </w:tcPr>
          <w:p>
            <w:pPr>
              <w:pStyle w:val="TableContents"/>
              <w:bidi w:val="0"/>
              <w:spacing w:before="0" w:after="283"/>
              <w:jc w:val="center"/>
              <w:rPr/>
            </w:pPr>
            <w:r>
              <w:rPr/>
              <w:t>2/20/20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center"/>
              <w:rPr/>
            </w:pPr>
            <w:r>
              <w:rPr/>
              <w:t>3/29/30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5,404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right"/>
              <w:rPr/>
            </w:pPr>
            <w:r>
              <w:rPr/>
              <w:t>76.70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5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center"/>
              <w:rPr/>
            </w:pPr>
            <w:r>
              <w:rPr/>
              <w:t>9/16/19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center"/>
              <w:rPr/>
            </w:pPr>
            <w:r>
              <w:rPr/>
              <w:t> </w:t>
            </w:r>
          </w:p>
        </w:tc>
        <w:tc>
          <w:tcPr>
            <w:tcW w:w="1509" w:type="dxa"/>
            <w:tcBorders/>
            <w:shd w:fill="CCEEFF" w:val="clear"/>
            <w:tcMar>
              <w:bottom w:w="0" w:type="dxa"/>
            </w:tcMar>
            <w:vAlign w:val="center"/>
          </w:tcPr>
          <w:p>
            <w:pPr>
              <w:pStyle w:val="TableContents"/>
              <w:bidi w:val="0"/>
              <w:spacing w:before="0" w:after="283"/>
              <w:jc w:val="center"/>
              <w:rPr/>
            </w:pPr>
            <w:r>
              <w:rPr/>
              <w:t>9/9/19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center"/>
              <w:rPr/>
            </w:pPr>
            <w:r>
              <w:rPr/>
              <w:t>9/15/29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8,494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right"/>
              <w:rPr/>
            </w:pPr>
            <w:r>
              <w:rPr/>
              <w:t>64.61</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593" w:type="dxa"/>
            <w:tcBorders/>
            <w:shd w:fill="FFFFFF" w:val="clear"/>
            <w:tcMar>
              <w:bottom w:w="0" w:type="dxa"/>
            </w:tcMar>
            <w:vAlign w:val="center"/>
          </w:tcPr>
          <w:p>
            <w:pPr>
              <w:pStyle w:val="TableContents"/>
              <w:bidi w:val="0"/>
              <w:spacing w:before="0" w:after="283"/>
              <w:jc w:val="left"/>
              <w:rPr/>
            </w:pPr>
            <w:r>
              <w:rPr/>
              <w:t>Samuel Whiting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5" w:type="dxa"/>
            <w:tcBorders/>
            <w:shd w:fill="FFFFFF" w:val="clear"/>
            <w:tcMar>
              <w:bottom w:w="0" w:type="dxa"/>
            </w:tcMar>
            <w:vAlign w:val="center"/>
          </w:tcPr>
          <w:p>
            <w:pPr>
              <w:pStyle w:val="TableContents"/>
              <w:bidi w:val="0"/>
              <w:spacing w:before="0" w:after="283"/>
              <w:jc w:val="center"/>
              <w:rPr/>
            </w:pPr>
            <w:r>
              <w:rPr/>
              <w:t>1/2/2025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center"/>
              <w:rPr/>
            </w:pPr>
            <w:r>
              <w:rPr/>
              <w:t> </w:t>
            </w:r>
          </w:p>
        </w:tc>
        <w:tc>
          <w:tcPr>
            <w:tcW w:w="1509" w:type="dxa"/>
            <w:tcBorders/>
            <w:shd w:fill="FFFFFF" w:val="clear"/>
            <w:tcMar>
              <w:bottom w:w="0" w:type="dxa"/>
            </w:tcMar>
            <w:vAlign w:val="center"/>
          </w:tcPr>
          <w:p>
            <w:pPr>
              <w:pStyle w:val="TableContents"/>
              <w:bidi w:val="0"/>
              <w:spacing w:before="0" w:after="283"/>
              <w:jc w:val="center"/>
              <w:rPr/>
            </w:pPr>
            <w:r>
              <w:rPr/>
              <w:t>1/2/2025</w:t>
            </w:r>
            <w:r>
              <w:rPr>
                <w:position w:val="8"/>
                <w:sz w:val="19"/>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5" w:type="dxa"/>
            <w:tcBorders/>
            <w:shd w:fill="FFFFFF" w:val="clear"/>
            <w:tcMar>
              <w:bottom w:w="0" w:type="dxa"/>
            </w:tcMar>
            <w:vAlign w:val="center"/>
          </w:tcPr>
          <w:p>
            <w:pPr>
              <w:pStyle w:val="TableContents"/>
              <w:bidi w:val="0"/>
              <w:spacing w:before="0" w:after="283"/>
              <w:jc w:val="center"/>
              <w:rPr/>
            </w:pPr>
            <w:r>
              <w:rPr/>
              <w:t>1/1/2035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163" w:type="dxa"/>
            <w:tcBorders/>
            <w:shd w:fill="FFFFFF" w:val="clear"/>
            <w:tcMar>
              <w:bottom w:w="0" w:type="dxa"/>
            </w:tcMar>
            <w:vAlign w:val="center"/>
          </w:tcPr>
          <w:p>
            <w:pPr>
              <w:pStyle w:val="TableContents"/>
              <w:bidi w:val="0"/>
              <w:spacing w:before="0" w:after="283"/>
              <w:jc w:val="right"/>
              <w:rPr/>
            </w:pPr>
            <w:r>
              <w:rPr/>
              <w:t>20,768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9" w:type="dxa"/>
            <w:tcBorders/>
            <w:shd w:fill="FFFFFF" w:val="clear"/>
            <w:tcMar>
              <w:bottom w:w="0" w:type="dxa"/>
            </w:tcMar>
            <w:vAlign w:val="center"/>
          </w:tcPr>
          <w:p>
            <w:pPr>
              <w:pStyle w:val="TableContents"/>
              <w:bidi w:val="0"/>
              <w:spacing w:before="0" w:after="283"/>
              <w:jc w:val="left"/>
              <w:rPr/>
            </w:pPr>
            <w:r>
              <w:rPr/>
              <w:t> </w:t>
            </w:r>
          </w:p>
        </w:tc>
        <w:tc>
          <w:tcPr>
            <w:tcW w:w="88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852" w:type="dxa"/>
            <w:tcBorders/>
            <w:shd w:fill="FFFFFF" w:val="clear"/>
            <w:tcMar>
              <w:bottom w:w="0" w:type="dxa"/>
            </w:tcMar>
            <w:vAlign w:val="center"/>
          </w:tcPr>
          <w:p>
            <w:pPr>
              <w:pStyle w:val="TableContents"/>
              <w:bidi w:val="0"/>
              <w:spacing w:before="0" w:after="283"/>
              <w:jc w:val="right"/>
              <w:rPr/>
            </w:pPr>
            <w:r>
              <w:rPr/>
              <w:t>11.18</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5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5" w:type="dxa"/>
            <w:tcBorders/>
            <w:shd w:fill="FFFFFF" w:val="clear"/>
            <w:tcMar>
              <w:bottom w:w="0" w:type="dxa"/>
            </w:tcMar>
            <w:vAlign w:val="center"/>
          </w:tcPr>
          <w:p>
            <w:pPr>
              <w:pStyle w:val="TableContents"/>
              <w:bidi w:val="0"/>
              <w:spacing w:before="0" w:after="283"/>
              <w:jc w:val="center"/>
              <w:rPr/>
            </w:pPr>
            <w:r>
              <w:rPr/>
              <w:t>1/3/2024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center"/>
              <w:rPr/>
            </w:pPr>
            <w:r>
              <w:rPr/>
              <w:t> </w:t>
            </w:r>
          </w:p>
        </w:tc>
        <w:tc>
          <w:tcPr>
            <w:tcW w:w="1509" w:type="dxa"/>
            <w:tcBorders/>
            <w:shd w:fill="FFFFFF" w:val="clear"/>
            <w:tcMar>
              <w:bottom w:w="0" w:type="dxa"/>
            </w:tcMar>
            <w:vAlign w:val="center"/>
          </w:tcPr>
          <w:p>
            <w:pPr>
              <w:pStyle w:val="TableContents"/>
              <w:bidi w:val="0"/>
              <w:spacing w:before="0" w:after="283"/>
              <w:jc w:val="center"/>
              <w:rPr/>
            </w:pPr>
            <w:r>
              <w:rPr/>
              <w:t>1/3/2024</w:t>
            </w:r>
            <w:r>
              <w:rPr>
                <w:position w:val="8"/>
                <w:sz w:val="19"/>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5" w:type="dxa"/>
            <w:tcBorders/>
            <w:shd w:fill="FFFFFF" w:val="clear"/>
            <w:tcMar>
              <w:bottom w:w="0" w:type="dxa"/>
            </w:tcMar>
            <w:vAlign w:val="center"/>
          </w:tcPr>
          <w:p>
            <w:pPr>
              <w:pStyle w:val="TableContents"/>
              <w:bidi w:val="0"/>
              <w:spacing w:before="0" w:after="283"/>
              <w:jc w:val="center"/>
              <w:rPr/>
            </w:pPr>
            <w:r>
              <w:rPr/>
              <w:t>1/2/2034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163" w:type="dxa"/>
            <w:tcBorders/>
            <w:shd w:fill="FFFFFF" w:val="clear"/>
            <w:tcMar>
              <w:bottom w:w="0" w:type="dxa"/>
            </w:tcMar>
            <w:vAlign w:val="center"/>
          </w:tcPr>
          <w:p>
            <w:pPr>
              <w:pStyle w:val="TableContents"/>
              <w:bidi w:val="0"/>
              <w:spacing w:before="0" w:after="283"/>
              <w:jc w:val="right"/>
              <w:rPr/>
            </w:pPr>
            <w:r>
              <w:rPr/>
              <w:t>7,691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9" w:type="dxa"/>
            <w:tcBorders/>
            <w:shd w:fill="FFFFFF" w:val="clear"/>
            <w:tcMar>
              <w:bottom w:w="0" w:type="dxa"/>
            </w:tcMar>
            <w:vAlign w:val="center"/>
          </w:tcPr>
          <w:p>
            <w:pPr>
              <w:pStyle w:val="TableContents"/>
              <w:bidi w:val="0"/>
              <w:spacing w:before="0" w:after="283"/>
              <w:jc w:val="left"/>
              <w:rPr/>
            </w:pPr>
            <w:r>
              <w:rPr/>
              <w:t> </w:t>
            </w:r>
          </w:p>
        </w:tc>
        <w:tc>
          <w:tcPr>
            <w:tcW w:w="88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852" w:type="dxa"/>
            <w:tcBorders/>
            <w:shd w:fill="FFFFFF" w:val="clear"/>
            <w:tcMar>
              <w:bottom w:w="0" w:type="dxa"/>
            </w:tcMar>
            <w:vAlign w:val="center"/>
          </w:tcPr>
          <w:p>
            <w:pPr>
              <w:pStyle w:val="TableContents"/>
              <w:bidi w:val="0"/>
              <w:spacing w:before="0" w:after="283"/>
              <w:jc w:val="right"/>
              <w:rPr/>
            </w:pPr>
            <w:r>
              <w:rPr/>
              <w:t>60.58</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5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5" w:type="dxa"/>
            <w:tcBorders/>
            <w:shd w:fill="FFFFFF" w:val="clear"/>
            <w:tcMar>
              <w:bottom w:w="0" w:type="dxa"/>
            </w:tcMar>
            <w:vAlign w:val="center"/>
          </w:tcPr>
          <w:p>
            <w:pPr>
              <w:pStyle w:val="TableContents"/>
              <w:bidi w:val="0"/>
              <w:spacing w:before="0" w:after="283"/>
              <w:jc w:val="center"/>
              <w:rPr/>
            </w:pPr>
            <w:r>
              <w:rPr/>
              <w:t>10/11/23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center"/>
              <w:rPr/>
            </w:pPr>
            <w:r>
              <w:rPr/>
              <w:t> </w:t>
            </w:r>
          </w:p>
        </w:tc>
        <w:tc>
          <w:tcPr>
            <w:tcW w:w="1509" w:type="dxa"/>
            <w:tcBorders/>
            <w:shd w:fill="FFFFFF" w:val="clear"/>
            <w:tcMar>
              <w:bottom w:w="0" w:type="dxa"/>
            </w:tcMar>
            <w:vAlign w:val="center"/>
          </w:tcPr>
          <w:p>
            <w:pPr>
              <w:pStyle w:val="TableContents"/>
              <w:bidi w:val="0"/>
              <w:spacing w:before="0" w:after="283"/>
              <w:jc w:val="center"/>
              <w:rPr/>
            </w:pPr>
            <w:r>
              <w:rPr/>
              <w:t>10/11/23</w:t>
            </w:r>
            <w:r>
              <w:rPr>
                <w:position w:val="8"/>
                <w:sz w:val="19"/>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5" w:type="dxa"/>
            <w:tcBorders/>
            <w:shd w:fill="FFFFFF" w:val="clear"/>
            <w:tcMar>
              <w:bottom w:w="0" w:type="dxa"/>
            </w:tcMar>
            <w:vAlign w:val="center"/>
          </w:tcPr>
          <w:p>
            <w:pPr>
              <w:pStyle w:val="TableContents"/>
              <w:bidi w:val="0"/>
              <w:spacing w:before="0" w:after="283"/>
              <w:jc w:val="center"/>
              <w:rPr/>
            </w:pPr>
            <w:r>
              <w:rPr/>
              <w:t>10/10/33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163" w:type="dxa"/>
            <w:tcBorders/>
            <w:shd w:fill="FFFFFF" w:val="clear"/>
            <w:tcMar>
              <w:bottom w:w="0" w:type="dxa"/>
            </w:tcMar>
            <w:vAlign w:val="center"/>
          </w:tcPr>
          <w:p>
            <w:pPr>
              <w:pStyle w:val="TableContents"/>
              <w:bidi w:val="0"/>
              <w:spacing w:before="0" w:after="283"/>
              <w:jc w:val="right"/>
              <w:rPr/>
            </w:pPr>
            <w:r>
              <w:rPr/>
              <w:t>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9" w:type="dxa"/>
            <w:tcBorders/>
            <w:shd w:fill="FFFFFF" w:val="clear"/>
            <w:tcMar>
              <w:bottom w:w="0" w:type="dxa"/>
            </w:tcMar>
            <w:vAlign w:val="center"/>
          </w:tcPr>
          <w:p>
            <w:pPr>
              <w:pStyle w:val="TableContents"/>
              <w:bidi w:val="0"/>
              <w:spacing w:before="0" w:after="283"/>
              <w:jc w:val="left"/>
              <w:rPr/>
            </w:pPr>
            <w:r>
              <w:rPr/>
              <w:t> </w:t>
            </w:r>
          </w:p>
        </w:tc>
        <w:tc>
          <w:tcPr>
            <w:tcW w:w="88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852" w:type="dxa"/>
            <w:tcBorders/>
            <w:shd w:fill="FFFFFF" w:val="clear"/>
            <w:tcMar>
              <w:bottom w:w="0" w:type="dxa"/>
            </w:tcMar>
            <w:vAlign w:val="center"/>
          </w:tcPr>
          <w:p>
            <w:pPr>
              <w:pStyle w:val="TableContents"/>
              <w:bidi w:val="0"/>
              <w:spacing w:before="0" w:after="283"/>
              <w:jc w:val="right"/>
              <w:rPr/>
            </w:pPr>
            <w:r>
              <w:rPr/>
              <w:t>127.01</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5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5" w:type="dxa"/>
            <w:tcBorders/>
            <w:shd w:fill="FFFFFF" w:val="clear"/>
            <w:tcMar>
              <w:bottom w:w="0" w:type="dxa"/>
            </w:tcMar>
            <w:vAlign w:val="center"/>
          </w:tcPr>
          <w:p>
            <w:pPr>
              <w:pStyle w:val="TableContents"/>
              <w:bidi w:val="0"/>
              <w:spacing w:before="0" w:after="283"/>
              <w:jc w:val="center"/>
              <w:rPr/>
            </w:pPr>
            <w:r>
              <w:rPr/>
              <w:t>1/3/23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center"/>
              <w:rPr/>
            </w:pPr>
            <w:r>
              <w:rPr/>
              <w:t> </w:t>
            </w:r>
          </w:p>
        </w:tc>
        <w:tc>
          <w:tcPr>
            <w:tcW w:w="1509" w:type="dxa"/>
            <w:tcBorders/>
            <w:shd w:fill="FFFFFF" w:val="clear"/>
            <w:tcMar>
              <w:bottom w:w="0" w:type="dxa"/>
            </w:tcMar>
            <w:vAlign w:val="center"/>
          </w:tcPr>
          <w:p>
            <w:pPr>
              <w:pStyle w:val="TableContents"/>
              <w:bidi w:val="0"/>
              <w:spacing w:before="0" w:after="283"/>
              <w:jc w:val="center"/>
              <w:rPr/>
            </w:pPr>
            <w:r>
              <w:rPr/>
              <w:t>1/3/23</w:t>
            </w:r>
            <w:r>
              <w:rPr>
                <w:position w:val="8"/>
                <w:sz w:val="19"/>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5" w:type="dxa"/>
            <w:tcBorders/>
            <w:shd w:fill="FFFFFF" w:val="clear"/>
            <w:tcMar>
              <w:bottom w:w="0" w:type="dxa"/>
            </w:tcMar>
            <w:vAlign w:val="center"/>
          </w:tcPr>
          <w:p>
            <w:pPr>
              <w:pStyle w:val="TableContents"/>
              <w:bidi w:val="0"/>
              <w:spacing w:before="0" w:after="283"/>
              <w:jc w:val="center"/>
              <w:rPr/>
            </w:pPr>
            <w:r>
              <w:rPr/>
              <w:t>1/2/33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163" w:type="dxa"/>
            <w:tcBorders/>
            <w:shd w:fill="FFFFFF" w:val="clear"/>
            <w:tcMar>
              <w:bottom w:w="0" w:type="dxa"/>
            </w:tcMar>
            <w:vAlign w:val="center"/>
          </w:tcPr>
          <w:p>
            <w:pPr>
              <w:pStyle w:val="TableContents"/>
              <w:bidi w:val="0"/>
              <w:spacing w:before="0" w:after="283"/>
              <w:jc w:val="right"/>
              <w:rPr/>
            </w:pPr>
            <w:r>
              <w:rPr/>
              <w:t>5,361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9" w:type="dxa"/>
            <w:tcBorders/>
            <w:shd w:fill="FFFFFF" w:val="clear"/>
            <w:tcMar>
              <w:bottom w:w="0" w:type="dxa"/>
            </w:tcMar>
            <w:vAlign w:val="center"/>
          </w:tcPr>
          <w:p>
            <w:pPr>
              <w:pStyle w:val="TableContents"/>
              <w:bidi w:val="0"/>
              <w:spacing w:before="0" w:after="283"/>
              <w:jc w:val="left"/>
              <w:rPr/>
            </w:pPr>
            <w:r>
              <w:rPr/>
              <w:t> </w:t>
            </w:r>
          </w:p>
        </w:tc>
        <w:tc>
          <w:tcPr>
            <w:tcW w:w="88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852" w:type="dxa"/>
            <w:tcBorders/>
            <w:shd w:fill="FFFFFF" w:val="clear"/>
            <w:tcMar>
              <w:bottom w:w="0" w:type="dxa"/>
            </w:tcMar>
            <w:vAlign w:val="center"/>
          </w:tcPr>
          <w:p>
            <w:pPr>
              <w:pStyle w:val="TableContents"/>
              <w:bidi w:val="0"/>
              <w:spacing w:before="0" w:after="283"/>
              <w:jc w:val="right"/>
              <w:rPr/>
            </w:pPr>
            <w:r>
              <w:rPr/>
              <w:t>15.99</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5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5" w:type="dxa"/>
            <w:tcBorders/>
            <w:shd w:fill="FFFFFF" w:val="clear"/>
            <w:tcMar>
              <w:bottom w:w="0" w:type="dxa"/>
            </w:tcMar>
            <w:vAlign w:val="center"/>
          </w:tcPr>
          <w:p>
            <w:pPr>
              <w:pStyle w:val="TableContents"/>
              <w:bidi w:val="0"/>
              <w:spacing w:before="0" w:after="283"/>
              <w:jc w:val="center"/>
              <w:rPr/>
            </w:pPr>
            <w:r>
              <w:rPr/>
              <w:t>6/21/22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center"/>
              <w:rPr/>
            </w:pPr>
            <w:r>
              <w:rPr/>
              <w:t> </w:t>
            </w:r>
          </w:p>
        </w:tc>
        <w:tc>
          <w:tcPr>
            <w:tcW w:w="1509" w:type="dxa"/>
            <w:tcBorders/>
            <w:shd w:fill="FFFFFF" w:val="clear"/>
            <w:tcMar>
              <w:bottom w:w="0" w:type="dxa"/>
            </w:tcMar>
            <w:vAlign w:val="center"/>
          </w:tcPr>
          <w:p>
            <w:pPr>
              <w:pStyle w:val="TableContents"/>
              <w:bidi w:val="0"/>
              <w:spacing w:before="0" w:after="283"/>
              <w:jc w:val="center"/>
              <w:rPr/>
            </w:pPr>
            <w:r>
              <w:rPr/>
              <w:t>6/21/22</w:t>
            </w:r>
            <w:r>
              <w:rPr>
                <w:position w:val="8"/>
                <w:sz w:val="19"/>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5" w:type="dxa"/>
            <w:tcBorders/>
            <w:shd w:fill="FFFFFF" w:val="clear"/>
            <w:tcMar>
              <w:bottom w:w="0" w:type="dxa"/>
            </w:tcMar>
            <w:vAlign w:val="center"/>
          </w:tcPr>
          <w:p>
            <w:pPr>
              <w:pStyle w:val="TableContents"/>
              <w:bidi w:val="0"/>
              <w:spacing w:before="0" w:after="283"/>
              <w:jc w:val="center"/>
              <w:rPr/>
            </w:pPr>
            <w:r>
              <w:rPr/>
              <w:t>6/20/32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163" w:type="dxa"/>
            <w:tcBorders/>
            <w:shd w:fill="FFFFFF" w:val="clear"/>
            <w:tcMar>
              <w:bottom w:w="0" w:type="dxa"/>
            </w:tcMar>
            <w:vAlign w:val="center"/>
          </w:tcPr>
          <w:p>
            <w:pPr>
              <w:pStyle w:val="TableContents"/>
              <w:bidi w:val="0"/>
              <w:spacing w:before="0" w:after="283"/>
              <w:jc w:val="right"/>
              <w:rPr/>
            </w:pPr>
            <w:r>
              <w:rPr/>
              <w:t>4,282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9" w:type="dxa"/>
            <w:tcBorders/>
            <w:shd w:fill="FFFFFF" w:val="clear"/>
            <w:tcMar>
              <w:bottom w:w="0" w:type="dxa"/>
            </w:tcMar>
            <w:vAlign w:val="center"/>
          </w:tcPr>
          <w:p>
            <w:pPr>
              <w:pStyle w:val="TableContents"/>
              <w:bidi w:val="0"/>
              <w:spacing w:before="0" w:after="283"/>
              <w:jc w:val="left"/>
              <w:rPr/>
            </w:pPr>
            <w:r>
              <w:rPr/>
              <w:t> </w:t>
            </w:r>
          </w:p>
        </w:tc>
        <w:tc>
          <w:tcPr>
            <w:tcW w:w="88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852" w:type="dxa"/>
            <w:tcBorders/>
            <w:shd w:fill="FFFFFF" w:val="clear"/>
            <w:tcMar>
              <w:bottom w:w="0" w:type="dxa"/>
            </w:tcMar>
            <w:vAlign w:val="center"/>
          </w:tcPr>
          <w:p>
            <w:pPr>
              <w:pStyle w:val="TableContents"/>
              <w:bidi w:val="0"/>
              <w:spacing w:before="0" w:after="283"/>
              <w:jc w:val="right"/>
              <w:rPr/>
            </w:pPr>
            <w:r>
              <w:rPr/>
              <w:t>30.55</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5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5" w:type="dxa"/>
            <w:tcBorders/>
            <w:shd w:fill="FFFFFF" w:val="clear"/>
            <w:tcMar>
              <w:bottom w:w="0" w:type="dxa"/>
            </w:tcMar>
            <w:vAlign w:val="center"/>
          </w:tcPr>
          <w:p>
            <w:pPr>
              <w:pStyle w:val="TableContents"/>
              <w:bidi w:val="0"/>
              <w:spacing w:before="0" w:after="283"/>
              <w:jc w:val="center"/>
              <w:rPr/>
            </w:pPr>
            <w:r>
              <w:rPr/>
              <w:t>1/4/22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center"/>
              <w:rPr/>
            </w:pPr>
            <w:r>
              <w:rPr/>
              <w:t> </w:t>
            </w:r>
          </w:p>
        </w:tc>
        <w:tc>
          <w:tcPr>
            <w:tcW w:w="1509" w:type="dxa"/>
            <w:tcBorders/>
            <w:shd w:fill="FFFFFF" w:val="clear"/>
            <w:tcMar>
              <w:bottom w:w="0" w:type="dxa"/>
            </w:tcMar>
            <w:vAlign w:val="center"/>
          </w:tcPr>
          <w:p>
            <w:pPr>
              <w:pStyle w:val="TableContents"/>
              <w:bidi w:val="0"/>
              <w:spacing w:before="0" w:after="283"/>
              <w:jc w:val="center"/>
              <w:rPr/>
            </w:pPr>
            <w:r>
              <w:rPr/>
              <w:t>1/4/22</w:t>
            </w:r>
            <w:r>
              <w:rPr>
                <w:position w:val="8"/>
                <w:sz w:val="19"/>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5" w:type="dxa"/>
            <w:tcBorders/>
            <w:shd w:fill="FFFFFF" w:val="clear"/>
            <w:tcMar>
              <w:bottom w:w="0" w:type="dxa"/>
            </w:tcMar>
            <w:vAlign w:val="center"/>
          </w:tcPr>
          <w:p>
            <w:pPr>
              <w:pStyle w:val="TableContents"/>
              <w:bidi w:val="0"/>
              <w:spacing w:before="0" w:after="283"/>
              <w:jc w:val="center"/>
              <w:rPr/>
            </w:pPr>
            <w:r>
              <w:rPr/>
              <w:t>1/3/32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163" w:type="dxa"/>
            <w:tcBorders/>
            <w:shd w:fill="FFFFFF" w:val="clear"/>
            <w:tcMar>
              <w:bottom w:w="0" w:type="dxa"/>
            </w:tcMar>
            <w:vAlign w:val="center"/>
          </w:tcPr>
          <w:p>
            <w:pPr>
              <w:pStyle w:val="TableContents"/>
              <w:bidi w:val="0"/>
              <w:spacing w:before="0" w:after="283"/>
              <w:jc w:val="right"/>
              <w:rPr/>
            </w:pPr>
            <w:r>
              <w:rPr/>
              <w:t>2,229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9" w:type="dxa"/>
            <w:tcBorders/>
            <w:shd w:fill="FFFFFF" w:val="clear"/>
            <w:tcMar>
              <w:bottom w:w="0" w:type="dxa"/>
            </w:tcMar>
            <w:vAlign w:val="center"/>
          </w:tcPr>
          <w:p>
            <w:pPr>
              <w:pStyle w:val="TableContents"/>
              <w:bidi w:val="0"/>
              <w:spacing w:before="0" w:after="283"/>
              <w:jc w:val="left"/>
              <w:rPr/>
            </w:pPr>
            <w:r>
              <w:rPr/>
              <w:t> </w:t>
            </w:r>
          </w:p>
        </w:tc>
        <w:tc>
          <w:tcPr>
            <w:tcW w:w="88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852" w:type="dxa"/>
            <w:tcBorders/>
            <w:shd w:fill="FFFFFF" w:val="clear"/>
            <w:tcMar>
              <w:bottom w:w="0" w:type="dxa"/>
            </w:tcMar>
            <w:vAlign w:val="center"/>
          </w:tcPr>
          <w:p>
            <w:pPr>
              <w:pStyle w:val="TableContents"/>
              <w:bidi w:val="0"/>
              <w:spacing w:before="0" w:after="283"/>
              <w:jc w:val="right"/>
              <w:rPr/>
            </w:pPr>
            <w:r>
              <w:rPr/>
              <w:t>70.85</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5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5" w:type="dxa"/>
            <w:tcBorders/>
            <w:shd w:fill="FFFFFF" w:val="clear"/>
            <w:tcMar>
              <w:bottom w:w="0" w:type="dxa"/>
            </w:tcMar>
            <w:vAlign w:val="center"/>
          </w:tcPr>
          <w:p>
            <w:pPr>
              <w:pStyle w:val="TableContents"/>
              <w:bidi w:val="0"/>
              <w:spacing w:before="0" w:after="283"/>
              <w:jc w:val="center"/>
              <w:rPr/>
            </w:pPr>
            <w:r>
              <w:rPr/>
              <w:t>4/29/21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center"/>
              <w:rPr/>
            </w:pPr>
            <w:r>
              <w:rPr/>
              <w:t> </w:t>
            </w:r>
          </w:p>
        </w:tc>
        <w:tc>
          <w:tcPr>
            <w:tcW w:w="1509" w:type="dxa"/>
            <w:tcBorders/>
            <w:shd w:fill="FFFFFF" w:val="clear"/>
            <w:tcMar>
              <w:bottom w:w="0" w:type="dxa"/>
            </w:tcMar>
            <w:vAlign w:val="center"/>
          </w:tcPr>
          <w:p>
            <w:pPr>
              <w:pStyle w:val="TableContents"/>
              <w:bidi w:val="0"/>
              <w:spacing w:before="0" w:after="283"/>
              <w:jc w:val="center"/>
              <w:rPr/>
            </w:pPr>
            <w:r>
              <w:rPr/>
              <w:t>6/25/21</w:t>
            </w:r>
            <w:r>
              <w:rPr>
                <w:position w:val="8"/>
                <w:sz w:val="19"/>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5" w:type="dxa"/>
            <w:tcBorders/>
            <w:shd w:fill="FFFFFF" w:val="clear"/>
            <w:tcMar>
              <w:bottom w:w="0" w:type="dxa"/>
            </w:tcMar>
            <w:vAlign w:val="center"/>
          </w:tcPr>
          <w:p>
            <w:pPr>
              <w:pStyle w:val="TableContents"/>
              <w:bidi w:val="0"/>
              <w:spacing w:before="0" w:after="283"/>
              <w:jc w:val="center"/>
              <w:rPr/>
            </w:pPr>
            <w:r>
              <w:rPr/>
              <w:t>4/28/31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163" w:type="dxa"/>
            <w:tcBorders/>
            <w:shd w:fill="FFFFFF" w:val="clear"/>
            <w:tcMar>
              <w:bottom w:w="0" w:type="dxa"/>
            </w:tcMar>
            <w:vAlign w:val="center"/>
          </w:tcPr>
          <w:p>
            <w:pPr>
              <w:pStyle w:val="TableContents"/>
              <w:bidi w:val="0"/>
              <w:spacing w:before="0" w:after="283"/>
              <w:jc w:val="right"/>
              <w:rPr/>
            </w:pPr>
            <w:r>
              <w:rPr/>
              <w:t>1,338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9" w:type="dxa"/>
            <w:tcBorders/>
            <w:shd w:fill="FFFFFF" w:val="clear"/>
            <w:tcMar>
              <w:bottom w:w="0" w:type="dxa"/>
            </w:tcMar>
            <w:vAlign w:val="center"/>
          </w:tcPr>
          <w:p>
            <w:pPr>
              <w:pStyle w:val="TableContents"/>
              <w:bidi w:val="0"/>
              <w:spacing w:before="0" w:after="283"/>
              <w:jc w:val="left"/>
              <w:rPr/>
            </w:pPr>
            <w:r>
              <w:rPr/>
              <w:t> </w:t>
            </w:r>
          </w:p>
        </w:tc>
        <w:tc>
          <w:tcPr>
            <w:tcW w:w="88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852" w:type="dxa"/>
            <w:tcBorders/>
            <w:shd w:fill="FFFFFF" w:val="clear"/>
            <w:tcMar>
              <w:bottom w:w="0" w:type="dxa"/>
            </w:tcMar>
            <w:vAlign w:val="center"/>
          </w:tcPr>
          <w:p>
            <w:pPr>
              <w:pStyle w:val="TableContents"/>
              <w:bidi w:val="0"/>
              <w:spacing w:before="0" w:after="283"/>
              <w:jc w:val="right"/>
              <w:rPr/>
            </w:pPr>
            <w:r>
              <w:rPr/>
              <w:t>343.20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5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5" w:type="dxa"/>
            <w:tcBorders/>
            <w:shd w:fill="FFFFFF" w:val="clear"/>
            <w:tcMar>
              <w:bottom w:w="0" w:type="dxa"/>
            </w:tcMar>
            <w:vAlign w:val="center"/>
          </w:tcPr>
          <w:p>
            <w:pPr>
              <w:pStyle w:val="TableContents"/>
              <w:bidi w:val="0"/>
              <w:spacing w:before="0" w:after="283"/>
              <w:jc w:val="center"/>
              <w:rPr/>
            </w:pPr>
            <w:r>
              <w:rPr/>
              <w:t>3/10/21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center"/>
              <w:rPr/>
            </w:pPr>
            <w:r>
              <w:rPr/>
              <w:t> </w:t>
            </w:r>
          </w:p>
        </w:tc>
        <w:tc>
          <w:tcPr>
            <w:tcW w:w="1509" w:type="dxa"/>
            <w:tcBorders/>
            <w:shd w:fill="FFFFFF" w:val="clear"/>
            <w:tcMar>
              <w:bottom w:w="0" w:type="dxa"/>
            </w:tcMar>
            <w:vAlign w:val="center"/>
          </w:tcPr>
          <w:p>
            <w:pPr>
              <w:pStyle w:val="TableContents"/>
              <w:bidi w:val="0"/>
              <w:spacing w:before="0" w:after="283"/>
              <w:jc w:val="center"/>
              <w:rPr/>
            </w:pPr>
            <w:r>
              <w:rPr/>
              <w:t>3/5/21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5" w:type="dxa"/>
            <w:tcBorders/>
            <w:shd w:fill="FFFFFF" w:val="clear"/>
            <w:tcMar>
              <w:bottom w:w="0" w:type="dxa"/>
            </w:tcMar>
            <w:vAlign w:val="center"/>
          </w:tcPr>
          <w:p>
            <w:pPr>
              <w:pStyle w:val="TableContents"/>
              <w:bidi w:val="0"/>
              <w:spacing w:before="0" w:after="283"/>
              <w:jc w:val="center"/>
              <w:rPr/>
            </w:pPr>
            <w:r>
              <w:rPr/>
              <w:t>3/9/31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163" w:type="dxa"/>
            <w:tcBorders/>
            <w:shd w:fill="FFFFFF" w:val="clear"/>
            <w:tcMar>
              <w:bottom w:w="0" w:type="dxa"/>
            </w:tcMar>
            <w:vAlign w:val="center"/>
          </w:tcPr>
          <w:p>
            <w:pPr>
              <w:pStyle w:val="TableContents"/>
              <w:bidi w:val="0"/>
              <w:spacing w:before="0" w:after="283"/>
              <w:jc w:val="right"/>
              <w:rPr/>
            </w:pPr>
            <w:r>
              <w:rPr/>
              <w:t>232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9" w:type="dxa"/>
            <w:tcBorders/>
            <w:shd w:fill="FFFFFF" w:val="clear"/>
            <w:tcMar>
              <w:bottom w:w="0" w:type="dxa"/>
            </w:tcMar>
            <w:vAlign w:val="center"/>
          </w:tcPr>
          <w:p>
            <w:pPr>
              <w:pStyle w:val="TableContents"/>
              <w:bidi w:val="0"/>
              <w:spacing w:before="0" w:after="283"/>
              <w:jc w:val="left"/>
              <w:rPr/>
            </w:pPr>
            <w:r>
              <w:rPr/>
              <w:t> </w:t>
            </w:r>
          </w:p>
        </w:tc>
        <w:tc>
          <w:tcPr>
            <w:tcW w:w="88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852" w:type="dxa"/>
            <w:tcBorders/>
            <w:shd w:fill="FFFFFF" w:val="clear"/>
            <w:tcMar>
              <w:bottom w:w="0" w:type="dxa"/>
            </w:tcMar>
            <w:vAlign w:val="center"/>
          </w:tcPr>
          <w:p>
            <w:pPr>
              <w:pStyle w:val="TableContents"/>
              <w:bidi w:val="0"/>
              <w:spacing w:before="0" w:after="283"/>
              <w:jc w:val="right"/>
              <w:rPr/>
            </w:pPr>
            <w:r>
              <w:rPr/>
              <w:t>133.25</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5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5" w:type="dxa"/>
            <w:tcBorders/>
            <w:shd w:fill="FFFFFF" w:val="clear"/>
            <w:tcMar>
              <w:bottom w:w="0" w:type="dxa"/>
            </w:tcMar>
            <w:vAlign w:val="center"/>
          </w:tcPr>
          <w:p>
            <w:pPr>
              <w:pStyle w:val="TableContents"/>
              <w:bidi w:val="0"/>
              <w:spacing w:before="0" w:after="283"/>
              <w:jc w:val="center"/>
              <w:rPr/>
            </w:pPr>
            <w:r>
              <w:rPr/>
              <w:t>11/16/20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center"/>
              <w:rPr/>
            </w:pPr>
            <w:r>
              <w:rPr/>
              <w:t> </w:t>
            </w:r>
          </w:p>
        </w:tc>
        <w:tc>
          <w:tcPr>
            <w:tcW w:w="1509" w:type="dxa"/>
            <w:tcBorders/>
            <w:shd w:fill="FFFFFF" w:val="clear"/>
            <w:tcMar>
              <w:bottom w:w="0" w:type="dxa"/>
            </w:tcMar>
            <w:vAlign w:val="center"/>
          </w:tcPr>
          <w:p>
            <w:pPr>
              <w:pStyle w:val="TableContents"/>
              <w:bidi w:val="0"/>
              <w:spacing w:before="0" w:after="283"/>
              <w:jc w:val="center"/>
              <w:rPr/>
            </w:pPr>
            <w:r>
              <w:rPr/>
              <w:t>11/16/20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5" w:type="dxa"/>
            <w:tcBorders/>
            <w:shd w:fill="FFFFFF" w:val="clear"/>
            <w:tcMar>
              <w:bottom w:w="0" w:type="dxa"/>
            </w:tcMar>
            <w:vAlign w:val="center"/>
          </w:tcPr>
          <w:p>
            <w:pPr>
              <w:pStyle w:val="TableContents"/>
              <w:bidi w:val="0"/>
              <w:spacing w:before="0" w:after="283"/>
              <w:jc w:val="center"/>
              <w:rPr/>
            </w:pPr>
            <w:r>
              <w:rPr/>
              <w:t>11/15/30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163" w:type="dxa"/>
            <w:tcBorders/>
            <w:shd w:fill="FFFFFF" w:val="clear"/>
            <w:tcMar>
              <w:bottom w:w="0" w:type="dxa"/>
            </w:tcMar>
            <w:vAlign w:val="center"/>
          </w:tcPr>
          <w:p>
            <w:pPr>
              <w:pStyle w:val="TableContents"/>
              <w:bidi w:val="0"/>
              <w:spacing w:before="0" w:after="283"/>
              <w:jc w:val="right"/>
              <w:rPr/>
            </w:pPr>
            <w:r>
              <w:rPr/>
              <w:t>4,765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9" w:type="dxa"/>
            <w:tcBorders/>
            <w:shd w:fill="FFFFFF" w:val="clear"/>
            <w:tcMar>
              <w:bottom w:w="0" w:type="dxa"/>
            </w:tcMar>
            <w:vAlign w:val="center"/>
          </w:tcPr>
          <w:p>
            <w:pPr>
              <w:pStyle w:val="TableContents"/>
              <w:bidi w:val="0"/>
              <w:spacing w:before="0" w:after="283"/>
              <w:jc w:val="left"/>
              <w:rPr/>
            </w:pPr>
            <w:r>
              <w:rPr/>
              <w:t> </w:t>
            </w:r>
          </w:p>
        </w:tc>
        <w:tc>
          <w:tcPr>
            <w:tcW w:w="88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852" w:type="dxa"/>
            <w:tcBorders/>
            <w:shd w:fill="FFFFFF" w:val="clear"/>
            <w:tcMar>
              <w:bottom w:w="0" w:type="dxa"/>
            </w:tcMar>
            <w:vAlign w:val="center"/>
          </w:tcPr>
          <w:p>
            <w:pPr>
              <w:pStyle w:val="TableContents"/>
              <w:bidi w:val="0"/>
              <w:spacing w:before="0" w:after="283"/>
              <w:jc w:val="right"/>
              <w:rPr/>
            </w:pPr>
            <w:r>
              <w:rPr/>
              <w:t>76.70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593" w:type="dxa"/>
            <w:tcBorders/>
            <w:shd w:fill="CCEEFF" w:val="clear"/>
            <w:tcMar>
              <w:bottom w:w="0" w:type="dxa"/>
            </w:tcMar>
            <w:vAlign w:val="center"/>
          </w:tcPr>
          <w:p>
            <w:pPr>
              <w:pStyle w:val="TableContents"/>
              <w:bidi w:val="0"/>
              <w:spacing w:before="0" w:after="283"/>
              <w:jc w:val="left"/>
              <w:rPr/>
            </w:pPr>
            <w:r>
              <w:rPr/>
              <w:t>Nicholas Maestas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center"/>
              <w:rPr/>
            </w:pPr>
            <w:r>
              <w:rPr/>
              <w:t>1/2/2025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center"/>
              <w:rPr/>
            </w:pPr>
            <w:r>
              <w:rPr/>
              <w:t> </w:t>
            </w:r>
          </w:p>
        </w:tc>
        <w:tc>
          <w:tcPr>
            <w:tcW w:w="1509" w:type="dxa"/>
            <w:tcBorders/>
            <w:shd w:fill="CCEEFF" w:val="clear"/>
            <w:tcMar>
              <w:bottom w:w="0" w:type="dxa"/>
            </w:tcMar>
            <w:vAlign w:val="center"/>
          </w:tcPr>
          <w:p>
            <w:pPr>
              <w:pStyle w:val="TableContents"/>
              <w:bidi w:val="0"/>
              <w:spacing w:before="0" w:after="283"/>
              <w:jc w:val="center"/>
              <w:rPr/>
            </w:pPr>
            <w:r>
              <w:rPr/>
              <w:t>1/2/2025</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center"/>
              <w:rPr/>
            </w:pPr>
            <w:r>
              <w:rPr/>
              <w:t>1/1/2035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15,383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right"/>
              <w:rPr/>
            </w:pPr>
            <w:r>
              <w:rPr/>
              <w:t>11.18</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5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center"/>
              <w:rPr/>
            </w:pPr>
            <w:r>
              <w:rPr/>
              <w:t>1/3/2024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center"/>
              <w:rPr/>
            </w:pPr>
            <w:r>
              <w:rPr/>
              <w:t> </w:t>
            </w:r>
          </w:p>
        </w:tc>
        <w:tc>
          <w:tcPr>
            <w:tcW w:w="1509" w:type="dxa"/>
            <w:tcBorders/>
            <w:shd w:fill="CCEEFF" w:val="clear"/>
            <w:tcMar>
              <w:bottom w:w="0" w:type="dxa"/>
            </w:tcMar>
            <w:vAlign w:val="center"/>
          </w:tcPr>
          <w:p>
            <w:pPr>
              <w:pStyle w:val="TableContents"/>
              <w:bidi w:val="0"/>
              <w:spacing w:before="0" w:after="283"/>
              <w:jc w:val="center"/>
              <w:rPr/>
            </w:pPr>
            <w:r>
              <w:rPr/>
              <w:t>1/3/2024</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center"/>
              <w:rPr/>
            </w:pPr>
            <w:r>
              <w:rPr/>
              <w:t>1/2/2034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3,076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right"/>
              <w:rPr/>
            </w:pPr>
            <w:r>
              <w:rPr/>
              <w:t>60.58</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5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center"/>
              <w:rPr/>
            </w:pPr>
            <w:r>
              <w:rPr/>
              <w:t>10/11/23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center"/>
              <w:rPr/>
            </w:pPr>
            <w:r>
              <w:rPr/>
              <w:t> </w:t>
            </w:r>
          </w:p>
        </w:tc>
        <w:tc>
          <w:tcPr>
            <w:tcW w:w="1509" w:type="dxa"/>
            <w:tcBorders/>
            <w:shd w:fill="CCEEFF" w:val="clear"/>
            <w:tcMar>
              <w:bottom w:w="0" w:type="dxa"/>
            </w:tcMar>
            <w:vAlign w:val="center"/>
          </w:tcPr>
          <w:p>
            <w:pPr>
              <w:pStyle w:val="TableContents"/>
              <w:bidi w:val="0"/>
              <w:spacing w:before="0" w:after="283"/>
              <w:jc w:val="center"/>
              <w:rPr/>
            </w:pPr>
            <w:r>
              <w:rPr/>
              <w:t>10/11/23</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center"/>
              <w:rPr/>
            </w:pPr>
            <w:r>
              <w:rPr/>
              <w:t>10/10/33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7,691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right"/>
              <w:rPr/>
            </w:pPr>
            <w:r>
              <w:rPr/>
              <w:t>127.01</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5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center"/>
              <w:rPr/>
            </w:pPr>
            <w:r>
              <w:rPr/>
              <w:t>1/3/23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center"/>
              <w:rPr/>
            </w:pPr>
            <w:r>
              <w:rPr/>
              <w:t> </w:t>
            </w:r>
          </w:p>
        </w:tc>
        <w:tc>
          <w:tcPr>
            <w:tcW w:w="1509" w:type="dxa"/>
            <w:tcBorders/>
            <w:shd w:fill="CCEEFF" w:val="clear"/>
            <w:tcMar>
              <w:bottom w:w="0" w:type="dxa"/>
            </w:tcMar>
            <w:vAlign w:val="center"/>
          </w:tcPr>
          <w:p>
            <w:pPr>
              <w:pStyle w:val="TableContents"/>
              <w:bidi w:val="0"/>
              <w:spacing w:before="0" w:after="283"/>
              <w:jc w:val="center"/>
              <w:rPr/>
            </w:pPr>
            <w:r>
              <w:rPr/>
              <w:t>1/3/23</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center"/>
              <w:rPr/>
            </w:pPr>
            <w:r>
              <w:rPr/>
              <w:t>1/2/33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2,955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right"/>
              <w:rPr/>
            </w:pPr>
            <w:r>
              <w:rPr/>
              <w:t>15.99</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5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center"/>
              <w:rPr/>
            </w:pPr>
            <w:r>
              <w:rPr/>
              <w:t>6/21/22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center"/>
              <w:rPr/>
            </w:pPr>
            <w:r>
              <w:rPr/>
              <w:t> </w:t>
            </w:r>
          </w:p>
        </w:tc>
        <w:tc>
          <w:tcPr>
            <w:tcW w:w="1509" w:type="dxa"/>
            <w:tcBorders/>
            <w:shd w:fill="CCEEFF" w:val="clear"/>
            <w:tcMar>
              <w:bottom w:w="0" w:type="dxa"/>
            </w:tcMar>
            <w:vAlign w:val="center"/>
          </w:tcPr>
          <w:p>
            <w:pPr>
              <w:pStyle w:val="TableContents"/>
              <w:bidi w:val="0"/>
              <w:spacing w:before="0" w:after="283"/>
              <w:jc w:val="center"/>
              <w:rPr/>
            </w:pPr>
            <w:r>
              <w:rPr/>
              <w:t>6/21/22</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center"/>
              <w:rPr/>
            </w:pPr>
            <w:r>
              <w:rPr/>
              <w:t>6/20/32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3,943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right"/>
              <w:rPr/>
            </w:pPr>
            <w:r>
              <w:rPr/>
              <w:t>30.55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5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center"/>
              <w:rPr/>
            </w:pPr>
            <w:r>
              <w:rPr/>
              <w:t>1/4/22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center"/>
              <w:rPr/>
            </w:pPr>
            <w:r>
              <w:rPr/>
              <w:t> </w:t>
            </w:r>
          </w:p>
        </w:tc>
        <w:tc>
          <w:tcPr>
            <w:tcW w:w="1509" w:type="dxa"/>
            <w:tcBorders/>
            <w:shd w:fill="CCEEFF" w:val="clear"/>
            <w:tcMar>
              <w:bottom w:w="0" w:type="dxa"/>
            </w:tcMar>
            <w:vAlign w:val="center"/>
          </w:tcPr>
          <w:p>
            <w:pPr>
              <w:pStyle w:val="TableContents"/>
              <w:bidi w:val="0"/>
              <w:spacing w:before="0" w:after="283"/>
              <w:jc w:val="center"/>
              <w:rPr/>
            </w:pPr>
            <w:r>
              <w:rPr/>
              <w:t>1/4/22</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center"/>
              <w:rPr/>
            </w:pPr>
            <w:r>
              <w:rPr/>
              <w:t>1/3/32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1,499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right"/>
              <w:rPr/>
            </w:pPr>
            <w:r>
              <w:rPr/>
              <w:t>70.85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5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center"/>
              <w:rPr/>
            </w:pPr>
            <w:r>
              <w:rPr/>
              <w:t>7/12/21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center"/>
              <w:rPr/>
            </w:pPr>
            <w:r>
              <w:rPr/>
              <w:t> </w:t>
            </w:r>
          </w:p>
        </w:tc>
        <w:tc>
          <w:tcPr>
            <w:tcW w:w="1509" w:type="dxa"/>
            <w:tcBorders/>
            <w:shd w:fill="CCEEFF" w:val="clear"/>
            <w:tcMar>
              <w:bottom w:w="0" w:type="dxa"/>
            </w:tcMar>
            <w:vAlign w:val="center"/>
          </w:tcPr>
          <w:p>
            <w:pPr>
              <w:pStyle w:val="TableContents"/>
              <w:bidi w:val="0"/>
              <w:spacing w:before="0" w:after="283"/>
              <w:jc w:val="center"/>
              <w:rPr/>
            </w:pPr>
            <w:r>
              <w:rPr/>
              <w:t>7/12/21</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center"/>
              <w:rPr/>
            </w:pPr>
            <w:r>
              <w:rPr/>
              <w:t>7/11/31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1,786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right"/>
              <w:rPr/>
            </w:pPr>
            <w:r>
              <w:rPr/>
              <w:t>314.47</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283"/>
              <w:jc w:val="left"/>
              <w:rPr/>
            </w:pPr>
            <w:r>
              <w:rPr/>
              <w:t>As described below under “-</w:t>
            </w:r>
            <w:r>
              <w:rPr>
                <w:i/>
              </w:rPr>
              <w:t>Consulting Agreement and Employment Arrangements</w:t>
            </w:r>
            <w:r>
              <w:rPr/>
              <w:t>,” on June 5, 2025, we entered into separation agreements with each of Mr. Brady, Dr. Whiting and Mr. Maestas pursuant to which they became entitled to full acceleration of all outstanding unvested equity awards, which became fully vested and exercisable as of June 5,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Consulting and Employment Arrangements</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2025, each of Mr. Brady, Dr. Whiting and Mr. Maestas transitioned to consulting agreements with us, pursuant to which they continued to serve the Company in their respective executive roles. Each consulting agreement had a term of one year, unless earlier terminated by either party thereto. On November 19, 2025, we rehired each of Mr. Brady and Mr. Maestas on a full-time basis, terminating the consulting agreements (collectively, the “</w:t>
      </w:r>
      <w:r>
        <w:rPr>
          <w:rFonts w:ascii="Times New Roman;Times;Serif" w:hAnsi="Times New Roman;Times;Serif"/>
          <w:b/>
          <w:i/>
          <w:caps w:val="false"/>
          <w:smallCaps w:val="false"/>
          <w:sz w:val="20"/>
        </w:rPr>
        <w:t>Rehire Transition</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Dr. Whiting’s consulting agreement remains in effect in a non-executive role.</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Transition, we entered into a separation agreement with each of Mr. Brady, Dr. Whiting and Mr. Maestas. Each separation agreement provided for severance benefits resulting from a termination by us without “cause” under each of Mr. Brady’s, Dr. Whiting’s and Mr. Maestas’s respective employment agreements, as described below under “—</w:t>
      </w:r>
      <w:r>
        <w:rPr>
          <w:rFonts w:ascii="Times New Roman;Times;Serif" w:hAnsi="Times New Roman;Times;Serif"/>
          <w:b w:val="false"/>
          <w:i/>
          <w:caps w:val="false"/>
          <w:smallCaps w:val="false"/>
          <w:sz w:val="20"/>
        </w:rPr>
        <w:t>Change in Control and Severance Arrangements</w:t>
      </w:r>
      <w:r>
        <w:rPr>
          <w:rFonts w:ascii="Times New Roman;Times;Serif" w:hAnsi="Times New Roman;Times;Serif"/>
          <w:b w:val="false"/>
          <w:i w:val="false"/>
          <w:caps w:val="false"/>
          <w:smallCaps w:val="false"/>
          <w:sz w:val="20"/>
        </w:rPr>
        <w:t>.” In addition, each of Mr. Brady, Dr. Whiting and Mr. Maestas became entitled to full acceleration of all outstanding unvested equity awards, which became fully vested and exercisable as of June 5, 2025. The foregoing severance benefits were contingent upon a general release of claims set forth in the separation agreement.</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40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 employment was “at will” and could have been terminated at any time. Below is a description of our employment arrangements with each of our Named Executive Officers prior to the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Stephen Brady</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entered into an employment agreement, dated January 12, 2022, with Mr. Brady that superseded, amended and restated all prior agreements. Under the terms of the agreement, we agreed to an initial annual base salary, which was increased to $600,000, effective January 1, 2024. Mr. Brady was eligible to receive an annual bonus equal to 55% of his base salary, as determined by the Board in its sole discretion, and certain change in control and severance benefits as discussed below in “—</w:t>
      </w:r>
      <w:r>
        <w:rPr>
          <w:rFonts w:ascii="Times New Roman;Times;Serif" w:hAnsi="Times New Roman;Times;Serif"/>
          <w:b w:val="false"/>
          <w:i/>
          <w:caps w:val="false"/>
          <w:smallCaps w:val="false"/>
          <w:sz w:val="20"/>
        </w:rPr>
        <w:t>Change in Control and Severance Arrangements</w:t>
      </w:r>
      <w:r>
        <w:rPr>
          <w:rFonts w:ascii="Times New Roman;Times;Serif" w:hAnsi="Times New Roman;Times;Serif"/>
          <w:b w:val="false"/>
          <w:i w:val="false"/>
          <w:caps w:val="false"/>
          <w:smallCaps w:val="false"/>
          <w:sz w:val="20"/>
        </w:rPr>
        <w:t>.” Mr. Brady’s employment agreement was terminated in connection with the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Sam Whiting</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entered into an employment agreement, dated January 12, 2022, with Dr. Whiting that superseded, amended and restated all prior agreements. Under the terms of the agreement, we agreed to an initial annual base salary, which was increased to $481,749, effective January 1, 2024. Dr. Whiting was eligible to receive an annual bonus equal to 40% of his base salary, as determined by the Board in its sole discretion, and to certain change in control and severance benefits as discussed below in “—</w:t>
      </w:r>
      <w:r>
        <w:rPr>
          <w:rFonts w:ascii="Times New Roman;Times;Serif" w:hAnsi="Times New Roman;Times;Serif"/>
          <w:b w:val="false"/>
          <w:i/>
          <w:caps w:val="false"/>
          <w:smallCaps w:val="false"/>
          <w:sz w:val="20"/>
        </w:rPr>
        <w:t>Change in Control and Severance Arrangements</w:t>
      </w:r>
      <w:r>
        <w:rPr>
          <w:rFonts w:ascii="Times New Roman;Times;Serif" w:hAnsi="Times New Roman;Times;Serif"/>
          <w:b w:val="false"/>
          <w:i w:val="false"/>
          <w:caps w:val="false"/>
          <w:smallCaps w:val="false"/>
          <w:sz w:val="20"/>
        </w:rPr>
        <w:t>.” Dr. Whiting’s employment agreement was terminated in connection with the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Nicholas Maestas</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entered into an employment agreement, dated January 1, 2025, with Mr. Maestas that superseded, amended and restated all prior agreements. Under the terms of the agreement, we agreed to an initial annual base salary of $425,000. Mr. Maestas was eligible for an annual bonus equal to 40% of his base salary beginning in 2025, as determined by the Board in its sole discretion, and to certain change in control and severance benefits as discussed below in “—</w:t>
      </w:r>
      <w:r>
        <w:rPr>
          <w:rFonts w:ascii="Times New Roman;Times;Serif" w:hAnsi="Times New Roman;Times;Serif"/>
          <w:b w:val="false"/>
          <w:i/>
          <w:caps w:val="false"/>
          <w:smallCaps w:val="false"/>
          <w:sz w:val="20"/>
        </w:rPr>
        <w:t>Change in Control and Severance Arrangements</w:t>
      </w:r>
      <w:r>
        <w:rPr>
          <w:rFonts w:ascii="Times New Roman;Times;Serif" w:hAnsi="Times New Roman;Times;Serif"/>
          <w:b w:val="false"/>
          <w:i w:val="false"/>
          <w:caps w:val="false"/>
          <w:smallCaps w:val="false"/>
          <w:sz w:val="20"/>
        </w:rPr>
        <w:t>.” Mr. Maestas’ employment agreement was terminated in connection with the Transition.</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2026, we entered into an employment agreement with Mr. Maestas that superseded, amended and restated all prior agreements. Under the terms of the agreement, we agreed to an initial annual base salary of $425,000. Mr. Maestas is eligible for an annual bonus equal to 40% of his base salary beginning in 2026, as determined by the Board in its sole discretion, and to certain change in control and severance benefits as discussed below in “—</w:t>
      </w:r>
      <w:r>
        <w:rPr>
          <w:rFonts w:ascii="Times New Roman;Times;Serif" w:hAnsi="Times New Roman;Times;Serif"/>
          <w:b w:val="false"/>
          <w:i/>
          <w:caps w:val="false"/>
          <w:smallCaps w:val="false"/>
          <w:sz w:val="20"/>
        </w:rPr>
        <w:t>Change in Control and Severance Arrangements</w:t>
      </w:r>
      <w:r>
        <w:rPr>
          <w:rFonts w:ascii="Times New Roman;Times;Serif" w:hAnsi="Times New Roman;Times;Serif"/>
          <w:b w:val="false"/>
          <w:i w:val="false"/>
          <w:caps w:val="false"/>
          <w:smallCaps w:val="false"/>
          <w:sz w:val="20"/>
        </w:rPr>
        <w:t>.” </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on June 4, 2026, we entered into a separation agreement with Mr. Maestas. The separation agreement provided for severance benefits resulting from Mr. Maestas’s termination. The separation agreement is further discussed below in “—</w:t>
      </w:r>
      <w:r>
        <w:rPr>
          <w:rFonts w:ascii="Times New Roman;Times;Serif" w:hAnsi="Times New Roman;Times;Serif"/>
          <w:b w:val="false"/>
          <w:i/>
          <w:caps w:val="false"/>
          <w:smallCaps w:val="false"/>
          <w:sz w:val="20"/>
        </w:rPr>
        <w:t>Change in Control and Severance Arrangements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Control and Severance Arrangements</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prior employment agreements with our Named Executive Officers (collectively, the “Former Employment Agreements”), if a Named Executive Officer’s employment was terminated by us without Cause or if a Named Executive Officer resigned for Good Reason (each as defined below), they would have been entitled to receive (i) semi-monthly payments equal to the sum of 12 months of the executive’s base salary for Mr. Brady, nine months for Dr. Whiting and nine months for Mr. Maestas, plus a prorated portion of the executive’s target annual bonus for the calendar year in which termination occurred and (ii) if the executive elected to continue health insurance coverage under COBRA, the payment of the monthly premium under COBRA until the earlier of 12 months for Mr. Brady, nine months for Dr. Whiting and nine months for Mr. Maestas following termination date or the date on which the executive commenced full-time employment or employment that provided eligibility for healthcare benefits substantially comparable to those provided by us.</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40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4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if a Named Executive Officer’s employment was terminated by us without Cause or a Named Executive Officer resigned for Good Reason within three months prior to or 12 months following a Change in Control, then in lieu of the severance benefits described above the Named Executive Officer would have been entitled to receive (i) a lump-sum amount equal to the sum of 18 months for Mr. Brady, 12 months for Dr. Whiting and 12 months for Mr. Maestas of the executive’s then base salary plus the executive’s then annual target bonus at 150% for Mr. Brady, 100% for Dr. Whiting and 100% for Mr. Maestas and (ii) payment of COBRA premiums as described above for up to 18 months for Mr. Brady, 12 months for Dr. Whiting and 12 months for Mr. Maestas.</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receipt of any severance benefits under the Former Employment Agreements was subject to the execution and non-revocation of a separation agreement containing, among other things, a general release of claims in favor of us and our related persons and entities, confidentiality, return of property and non-solicitation and non-disparagement covenants.</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we were subject to a Change in Control prior to the termination of a Named Executive Officer’s service, then 100% of any unvested shares subject to any stock options then held by the Named Executive Officer would have vested and become exercisable in full.</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his employment agreement with us, dated February 3, 2026, Mr. Maestas was entitled to severance payments consistent with those provided for under his respective Former Employment Agreement as described above. However, on June 4, 2026, we entered into a separation agreement with Mr. Maestas providing for severance payments totaling $213,667, representing four-and-a-half months of his base salary plus 75% of his prorated target bonus for 2026, payable in substantially equal installments over the four-and-a-half-month period following his separation. The agreement also provided for certain reimbursements for the applicable period. Mr. Maestas’s outstanding equity awards ceased vesting as of his June 5, 2026 separation date, with the unvested portion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 and Welfare Benefits; Perquisites</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Transition, our Named Executive Officers were, and following the Rehire Transition, Mr. Brady was and Mr. Maestas was, eligible to participate in our employee benefit plans, including medical, dental, vision, disability and life insurance plans, in each case on the same basis as all of our other full-time employees. Any part-time employees we hire would not be eligible to participate in our employee benefit plans. We generally do not provide perquisites or personal benefits to our Named Executive Officers, except in limited circumstances, and we did not provide any perquisites or personal benefits to our Named Executive Officers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401(k) Plan</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participate in a multiple employer tax-qualified 401(k) savings plan which allows participants to defer eligible compensation up to the maximum amount allowed under Internal Revenue Service guidelines. Under our 401(k) plan, we currently make matching contributions of 100% on up to 4% of an employee’s eligible contributions to the plan, up to a maximum of $14,000 per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Incentive Compensation Recoupment Policy (the “</w:t>
      </w:r>
      <w:r>
        <w:rPr>
          <w:rFonts w:ascii="Times New Roman;Times;Serif" w:hAnsi="Times New Roman;Times;Serif"/>
          <w:b/>
          <w:i/>
          <w:caps w:val="false"/>
          <w:smallCaps w:val="false"/>
          <w:sz w:val="20"/>
        </w:rPr>
        <w:t>Clawback Policy</w:t>
      </w:r>
      <w:r>
        <w:rPr>
          <w:rFonts w:ascii="Times New Roman;Times;Serif" w:hAnsi="Times New Roman;Times;Serif"/>
          <w:b w:val="false"/>
          <w:i w:val="false"/>
          <w:caps w:val="false"/>
          <w:smallCaps w:val="false"/>
          <w:sz w:val="20"/>
        </w:rPr>
        <w:t>”), designed to comply with Rule 10D-1 of the Exchange Act and Nasdaq Listing Rule 5608, provides for recoupment of incentive compensation in the event of an accounting restatement resulting from material noncompliance with financial reporting requirements under the relevant securities laws. The Clawback Policy applies to our current and former executive officers. Compensation that is granted, earned or vested based wholly or in part upon attainment of a Financial Reporting Measure (as defined in the Clawback Policy) is subject to recoupment.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Practices Related to the Grant of Certain Equity Awards Close in Time to the Release of Material Nonpublic Information</w:t>
      </w:r>
    </w:p>
    <w:p>
      <w:pPr>
        <w:pStyle w:val="TextBody"/>
        <w:bidi w:val="0"/>
        <w:spacing w:before="0" w:after="0"/>
        <w:ind w:left="0" w:right="0" w:firstLine="408"/>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grant stock options to our employees, including our named executive officers. Historically, we have granted new-hire option awards on or soon after a new hire’s employment start date and annual refresh employee option grants in the first quarter of each fiscal year, which refresh grants are typically approved at the regularly scheduled meeting of the Compensation Committee occurring in such quarter. Also, non-employee directors receive automatic grants of initial and annual stock option awards, on the date of each annual meeting of stockholders, pursuant to the non-employee director compensation policy, as further described under the heading, “</w:t>
      </w:r>
      <w:r>
        <w:rPr>
          <w:rFonts w:ascii="Times New Roman;Times;Serif" w:hAnsi="Times New Roman;Times;Serif"/>
          <w:b w:val="false"/>
          <w:i/>
          <w:caps w:val="false"/>
          <w:smallCaps w:val="false"/>
          <w:sz w:val="20"/>
        </w:rPr>
        <w:t>Director Compensation</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Non-Employee Director Compensation Program</w:t>
      </w:r>
      <w:r>
        <w:rPr>
          <w:rFonts w:ascii="Times New Roman;Times;Serif" w:hAnsi="Times New Roman;Times;Serif"/>
          <w:b w:val="false"/>
          <w:i w:val="false"/>
          <w:caps w:val="false"/>
          <w:smallCaps w:val="false"/>
          <w:sz w:val="20"/>
        </w:rPr>
        <w:t>” below. We do not otherwise maintain any written policies on the timing of awards of stock options, stock appreciation rights, or similar instruments with option-like features. The Compensation Committee considers whether there is any material nonpublic information (“</w:t>
      </w:r>
      <w:r>
        <w:rPr>
          <w:rFonts w:ascii="Times New Roman;Times;Serif" w:hAnsi="Times New Roman;Times;Serif"/>
          <w:b/>
          <w:i/>
          <w:caps w:val="false"/>
          <w:smallCaps w:val="false"/>
          <w:sz w:val="20"/>
        </w:rPr>
        <w:t>MNPI</w:t>
      </w:r>
      <w:r>
        <w:rPr>
          <w:rFonts w:ascii="Times New Roman;Times;Serif" w:hAnsi="Times New Roman;Times;Serif"/>
          <w:b w:val="false"/>
          <w:i w:val="false"/>
          <w:caps w:val="false"/>
          <w:smallCaps w:val="false"/>
          <w:sz w:val="20"/>
        </w:rPr>
        <w:t xml:space="preserve">”) about the Company when determining the timing of stock option grants and does not seek to time the award of stock options in relation to our public disclosure of MNPI. We have not timed the release of MNPI for the purpose of affecting the value of executive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402(v) Pay Versus Performance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Item 402(v) of Regulation S-K, we are providing the following disclosure regarding executive compensation for each principal executive officer (“</w:t>
      </w:r>
      <w:r>
        <w:rPr>
          <w:rFonts w:ascii="Times New Roman;Times;Serif" w:hAnsi="Times New Roman;Times;Serif"/>
          <w:b/>
          <w:i/>
          <w:caps w:val="false"/>
          <w:smallCaps w:val="false"/>
          <w:sz w:val="20"/>
        </w:rPr>
        <w:t>PEO</w:t>
      </w:r>
      <w:r>
        <w:rPr>
          <w:rFonts w:ascii="Times New Roman;Times;Serif" w:hAnsi="Times New Roman;Times;Serif"/>
          <w:b w:val="false"/>
          <w:i w:val="false"/>
          <w:caps w:val="false"/>
          <w:smallCaps w:val="false"/>
          <w:sz w:val="20"/>
        </w:rPr>
        <w:t>”), and non-PEO Named Executive Officers (“</w:t>
      </w:r>
      <w:r>
        <w:rPr>
          <w:rFonts w:ascii="Times New Roman;Times;Serif" w:hAnsi="Times New Roman;Times;Serif"/>
          <w:b/>
          <w:i/>
          <w:caps w:val="false"/>
          <w:smallCaps w:val="false"/>
          <w:sz w:val="20"/>
        </w:rPr>
        <w:t>Non-PEO NEOs</w:t>
      </w:r>
      <w:r>
        <w:rPr>
          <w:rFonts w:ascii="Times New Roman;Times;Serif" w:hAnsi="Times New Roman;Times;Serif"/>
          <w:b w:val="false"/>
          <w:i w:val="false"/>
          <w:caps w:val="false"/>
          <w:smallCaps w:val="false"/>
          <w:sz w:val="20"/>
        </w:rPr>
        <w:t>”) and Company performance for the fiscal years listed below. The Compensation Committee did not consider the pay versus performance disclosure below in making its pay decisions for any of the years shown. For further information regarding our compensation philosophy and how we seek to align executive compensation with the Company’s performance, refer to “-Executive and Director Compensation.”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set forth below under the headings “CAP to PEO” and “Average CAP to Non-PEO NEOs” have been calculated in a manner consistent with Item 402(v) of Regulation S-K. Use of the term “compensation actually paid” (“</w:t>
      </w:r>
      <w:r>
        <w:rPr>
          <w:rFonts w:ascii="Times New Roman;Times;Serif" w:hAnsi="Times New Roman;Times;Serif"/>
          <w:b/>
          <w:i/>
          <w:caps w:val="false"/>
          <w:smallCaps w:val="false"/>
          <w:sz w:val="20"/>
        </w:rPr>
        <w:t>CAP</w:t>
      </w:r>
      <w:r>
        <w:rPr>
          <w:rFonts w:ascii="Times New Roman;Times;Serif" w:hAnsi="Times New Roman;Times;Serif"/>
          <w:b w:val="false"/>
          <w:i w:val="false"/>
          <w:caps w:val="false"/>
          <w:smallCaps w:val="false"/>
          <w:sz w:val="20"/>
        </w:rPr>
        <w:t>”) is required by the SEC’s rules, and as a result of the calculation methodology required by the SEC, such amounts differ from compensation actually received by the individuals for the fiscal years listed below.</w:t>
      </w:r>
    </w:p>
    <w:p>
      <w:pPr>
        <w:pStyle w:val="TextBody"/>
        <w:bidi w:val="0"/>
        <w:spacing w:before="0" w:after="0"/>
        <w:ind w:left="0" w:right="0" w:hanging="0"/>
        <w:jc w:val="left"/>
        <w:rPr>
          <w:caps w:val="false"/>
          <w:smallCaps w:val="false"/>
        </w:rPr>
      </w:pPr>
      <w:r>
        <w:rPr>
          <w:caps w:val="false"/>
          <w:smallCaps w:val="false"/>
        </w:rPr>
        <w:t> </w:t>
      </w:r>
    </w:p>
    <w:tbl>
      <w:tblPr>
        <w:tblW w:w="8819" w:type="dxa"/>
        <w:jc w:val="left"/>
        <w:tblInd w:w="0" w:type="dxa"/>
        <w:tblLayout w:type="fixed"/>
        <w:tblCellMar>
          <w:top w:w="0" w:type="dxa"/>
          <w:left w:w="0" w:type="dxa"/>
          <w:bottom w:w="28" w:type="dxa"/>
          <w:right w:w="0" w:type="dxa"/>
        </w:tblCellMar>
      </w:tblPr>
      <w:tblGrid>
        <w:gridCol w:w="665"/>
        <w:gridCol w:w="60"/>
        <w:gridCol w:w="60"/>
        <w:gridCol w:w="154"/>
        <w:gridCol w:w="1081"/>
        <w:gridCol w:w="60"/>
        <w:gridCol w:w="60"/>
        <w:gridCol w:w="140"/>
        <w:gridCol w:w="1055"/>
        <w:gridCol w:w="95"/>
        <w:gridCol w:w="60"/>
        <w:gridCol w:w="154"/>
        <w:gridCol w:w="1081"/>
        <w:gridCol w:w="60"/>
        <w:gridCol w:w="60"/>
        <w:gridCol w:w="140"/>
        <w:gridCol w:w="980"/>
        <w:gridCol w:w="95"/>
        <w:gridCol w:w="60"/>
        <w:gridCol w:w="214"/>
        <w:gridCol w:w="856"/>
        <w:gridCol w:w="60"/>
        <w:gridCol w:w="60"/>
        <w:gridCol w:w="217"/>
        <w:gridCol w:w="1182"/>
        <w:gridCol w:w="110"/>
      </w:tblGrid>
      <w:tr>
        <w:trPr/>
        <w:tc>
          <w:tcPr>
            <w:tcW w:w="66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Year</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Summary</w:t>
              <w:br/>
              <w:t>Compensation</w:t>
              <w:br/>
              <w:t>Table Total</w:t>
              <w:br/>
              <w:t>for PEO</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 to</w:t>
              <w:br/>
              <w:t>PEO</w:t>
            </w:r>
            <w:r>
              <w:rPr>
                <w:rFonts w:ascii="Times New Roman;Times;Serif" w:hAnsi="Times New Roman;Times;Serif"/>
                <w:b/>
                <w:position w:val="7"/>
                <w:sz w:val="16"/>
                <w:sz w:val="20"/>
              </w:rPr>
              <w:t>(2)(3)</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w:t>
              <w:br/>
              <w:t>Summary</w:t>
              <w:br/>
              <w:t>Compensation</w:t>
              <w:br/>
              <w:t>Table</w:t>
              <w:br/>
              <w:t>Total for</w:t>
              <w:br/>
              <w:t>Non-PEO</w:t>
              <w:br/>
              <w:t>NEOs</w:t>
            </w:r>
            <w:r>
              <w:rPr>
                <w:rFonts w:ascii="Times New Roman;Times;Serif" w:hAnsi="Times New Roman;Times;Serif"/>
                <w:b/>
                <w:position w:val="7"/>
                <w:sz w:val="16"/>
                <w:sz w:val="20"/>
              </w:rPr>
              <w:t>(4)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w:t>
              <w:br/>
              <w:t>CAP to</w:t>
              <w:br/>
              <w:t>Non-</w:t>
              <w:br/>
              <w:t>PEO</w:t>
              <w:br/>
              <w:t>NEOs</w:t>
            </w:r>
            <w:r>
              <w:rPr>
                <w:rFonts w:ascii="Times New Roman;Times;Serif" w:hAnsi="Times New Roman;Times;Serif"/>
                <w:b/>
                <w:position w:val="7"/>
                <w:sz w:val="16"/>
                <w:sz w:val="20"/>
              </w:rPr>
              <w:t>(3)(4)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Value of</w:t>
              <w:br/>
              <w:t>Initial</w:t>
              <w:br/>
              <w:t>Fixed $100</w:t>
              <w:br/>
              <w:t>Investment</w:t>
              <w:br/>
              <w:t>Based on</w:t>
              <w:br/>
              <w:t>Total</w:t>
              <w:br/>
              <w:t>Shareholder</w:t>
              <w:br/>
              <w:t>Return</w:t>
            </w:r>
            <w:r>
              <w:rPr>
                <w:rFonts w:ascii="Times New Roman;Times;Serif" w:hAnsi="Times New Roman;Times;Serif"/>
                <w:b/>
                <w:position w:val="7"/>
                <w:sz w:val="16"/>
                <w:sz w:val="20"/>
              </w:rPr>
              <w:t>(5)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Income</w:t>
              <w:br/>
              <w:t>(Loss)</w:t>
              <w:br/>
              <w:t>(in thousands)</w:t>
            </w:r>
            <w:r>
              <w:rPr>
                <w:rFonts w:ascii="Times New Roman;Times;Serif" w:hAnsi="Times New Roman;Times;Serif"/>
                <w:b/>
                <w:position w:val="7"/>
                <w:sz w:val="16"/>
                <w:sz w:val="20"/>
              </w:rPr>
              <w:t>(6)</w:t>
            </w:r>
          </w:p>
        </w:tc>
        <w:tc>
          <w:tcPr>
            <w:tcW w:w="110" w:type="dxa"/>
            <w:tcBorders/>
            <w:tcMar>
              <w:bottom w:w="0" w:type="dxa"/>
            </w:tcMar>
            <w:vAlign w:val="center"/>
          </w:tcPr>
          <w:p>
            <w:pPr>
              <w:pStyle w:val="TableContents"/>
              <w:bidi w:val="0"/>
              <w:spacing w:before="0" w:after="283"/>
              <w:jc w:val="left"/>
              <w:rPr/>
            </w:pPr>
            <w:r>
              <w:rPr/>
              <w:t> </w:t>
            </w:r>
          </w:p>
        </w:tc>
      </w:tr>
      <w:tr>
        <w:trPr/>
        <w:tc>
          <w:tcPr>
            <w:tcW w:w="665"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w:t>
            </w:r>
          </w:p>
        </w:tc>
        <w:tc>
          <w:tcPr>
            <w:tcW w:w="1081" w:type="dxa"/>
            <w:tcBorders/>
            <w:shd w:fill="CCEEFF" w:val="clear"/>
            <w:tcMar>
              <w:bottom w:w="0" w:type="dxa"/>
            </w:tcMar>
            <w:vAlign w:val="center"/>
          </w:tcPr>
          <w:p>
            <w:pPr>
              <w:pStyle w:val="TableContents"/>
              <w:bidi w:val="0"/>
              <w:spacing w:before="0" w:after="283"/>
              <w:jc w:val="right"/>
              <w:rPr/>
            </w:pPr>
            <w:r>
              <w:rPr/>
              <w:t>2,299,475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55" w:type="dxa"/>
            <w:tcBorders/>
            <w:shd w:fill="CCEEFF" w:val="clear"/>
            <w:tcMar>
              <w:bottom w:w="0" w:type="dxa"/>
            </w:tcMar>
            <w:vAlign w:val="center"/>
          </w:tcPr>
          <w:p>
            <w:pPr>
              <w:pStyle w:val="TableContents"/>
              <w:bidi w:val="0"/>
              <w:spacing w:before="0" w:after="283"/>
              <w:jc w:val="right"/>
              <w:rPr/>
            </w:pPr>
            <w:r>
              <w:rPr/>
              <w:t>1,518,980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w:t>
            </w:r>
          </w:p>
        </w:tc>
        <w:tc>
          <w:tcPr>
            <w:tcW w:w="1081" w:type="dxa"/>
            <w:tcBorders/>
            <w:shd w:fill="CCEEFF" w:val="clear"/>
            <w:tcMar>
              <w:bottom w:w="0" w:type="dxa"/>
            </w:tcMar>
            <w:vAlign w:val="center"/>
          </w:tcPr>
          <w:p>
            <w:pPr>
              <w:pStyle w:val="TableContents"/>
              <w:bidi w:val="0"/>
              <w:spacing w:before="0" w:after="283"/>
              <w:jc w:val="right"/>
              <w:rPr/>
            </w:pPr>
            <w:r>
              <w:rPr/>
              <w:t>1,043,359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744,795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856" w:type="dxa"/>
            <w:tcBorders/>
            <w:shd w:fill="CCEEFF" w:val="clear"/>
            <w:tcMar>
              <w:bottom w:w="0" w:type="dxa"/>
            </w:tcMar>
            <w:vAlign w:val="center"/>
          </w:tcPr>
          <w:p>
            <w:pPr>
              <w:pStyle w:val="TableContents"/>
              <w:bidi w:val="0"/>
              <w:spacing w:before="0" w:after="283"/>
              <w:jc w:val="right"/>
              <w:rPr/>
            </w:pPr>
            <w:r>
              <w:rPr/>
              <w:t>19.20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w:t>
            </w:r>
          </w:p>
        </w:tc>
        <w:tc>
          <w:tcPr>
            <w:tcW w:w="1182" w:type="dxa"/>
            <w:tcBorders/>
            <w:shd w:fill="CCEEFF" w:val="clear"/>
            <w:tcMar>
              <w:bottom w:w="0" w:type="dxa"/>
            </w:tcMar>
            <w:vAlign w:val="center"/>
          </w:tcPr>
          <w:p>
            <w:pPr>
              <w:pStyle w:val="TableContents"/>
              <w:bidi w:val="0"/>
              <w:spacing w:before="0" w:after="283"/>
              <w:jc w:val="right"/>
              <w:rPr/>
            </w:pPr>
            <w:r>
              <w:rPr/>
              <w:t>(26,262</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665" w:type="dxa"/>
            <w:tcBorders/>
            <w:shd w:fill="FFFFFF" w:val="clear"/>
            <w:tcMar>
              <w:bottom w:w="0" w:type="dxa"/>
            </w:tcMar>
            <w:vAlign w:val="center"/>
          </w:tcPr>
          <w:p>
            <w:pPr>
              <w:pStyle w:val="TableContents"/>
              <w:bidi w:val="0"/>
              <w:spacing w:before="0" w:after="283"/>
              <w:jc w:val="lef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w:t>
            </w:r>
          </w:p>
        </w:tc>
        <w:tc>
          <w:tcPr>
            <w:tcW w:w="1081" w:type="dxa"/>
            <w:tcBorders/>
            <w:shd w:fill="FFFFFF" w:val="clear"/>
            <w:tcMar>
              <w:bottom w:w="0" w:type="dxa"/>
            </w:tcMar>
            <w:vAlign w:val="center"/>
          </w:tcPr>
          <w:p>
            <w:pPr>
              <w:pStyle w:val="TableContents"/>
              <w:bidi w:val="0"/>
              <w:spacing w:before="0" w:after="283"/>
              <w:jc w:val="right"/>
              <w:rPr/>
            </w:pPr>
            <w:r>
              <w:rPr/>
              <w:t>1,872,299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(1,697,775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w:t>
            </w:r>
          </w:p>
        </w:tc>
        <w:tc>
          <w:tcPr>
            <w:tcW w:w="1081" w:type="dxa"/>
            <w:tcBorders/>
            <w:shd w:fill="FFFFFF" w:val="clear"/>
            <w:tcMar>
              <w:bottom w:w="0" w:type="dxa"/>
            </w:tcMar>
            <w:vAlign w:val="center"/>
          </w:tcPr>
          <w:p>
            <w:pPr>
              <w:pStyle w:val="TableContents"/>
              <w:bidi w:val="0"/>
              <w:spacing w:before="0" w:after="283"/>
              <w:jc w:val="right"/>
              <w:rPr/>
            </w:pPr>
            <w:r>
              <w:rPr/>
              <w:t>842,341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(209,854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w:t>
            </w:r>
          </w:p>
        </w:tc>
        <w:tc>
          <w:tcPr>
            <w:tcW w:w="856" w:type="dxa"/>
            <w:tcBorders/>
            <w:shd w:fill="FFFFFF" w:val="clear"/>
            <w:tcMar>
              <w:bottom w:w="0" w:type="dxa"/>
            </w:tcMar>
            <w:vAlign w:val="center"/>
          </w:tcPr>
          <w:p>
            <w:pPr>
              <w:pStyle w:val="TableContents"/>
              <w:bidi w:val="0"/>
              <w:spacing w:before="0" w:after="283"/>
              <w:jc w:val="right"/>
              <w:rPr/>
            </w:pPr>
            <w:r>
              <w:rPr/>
              <w:t>15.80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w:t>
            </w:r>
          </w:p>
        </w:tc>
        <w:tc>
          <w:tcPr>
            <w:tcW w:w="1182" w:type="dxa"/>
            <w:tcBorders/>
            <w:shd w:fill="FFFFFF" w:val="clear"/>
            <w:tcMar>
              <w:bottom w:w="0" w:type="dxa"/>
            </w:tcMar>
            <w:vAlign w:val="center"/>
          </w:tcPr>
          <w:p>
            <w:pPr>
              <w:pStyle w:val="TableContents"/>
              <w:bidi w:val="0"/>
              <w:spacing w:before="0" w:after="283"/>
              <w:jc w:val="right"/>
              <w:rPr/>
            </w:pPr>
            <w:r>
              <w:rPr/>
              <w:t>(41,843</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665" w:type="dxa"/>
            <w:tcBorders/>
            <w:shd w:fill="CCEEFF" w:val="clear"/>
            <w:tcMar>
              <w:bottom w:w="0" w:type="dxa"/>
            </w:tcMar>
            <w:vAlign w:val="center"/>
          </w:tcPr>
          <w:p>
            <w:pPr>
              <w:pStyle w:val="TableContents"/>
              <w:bidi w:val="0"/>
              <w:spacing w:before="0" w:after="283"/>
              <w:jc w:val="left"/>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w:t>
            </w:r>
          </w:p>
        </w:tc>
        <w:tc>
          <w:tcPr>
            <w:tcW w:w="1081" w:type="dxa"/>
            <w:tcBorders/>
            <w:shd w:fill="CCEEFF" w:val="clear"/>
            <w:tcMar>
              <w:bottom w:w="0" w:type="dxa"/>
            </w:tcMar>
            <w:vAlign w:val="center"/>
          </w:tcPr>
          <w:p>
            <w:pPr>
              <w:pStyle w:val="TableContents"/>
              <w:bidi w:val="0"/>
              <w:spacing w:before="0" w:after="283"/>
              <w:jc w:val="right"/>
              <w:rPr/>
            </w:pPr>
            <w:r>
              <w:rPr/>
              <w:t>7,007,407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55" w:type="dxa"/>
            <w:tcBorders/>
            <w:shd w:fill="CCEEFF" w:val="clear"/>
            <w:tcMar>
              <w:bottom w:w="0" w:type="dxa"/>
            </w:tcMar>
            <w:vAlign w:val="center"/>
          </w:tcPr>
          <w:p>
            <w:pPr>
              <w:pStyle w:val="TableContents"/>
              <w:bidi w:val="0"/>
              <w:spacing w:before="0" w:after="283"/>
              <w:jc w:val="right"/>
              <w:rPr/>
            </w:pPr>
            <w:r>
              <w:rPr/>
              <w:t>4,378,493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w:t>
            </w:r>
          </w:p>
        </w:tc>
        <w:tc>
          <w:tcPr>
            <w:tcW w:w="1081" w:type="dxa"/>
            <w:tcBorders/>
            <w:shd w:fill="CCEEFF" w:val="clear"/>
            <w:tcMar>
              <w:bottom w:w="0" w:type="dxa"/>
            </w:tcMar>
            <w:vAlign w:val="center"/>
          </w:tcPr>
          <w:p>
            <w:pPr>
              <w:pStyle w:val="TableContents"/>
              <w:bidi w:val="0"/>
              <w:spacing w:before="0" w:after="283"/>
              <w:jc w:val="right"/>
              <w:rPr/>
            </w:pPr>
            <w:r>
              <w:rPr/>
              <w:t>2,351,994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1,605,958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856" w:type="dxa"/>
            <w:tcBorders/>
            <w:shd w:fill="CCEEFF" w:val="clear"/>
            <w:tcMar>
              <w:bottom w:w="0" w:type="dxa"/>
            </w:tcMar>
            <w:vAlign w:val="center"/>
          </w:tcPr>
          <w:p>
            <w:pPr>
              <w:pStyle w:val="TableContents"/>
              <w:bidi w:val="0"/>
              <w:spacing w:before="0" w:after="283"/>
              <w:jc w:val="right"/>
              <w:rPr/>
            </w:pPr>
            <w:r>
              <w:rPr/>
              <w:t>83.33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w:t>
            </w:r>
          </w:p>
        </w:tc>
        <w:tc>
          <w:tcPr>
            <w:tcW w:w="1182" w:type="dxa"/>
            <w:tcBorders/>
            <w:shd w:fill="CCEEFF" w:val="clear"/>
            <w:tcMar>
              <w:bottom w:w="0" w:type="dxa"/>
            </w:tcMar>
            <w:vAlign w:val="center"/>
          </w:tcPr>
          <w:p>
            <w:pPr>
              <w:pStyle w:val="TableContents"/>
              <w:bidi w:val="0"/>
              <w:spacing w:before="0" w:after="283"/>
              <w:jc w:val="right"/>
              <w:rPr/>
            </w:pPr>
            <w:r>
              <w:rPr/>
              <w:t>(29,491</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sz w:val="20"/>
              </w:rPr>
            </w:pPr>
            <w:r>
              <w:rPr>
                <w:sz w:val="20"/>
              </w:rPr>
              <w:t>(1)</w:t>
            </w:r>
          </w:p>
        </w:tc>
        <w:tc>
          <w:tcPr>
            <w:tcW w:w="9969" w:type="dxa"/>
            <w:tcBorders/>
            <w:vAlign w:val="center"/>
          </w:tcPr>
          <w:p>
            <w:pPr>
              <w:pStyle w:val="TableContents"/>
              <w:bidi w:val="0"/>
              <w:spacing w:before="0" w:after="283"/>
              <w:jc w:val="left"/>
              <w:rPr>
                <w:sz w:val="20"/>
              </w:rPr>
            </w:pPr>
            <w:r>
              <w:rPr>
                <w:sz w:val="20"/>
              </w:rPr>
              <w:t>We are a smaller reporting company pursuant to Rule 405 of the Securities Act of 1933 (the “</w:t>
            </w:r>
            <w:r>
              <w:rPr>
                <w:b/>
                <w:i/>
                <w:sz w:val="20"/>
              </w:rPr>
              <w:t>Securities Act</w:t>
            </w:r>
            <w:r>
              <w:rPr>
                <w:sz w:val="20"/>
              </w:rPr>
              <w:t>”), and as such, we are only required to include information for the past three fiscal years.</w:t>
            </w:r>
          </w:p>
        </w:tc>
      </w:tr>
    </w:tbl>
    <w:p>
      <w:pPr>
        <w:pStyle w:val="TextBody"/>
        <w:bidi w:val="0"/>
        <w:spacing w:before="0" w:after="0"/>
        <w:ind w:left="0" w:right="0" w:hanging="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260"/>
        <w:gridCol w:w="7430"/>
      </w:tblGrid>
      <w:tr>
        <w:trPr/>
        <w:tc>
          <w:tcPr>
            <w:tcW w:w="260" w:type="dxa"/>
            <w:tcBorders/>
            <w:vAlign w:val="center"/>
          </w:tcPr>
          <w:p>
            <w:pPr>
              <w:pStyle w:val="TableContents"/>
              <w:bidi w:val="0"/>
              <w:spacing w:before="0" w:after="283"/>
              <w:jc w:val="left"/>
              <w:rPr>
                <w:sz w:val="20"/>
              </w:rPr>
            </w:pPr>
            <w:r>
              <w:rPr>
                <w:sz w:val="20"/>
              </w:rPr>
              <w:t>(2)</w:t>
            </w:r>
          </w:p>
        </w:tc>
        <w:tc>
          <w:tcPr>
            <w:tcW w:w="7430" w:type="dxa"/>
            <w:tcBorders/>
            <w:vAlign w:val="center"/>
          </w:tcPr>
          <w:p>
            <w:pPr>
              <w:pStyle w:val="TableContents"/>
              <w:bidi w:val="0"/>
              <w:spacing w:before="0" w:after="283"/>
              <w:jc w:val="left"/>
              <w:rPr>
                <w:sz w:val="20"/>
              </w:rPr>
            </w:pPr>
            <w:r>
              <w:rPr>
                <w:sz w:val="20"/>
              </w:rPr>
              <w:t xml:space="preserve">Our PEO reflected in these columns and for each of the applicable fiscal years is Mr. Brady.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sz w:val="20"/>
              </w:rPr>
            </w:pPr>
            <w:r>
              <w:rPr>
                <w:sz w:val="20"/>
              </w:rPr>
              <w:t>(3)</w:t>
            </w:r>
          </w:p>
        </w:tc>
        <w:tc>
          <w:tcPr>
            <w:tcW w:w="9982" w:type="dxa"/>
            <w:tcBorders/>
            <w:vAlign w:val="center"/>
          </w:tcPr>
          <w:p>
            <w:pPr>
              <w:pStyle w:val="TableContents"/>
              <w:bidi w:val="0"/>
              <w:spacing w:before="0" w:after="283"/>
              <w:jc w:val="left"/>
              <w:rPr>
                <w:sz w:val="20"/>
              </w:rPr>
            </w:pPr>
            <w:r>
              <w:rPr>
                <w:sz w:val="20"/>
              </w:rPr>
              <w:t xml:space="preserve">In calculating the CAP amounts reflected in these columns, the fair value or change in fair value, as applicable, of the equity award adjustments included in such calculations was computed in accordance with FASB ASC Topic 718 and did not materially differ from those disclosed at the time of grant. </w:t>
            </w:r>
          </w:p>
        </w:tc>
      </w:tr>
    </w:tbl>
    <w:p>
      <w:pPr>
        <w:pStyle w:val="TextBody"/>
        <w:bidi w:val="0"/>
        <w:spacing w:before="0" w:after="0"/>
        <w:ind w:left="0" w:right="0" w:hanging="0"/>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260"/>
        <w:gridCol w:w="6575"/>
      </w:tblGrid>
      <w:tr>
        <w:trPr/>
        <w:tc>
          <w:tcPr>
            <w:tcW w:w="260" w:type="dxa"/>
            <w:tcBorders/>
            <w:vAlign w:val="center"/>
          </w:tcPr>
          <w:p>
            <w:pPr>
              <w:pStyle w:val="TableContents"/>
              <w:bidi w:val="0"/>
              <w:spacing w:before="0" w:after="283"/>
              <w:jc w:val="left"/>
              <w:rPr>
                <w:sz w:val="20"/>
              </w:rPr>
            </w:pPr>
            <w:r>
              <w:rPr>
                <w:sz w:val="20"/>
              </w:rPr>
              <w:t>(4)</w:t>
            </w:r>
          </w:p>
        </w:tc>
        <w:tc>
          <w:tcPr>
            <w:tcW w:w="6575" w:type="dxa"/>
            <w:tcBorders/>
            <w:vAlign w:val="center"/>
          </w:tcPr>
          <w:p>
            <w:pPr>
              <w:pStyle w:val="TableContents"/>
              <w:bidi w:val="0"/>
              <w:spacing w:before="0" w:after="283"/>
              <w:jc w:val="left"/>
              <w:rPr>
                <w:sz w:val="20"/>
              </w:rPr>
            </w:pPr>
            <w:r>
              <w:rPr>
                <w:sz w:val="20"/>
              </w:rPr>
              <w:t xml:space="preserve">Our Non-PEO NEOs reflected in these columns are Dr. Whiting and Mr. Maestas.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sz w:val="20"/>
              </w:rPr>
            </w:pPr>
            <w:r>
              <w:rPr>
                <w:sz w:val="20"/>
              </w:rPr>
              <w:t>(5)</w:t>
            </w:r>
          </w:p>
        </w:tc>
        <w:tc>
          <w:tcPr>
            <w:tcW w:w="9992" w:type="dxa"/>
            <w:tcBorders/>
            <w:vAlign w:val="center"/>
          </w:tcPr>
          <w:p>
            <w:pPr>
              <w:pStyle w:val="TableContents"/>
              <w:bidi w:val="0"/>
              <w:spacing w:before="0" w:after="283"/>
              <w:jc w:val="left"/>
              <w:rPr>
                <w:sz w:val="20"/>
              </w:rPr>
            </w:pPr>
            <w:r>
              <w:rPr>
                <w:sz w:val="20"/>
              </w:rPr>
              <w:t>The Total Shareholder Return (“</w:t>
            </w:r>
            <w:r>
              <w:rPr>
                <w:b/>
                <w:i/>
                <w:sz w:val="20"/>
              </w:rPr>
              <w:t>TSR</w:t>
            </w:r>
            <w:r>
              <w:rPr>
                <w:sz w:val="20"/>
              </w:rPr>
              <w:t xml:space="preserve">”) reflected in this column for each applicable fiscal year is calculated based on a fixed investment of $100 through the end of the applicable fiscal year on the same cumulative basis as is used in Item 201(e) of Regulation S-K. TSR for prior years in this table differs from TSR reported in last year’s Pay Versus Performance table because the measurement period now begins on December 31, 2022, the last trading day before the earliest fiscal year presented in this year’s table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sz w:val="20"/>
              </w:rPr>
            </w:pPr>
            <w:r>
              <w:rPr>
                <w:sz w:val="20"/>
              </w:rPr>
              <w:t>(6)</w:t>
            </w:r>
          </w:p>
        </w:tc>
        <w:tc>
          <w:tcPr>
            <w:tcW w:w="9955" w:type="dxa"/>
            <w:tcBorders/>
            <w:vAlign w:val="center"/>
          </w:tcPr>
          <w:p>
            <w:pPr>
              <w:pStyle w:val="TableContents"/>
              <w:bidi w:val="0"/>
              <w:spacing w:before="0" w:after="283"/>
              <w:jc w:val="left"/>
              <w:rPr>
                <w:sz w:val="20"/>
              </w:rPr>
            </w:pPr>
            <w:r>
              <w:rPr>
                <w:sz w:val="20"/>
              </w:rPr>
              <w:t xml:space="preserve">The amounts reflected in this column represent the net income (loss) reflected in our audited financial statements for each applicable fiscal year.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sz w:val="20"/>
              </w:rPr>
            </w:pPr>
            <w:r>
              <w:rPr>
                <w:sz w:val="20"/>
              </w:rPr>
              <w:t>(7)</w:t>
            </w:r>
          </w:p>
        </w:tc>
        <w:tc>
          <w:tcPr>
            <w:tcW w:w="9978" w:type="dxa"/>
            <w:tcBorders/>
            <w:vAlign w:val="center"/>
          </w:tcPr>
          <w:p>
            <w:pPr>
              <w:pStyle w:val="TableContents"/>
              <w:bidi w:val="0"/>
              <w:spacing w:before="0" w:after="283"/>
              <w:jc w:val="left"/>
              <w:rPr>
                <w:sz w:val="20"/>
              </w:rPr>
            </w:pPr>
            <w:r>
              <w:rPr>
                <w:sz w:val="20"/>
              </w:rPr>
              <w:t>For fiscal year 2025, calculation of our PEO’s CAP reflects the adjustments made to the total compensation amounts reported in the Summary Compensation Table (“</w:t>
            </w:r>
            <w:r>
              <w:rPr>
                <w:b/>
                <w:i/>
                <w:sz w:val="20"/>
              </w:rPr>
              <w:t>SCT</w:t>
            </w:r>
            <w:r>
              <w:rPr>
                <w:sz w:val="20"/>
              </w:rPr>
              <w:t xml:space="preserve">”), computed in accordance with Item 402(v) of Regulation S-K reflected below: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8915"/>
        <w:gridCol w:w="60"/>
        <w:gridCol w:w="140"/>
        <w:gridCol w:w="980"/>
        <w:gridCol w:w="110"/>
      </w:tblGrid>
      <w:tr>
        <w:trPr/>
        <w:tc>
          <w:tcPr>
            <w:tcW w:w="8915" w:type="dxa"/>
            <w:tcBorders>
              <w:bottom w:val="single" w:sz="12" w:space="0" w:color="000000"/>
            </w:tcBorders>
            <w:vAlign w:val="center"/>
          </w:tcPr>
          <w:p>
            <w:pPr>
              <w:pStyle w:val="TableContents"/>
              <w:bidi w:val="0"/>
              <w:spacing w:before="0" w:after="283"/>
              <w:jc w:val="left"/>
              <w:rPr>
                <w:b/>
              </w:rPr>
            </w:pPr>
            <w:r>
              <w:rPr>
                <w:b/>
              </w:rPr>
              <w:t>Fiscal Year</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2025</w:t>
            </w:r>
          </w:p>
        </w:tc>
        <w:tc>
          <w:tcPr>
            <w:tcW w:w="110" w:type="dxa"/>
            <w:tcBorders/>
            <w:tcMar>
              <w:bottom w:w="0" w:type="dxa"/>
            </w:tcMar>
            <w:vAlign w:val="center"/>
          </w:tcPr>
          <w:p>
            <w:pPr>
              <w:pStyle w:val="TableContents"/>
              <w:bidi w:val="0"/>
              <w:spacing w:before="0" w:after="283"/>
              <w:jc w:val="left"/>
              <w:rPr/>
            </w:pPr>
            <w:r>
              <w:rPr/>
              <w:t> </w:t>
            </w:r>
          </w:p>
        </w:tc>
      </w:tr>
      <w:tr>
        <w:trPr/>
        <w:tc>
          <w:tcPr>
            <w:tcW w:w="8915" w:type="dxa"/>
            <w:tcBorders/>
            <w:shd w:fill="CCEEFF" w:val="clear"/>
            <w:tcMar>
              <w:bottom w:w="0" w:type="dxa"/>
            </w:tcMar>
            <w:vAlign w:val="center"/>
          </w:tcPr>
          <w:p>
            <w:pPr>
              <w:pStyle w:val="TableContents"/>
              <w:bidi w:val="0"/>
              <w:spacing w:before="0" w:after="283"/>
              <w:jc w:val="left"/>
              <w:rPr>
                <w:b/>
              </w:rPr>
            </w:pPr>
            <w:r>
              <w:rPr>
                <w:b/>
              </w:rPr>
              <w:t>PEO SCT 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2,299,475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8915" w:type="dxa"/>
            <w:tcBorders/>
            <w:shd w:fill="FFFFFF" w:val="clear"/>
            <w:tcMar>
              <w:bottom w:w="0" w:type="dxa"/>
            </w:tcMar>
            <w:vAlign w:val="center"/>
          </w:tcPr>
          <w:p>
            <w:pPr>
              <w:pStyle w:val="TableContents"/>
              <w:bidi w:val="0"/>
              <w:spacing w:before="0" w:after="283"/>
              <w:jc w:val="left"/>
              <w:rPr/>
            </w:pPr>
            <w:r>
              <w:rPr/>
              <w:t>- Grant Date Fair Value of Option Awards and Stock Awards Granted in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(556,981</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8915" w:type="dxa"/>
            <w:tcBorders/>
            <w:shd w:fill="CCEEFF" w:val="clear"/>
            <w:tcMar>
              <w:bottom w:w="0" w:type="dxa"/>
            </w:tcMar>
            <w:vAlign w:val="center"/>
          </w:tcPr>
          <w:p>
            <w:pPr>
              <w:pStyle w:val="TableContents"/>
              <w:bidi w:val="0"/>
              <w:spacing w:before="0" w:after="283"/>
              <w:jc w:val="left"/>
              <w:rPr/>
            </w:pPr>
            <w:r>
              <w:rPr/>
              <w:t>+ Fair Value at Fiscal Year-End of Outstanding and Unvested Option Awards and Stock Awards Granted in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8915" w:type="dxa"/>
            <w:tcBorders/>
            <w:shd w:fill="FFFFFF" w:val="clear"/>
            <w:tcMar>
              <w:bottom w:w="0" w:type="dxa"/>
            </w:tcMar>
            <w:vAlign w:val="center"/>
          </w:tcPr>
          <w:p>
            <w:pPr>
              <w:pStyle w:val="TableContents"/>
              <w:bidi w:val="0"/>
              <w:spacing w:before="0" w:after="283"/>
              <w:jc w:val="left"/>
              <w:rPr/>
            </w:pPr>
            <w:r>
              <w:rPr/>
              <w:t>+ Change in Fair Value from the End of 2024 to the End of 2025 of Option Awards and Stock Awards Granted in Prior Fiscal Years that were Outstanding and Unvested at the End of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8915" w:type="dxa"/>
            <w:tcBorders/>
            <w:shd w:fill="CCEEFF" w:val="clear"/>
            <w:tcMar>
              <w:bottom w:w="0" w:type="dxa"/>
            </w:tcMar>
            <w:vAlign w:val="center"/>
          </w:tcPr>
          <w:p>
            <w:pPr>
              <w:pStyle w:val="TableContents"/>
              <w:bidi w:val="0"/>
              <w:spacing w:before="0" w:after="283"/>
              <w:jc w:val="left"/>
              <w:rPr/>
            </w:pPr>
            <w:r>
              <w:rPr/>
              <w:t>+ Fair Value at Vesting of Option Awards and Stock Awards Granted in 2025 that Vested During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109,121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8915" w:type="dxa"/>
            <w:tcBorders/>
            <w:shd w:fill="FFFFFF" w:val="clear"/>
            <w:tcMar>
              <w:bottom w:w="0" w:type="dxa"/>
            </w:tcMar>
            <w:vAlign w:val="center"/>
          </w:tcPr>
          <w:p>
            <w:pPr>
              <w:pStyle w:val="TableContents"/>
              <w:bidi w:val="0"/>
              <w:spacing w:before="0" w:after="283"/>
              <w:jc w:val="left"/>
              <w:rPr/>
            </w:pPr>
            <w:r>
              <w:rPr/>
              <w:t>+ Change in Fair Value from the End of 2024 to the Vesting Date of Option Awards and Stock Awards Granted in Prior Fiscal Years For Which Applicable Vesting Conditions Were Satisfied During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(332,636</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8915" w:type="dxa"/>
            <w:tcBorders/>
            <w:shd w:fill="CCEEFF" w:val="clear"/>
            <w:tcMar>
              <w:bottom w:w="0" w:type="dxa"/>
            </w:tcMar>
            <w:vAlign w:val="center"/>
          </w:tcPr>
          <w:p>
            <w:pPr>
              <w:pStyle w:val="TableContents"/>
              <w:bidi w:val="0"/>
              <w:spacing w:before="0" w:after="283"/>
              <w:jc w:val="left"/>
              <w:rPr>
                <w:b/>
              </w:rPr>
            </w:pPr>
            <w:r>
              <w:rPr>
                <w:b/>
              </w:rPr>
              <w:t>CAP to PEO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b/>
              </w:rPr>
            </w:pPr>
            <w:r>
              <w:rPr>
                <w:b/>
              </w:rPr>
              <w:t>$</w:t>
            </w:r>
          </w:p>
        </w:tc>
        <w:tc>
          <w:tcPr>
            <w:tcW w:w="980" w:type="dxa"/>
            <w:tcBorders/>
            <w:shd w:fill="CCEEFF" w:val="clear"/>
            <w:tcMar>
              <w:bottom w:w="0" w:type="dxa"/>
            </w:tcMar>
            <w:vAlign w:val="center"/>
          </w:tcPr>
          <w:p>
            <w:pPr>
              <w:pStyle w:val="TableContents"/>
              <w:bidi w:val="0"/>
              <w:spacing w:before="0" w:after="283"/>
              <w:jc w:val="right"/>
              <w:rPr>
                <w:b/>
              </w:rPr>
            </w:pPr>
            <w:r>
              <w:rPr>
                <w:b/>
              </w:rPr>
              <w:t>1,518,980</w:t>
            </w:r>
          </w:p>
        </w:tc>
        <w:tc>
          <w:tcPr>
            <w:tcW w:w="11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sz w:val="20"/>
              </w:rPr>
            </w:pPr>
            <w:r>
              <w:rPr>
                <w:sz w:val="20"/>
              </w:rPr>
              <w:t>(8)</w:t>
            </w:r>
          </w:p>
        </w:tc>
        <w:tc>
          <w:tcPr>
            <w:tcW w:w="9979" w:type="dxa"/>
            <w:tcBorders/>
            <w:vAlign w:val="center"/>
          </w:tcPr>
          <w:p>
            <w:pPr>
              <w:pStyle w:val="TableContents"/>
              <w:bidi w:val="0"/>
              <w:spacing w:before="0" w:after="283"/>
              <w:jc w:val="left"/>
              <w:rPr>
                <w:sz w:val="20"/>
              </w:rPr>
            </w:pPr>
            <w:r>
              <w:rPr>
                <w:sz w:val="20"/>
              </w:rPr>
              <w:t xml:space="preserve">For fiscal year 2025, calculation of the average CAP for Non-PEO NEOs reflects the following adjustments made to the total compensation amounts reported for the applicable Non-PEO NEOs in the SCT, computed in accordance with Item 402(v) of Regulation S-K: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15"/>
        <w:gridCol w:w="60"/>
        <w:gridCol w:w="140"/>
        <w:gridCol w:w="980"/>
        <w:gridCol w:w="110"/>
      </w:tblGrid>
      <w:tr>
        <w:trPr/>
        <w:tc>
          <w:tcPr>
            <w:tcW w:w="8915" w:type="dxa"/>
            <w:tcBorders>
              <w:bottom w:val="single" w:sz="12" w:space="0" w:color="000000"/>
            </w:tcBorders>
            <w:vAlign w:val="center"/>
          </w:tcPr>
          <w:p>
            <w:pPr>
              <w:pStyle w:val="TableContents"/>
              <w:bidi w:val="0"/>
              <w:spacing w:before="0" w:after="283"/>
              <w:jc w:val="left"/>
              <w:rPr>
                <w:b/>
              </w:rPr>
            </w:pPr>
            <w:r>
              <w:rPr>
                <w:b/>
              </w:rPr>
              <w:t>Fiscal Year</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2025</w:t>
            </w:r>
          </w:p>
        </w:tc>
        <w:tc>
          <w:tcPr>
            <w:tcW w:w="110" w:type="dxa"/>
            <w:tcBorders/>
            <w:tcMar>
              <w:bottom w:w="0" w:type="dxa"/>
            </w:tcMar>
            <w:vAlign w:val="center"/>
          </w:tcPr>
          <w:p>
            <w:pPr>
              <w:pStyle w:val="TableContents"/>
              <w:bidi w:val="0"/>
              <w:spacing w:before="0" w:after="283"/>
              <w:jc w:val="left"/>
              <w:rPr/>
            </w:pPr>
            <w:r>
              <w:rPr/>
              <w:t> </w:t>
            </w:r>
          </w:p>
        </w:tc>
      </w:tr>
      <w:tr>
        <w:trPr/>
        <w:tc>
          <w:tcPr>
            <w:tcW w:w="8915" w:type="dxa"/>
            <w:tcBorders/>
            <w:shd w:fill="CCEEFF" w:val="clear"/>
            <w:tcMar>
              <w:bottom w:w="0" w:type="dxa"/>
            </w:tcMar>
            <w:vAlign w:val="center"/>
          </w:tcPr>
          <w:p>
            <w:pPr>
              <w:pStyle w:val="TableContents"/>
              <w:bidi w:val="0"/>
              <w:spacing w:before="0" w:after="283"/>
              <w:jc w:val="left"/>
              <w:rPr>
                <w:b/>
              </w:rPr>
            </w:pPr>
            <w:r>
              <w:rPr>
                <w:b/>
              </w:rPr>
              <w:t>Non-PEO NEO Average SCT 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1,043,359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8915" w:type="dxa"/>
            <w:tcBorders/>
            <w:shd w:fill="FFFFFF" w:val="clear"/>
            <w:tcMar>
              <w:bottom w:w="0" w:type="dxa"/>
            </w:tcMar>
            <w:vAlign w:val="center"/>
          </w:tcPr>
          <w:p>
            <w:pPr>
              <w:pStyle w:val="TableContents"/>
              <w:bidi w:val="0"/>
              <w:spacing w:before="0" w:after="283"/>
              <w:jc w:val="left"/>
              <w:rPr/>
            </w:pPr>
            <w:r>
              <w:rPr/>
              <w:t>- Average Grant Date Fair Value of Option Awards and Stock Awards Granted in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(248,169</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8915" w:type="dxa"/>
            <w:tcBorders/>
            <w:shd w:fill="CCEEFF" w:val="clear"/>
            <w:tcMar>
              <w:bottom w:w="0" w:type="dxa"/>
            </w:tcMar>
            <w:vAlign w:val="center"/>
          </w:tcPr>
          <w:p>
            <w:pPr>
              <w:pStyle w:val="TableContents"/>
              <w:bidi w:val="0"/>
              <w:spacing w:before="0" w:after="283"/>
              <w:jc w:val="left"/>
              <w:rPr/>
            </w:pPr>
            <w:r>
              <w:rPr/>
              <w:t>+ Average Fair Value at Fiscal Year-End of Outstanding and Unvested Option Awards and Stock Awards Granted in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8915" w:type="dxa"/>
            <w:tcBorders/>
            <w:shd w:fill="FFFFFF" w:val="clear"/>
            <w:tcMar>
              <w:bottom w:w="0" w:type="dxa"/>
            </w:tcMar>
            <w:vAlign w:val="center"/>
          </w:tcPr>
          <w:p>
            <w:pPr>
              <w:pStyle w:val="TableContents"/>
              <w:bidi w:val="0"/>
              <w:spacing w:before="0" w:after="283"/>
              <w:jc w:val="left"/>
              <w:rPr/>
            </w:pPr>
            <w:r>
              <w:rPr/>
              <w:t>+ Average Change in Fair Value from the End of 2024 to the End of 2025 of Option Awards and Stock Awards Granted in Prior Fiscal Years that were Outstanding and Unvested at the End of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8915" w:type="dxa"/>
            <w:tcBorders/>
            <w:shd w:fill="CCEEFF" w:val="clear"/>
            <w:tcMar>
              <w:bottom w:w="0" w:type="dxa"/>
            </w:tcMar>
            <w:vAlign w:val="center"/>
          </w:tcPr>
          <w:p>
            <w:pPr>
              <w:pStyle w:val="TableContents"/>
              <w:bidi w:val="0"/>
              <w:spacing w:before="0" w:after="283"/>
              <w:jc w:val="left"/>
              <w:rPr/>
            </w:pPr>
            <w:r>
              <w:rPr/>
              <w:t>+ Average Fair Value at Vesting of Option Awards and Stock Awards Granted in 2025 that Vested During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46,621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8915" w:type="dxa"/>
            <w:tcBorders/>
            <w:shd w:fill="FFFFFF" w:val="clear"/>
            <w:tcMar>
              <w:bottom w:w="0" w:type="dxa"/>
            </w:tcMar>
            <w:vAlign w:val="center"/>
          </w:tcPr>
          <w:p>
            <w:pPr>
              <w:pStyle w:val="TableContents"/>
              <w:bidi w:val="0"/>
              <w:spacing w:before="0" w:after="283"/>
              <w:jc w:val="left"/>
              <w:rPr/>
            </w:pPr>
            <w:r>
              <w:rPr/>
              <w:t>+ Average Change in Fair Value from the End of 2024 to the Vesting Date of Option Awards and Stock Awards Granted in Prior Fiscal Years for Which Applicable Vesting Conditions Were Satisfied During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(97,015</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8915" w:type="dxa"/>
            <w:tcBorders/>
            <w:shd w:fill="CCEEFF" w:val="clear"/>
            <w:tcMar>
              <w:bottom w:w="0" w:type="dxa"/>
            </w:tcMar>
            <w:vAlign w:val="center"/>
          </w:tcPr>
          <w:p>
            <w:pPr>
              <w:pStyle w:val="TableContents"/>
              <w:bidi w:val="0"/>
              <w:spacing w:before="0" w:after="283"/>
              <w:jc w:val="left"/>
              <w:rPr>
                <w:b/>
              </w:rPr>
            </w:pPr>
            <w:r>
              <w:rPr>
                <w:b/>
              </w:rPr>
              <w:t>Average Compensation Actually Paid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b/>
              </w:rPr>
            </w:pPr>
            <w:r>
              <w:rPr>
                <w:b/>
              </w:rPr>
              <w:t>$</w:t>
            </w:r>
          </w:p>
        </w:tc>
        <w:tc>
          <w:tcPr>
            <w:tcW w:w="980" w:type="dxa"/>
            <w:tcBorders/>
            <w:shd w:fill="CCEEFF" w:val="clear"/>
            <w:tcMar>
              <w:bottom w:w="0" w:type="dxa"/>
            </w:tcMar>
            <w:vAlign w:val="center"/>
          </w:tcPr>
          <w:p>
            <w:pPr>
              <w:pStyle w:val="TableContents"/>
              <w:bidi w:val="0"/>
              <w:spacing w:before="0" w:after="283"/>
              <w:jc w:val="right"/>
              <w:rPr>
                <w:b/>
              </w:rPr>
            </w:pPr>
            <w:r>
              <w:rPr>
                <w:b/>
              </w:rPr>
              <w:t>744,795</w:t>
            </w:r>
          </w:p>
        </w:tc>
        <w:tc>
          <w:tcPr>
            <w:tcW w:w="11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 versus Performance Comparative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Item 402(v) of Regulation S-K, we are providing the following descriptions of the relationships between the information presented in the table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CAP and Company TSR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graph sets forth the relationship between CAP for our PEO, the average of CAP for our Non-PEO NEOs, and the Company’s cumulative TSR over the three most recently completed fiscal years.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810250" cy="26860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810250" cy="26860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CAP and Net Income (Loss)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graph sets forth the relationship between CAP for our PEO, the average of CAP for our Non-PEO NEOs, and the Company’s net income (loss) over the three most recently completed fiscal years.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819775" cy="26193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819775" cy="26193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information provided above under the “Item 402(v) Pay Versus Performance” heading will not be deemed to be incorporated by reference into any filing of the Company under the Securities Act or the Exchange Act, whether made before or after the date hereof and irrespective of any general incorporation language in any such filing, except to the extent the Company specifically incorporates such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Non-Employee Director Compensation Program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standard compensation arrangements under which our non-employee directors were compensated for their service as directors for the fiscal year ended December 31, 2025, including as members of the various committees of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Compensation</w:t>
      </w:r>
    </w:p>
    <w:p>
      <w:pPr>
        <w:pStyle w:val="TextBody"/>
        <w:bidi w:val="0"/>
        <w:spacing w:before="0" w:after="0"/>
        <w:ind w:left="0" w:right="0" w:firstLine="408"/>
        <w:jc w:val="left"/>
        <w:rPr>
          <w:caps w:val="false"/>
          <w:smallCaps w:val="false"/>
        </w:rPr>
      </w:pPr>
      <w:r>
        <w:rPr>
          <w:caps w:val="false"/>
          <w:smallCaps w:val="false"/>
        </w:rPr>
        <w:t> </w:t>
      </w:r>
    </w:p>
    <w:p>
      <w:pPr>
        <w:pStyle w:val="TextBody"/>
        <w:bidi w:val="0"/>
        <w:spacing w:before="0" w:after="0"/>
        <w:ind w:left="0" w:right="0" w:firstLine="4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non-employee director received an annual base retainer of $40,000 with the non-executive Board Chair receiving an additional annual base retainer of $35,000. In addition, our non-employee directors received the following cash compensation for committee services, as applicable:</w:t>
      </w:r>
    </w:p>
    <w:p>
      <w:pPr>
        <w:pStyle w:val="TextBody"/>
        <w:bidi w:val="0"/>
        <w:spacing w:before="0" w:after="0"/>
        <w:ind w:left="7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each chair of our Audit, Compensation, Nominating and Corporate Governance, and Science &amp; Technology committees received an additional annual retainer of $15,000, $10,000, $8,000 and $8,000, respectively; and</w:t>
            </w:r>
          </w:p>
        </w:tc>
      </w:tr>
    </w:tbl>
    <w:p>
      <w:pPr>
        <w:pStyle w:val="TextBody"/>
        <w:bidi w:val="0"/>
        <w:spacing w:before="0" w:after="0"/>
        <w:ind w:left="760" w:right="0" w:hanging="360"/>
        <w:jc w:val="left"/>
        <w:rPr>
          <w:caps w:val="false"/>
          <w:smallCaps w:val="false"/>
        </w:rPr>
      </w:pPr>
      <w:r>
        <w:rPr>
          <w:caps w:val="false"/>
          <w:smallCaps w:val="false"/>
        </w:rPr>
        <w:t> </w:t>
      </w:r>
    </w:p>
    <w:p>
      <w:pPr>
        <w:pStyle w:val="TextBody"/>
        <w:bidi w:val="0"/>
        <w:spacing w:before="0" w:after="0"/>
        <w:ind w:left="7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7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each other non-chair member of our Audit, Compensation, Nominating and Corporate Governance, and Science &amp; Technology committees received an additional annual retainer of $7,500, $5,000, $4,000 and $4,000, respectively.</w:t>
            </w:r>
          </w:p>
        </w:tc>
      </w:tr>
    </w:tbl>
    <w:p>
      <w:pPr>
        <w:pStyle w:val="TextBody"/>
        <w:bidi w:val="0"/>
        <w:spacing w:before="0" w:after="0"/>
        <w:ind w:left="0" w:right="0" w:firstLine="408"/>
        <w:jc w:val="left"/>
        <w:rPr>
          <w:caps w:val="false"/>
          <w:smallCaps w:val="false"/>
        </w:rPr>
      </w:pPr>
      <w:r>
        <w:rPr>
          <w:caps w:val="false"/>
          <w:smallCaps w:val="false"/>
        </w:rPr>
        <w:t> </w:t>
      </w:r>
    </w:p>
    <w:p>
      <w:pPr>
        <w:pStyle w:val="TextBody"/>
        <w:bidi w:val="0"/>
        <w:spacing w:before="0" w:after="0"/>
        <w:ind w:left="0" w:right="0" w:firstLine="4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reflects the retainers to be paid to non-employee directors for service on the Board and for service on each committee of the Board on which the director is a member, effective June 4, 2026:</w:t>
      </w:r>
    </w:p>
    <w:p>
      <w:pPr>
        <w:pStyle w:val="TextBody"/>
        <w:bidi w:val="0"/>
        <w:spacing w:before="0" w:after="0"/>
        <w:ind w:left="0" w:right="0" w:firstLine="408"/>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chair of our Audit, Compensation and Nominating and Corporate Governance committees shall receive an additional annual retainer of $10,000, $7,500 and $5,000, respectively; and</w:t>
            </w:r>
          </w:p>
        </w:tc>
      </w:tr>
    </w:tbl>
    <w:p>
      <w:pPr>
        <w:pStyle w:val="TextBody"/>
        <w:bidi w:val="0"/>
        <w:spacing w:before="0" w:after="0"/>
        <w:ind w:left="7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other non-chair member of our Audit, Compensation and Nominating and Corporate Governance committees shall receive an additional annual retainer of $5,000, $3,750 and $2,500, respectively.</w:t>
            </w:r>
          </w:p>
        </w:tc>
      </w:tr>
    </w:tbl>
    <w:p>
      <w:pPr>
        <w:pStyle w:val="TextBody"/>
        <w:bidi w:val="0"/>
        <w:spacing w:before="0" w:after="0"/>
        <w:ind w:left="7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retainers were payable in arrears in four equal quarterly installments on the last day of each quarter (each such date, a “</w:t>
      </w:r>
      <w:r>
        <w:rPr>
          <w:rFonts w:ascii="Times New Roman;Times;Serif" w:hAnsi="Times New Roman;Times;Serif"/>
          <w:b/>
          <w:i/>
          <w:caps w:val="false"/>
          <w:smallCaps w:val="false"/>
          <w:sz w:val="20"/>
        </w:rPr>
        <w:t>Retainer Accrual Date</w:t>
      </w:r>
      <w:r>
        <w:rPr>
          <w:rFonts w:ascii="Times New Roman;Times;Serif" w:hAnsi="Times New Roman;Times;Serif"/>
          <w:b w:val="false"/>
          <w:i w:val="false"/>
          <w:caps w:val="false"/>
          <w:smallCaps w:val="false"/>
          <w:sz w:val="20"/>
        </w:rPr>
        <w:t>”), provided that the amount of such payment will be prorated for any partial months of service. We also reimburse each of our directors for their travel expenses incurred in connection with their attendance at Board and committee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Compensation</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non-employee directors first appointed to the Board were eligible to receive an initial option to purchase 1,923 shares of our common stock (the “</w:t>
      </w:r>
      <w:r>
        <w:rPr>
          <w:rFonts w:ascii="Times New Roman;Times;Serif" w:hAnsi="Times New Roman;Times;Serif"/>
          <w:b/>
          <w:i/>
          <w:caps w:val="false"/>
          <w:smallCaps w:val="false"/>
          <w:sz w:val="20"/>
        </w:rPr>
        <w:t>Initial Grant</w:t>
      </w:r>
      <w:r>
        <w:rPr>
          <w:rFonts w:ascii="Times New Roman;Times;Serif" w:hAnsi="Times New Roman;Times;Serif"/>
          <w:b w:val="false"/>
          <w:i w:val="false"/>
          <w:caps w:val="false"/>
          <w:smallCaps w:val="false"/>
          <w:sz w:val="20"/>
        </w:rPr>
        <w:t>”). Further, on the date of each annual meeting of stockholders, each non-employee director that continued to serve as a non-employee member on our Board would receive an option to purchase 1,230 shares of our common stock (the “</w:t>
      </w:r>
      <w:r>
        <w:rPr>
          <w:rFonts w:ascii="Times New Roman;Times;Serif" w:hAnsi="Times New Roman;Times;Serif"/>
          <w:b/>
          <w:i/>
          <w:caps w:val="false"/>
          <w:smallCaps w:val="false"/>
          <w:sz w:val="20"/>
        </w:rPr>
        <w:t>Annual Grant</w:t>
      </w:r>
      <w:r>
        <w:rPr>
          <w:rFonts w:ascii="Times New Roman;Times;Serif" w:hAnsi="Times New Roman;Times;Serif"/>
          <w:b w:val="false"/>
          <w:i w:val="false"/>
          <w:caps w:val="false"/>
          <w:smallCaps w:val="false"/>
          <w:sz w:val="20"/>
        </w:rPr>
        <w:t>”). Effective as of January 20, 2026, the Initial Grant was increased to 25,000 shares of common stock and the Annual Grant increased to 12,500 shares of common stock. </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subject to each Initial Grant will vest over a three-year period, with one-third of the award vesting on the first anniversary of the grant date and the remainder of the award vesting in equal monthly installments thereafter, subject to the non-employee director’s Continuous Service (as defined in the 2023 Plan) through each such vesting date and will vest in full upon a Change in Control (as defined in the 2023 Plan). The shares subject to the Annual Grant will vest in full on the first anniversary of the date of grant; provided, that the Annual Grant will in any case be fully vested on the date of Company’s next annual stockholder meeting, subject to the non-employee director’s Continuous Service (as defined in the 2023 Plan) through such vesting date; provided, further, that the Annual Grant will vest in full upon a Change in Control (as defined in the 2023 Plan). With respect to a non-employee director who was first elected or appointed to the Board on a date other than the date of the Company’s annual stockholder meeting, upon our first annual meeting of our stockholders following such non-employee director’s first joining the Board, such non-employee director’s first Annual Grant will be pro-rated to reflect the time between such non-employee director’s election or appointment date and the date of such first annual meeting of our stockholders.</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non-employee director may elect to convert such director’s cash compensation under the Non-Employee Director Compensation Policy into a restricted stock unit (“</w:t>
      </w:r>
      <w:r>
        <w:rPr>
          <w:rFonts w:ascii="Times New Roman;Times;Serif" w:hAnsi="Times New Roman;Times;Serif"/>
          <w:b/>
          <w:i/>
          <w:caps w:val="false"/>
          <w:smallCaps w:val="false"/>
          <w:sz w:val="20"/>
        </w:rPr>
        <w:t>RSU</w:t>
      </w:r>
      <w:r>
        <w:rPr>
          <w:rFonts w:ascii="Times New Roman;Times;Serif" w:hAnsi="Times New Roman;Times;Serif"/>
          <w:b w:val="false"/>
          <w:i w:val="false"/>
          <w:caps w:val="false"/>
          <w:smallCaps w:val="false"/>
          <w:sz w:val="20"/>
        </w:rPr>
        <w:t>”) award (such election, a “</w:t>
      </w:r>
      <w:r>
        <w:rPr>
          <w:rFonts w:ascii="Times New Roman;Times;Serif" w:hAnsi="Times New Roman;Times;Serif"/>
          <w:b/>
          <w:i/>
          <w:caps w:val="false"/>
          <w:smallCaps w:val="false"/>
          <w:sz w:val="20"/>
        </w:rPr>
        <w:t>Retainer Grant Election</w:t>
      </w:r>
      <w:r>
        <w:rPr>
          <w:rFonts w:ascii="Times New Roman;Times;Serif" w:hAnsi="Times New Roman;Times;Serif"/>
          <w:b w:val="false"/>
          <w:i w:val="false"/>
          <w:caps w:val="false"/>
          <w:smallCaps w:val="false"/>
          <w:sz w:val="20"/>
        </w:rPr>
        <w:t>”). If a non-employee director timely makes this election, then on the first business day following the applicable Retainer Accrual Date to which the Retainer Grant Election applies, and without any further action by the Board or designated committee of the Board, such non-employee director automatically will be granted a fully vested RSU award under the 2023 Plan covering a number of shares of common stock equal to (a) the aggregate amount of cash compensation otherwise payable to such non-employee director on the Retainer Accrual Date to which the Retainer Grant Election applies divided by (b) the closing sales price per share of the common stock on the applicable Retainer Accrual Date (or, if such date is not a business day, on the first business day thereafter), rounded down to the nearest whole share. No cash will be paid in lieu of fractional shares.</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any member of our Board that is entitled to the above compensation may elect to forego all or a portion of such compensation from time to time by giving notice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 Compensation Table</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for the year ended December 31, 2025 regarding the compensation awarded to or earned by our non-employee directors. Mr. Brady is not included in the table below, as he was an employee and received no additional compensation for his service as a director. As a Named Executive Officer, the compensation received by Mr. Brady is shown above in “—</w:t>
      </w:r>
      <w:r>
        <w:rPr>
          <w:rFonts w:ascii="Times New Roman;Times;Serif" w:hAnsi="Times New Roman;Times;Serif"/>
          <w:b w:val="false"/>
          <w:i/>
          <w:caps w:val="false"/>
          <w:smallCaps w:val="false"/>
          <w:sz w:val="20"/>
        </w:rPr>
        <w:t>Executive Compensation-Summary Compensation Table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tbl>
      <w:tblPr>
        <w:tblW w:w="5464" w:type="dxa"/>
        <w:jc w:val="left"/>
        <w:tblInd w:w="0" w:type="dxa"/>
        <w:tblLayout w:type="fixed"/>
        <w:tblCellMar>
          <w:top w:w="0" w:type="dxa"/>
          <w:left w:w="0" w:type="dxa"/>
          <w:bottom w:w="28" w:type="dxa"/>
          <w:right w:w="0" w:type="dxa"/>
        </w:tblCellMar>
      </w:tblPr>
      <w:tblGrid>
        <w:gridCol w:w="1820"/>
        <w:gridCol w:w="60"/>
        <w:gridCol w:w="110"/>
        <w:gridCol w:w="1469"/>
        <w:gridCol w:w="60"/>
        <w:gridCol w:w="60"/>
        <w:gridCol w:w="321"/>
        <w:gridCol w:w="509"/>
        <w:gridCol w:w="60"/>
        <w:gridCol w:w="60"/>
        <w:gridCol w:w="60"/>
        <w:gridCol w:w="800"/>
        <w:gridCol w:w="75"/>
      </w:tblGrid>
      <w:tr>
        <w:trPr/>
        <w:tc>
          <w:tcPr>
            <w:tcW w:w="1820"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579" w:type="dxa"/>
            <w:gridSpan w:val="2"/>
            <w:tcBorders>
              <w:bottom w:val="single" w:sz="12" w:space="0" w:color="000000"/>
            </w:tcBorders>
            <w:vAlign w:val="center"/>
          </w:tcPr>
          <w:p>
            <w:pPr>
              <w:pStyle w:val="TableContents"/>
              <w:bidi w:val="0"/>
              <w:spacing w:before="0" w:after="283"/>
              <w:jc w:val="center"/>
              <w:rPr>
                <w:b/>
              </w:rPr>
            </w:pPr>
            <w:r>
              <w:rPr>
                <w:b/>
              </w:rPr>
              <w:t>Fees Earned or</w:t>
              <w:br/>
              <w:t>Paid in Cash</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vAlign w:val="center"/>
          </w:tcPr>
          <w:p>
            <w:pPr>
              <w:pStyle w:val="TableContents"/>
              <w:bidi w:val="0"/>
              <w:spacing w:before="0" w:after="283"/>
              <w:jc w:val="center"/>
              <w:rPr>
                <w:b/>
              </w:rPr>
            </w:pPr>
            <w:r>
              <w:rPr>
                <w:b/>
              </w:rPr>
              <w:t>Option</w:t>
              <w:br/>
              <w:t>Awards</w:t>
              <w:br/>
              <w:t>($)</w:t>
            </w:r>
            <w:r>
              <w:rPr>
                <w:b/>
                <w:position w:val="8"/>
                <w:sz w:val="19"/>
              </w:rPr>
              <w:t>(1)(2)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Total</w:t>
              <w:br/>
              <w:t>($)</w:t>
            </w:r>
          </w:p>
        </w:tc>
        <w:tc>
          <w:tcPr>
            <w:tcW w:w="75" w:type="dxa"/>
            <w:tcBorders/>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left"/>
              <w:rPr/>
            </w:pPr>
            <w:r>
              <w:rPr/>
              <w:t>Geoff Nichol</w:t>
            </w: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469" w:type="dxa"/>
            <w:tcBorders/>
            <w:shd w:fill="CCEEFF" w:val="clear"/>
            <w:tcMar>
              <w:bottom w:w="0" w:type="dxa"/>
            </w:tcMar>
            <w:vAlign w:val="center"/>
          </w:tcPr>
          <w:p>
            <w:pPr>
              <w:pStyle w:val="TableContents"/>
              <w:bidi w:val="0"/>
              <w:spacing w:before="0" w:after="283"/>
              <w:jc w:val="right"/>
              <w:rPr/>
            </w:pPr>
            <w:r>
              <w:rPr/>
              <w:t>55,500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55,500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20" w:type="dxa"/>
            <w:tcBorders/>
            <w:shd w:fill="FFFFFF" w:val="clear"/>
            <w:tcMar>
              <w:bottom w:w="0" w:type="dxa"/>
            </w:tcMar>
            <w:vAlign w:val="center"/>
          </w:tcPr>
          <w:p>
            <w:pPr>
              <w:pStyle w:val="TableContents"/>
              <w:bidi w:val="0"/>
              <w:spacing w:before="0" w:after="283"/>
              <w:jc w:val="left"/>
              <w:rPr/>
            </w:pPr>
            <w:r>
              <w:rPr/>
              <w:t>Christine Pellizzari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469" w:type="dxa"/>
            <w:tcBorders/>
            <w:shd w:fill="FFFFFF" w:val="clear"/>
            <w:tcMar>
              <w:bottom w:w="0" w:type="dxa"/>
            </w:tcMar>
            <w:vAlign w:val="center"/>
          </w:tcPr>
          <w:p>
            <w:pPr>
              <w:pStyle w:val="TableContents"/>
              <w:bidi w:val="0"/>
              <w:spacing w:before="0" w:after="283"/>
              <w:jc w:val="right"/>
              <w:rPr/>
            </w:pPr>
            <w:r>
              <w:rPr/>
              <w:t>55,000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55,000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left"/>
              <w:rPr/>
            </w:pPr>
            <w:r>
              <w:rPr/>
              <w:t>Michael Raab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469" w:type="dxa"/>
            <w:tcBorders/>
            <w:shd w:fill="CCEEFF" w:val="clear"/>
            <w:tcMar>
              <w:bottom w:w="0" w:type="dxa"/>
            </w:tcMar>
            <w:vAlign w:val="center"/>
          </w:tcPr>
          <w:p>
            <w:pPr>
              <w:pStyle w:val="TableContents"/>
              <w:bidi w:val="0"/>
              <w:spacing w:before="0" w:after="283"/>
              <w:jc w:val="right"/>
              <w:rPr/>
            </w:pPr>
            <w:r>
              <w:rPr/>
              <w:t>105,500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105,500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20" w:type="dxa"/>
            <w:tcBorders/>
            <w:shd w:fill="FFFFFF" w:val="clear"/>
            <w:tcMar>
              <w:bottom w:w="0" w:type="dxa"/>
            </w:tcMar>
            <w:vAlign w:val="center"/>
          </w:tcPr>
          <w:p>
            <w:pPr>
              <w:pStyle w:val="TableContents"/>
              <w:bidi w:val="0"/>
              <w:spacing w:before="0" w:after="283"/>
              <w:jc w:val="left"/>
              <w:rPr/>
            </w:pPr>
            <w:r>
              <w:rPr/>
              <w:t>Ronit Simantov</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469" w:type="dxa"/>
            <w:tcBorders/>
            <w:shd w:fill="FFFFFF" w:val="clear"/>
            <w:tcMar>
              <w:bottom w:w="0" w:type="dxa"/>
            </w:tcMar>
            <w:vAlign w:val="center"/>
          </w:tcPr>
          <w:p>
            <w:pPr>
              <w:pStyle w:val="TableContents"/>
              <w:bidi w:val="0"/>
              <w:spacing w:before="0" w:after="283"/>
              <w:jc w:val="right"/>
              <w:rPr/>
            </w:pPr>
            <w:r>
              <w:rPr/>
              <w:t>48,000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48,000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283"/>
              <w:jc w:val="both"/>
              <w:rPr/>
            </w:pPr>
            <w:r>
              <w:rPr/>
              <w:t>The following table provides information regarding the aggregate number of equity awards granted to our non-employee directors that were outstanding as of December 31, 2025:</w:t>
            </w:r>
          </w:p>
        </w:tc>
      </w:tr>
    </w:tbl>
    <w:p>
      <w:pPr>
        <w:pStyle w:val="TextBody"/>
        <w:bidi w:val="0"/>
        <w:spacing w:before="0" w:after="0"/>
        <w:ind w:left="0" w:right="0" w:hanging="0"/>
        <w:jc w:val="center"/>
        <w:rPr>
          <w:caps w:val="false"/>
          <w:smallCaps w:val="false"/>
        </w:rPr>
      </w:pPr>
      <w:r>
        <w:rPr>
          <w:caps w:val="false"/>
          <w:smallCaps w:val="false"/>
        </w:rPr>
        <w:t> </w:t>
      </w:r>
    </w:p>
    <w:tbl>
      <w:tblPr>
        <w:tblW w:w="3249" w:type="dxa"/>
        <w:jc w:val="left"/>
        <w:tblInd w:w="0" w:type="dxa"/>
        <w:tblLayout w:type="fixed"/>
        <w:tblCellMar>
          <w:top w:w="0" w:type="dxa"/>
          <w:left w:w="0" w:type="dxa"/>
          <w:bottom w:w="28" w:type="dxa"/>
          <w:right w:w="0" w:type="dxa"/>
        </w:tblCellMar>
      </w:tblPr>
      <w:tblGrid>
        <w:gridCol w:w="1820"/>
        <w:gridCol w:w="60"/>
        <w:gridCol w:w="125"/>
        <w:gridCol w:w="1169"/>
        <w:gridCol w:w="75"/>
      </w:tblGrid>
      <w:tr>
        <w:trPr/>
        <w:tc>
          <w:tcPr>
            <w:tcW w:w="1820"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294"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br/>
              <w:t>Outstanding at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w:t>
            </w:r>
          </w:p>
        </w:tc>
        <w:tc>
          <w:tcPr>
            <w:tcW w:w="75" w:type="dxa"/>
            <w:tcBorders/>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left"/>
              <w:rPr/>
            </w:pPr>
            <w:r>
              <w:rPr/>
              <w:t>Geoff Nichol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169" w:type="dxa"/>
            <w:tcBorders/>
            <w:shd w:fill="CCEEFF" w:val="clear"/>
            <w:tcMar>
              <w:bottom w:w="0" w:type="dxa"/>
            </w:tcMar>
            <w:vAlign w:val="center"/>
          </w:tcPr>
          <w:p>
            <w:pPr>
              <w:pStyle w:val="TableContents"/>
              <w:bidi w:val="0"/>
              <w:spacing w:before="0" w:after="283"/>
              <w:jc w:val="right"/>
              <w:rPr/>
            </w:pPr>
            <w:r>
              <w:rPr/>
              <w:t>2,823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20" w:type="dxa"/>
            <w:tcBorders/>
            <w:shd w:fill="FFFFFF" w:val="clear"/>
            <w:tcMar>
              <w:bottom w:w="0" w:type="dxa"/>
            </w:tcMar>
            <w:vAlign w:val="center"/>
          </w:tcPr>
          <w:p>
            <w:pPr>
              <w:pStyle w:val="TableContents"/>
              <w:bidi w:val="0"/>
              <w:spacing w:before="0" w:after="283"/>
              <w:jc w:val="left"/>
              <w:rPr/>
            </w:pPr>
            <w:r>
              <w:rPr/>
              <w:t>Christine Pellizzari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169" w:type="dxa"/>
            <w:tcBorders/>
            <w:shd w:fill="FFFFFF" w:val="clear"/>
            <w:tcMar>
              <w:bottom w:w="0" w:type="dxa"/>
            </w:tcMar>
            <w:vAlign w:val="center"/>
          </w:tcPr>
          <w:p>
            <w:pPr>
              <w:pStyle w:val="TableContents"/>
              <w:bidi w:val="0"/>
              <w:spacing w:before="0" w:after="283"/>
              <w:jc w:val="right"/>
              <w:rPr/>
            </w:pPr>
            <w:r>
              <w:rPr/>
              <w:t>2,639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left"/>
              <w:rPr/>
            </w:pPr>
            <w:r>
              <w:rPr/>
              <w:t>Michael Raab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169" w:type="dxa"/>
            <w:tcBorders/>
            <w:shd w:fill="CCEEFF" w:val="clear"/>
            <w:tcMar>
              <w:bottom w:w="0" w:type="dxa"/>
            </w:tcMar>
            <w:vAlign w:val="center"/>
          </w:tcPr>
          <w:p>
            <w:pPr>
              <w:pStyle w:val="TableContents"/>
              <w:bidi w:val="0"/>
              <w:spacing w:before="0" w:after="283"/>
              <w:jc w:val="right"/>
              <w:rPr/>
            </w:pPr>
            <w:r>
              <w:rPr/>
              <w:t>5,044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20" w:type="dxa"/>
            <w:tcBorders/>
            <w:shd w:fill="FFFFFF" w:val="clear"/>
            <w:tcMar>
              <w:bottom w:w="0" w:type="dxa"/>
            </w:tcMar>
            <w:vAlign w:val="center"/>
          </w:tcPr>
          <w:p>
            <w:pPr>
              <w:pStyle w:val="TableContents"/>
              <w:bidi w:val="0"/>
              <w:spacing w:before="0" w:after="283"/>
              <w:jc w:val="left"/>
              <w:rPr/>
            </w:pPr>
            <w:r>
              <w:rPr/>
              <w:t>Ronit Simantov</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169" w:type="dxa"/>
            <w:tcBorders/>
            <w:shd w:fill="FFFFFF" w:val="clear"/>
            <w:tcMar>
              <w:bottom w:w="0" w:type="dxa"/>
            </w:tcMar>
            <w:vAlign w:val="center"/>
          </w:tcPr>
          <w:p>
            <w:pPr>
              <w:pStyle w:val="TableContents"/>
              <w:bidi w:val="0"/>
              <w:spacing w:before="0" w:after="283"/>
              <w:jc w:val="right"/>
              <w:rPr/>
            </w:pPr>
            <w:r>
              <w:rPr/>
              <w:t>2,639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42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(2)</w:t>
            </w:r>
          </w:p>
        </w:tc>
        <w:tc>
          <w:tcPr>
            <w:tcW w:w="9945" w:type="dxa"/>
            <w:tcBorders/>
            <w:vAlign w:val="center"/>
          </w:tcPr>
          <w:p>
            <w:pPr>
              <w:pStyle w:val="TableContents"/>
              <w:bidi w:val="0"/>
              <w:spacing w:before="0" w:after="283"/>
              <w:jc w:val="left"/>
              <w:rPr/>
            </w:pPr>
            <w:r>
              <w:rPr/>
              <w:t>In connection with our 2025 Annual Meeting of Stockholders, held January 27, 2026, each of Mr. Nichol, Ms. Pellizzari, Mr. Raab and Ms. Simantov received an Annual Grant on January 27, 2026, which is not reflected in the table above.</w:t>
            </w:r>
          </w:p>
        </w:tc>
      </w:tr>
    </w:tbl>
    <w:p>
      <w:pPr>
        <w:pStyle w:val="TextBody"/>
        <w:bidi w:val="0"/>
        <w:spacing w:before="0" w:after="283"/>
        <w:jc w:val="left"/>
        <w:rPr/>
      </w:pPr>
      <w:r>
        <w:rPr/>
        <w:t> </w:t>
      </w:r>
    </w:p>
    <w:tbl>
      <w:tblPr>
        <w:tblW w:w="6400" w:type="dxa"/>
        <w:jc w:val="left"/>
        <w:tblInd w:w="0" w:type="dxa"/>
        <w:tblLayout w:type="fixed"/>
        <w:tblCellMar>
          <w:top w:w="0" w:type="dxa"/>
          <w:left w:w="0" w:type="dxa"/>
          <w:bottom w:w="0" w:type="dxa"/>
          <w:right w:w="0" w:type="dxa"/>
        </w:tblCellMar>
      </w:tblPr>
      <w:tblGrid>
        <w:gridCol w:w="305"/>
        <w:gridCol w:w="6095"/>
      </w:tblGrid>
      <w:tr>
        <w:trPr/>
        <w:tc>
          <w:tcPr>
            <w:tcW w:w="305" w:type="dxa"/>
            <w:tcBorders/>
            <w:vAlign w:val="center"/>
          </w:tcPr>
          <w:p>
            <w:pPr>
              <w:pStyle w:val="TableContents"/>
              <w:bidi w:val="0"/>
              <w:spacing w:before="0" w:after="283"/>
              <w:jc w:val="left"/>
              <w:rPr/>
            </w:pPr>
            <w:r>
              <w:rPr/>
              <w:t>(3)</w:t>
            </w:r>
          </w:p>
        </w:tc>
        <w:tc>
          <w:tcPr>
            <w:tcW w:w="6095" w:type="dxa"/>
            <w:tcBorders/>
            <w:vAlign w:val="center"/>
          </w:tcPr>
          <w:p>
            <w:pPr>
              <w:pStyle w:val="TableContents"/>
              <w:bidi w:val="0"/>
              <w:spacing w:before="0" w:after="283"/>
              <w:jc w:val="both"/>
              <w:rPr/>
            </w:pPr>
            <w:r>
              <w:rPr/>
              <w:t>Mr. Nichol resigned from our Board effective February 3,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 xml:space="preserve">EQUITY COMPENSATION PLAN INFORMATION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4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equity compensation plan information as of December 31, 2025.</w:t>
      </w:r>
    </w:p>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249"/>
        <w:gridCol w:w="60"/>
        <w:gridCol w:w="110"/>
        <w:gridCol w:w="1480"/>
        <w:gridCol w:w="60"/>
        <w:gridCol w:w="60"/>
        <w:gridCol w:w="167"/>
        <w:gridCol w:w="1899"/>
        <w:gridCol w:w="60"/>
        <w:gridCol w:w="60"/>
        <w:gridCol w:w="196"/>
        <w:gridCol w:w="2645"/>
        <w:gridCol w:w="159"/>
      </w:tblGrid>
      <w:tr>
        <w:trPr/>
        <w:tc>
          <w:tcPr>
            <w:tcW w:w="3249" w:type="dxa"/>
            <w:tcBorders>
              <w:bottom w:val="single" w:sz="12" w:space="0" w:color="000000"/>
            </w:tcBorders>
            <w:vAlign w:val="center"/>
          </w:tcPr>
          <w:p>
            <w:pPr>
              <w:pStyle w:val="TableContents"/>
              <w:bidi w:val="0"/>
              <w:spacing w:before="0" w:after="283"/>
              <w:jc w:val="left"/>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1590"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securities</w:t>
              <w:br/>
              <w:t xml:space="preserve">to be issued upon </w:t>
              <w:br/>
              <w:t>exercise of</w:t>
              <w:br/>
              <w:t>outstanding options,</w:t>
              <w:br/>
              <w:t>warrants and rights</w:t>
              <w:br/>
              <w:t>(a)(#)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66" w:type="dxa"/>
            <w:gridSpan w:val="2"/>
            <w:tcBorders>
              <w:bottom w:val="single" w:sz="12" w:space="0" w:color="000000"/>
            </w:tcBorders>
            <w:vAlign w:val="center"/>
          </w:tcPr>
          <w:p>
            <w:pPr>
              <w:pStyle w:val="TableContents"/>
              <w:bidi w:val="0"/>
              <w:spacing w:before="0" w:after="283"/>
              <w:jc w:val="center"/>
              <w:rPr>
                <w:b/>
              </w:rPr>
            </w:pPr>
            <w:r>
              <w:rPr>
                <w:b/>
              </w:rPr>
              <w:t>Weighted-average</w:t>
              <w:br/>
              <w:t>exercise price</w:t>
              <w:br/>
              <w:t>of outstanding options,</w:t>
              <w:br/>
              <w:t>warrants and</w:t>
              <w:br/>
              <w:t xml:space="preserve">rights (b)($) </w:t>
            </w:r>
            <w:r>
              <w:rPr>
                <w:b/>
                <w:position w:val="8"/>
                <w:sz w:val="19"/>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41" w:type="dxa"/>
            <w:gridSpan w:val="2"/>
            <w:tcBorders>
              <w:bottom w:val="single" w:sz="12" w:space="0" w:color="000000"/>
            </w:tcBorders>
            <w:vAlign w:val="center"/>
          </w:tcPr>
          <w:p>
            <w:pPr>
              <w:pStyle w:val="TableContents"/>
              <w:bidi w:val="0"/>
              <w:spacing w:before="0" w:after="283"/>
              <w:jc w:val="center"/>
              <w:rPr>
                <w:b/>
              </w:rPr>
            </w:pPr>
            <w:r>
              <w:rPr>
                <w:b/>
              </w:rPr>
              <w:t>Number of securities</w:t>
              <w:br/>
              <w:t xml:space="preserve">remaining available for issuance under equity </w:t>
              <w:br/>
              <w:t xml:space="preserve">compensation plans (excluding </w:t>
              <w:br/>
              <w:t>securities reflected in</w:t>
              <w:br/>
              <w:t>column (a))</w:t>
              <w:br/>
              <w:t>(c)(#)</w:t>
            </w:r>
          </w:p>
        </w:tc>
        <w:tc>
          <w:tcPr>
            <w:tcW w:w="159" w:type="dxa"/>
            <w:tcBorders/>
            <w:tcMar>
              <w:bottom w:w="0" w:type="dxa"/>
            </w:tcMar>
            <w:vAlign w:val="center"/>
          </w:tcPr>
          <w:p>
            <w:pPr>
              <w:pStyle w:val="TableContents"/>
              <w:bidi w:val="0"/>
              <w:spacing w:before="0" w:after="283"/>
              <w:jc w:val="left"/>
              <w:rPr/>
            </w:pPr>
            <w:r>
              <w:rPr/>
              <w:t> </w:t>
            </w:r>
          </w:p>
        </w:tc>
      </w:tr>
      <w:tr>
        <w:trPr/>
        <w:tc>
          <w:tcPr>
            <w:tcW w:w="3249" w:type="dxa"/>
            <w:tcBorders/>
            <w:tcMar>
              <w:bottom w:w="0" w:type="dxa"/>
            </w:tcMar>
            <w:vAlign w:val="center"/>
          </w:tcPr>
          <w:p>
            <w:pPr>
              <w:pStyle w:val="TableContents"/>
              <w:bidi w:val="0"/>
              <w:spacing w:before="0" w:after="283"/>
              <w:jc w:val="left"/>
              <w:rPr/>
            </w:pPr>
            <w:r>
              <w:rPr/>
              <w:t>Equity compensation plans approved by security holders</w:t>
            </w:r>
          </w:p>
        </w:tc>
        <w:tc>
          <w:tcPr>
            <w:tcW w:w="60" w:type="dxa"/>
            <w:tcBorders/>
            <w:tcMar>
              <w:bottom w:w="0" w:type="dxa"/>
            </w:tcMar>
            <w:vAlign w:val="center"/>
          </w:tcPr>
          <w:p>
            <w:pPr>
              <w:pStyle w:val="TableContents"/>
              <w:bidi w:val="0"/>
              <w:spacing w:before="0" w:after="283"/>
              <w:jc w:val="left"/>
              <w:rPr/>
            </w:pPr>
            <w:r>
              <w:rPr/>
              <w:t> </w:t>
            </w:r>
          </w:p>
        </w:tc>
        <w:tc>
          <w:tcPr>
            <w:tcW w:w="159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66"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41" w:type="dxa"/>
            <w:gridSpan w:val="2"/>
            <w:tcBorders/>
            <w:tcMar>
              <w:bottom w:w="0" w:type="dxa"/>
            </w:tcMar>
            <w:vAlign w:val="center"/>
          </w:tcPr>
          <w:p>
            <w:pPr>
              <w:pStyle w:val="TableContents"/>
              <w:bidi w:val="0"/>
              <w:spacing w:before="0" w:after="283"/>
              <w:jc w:val="left"/>
              <w:rPr/>
            </w:pPr>
            <w:r>
              <w:rPr/>
              <w:t> </w:t>
            </w:r>
          </w:p>
        </w:tc>
        <w:tc>
          <w:tcPr>
            <w:tcW w:w="159" w:type="dxa"/>
            <w:tcBorders/>
            <w:tcMar>
              <w:bottom w:w="0" w:type="dxa"/>
            </w:tcMar>
            <w:vAlign w:val="center"/>
          </w:tcPr>
          <w:p>
            <w:pPr>
              <w:pStyle w:val="TableContents"/>
              <w:bidi w:val="0"/>
              <w:spacing w:before="0" w:after="283"/>
              <w:ind w:left="0" w:right="0" w:hanging="180"/>
              <w:jc w:val="left"/>
              <w:rPr/>
            </w:pPr>
            <w:r>
              <w:rPr/>
              <w:t> </w:t>
            </w:r>
          </w:p>
        </w:tc>
      </w:tr>
      <w:tr>
        <w:trPr/>
        <w:tc>
          <w:tcPr>
            <w:tcW w:w="3249" w:type="dxa"/>
            <w:tcBorders/>
            <w:shd w:fill="CCEEFF" w:val="clear"/>
            <w:tcMar>
              <w:bottom w:w="0" w:type="dxa"/>
            </w:tcMar>
            <w:vAlign w:val="center"/>
          </w:tcPr>
          <w:p>
            <w:pPr>
              <w:pStyle w:val="TableContents"/>
              <w:bidi w:val="0"/>
              <w:spacing w:before="0" w:after="283"/>
              <w:jc w:val="left"/>
              <w:rPr/>
            </w:pPr>
            <w:r>
              <w:rPr/>
              <w:t>2017 EIP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480" w:type="dxa"/>
            <w:tcBorders/>
            <w:shd w:fill="CCEEFF" w:val="clear"/>
            <w:tcMar>
              <w:bottom w:w="0" w:type="dxa"/>
            </w:tcMar>
            <w:vAlign w:val="center"/>
          </w:tcPr>
          <w:p>
            <w:pPr>
              <w:pStyle w:val="TableContents"/>
              <w:bidi w:val="0"/>
              <w:spacing w:before="0" w:after="283"/>
              <w:jc w:val="right"/>
              <w:rPr/>
            </w:pPr>
            <w:r>
              <w:rPr/>
              <w:t>37,859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899" w:type="dxa"/>
            <w:tcBorders/>
            <w:shd w:fill="CCEEFF" w:val="clear"/>
            <w:tcMar>
              <w:bottom w:w="0" w:type="dxa"/>
            </w:tcMar>
            <w:vAlign w:val="center"/>
          </w:tcPr>
          <w:p>
            <w:pPr>
              <w:pStyle w:val="TableContents"/>
              <w:bidi w:val="0"/>
              <w:spacing w:before="0" w:after="283"/>
              <w:jc w:val="right"/>
              <w:rPr/>
            </w:pPr>
            <w:r>
              <w:rPr/>
              <w:t>140.67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2645"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249" w:type="dxa"/>
            <w:tcBorders/>
            <w:shd w:fill="FFFFFF" w:val="clear"/>
            <w:tcMar>
              <w:bottom w:w="0" w:type="dxa"/>
            </w:tcMar>
            <w:vAlign w:val="center"/>
          </w:tcPr>
          <w:p>
            <w:pPr>
              <w:pStyle w:val="TableContents"/>
              <w:bidi w:val="0"/>
              <w:spacing w:before="0" w:after="283"/>
              <w:jc w:val="left"/>
              <w:rPr/>
            </w:pPr>
            <w:r>
              <w:rPr/>
              <w:t>2019 EIP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480" w:type="dxa"/>
            <w:tcBorders/>
            <w:shd w:fill="FFFFFF" w:val="clear"/>
            <w:tcMar>
              <w:bottom w:w="0" w:type="dxa"/>
            </w:tcMar>
            <w:vAlign w:val="center"/>
          </w:tcPr>
          <w:p>
            <w:pPr>
              <w:pStyle w:val="TableContents"/>
              <w:bidi w:val="0"/>
              <w:spacing w:before="0" w:after="283"/>
              <w:jc w:val="right"/>
              <w:rPr/>
            </w:pPr>
            <w:r>
              <w:rPr/>
              <w:t>85,867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899" w:type="dxa"/>
            <w:tcBorders/>
            <w:shd w:fill="FFFFFF" w:val="clear"/>
            <w:tcMar>
              <w:bottom w:w="0" w:type="dxa"/>
            </w:tcMar>
            <w:vAlign w:val="center"/>
          </w:tcPr>
          <w:p>
            <w:pPr>
              <w:pStyle w:val="TableContents"/>
              <w:bidi w:val="0"/>
              <w:spacing w:before="0" w:after="283"/>
              <w:jc w:val="right"/>
              <w:rPr/>
            </w:pPr>
            <w:r>
              <w:rPr/>
              <w:t>33.53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2645" w:type="dxa"/>
            <w:tcBorders/>
            <w:shd w:fill="FFFFFF" w:val="clear"/>
            <w:tcMar>
              <w:bottom w:w="0" w:type="dxa"/>
            </w:tcMar>
            <w:vAlign w:val="center"/>
          </w:tcPr>
          <w:p>
            <w:pPr>
              <w:pStyle w:val="TableContents"/>
              <w:bidi w:val="0"/>
              <w:spacing w:before="0" w:after="283"/>
              <w:jc w:val="right"/>
              <w:rPr/>
            </w:pPr>
            <w:r>
              <w:rPr/>
              <w:t>-</w:t>
            </w:r>
          </w:p>
        </w:tc>
        <w:tc>
          <w:tcPr>
            <w:tcW w:w="15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249" w:type="dxa"/>
            <w:tcBorders/>
            <w:shd w:fill="CCEEFF" w:val="clear"/>
            <w:tcMar>
              <w:bottom w:w="0" w:type="dxa"/>
            </w:tcMar>
            <w:vAlign w:val="center"/>
          </w:tcPr>
          <w:p>
            <w:pPr>
              <w:pStyle w:val="TableContents"/>
              <w:bidi w:val="0"/>
              <w:spacing w:before="0" w:after="283"/>
              <w:jc w:val="left"/>
              <w:rPr/>
            </w:pPr>
            <w:r>
              <w:rPr/>
              <w:t>2019 Employee Stock Purchase Plan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4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8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2645" w:type="dxa"/>
            <w:tcBorders/>
            <w:shd w:fill="CCEEFF" w:val="clear"/>
            <w:tcMar>
              <w:bottom w:w="0" w:type="dxa"/>
            </w:tcMar>
            <w:vAlign w:val="center"/>
          </w:tcPr>
          <w:p>
            <w:pPr>
              <w:pStyle w:val="TableContents"/>
              <w:bidi w:val="0"/>
              <w:spacing w:before="0" w:after="283"/>
              <w:jc w:val="right"/>
              <w:rPr/>
            </w:pPr>
            <w:r>
              <w:rPr/>
              <w:t>68,608</w:t>
            </w:r>
          </w:p>
        </w:tc>
        <w:tc>
          <w:tcPr>
            <w:tcW w:w="159" w:type="dxa"/>
            <w:tcBorders/>
            <w:shd w:fill="CCEEFF" w:val="clear"/>
            <w:tcMar>
              <w:bottom w:w="0" w:type="dxa"/>
            </w:tcMar>
            <w:vAlign w:val="center"/>
          </w:tcPr>
          <w:p>
            <w:pPr>
              <w:pStyle w:val="TableContents"/>
              <w:bidi w:val="0"/>
              <w:spacing w:before="0" w:after="283"/>
              <w:ind w:left="0" w:right="0" w:hanging="180"/>
              <w:jc w:val="left"/>
              <w:rPr>
                <w:position w:val="8"/>
                <w:sz w:val="19"/>
              </w:rPr>
            </w:pPr>
            <w:r>
              <w:rPr>
                <w:position w:val="8"/>
                <w:sz w:val="19"/>
              </w:rPr>
              <w:t>(2)</w:t>
            </w:r>
          </w:p>
        </w:tc>
      </w:tr>
      <w:tr>
        <w:trPr/>
        <w:tc>
          <w:tcPr>
            <w:tcW w:w="3249" w:type="dxa"/>
            <w:tcBorders/>
            <w:shd w:fill="FFFFFF" w:val="clear"/>
            <w:tcMar>
              <w:bottom w:w="0" w:type="dxa"/>
            </w:tcMar>
            <w:vAlign w:val="center"/>
          </w:tcPr>
          <w:p>
            <w:pPr>
              <w:pStyle w:val="TableContents"/>
              <w:bidi w:val="0"/>
              <w:spacing w:before="0" w:after="283"/>
              <w:jc w:val="left"/>
              <w:rPr/>
            </w:pPr>
            <w:r>
              <w:rPr/>
              <w:t>2023 EIP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480" w:type="dxa"/>
            <w:tcBorders/>
            <w:shd w:fill="FFFFFF" w:val="clear"/>
            <w:tcMar>
              <w:bottom w:w="0" w:type="dxa"/>
            </w:tcMar>
            <w:vAlign w:val="center"/>
          </w:tcPr>
          <w:p>
            <w:pPr>
              <w:pStyle w:val="TableContents"/>
              <w:bidi w:val="0"/>
              <w:spacing w:before="0" w:after="283"/>
              <w:jc w:val="right"/>
              <w:rPr/>
            </w:pPr>
            <w:r>
              <w:rPr/>
              <w:t>304,568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899" w:type="dxa"/>
            <w:tcBorders/>
            <w:shd w:fill="FFFFFF" w:val="clear"/>
            <w:tcMar>
              <w:bottom w:w="0" w:type="dxa"/>
            </w:tcMar>
            <w:vAlign w:val="center"/>
          </w:tcPr>
          <w:p>
            <w:pPr>
              <w:pStyle w:val="TableContents"/>
              <w:bidi w:val="0"/>
              <w:spacing w:before="0" w:after="283"/>
              <w:jc w:val="right"/>
              <w:rPr/>
            </w:pPr>
            <w:r>
              <w:rPr/>
              <w:t>64.71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2645" w:type="dxa"/>
            <w:tcBorders/>
            <w:shd w:fill="FFFFFF" w:val="clear"/>
            <w:tcMar>
              <w:bottom w:w="0" w:type="dxa"/>
            </w:tcMar>
            <w:vAlign w:val="center"/>
          </w:tcPr>
          <w:p>
            <w:pPr>
              <w:pStyle w:val="TableContents"/>
              <w:bidi w:val="0"/>
              <w:spacing w:before="0" w:after="283"/>
              <w:jc w:val="right"/>
              <w:rPr/>
            </w:pPr>
            <w:r>
              <w:rPr/>
              <w:t>47,745</w:t>
            </w:r>
          </w:p>
        </w:tc>
        <w:tc>
          <w:tcPr>
            <w:tcW w:w="159" w:type="dxa"/>
            <w:tcBorders/>
            <w:shd w:fill="FFFFFF" w:val="clear"/>
            <w:tcMar>
              <w:bottom w:w="0" w:type="dxa"/>
            </w:tcMar>
            <w:vAlign w:val="center"/>
          </w:tcPr>
          <w:p>
            <w:pPr>
              <w:pStyle w:val="TableContents"/>
              <w:bidi w:val="0"/>
              <w:spacing w:before="0" w:after="283"/>
              <w:ind w:left="0" w:right="0" w:hanging="180"/>
              <w:jc w:val="left"/>
              <w:rPr>
                <w:position w:val="8"/>
                <w:sz w:val="19"/>
              </w:rPr>
            </w:pPr>
            <w:r>
              <w:rPr>
                <w:position w:val="8"/>
                <w:sz w:val="19"/>
              </w:rPr>
              <w:t>(3)</w:t>
            </w:r>
          </w:p>
        </w:tc>
      </w:tr>
      <w:tr>
        <w:trPr/>
        <w:tc>
          <w:tcPr>
            <w:tcW w:w="3249" w:type="dxa"/>
            <w:tcBorders/>
            <w:shd w:fill="CCEEFF" w:val="clear"/>
            <w:tcMar>
              <w:bottom w:w="0" w:type="dxa"/>
            </w:tcMar>
            <w:vAlign w:val="center"/>
          </w:tcPr>
          <w:p>
            <w:pPr>
              <w:pStyle w:val="TableContents"/>
              <w:bidi w:val="0"/>
              <w:spacing w:before="0" w:after="283"/>
              <w:jc w:val="left"/>
              <w:rPr/>
            </w:pPr>
            <w:r>
              <w:rPr/>
              <w:t>Equity compensation plans not approved by security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89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2645" w:type="dxa"/>
            <w:tcBorders/>
            <w:shd w:fill="CCEEFF" w:val="clear"/>
            <w:tcMar>
              <w:bottom w:w="0" w:type="dxa"/>
            </w:tcMar>
            <w:vAlign w:val="center"/>
          </w:tcPr>
          <w:p>
            <w:pPr>
              <w:pStyle w:val="TableContents"/>
              <w:bidi w:val="0"/>
              <w:spacing w:before="0" w:after="283"/>
              <w:jc w:val="right"/>
              <w:rPr/>
            </w:pPr>
            <w:r>
              <w:rPr/>
              <w:t> </w:t>
            </w:r>
          </w:p>
        </w:tc>
        <w:tc>
          <w:tcPr>
            <w:tcW w:w="15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249" w:type="dxa"/>
            <w:tcBorders/>
            <w:shd w:fill="FFFFFF" w:val="clear"/>
            <w:tcMar>
              <w:bottom w:w="0" w:type="dxa"/>
            </w:tcMar>
            <w:vAlign w:val="center"/>
          </w:tcPr>
          <w:p>
            <w:pPr>
              <w:pStyle w:val="TableContents"/>
              <w:bidi w:val="0"/>
              <w:spacing w:before="0" w:after="283"/>
              <w:jc w:val="left"/>
              <w:rPr/>
            </w:pPr>
            <w:r>
              <w:rPr/>
              <w:t>2023 Inducement Plan</w:t>
            </w:r>
            <w:r>
              <w:rPr>
                <w:position w:val="8"/>
                <w:sz w:val="19"/>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bottom w:val="single" w:sz="12" w:space="0" w:color="000000"/>
            </w:tcBorders>
            <w:shd w:fill="FFFFFF" w:val="clear"/>
            <w:vAlign w:val="center"/>
          </w:tcPr>
          <w:p>
            <w:pPr>
              <w:pStyle w:val="TableContents"/>
              <w:bidi w:val="0"/>
              <w:spacing w:before="0" w:after="283"/>
              <w:jc w:val="left"/>
              <w:rPr/>
            </w:pPr>
            <w:r>
              <w:rPr/>
              <w:t> </w:t>
            </w:r>
          </w:p>
        </w:tc>
        <w:tc>
          <w:tcPr>
            <w:tcW w:w="1480" w:type="dxa"/>
            <w:tcBorders>
              <w:bottom w:val="single" w:sz="12" w:space="0" w:color="000000"/>
            </w:tcBorders>
            <w:shd w:fill="FFFFFF" w:val="clear"/>
            <w:vAlign w:val="center"/>
          </w:tcPr>
          <w:p>
            <w:pPr>
              <w:pStyle w:val="TableContents"/>
              <w:bidi w:val="0"/>
              <w:spacing w:before="0" w:after="283"/>
              <w:jc w:val="right"/>
              <w:rPr/>
            </w:pPr>
            <w:r>
              <w:rPr/>
              <w:t>20,841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FFFFFF" w:val="clear"/>
            <w:vAlign w:val="center"/>
          </w:tcPr>
          <w:p>
            <w:pPr>
              <w:pStyle w:val="TableContents"/>
              <w:bidi w:val="0"/>
              <w:spacing w:before="0" w:after="283"/>
              <w:jc w:val="left"/>
              <w:rPr/>
            </w:pPr>
            <w:r>
              <w:rPr/>
              <w:t> </w:t>
            </w:r>
          </w:p>
        </w:tc>
        <w:tc>
          <w:tcPr>
            <w:tcW w:w="1899" w:type="dxa"/>
            <w:tcBorders>
              <w:bottom w:val="single" w:sz="12" w:space="0" w:color="000000"/>
            </w:tcBorders>
            <w:shd w:fill="FFFFFF" w:val="clear"/>
            <w:vAlign w:val="center"/>
          </w:tcPr>
          <w:p>
            <w:pPr>
              <w:pStyle w:val="TableContents"/>
              <w:bidi w:val="0"/>
              <w:spacing w:before="0" w:after="283"/>
              <w:jc w:val="right"/>
              <w:rPr/>
            </w:pPr>
            <w:r>
              <w:rPr/>
              <w:t>26.74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bottom w:val="single" w:sz="12" w:space="0" w:color="000000"/>
            </w:tcBorders>
            <w:shd w:fill="FFFFFF" w:val="clear"/>
            <w:vAlign w:val="center"/>
          </w:tcPr>
          <w:p>
            <w:pPr>
              <w:pStyle w:val="TableContents"/>
              <w:bidi w:val="0"/>
              <w:spacing w:before="0" w:after="283"/>
              <w:jc w:val="left"/>
              <w:rPr/>
            </w:pPr>
            <w:r>
              <w:rPr/>
              <w:t> </w:t>
            </w:r>
          </w:p>
        </w:tc>
        <w:tc>
          <w:tcPr>
            <w:tcW w:w="2645" w:type="dxa"/>
            <w:tcBorders>
              <w:bottom w:val="single" w:sz="12" w:space="0" w:color="000000"/>
            </w:tcBorders>
            <w:shd w:fill="FFFFFF" w:val="clear"/>
            <w:vAlign w:val="center"/>
          </w:tcPr>
          <w:p>
            <w:pPr>
              <w:pStyle w:val="TableContents"/>
              <w:bidi w:val="0"/>
              <w:spacing w:before="0" w:after="283"/>
              <w:jc w:val="right"/>
              <w:rPr/>
            </w:pPr>
            <w:r>
              <w:rPr/>
              <w:t>67,615</w:t>
            </w:r>
          </w:p>
        </w:tc>
        <w:tc>
          <w:tcPr>
            <w:tcW w:w="15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249"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double" w:sz="10" w:space="0" w:color="000000"/>
            </w:tcBorders>
            <w:shd w:fill="CCEEFF" w:val="clear"/>
            <w:vAlign w:val="center"/>
          </w:tcPr>
          <w:p>
            <w:pPr>
              <w:pStyle w:val="TableContents"/>
              <w:bidi w:val="0"/>
              <w:spacing w:before="0" w:after="283"/>
              <w:jc w:val="left"/>
              <w:rPr/>
            </w:pPr>
            <w:r>
              <w:rPr/>
              <w:t> </w:t>
            </w:r>
          </w:p>
        </w:tc>
        <w:tc>
          <w:tcPr>
            <w:tcW w:w="1480" w:type="dxa"/>
            <w:tcBorders>
              <w:bottom w:val="double" w:sz="10" w:space="0" w:color="000000"/>
            </w:tcBorders>
            <w:shd w:fill="CCEEFF" w:val="clear"/>
            <w:vAlign w:val="center"/>
          </w:tcPr>
          <w:p>
            <w:pPr>
              <w:pStyle w:val="TableContents"/>
              <w:bidi w:val="0"/>
              <w:spacing w:before="0" w:after="283"/>
              <w:jc w:val="right"/>
              <w:rPr/>
            </w:pPr>
            <w:r>
              <w:rPr/>
              <w:t>449,135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double" w:sz="10" w:space="0" w:color="000000"/>
            </w:tcBorders>
            <w:shd w:fill="CCEEFF" w:val="clear"/>
            <w:vAlign w:val="center"/>
          </w:tcPr>
          <w:p>
            <w:pPr>
              <w:pStyle w:val="TableContents"/>
              <w:bidi w:val="0"/>
              <w:spacing w:before="0" w:after="283"/>
              <w:jc w:val="left"/>
              <w:rPr/>
            </w:pPr>
            <w:r>
              <w:rPr/>
              <w:t> </w:t>
            </w:r>
          </w:p>
        </w:tc>
        <w:tc>
          <w:tcPr>
            <w:tcW w:w="1899" w:type="dxa"/>
            <w:tcBorders>
              <w:bottom w:val="double" w:sz="10"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bottom w:val="double" w:sz="10" w:space="0" w:color="000000"/>
            </w:tcBorders>
            <w:shd w:fill="CCEEFF" w:val="clear"/>
            <w:vAlign w:val="center"/>
          </w:tcPr>
          <w:p>
            <w:pPr>
              <w:pStyle w:val="TableContents"/>
              <w:bidi w:val="0"/>
              <w:spacing w:before="0" w:after="283"/>
              <w:jc w:val="left"/>
              <w:rPr/>
            </w:pPr>
            <w:r>
              <w:rPr/>
              <w:t> </w:t>
            </w:r>
          </w:p>
        </w:tc>
        <w:tc>
          <w:tcPr>
            <w:tcW w:w="2645" w:type="dxa"/>
            <w:tcBorders>
              <w:bottom w:val="double" w:sz="10" w:space="0" w:color="000000"/>
            </w:tcBorders>
            <w:shd w:fill="CCEEFF" w:val="clear"/>
            <w:vAlign w:val="center"/>
          </w:tcPr>
          <w:p>
            <w:pPr>
              <w:pStyle w:val="TableContents"/>
              <w:bidi w:val="0"/>
              <w:spacing w:before="0" w:after="283"/>
              <w:jc w:val="right"/>
              <w:rPr/>
            </w:pPr>
            <w:r>
              <w:rPr/>
              <w:t>183,968</w:t>
            </w:r>
          </w:p>
        </w:tc>
        <w:tc>
          <w:tcPr>
            <w:tcW w:w="15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(1)</w:t>
            </w:r>
          </w:p>
        </w:tc>
        <w:tc>
          <w:tcPr>
            <w:tcW w:w="9903" w:type="dxa"/>
            <w:tcBorders/>
            <w:vAlign w:val="center"/>
          </w:tcPr>
          <w:p>
            <w:pPr>
              <w:pStyle w:val="TableContents"/>
              <w:bidi w:val="0"/>
              <w:spacing w:before="0" w:after="283"/>
              <w:jc w:val="left"/>
              <w:rPr/>
            </w:pPr>
            <w:r>
              <w:rPr/>
              <w:t>The weighted-average exercise price excludes any outstanding RSU awards, which have no exercise price.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283"/>
              <w:jc w:val="left"/>
              <w:rPr/>
            </w:pPr>
            <w:r>
              <w:rPr/>
              <w:t>Our 2019 ESPP provides that the total number of shares reserved for issuance thereunder will automatically increase on January 1 of each year beginning on January 1, 2023, and continuing through (and including) January 1, 2029, by the lesser of (a) 1.5% of the total number of shares of common stock outstanding on December 31st of the preceding calendar year, (b) 38,461 shares of our common stock, or (c) a lesser number determined by our Board prior to the applicable January 1st. Accordingly, on January 1, 2026, the number of shares of common stock available for issuance under our 2019 ESPP increased by 38,461 shares. This increase is not reflected in the table above.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(3)</w:t>
            </w:r>
          </w:p>
        </w:tc>
        <w:tc>
          <w:tcPr>
            <w:tcW w:w="9969" w:type="dxa"/>
            <w:tcBorders/>
            <w:vAlign w:val="center"/>
          </w:tcPr>
          <w:p>
            <w:pPr>
              <w:pStyle w:val="TableContents"/>
              <w:bidi w:val="0"/>
              <w:spacing w:before="0" w:after="283"/>
              <w:jc w:val="left"/>
              <w:rPr/>
            </w:pPr>
            <w:r>
              <w:rPr/>
              <w:t>The 2023 EIP provides that the total number of shares of our common stock reserved for issuance thereunder will automatically increase on January 1st of each calendar year for a period of up to 10 years, beginning on January 1, 2024, and ending on (and including) January 1, 2033, in an amount equal to (i) 4% of the total number of shares of common stock outstanding on December 31st of the preceding calendar year, or (ii) a lesser number of shares determined by our Board prior to January 1st of a given fiscal year. Accordingly, on January 1, 2026, the number of shares of common stock available for issuance under our 2023 EIP increased by 197,086 shares (the “</w:t>
            </w:r>
            <w:r>
              <w:rPr>
                <w:b/>
                <w:i/>
              </w:rPr>
              <w:t>Annual Increase</w:t>
            </w:r>
            <w:r>
              <w:rPr/>
              <w:t>”). In addition, on January 27, 2026, our stockholders approved Amendment No. 1 to the 2023 EIP to increase the number of shares of our common stock issuable under such plan by 1,410,000 shares (“</w:t>
            </w:r>
            <w:r>
              <w:rPr>
                <w:b/>
                <w:i/>
              </w:rPr>
              <w:t>Amendment Increase</w:t>
            </w:r>
            <w:r>
              <w:rPr/>
              <w:t>”). Neither of the Annual Increase or the Amendment Increase is reflected in the table above.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(4)</w:t>
            </w:r>
          </w:p>
        </w:tc>
        <w:tc>
          <w:tcPr>
            <w:tcW w:w="9955" w:type="dxa"/>
            <w:tcBorders/>
            <w:vAlign w:val="center"/>
          </w:tcPr>
          <w:p>
            <w:pPr>
              <w:pStyle w:val="TableContents"/>
              <w:bidi w:val="0"/>
              <w:spacing w:before="0" w:after="283"/>
              <w:jc w:val="left"/>
              <w:rPr/>
            </w:pPr>
            <w:r>
              <w:rPr/>
              <w:t>Consists of shares underlying options granted to employees as inducement awards material to the grantees entering into employment with us pursuant to Nasdaq Rule 5635(c)(4). Does not reflect 969 shares of common stock granted pursuant to inducement grants made outside of the 2023 Inducement Plan at a weighted average exercise-price of $28.34.</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 xml:space="preserve">SECURITY OWNERSHIP OF CERTAIN BENEFICIAL OWNERS AND MANAGEMENT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beneficial ownership of our common stock as of September 30, 2026, the most recent practicable date for computing beneficial ownership, by:</w:t>
      </w:r>
    </w:p>
    <w:p>
      <w:pPr>
        <w:pStyle w:val="TextBody"/>
        <w:bidi w:val="0"/>
        <w:spacing w:before="0" w:after="0"/>
        <w:ind w:left="0" w:right="0" w:firstLine="360"/>
        <w:jc w:val="left"/>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170"/>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55" w:type="dxa"/>
            <w:tcBorders/>
            <w:vAlign w:val="center"/>
          </w:tcPr>
          <w:p>
            <w:pPr>
              <w:pStyle w:val="TableContents"/>
              <w:bidi w:val="0"/>
              <w:spacing w:before="0" w:after="283"/>
              <w:jc w:val="left"/>
              <w:rPr>
                <w:sz w:val="20"/>
              </w:rPr>
            </w:pPr>
            <w:r>
              <w:rPr>
                <w:sz w:val="20"/>
              </w:rPr>
              <w:t>each of our Named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3798" w:type="dxa"/>
        <w:jc w:val="left"/>
        <w:tblInd w:w="0" w:type="dxa"/>
        <w:tblLayout w:type="fixed"/>
        <w:tblCellMar>
          <w:top w:w="0" w:type="dxa"/>
          <w:left w:w="0" w:type="dxa"/>
          <w:bottom w:w="0" w:type="dxa"/>
          <w:right w:w="0" w:type="dxa"/>
        </w:tblCellMar>
      </w:tblPr>
      <w:tblGrid>
        <w:gridCol w:w="38"/>
        <w:gridCol w:w="17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left"/>
              <w:rPr>
                <w:sz w:val="20"/>
              </w:rPr>
            </w:pPr>
            <w:r>
              <w:rPr>
                <w:sz w:val="20"/>
              </w:rPr>
              <w:t>each of our directors and director nominees;</w:t>
            </w:r>
          </w:p>
        </w:tc>
      </w:tr>
    </w:tbl>
    <w:p>
      <w:pPr>
        <w:pStyle w:val="TextBody"/>
        <w:bidi w:val="0"/>
        <w:spacing w:before="0" w:after="0"/>
        <w:ind w:left="0" w:right="0" w:hanging="0"/>
        <w:jc w:val="left"/>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38"/>
        <w:gridCol w:w="17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left"/>
              <w:rPr>
                <w:sz w:val="20"/>
              </w:rPr>
            </w:pPr>
            <w:r>
              <w:rPr>
                <w:sz w:val="20"/>
              </w:rPr>
              <w:t>each person, or group of affiliated persons, known by us to beneficially own more than 5% of our common stock; and</w:t>
            </w:r>
          </w:p>
        </w:tc>
      </w:tr>
    </w:tbl>
    <w:p>
      <w:pPr>
        <w:pStyle w:val="TextBody"/>
        <w:bidi w:val="0"/>
        <w:spacing w:before="0" w:after="0"/>
        <w:ind w:left="0" w:right="0" w:hanging="0"/>
        <w:jc w:val="left"/>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38"/>
        <w:gridCol w:w="17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283"/>
              <w:jc w:val="both"/>
              <w:rPr/>
            </w:pPr>
            <w:r>
              <w:rPr/>
              <w:t>all of our directors and executive officers as a group.</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the rules of the SEC. These rules generally attribute beneficial ownership of securities to persons who possess sole or shared voting or investment power with respect to those securities. Unless otherwise indicated, the persons or entities identified in this table have sole voting and investment power with respect to all shares shown as beneficially owned by them, subject to applicable community property laws.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percentage ownership is based on 16,889,781 shares of our common stock issued and outstanding as of September 30, 2026. The number of shares of common stock used to calculate the percentage ownership of each listed person includes the shares of common stock underlying options and warrants held by such persons that are currently exercisable or convertible or will be exercisable or convertible within 60 days of September 30, 2026. However, we did not deem these shares outstanding for the purpose of computing the percentage ownership of any other person.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85"/>
        <w:gridCol w:w="60"/>
        <w:gridCol w:w="67"/>
        <w:gridCol w:w="1109"/>
        <w:gridCol w:w="60"/>
        <w:gridCol w:w="60"/>
        <w:gridCol w:w="123"/>
        <w:gridCol w:w="909"/>
        <w:gridCol w:w="232"/>
      </w:tblGrid>
      <w:tr>
        <w:trPr/>
        <w:tc>
          <w:tcPr>
            <w:tcW w:w="7585" w:type="dxa"/>
            <w:tcBorders>
              <w:bottom w:val="single" w:sz="12" w:space="0" w:color="000000"/>
            </w:tcBorders>
            <w:vAlign w:val="center"/>
          </w:tcPr>
          <w:p>
            <w:pPr>
              <w:pStyle w:val="TableContents"/>
              <w:bidi w:val="0"/>
              <w:spacing w:before="0" w:after="283"/>
              <w:jc w:val="left"/>
              <w:rPr>
                <w:b/>
              </w:rPr>
            </w:pPr>
            <w:r>
              <w:rPr>
                <w:b/>
              </w:rPr>
              <w:t>Name of Beneficial Owner(1)</w:t>
            </w:r>
          </w:p>
        </w:tc>
        <w:tc>
          <w:tcPr>
            <w:tcW w:w="60" w:type="dxa"/>
            <w:tcBorders/>
            <w:tcMar>
              <w:bottom w:w="0" w:type="dxa"/>
            </w:tcMar>
            <w:vAlign w:val="center"/>
          </w:tcPr>
          <w:p>
            <w:pPr>
              <w:pStyle w:val="TableContents"/>
              <w:bidi w:val="0"/>
              <w:spacing w:before="0" w:after="283"/>
              <w:jc w:val="left"/>
              <w:rPr/>
            </w:pPr>
            <w:r>
              <w:rPr/>
              <w:t> </w:t>
            </w:r>
          </w:p>
        </w:tc>
        <w:tc>
          <w:tcPr>
            <w:tcW w:w="1176"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2" w:type="dxa"/>
            <w:gridSpan w:val="2"/>
            <w:tcBorders>
              <w:bottom w:val="single" w:sz="12" w:space="0" w:color="000000"/>
            </w:tcBorders>
            <w:vAlign w:val="center"/>
          </w:tcPr>
          <w:p>
            <w:pPr>
              <w:pStyle w:val="TableContents"/>
              <w:bidi w:val="0"/>
              <w:spacing w:before="0" w:after="283"/>
              <w:jc w:val="center"/>
              <w:rPr>
                <w:b/>
              </w:rPr>
            </w:pPr>
            <w:r>
              <w:rPr>
                <w:b/>
              </w:rPr>
              <w:t>Percent of</w:t>
              <w:br/>
              <w:t>Total</w:t>
            </w:r>
          </w:p>
        </w:tc>
        <w:tc>
          <w:tcPr>
            <w:tcW w:w="232" w:type="dxa"/>
            <w:tcBorders/>
            <w:tcMar>
              <w:bottom w:w="0" w:type="dxa"/>
            </w:tcMar>
            <w:vAlign w:val="center"/>
          </w:tcPr>
          <w:p>
            <w:pPr>
              <w:pStyle w:val="TableContents"/>
              <w:bidi w:val="0"/>
              <w:spacing w:before="0" w:after="283"/>
              <w:jc w:val="left"/>
              <w:rPr/>
            </w:pPr>
            <w:r>
              <w:rPr/>
              <w:t> </w:t>
            </w:r>
          </w:p>
        </w:tc>
      </w:tr>
      <w:tr>
        <w:trPr/>
        <w:tc>
          <w:tcPr>
            <w:tcW w:w="7585" w:type="dxa"/>
            <w:tcBorders/>
            <w:tcMar>
              <w:bottom w:w="0" w:type="dxa"/>
            </w:tcMar>
            <w:vAlign w:val="center"/>
          </w:tcPr>
          <w:p>
            <w:pPr>
              <w:pStyle w:val="TableContents"/>
              <w:bidi w:val="0"/>
              <w:spacing w:before="0" w:after="283"/>
              <w:jc w:val="left"/>
              <w:rPr>
                <w:b/>
                <w:i/>
              </w:rPr>
            </w:pPr>
            <w:r>
              <w:rPr>
                <w:b/>
                <w:i/>
              </w:rPr>
              <w:t>Stockholders owning greater than 5%:</w:t>
            </w:r>
          </w:p>
        </w:tc>
        <w:tc>
          <w:tcPr>
            <w:tcW w:w="60" w:type="dxa"/>
            <w:tcBorders/>
            <w:tcMar>
              <w:bottom w:w="0" w:type="dxa"/>
            </w:tcMar>
            <w:vAlign w:val="center"/>
          </w:tcPr>
          <w:p>
            <w:pPr>
              <w:pStyle w:val="TableContents"/>
              <w:bidi w:val="0"/>
              <w:spacing w:before="0" w:after="283"/>
              <w:jc w:val="left"/>
              <w:rPr/>
            </w:pPr>
            <w:r>
              <w:rPr/>
              <w:t> </w:t>
            </w:r>
          </w:p>
        </w:tc>
        <w:tc>
          <w:tcPr>
            <w:tcW w:w="1176"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2" w:type="dxa"/>
            <w:gridSpan w:val="2"/>
            <w:tcBorders/>
            <w:tcMar>
              <w:bottom w:w="0" w:type="dxa"/>
            </w:tcMar>
            <w:vAlign w:val="center"/>
          </w:tcPr>
          <w:p>
            <w:pPr>
              <w:pStyle w:val="TableContents"/>
              <w:bidi w:val="0"/>
              <w:spacing w:before="0" w:after="283"/>
              <w:jc w:val="right"/>
              <w:rPr/>
            </w:pPr>
            <w:r>
              <w:rPr/>
              <w:t> </w:t>
            </w:r>
          </w:p>
        </w:tc>
        <w:tc>
          <w:tcPr>
            <w:tcW w:w="232" w:type="dxa"/>
            <w:tcBorders/>
            <w:tcMar>
              <w:bottom w:w="0" w:type="dxa"/>
            </w:tcMar>
            <w:vAlign w:val="center"/>
          </w:tcPr>
          <w:p>
            <w:pPr>
              <w:pStyle w:val="TableContents"/>
              <w:bidi w:val="0"/>
              <w:spacing w:before="0" w:after="283"/>
              <w:jc w:val="left"/>
              <w:rPr/>
            </w:pPr>
            <w:r>
              <w:rPr/>
              <w:t> </w:t>
            </w:r>
          </w:p>
        </w:tc>
      </w:tr>
      <w:tr>
        <w:trPr/>
        <w:tc>
          <w:tcPr>
            <w:tcW w:w="7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Lotus Capital BVI Limited</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right"/>
              <w:rPr/>
            </w:pPr>
            <w:r>
              <w:rPr/>
              <w:t>3,431,425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09" w:type="dxa"/>
            <w:tcBorders/>
            <w:shd w:fill="CCEEFF" w:val="clear"/>
            <w:tcMar>
              <w:bottom w:w="0" w:type="dxa"/>
            </w:tcMar>
            <w:vAlign w:val="center"/>
          </w:tcPr>
          <w:p>
            <w:pPr>
              <w:pStyle w:val="TableContents"/>
              <w:bidi w:val="0"/>
              <w:spacing w:before="0" w:after="283"/>
              <w:jc w:val="right"/>
              <w:rPr/>
            </w:pPr>
            <w:r>
              <w:rPr/>
              <w:t>20.3</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7585" w:type="dxa"/>
            <w:tcBorders/>
            <w:shd w:fill="FFFFFF" w:val="clear"/>
            <w:tcMar>
              <w:bottom w:w="0" w:type="dxa"/>
            </w:tcMar>
            <w:vAlign w:val="center"/>
          </w:tcPr>
          <w:p>
            <w:pPr>
              <w:pStyle w:val="TableContents"/>
              <w:bidi w:val="0"/>
              <w:spacing w:before="0" w:after="283"/>
              <w:jc w:val="left"/>
              <w:rPr>
                <w:b/>
                <w:i/>
              </w:rPr>
            </w:pPr>
            <w:r>
              <w:rPr>
                <w:b/>
                <w:i/>
              </w:rPr>
              <w:t>Directors, Named Executive Officers and Executive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1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09"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7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Matthew Angel</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right"/>
              <w:rPr/>
            </w:pPr>
            <w:r>
              <w:rPr/>
              <w:t>5,531,516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09" w:type="dxa"/>
            <w:tcBorders/>
            <w:shd w:fill="CCEEFF" w:val="clear"/>
            <w:tcMar>
              <w:bottom w:w="0" w:type="dxa"/>
            </w:tcMar>
            <w:vAlign w:val="center"/>
          </w:tcPr>
          <w:p>
            <w:pPr>
              <w:pStyle w:val="TableContents"/>
              <w:bidi w:val="0"/>
              <w:spacing w:before="0" w:after="283"/>
              <w:jc w:val="right"/>
              <w:rPr/>
            </w:pPr>
            <w:r>
              <w:rPr/>
              <w:t>31.5</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7585" w:type="dxa"/>
            <w:tcBorders/>
            <w:shd w:fill="FFFFFF" w:val="clear"/>
            <w:tcMar>
              <w:bottom w:w="0" w:type="dxa"/>
            </w:tcMar>
            <w:vAlign w:val="center"/>
          </w:tcPr>
          <w:p>
            <w:pPr>
              <w:pStyle w:val="TableContents"/>
              <w:bidi w:val="0"/>
              <w:spacing w:before="0" w:after="283"/>
              <w:jc w:val="left"/>
              <w:rPr/>
            </w:pPr>
            <w:r>
              <w:rPr/>
              <w:t>Constance Ames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1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09" w:type="dxa"/>
            <w:tcBorders/>
            <w:shd w:fill="FFFFFF" w:val="clear"/>
            <w:tcMar>
              <w:bottom w:w="0" w:type="dxa"/>
            </w:tcMar>
            <w:vAlign w:val="center"/>
          </w:tcPr>
          <w:p>
            <w:pPr>
              <w:pStyle w:val="TableContents"/>
              <w:bidi w:val="0"/>
              <w:spacing w:before="0" w:after="283"/>
              <w:jc w:val="right"/>
              <w:rPr/>
            </w:pPr>
            <w:r>
              <w:rPr/>
              <w:t>-</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7585" w:type="dxa"/>
            <w:tcBorders/>
            <w:shd w:fill="CCEEFF" w:val="clear"/>
            <w:tcMar>
              <w:bottom w:w="0" w:type="dxa"/>
            </w:tcMar>
            <w:vAlign w:val="center"/>
          </w:tcPr>
          <w:p>
            <w:pPr>
              <w:pStyle w:val="TableContents"/>
              <w:bidi w:val="0"/>
              <w:spacing w:before="0" w:after="283"/>
              <w:jc w:val="left"/>
              <w:rPr/>
            </w:pPr>
            <w:r>
              <w:rPr/>
              <w:t>Stephen Brady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09"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7585" w:type="dxa"/>
            <w:tcBorders/>
            <w:shd w:fill="FFFFFF" w:val="clear"/>
            <w:tcMar>
              <w:bottom w:w="0" w:type="dxa"/>
            </w:tcMar>
            <w:vAlign w:val="center"/>
          </w:tcPr>
          <w:p>
            <w:pPr>
              <w:pStyle w:val="TableContents"/>
              <w:bidi w:val="0"/>
              <w:spacing w:before="0" w:after="283"/>
              <w:jc w:val="left"/>
              <w:rPr/>
            </w:pPr>
            <w:r>
              <w:rPr/>
              <w:t>Samuel Whiting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1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09" w:type="dxa"/>
            <w:tcBorders/>
            <w:shd w:fill="FFFFFF" w:val="clear"/>
            <w:tcMar>
              <w:bottom w:w="0" w:type="dxa"/>
            </w:tcMar>
            <w:vAlign w:val="center"/>
          </w:tcPr>
          <w:p>
            <w:pPr>
              <w:pStyle w:val="TableContents"/>
              <w:bidi w:val="0"/>
              <w:spacing w:before="0" w:after="283"/>
              <w:jc w:val="right"/>
              <w:rPr/>
            </w:pPr>
            <w:r>
              <w:rPr/>
              <w:t>-</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7585" w:type="dxa"/>
            <w:tcBorders/>
            <w:shd w:fill="CCEEFF" w:val="clear"/>
            <w:tcMar>
              <w:bottom w:w="0" w:type="dxa"/>
            </w:tcMar>
            <w:vAlign w:val="center"/>
          </w:tcPr>
          <w:p>
            <w:pPr>
              <w:pStyle w:val="TableContents"/>
              <w:bidi w:val="0"/>
              <w:spacing w:before="0" w:after="283"/>
              <w:jc w:val="left"/>
              <w:rPr/>
            </w:pPr>
            <w:r>
              <w:rPr/>
              <w:t>Nicholas Maestas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09"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75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Drake Richey</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109" w:type="dxa"/>
            <w:tcBorders/>
            <w:shd w:fill="FFFFFF" w:val="clear"/>
            <w:tcMar>
              <w:bottom w:w="0" w:type="dxa"/>
            </w:tcMar>
            <w:vAlign w:val="center"/>
          </w:tcPr>
          <w:p>
            <w:pPr>
              <w:pStyle w:val="TableContents"/>
              <w:bidi w:val="0"/>
              <w:spacing w:before="0" w:after="283"/>
              <w:jc w:val="right"/>
              <w:rPr/>
            </w:pPr>
            <w:r>
              <w:rPr/>
              <w:t>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0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7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Nancy Freda-Smith</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09"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75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David Yee</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1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09" w:type="dxa"/>
            <w:tcBorders/>
            <w:shd w:fill="FFFFFF" w:val="clear"/>
            <w:tcMar>
              <w:bottom w:w="0" w:type="dxa"/>
            </w:tcMar>
            <w:vAlign w:val="center"/>
          </w:tcPr>
          <w:p>
            <w:pPr>
              <w:pStyle w:val="TableContents"/>
              <w:bidi w:val="0"/>
              <w:spacing w:before="0" w:after="283"/>
              <w:jc w:val="right"/>
              <w:rPr/>
            </w:pPr>
            <w:r>
              <w:rPr/>
              <w:t>-</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7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Frederick</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right"/>
              <w:rPr/>
            </w:pPr>
            <w:r>
              <w:rPr/>
              <w:t>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0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7585" w:type="dxa"/>
            <w:tcBorders/>
            <w:shd w:fill="FFFFFF" w:val="clear"/>
            <w:tcMar>
              <w:bottom w:w="0" w:type="dxa"/>
            </w:tcMar>
            <w:vAlign w:val="center"/>
          </w:tcPr>
          <w:p>
            <w:pPr>
              <w:pStyle w:val="TableContents"/>
              <w:bidi w:val="0"/>
              <w:spacing w:before="0" w:after="283"/>
              <w:jc w:val="left"/>
              <w:rPr>
                <w:b/>
                <w:i/>
              </w:rPr>
            </w:pPr>
            <w:r>
              <w:rPr>
                <w:b/>
                <w:i/>
              </w:rPr>
              <w:t>All executive officers, directors and named executive officers as a group (9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109" w:type="dxa"/>
            <w:tcBorders/>
            <w:shd w:fill="FFFFFF" w:val="clear"/>
            <w:tcMar>
              <w:bottom w:w="0" w:type="dxa"/>
            </w:tcMar>
            <w:vAlign w:val="center"/>
          </w:tcPr>
          <w:p>
            <w:pPr>
              <w:pStyle w:val="TableContents"/>
              <w:bidi w:val="0"/>
              <w:spacing w:before="0" w:after="283"/>
              <w:jc w:val="right"/>
              <w:rPr/>
            </w:pPr>
            <w:r>
              <w:rPr/>
              <w:t>5,541,516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09" w:type="dxa"/>
            <w:tcBorders/>
            <w:shd w:fill="FFFFFF" w:val="clear"/>
            <w:tcMar>
              <w:bottom w:w="0" w:type="dxa"/>
            </w:tcMar>
            <w:vAlign w:val="center"/>
          </w:tcPr>
          <w:p>
            <w:pPr>
              <w:pStyle w:val="TableContents"/>
              <w:bidi w:val="0"/>
              <w:spacing w:before="0" w:after="283"/>
              <w:jc w:val="right"/>
              <w:rPr/>
            </w:pPr>
            <w:r>
              <w:rPr/>
              <w:t>31.5</w:t>
            </w:r>
          </w:p>
        </w:tc>
        <w:tc>
          <w:tcPr>
            <w:tcW w:w="232"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155"/>
        <w:gridCol w:w="1370"/>
      </w:tblGrid>
      <w:tr>
        <w:trPr/>
        <w:tc>
          <w:tcPr>
            <w:tcW w:w="15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both"/>
              <w:rPr/>
            </w:pPr>
            <w:r>
              <w:rPr/>
              <w:t>Less than 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sz w:val="20"/>
              </w:rPr>
            </w:pPr>
            <w:r>
              <w:rPr>
                <w:sz w:val="20"/>
              </w:rPr>
              <w:t>(1)</w:t>
            </w:r>
          </w:p>
        </w:tc>
        <w:tc>
          <w:tcPr>
            <w:tcW w:w="9958" w:type="dxa"/>
            <w:tcBorders/>
            <w:vAlign w:val="center"/>
          </w:tcPr>
          <w:p>
            <w:pPr>
              <w:pStyle w:val="TableContents"/>
              <w:bidi w:val="0"/>
              <w:spacing w:before="0" w:after="283"/>
              <w:jc w:val="left"/>
              <w:rPr>
                <w:sz w:val="20"/>
              </w:rPr>
            </w:pPr>
            <w:r>
              <w:rPr>
                <w:sz w:val="20"/>
              </w:rPr>
              <w:t xml:space="preserve">The address for each director and executive officer is c/o Tempest Therapeutics, Inc., 2000 Sierra Point Parkway, Suite 400, Brisbane, California, 94005.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sz w:val="20"/>
              </w:rPr>
            </w:pPr>
            <w:r>
              <w:rPr>
                <w:sz w:val="20"/>
              </w:rPr>
              <w:t>(2)</w:t>
            </w:r>
          </w:p>
        </w:tc>
        <w:tc>
          <w:tcPr>
            <w:tcW w:w="9976" w:type="dxa"/>
            <w:tcBorders/>
            <w:vAlign w:val="center"/>
          </w:tcPr>
          <w:p>
            <w:pPr>
              <w:pStyle w:val="TableContents"/>
              <w:bidi w:val="0"/>
              <w:spacing w:before="0" w:after="283"/>
              <w:jc w:val="left"/>
              <w:rPr>
                <w:sz w:val="20"/>
              </w:rPr>
            </w:pPr>
            <w:r>
              <w:rPr>
                <w:sz w:val="20"/>
              </w:rPr>
              <w:t xml:space="preserve">Shares of common stock are held by Erigen LLC. Lotus Capital BVI Limited is the beneficial owner of such shares. The address of Lotus Capital BVI Limited is Mandar House, 3rd Floor Johnson’s Ghut, Tortola VG1110 British Virgin Islands.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sz w:val="20"/>
              </w:rPr>
            </w:pPr>
            <w:r>
              <w:rPr>
                <w:sz w:val="20"/>
              </w:rPr>
              <w:t>(3)</w:t>
            </w:r>
          </w:p>
        </w:tc>
        <w:tc>
          <w:tcPr>
            <w:tcW w:w="9995" w:type="dxa"/>
            <w:tcBorders/>
            <w:vAlign w:val="center"/>
          </w:tcPr>
          <w:p>
            <w:pPr>
              <w:pStyle w:val="TableContents"/>
              <w:bidi w:val="0"/>
              <w:spacing w:before="0" w:after="283"/>
              <w:jc w:val="left"/>
              <w:rPr>
                <w:sz w:val="20"/>
              </w:rPr>
            </w:pPr>
            <w:r>
              <w:rPr>
                <w:sz w:val="20"/>
              </w:rPr>
              <w:t>Includes (i) 4,837,070 shares of common stock held by Dr. Angel, (ii) 231,482 shares of common stock held by Factor, (iii) 231,482 shares of common stock issuable upon exercise of Series A Warrants issued to Factor in March 2026 with an exercise price of $2.16 per share, and (iv) 231,482 shares of common stock issuable upon exercise of Series B Warrants issued to Factor in March 2026 with an exercise price of $2.16 per share. Dr. Angel is the majority stockholder and Chairman of the Board of Directors of Factor and exercises voting and investment power over the shares held by Factor. The address of Factor is 1035 Cambridge St Ste 17B, Cambridge MA 02141.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2,000 shares of common stock held by Mr. Richey. Excludes 25,000 shares of common stock issuable upon exercise of stock options issued to Mr. Richey in June 2026 with an exercise price of $1.30 per share, which warrants are not currently exercisable.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Excludes 25,000 shares of common stock issuable upon exercise of stock options issued to Ms. Freda-Smith in September 2026 with an exercise price of $1.00 per share, which options are not currently exercisable.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Excludes 25,000 shares of common stock issuable upon exercise of stock options issued to Dr. Yee in June 2026 with an exercise price of $1.30 per share, which options are not currently exercisable.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8,000 shares of common stock held by Mr. Frederick. Excludes 25,000 shares of common stock issuable upon exercise of stock options issued to Mr. Frederick in October 2026 with an exercise price of $0.74 per share, which options are not currently exercisable.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 xml:space="preserve">TRANSACTIONS WITH RELATED PERSONS AND INDEMNIFICATION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RELATED PERSON TRANSACTIONS POLICY AND PROCEDURES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written Statement of Policy with Respect to Related Party Transactions (“</w:t>
      </w:r>
      <w:r>
        <w:rPr>
          <w:rFonts w:ascii="Times New Roman;Times;Serif" w:hAnsi="Times New Roman;Times;Serif"/>
          <w:b/>
          <w:i/>
          <w:caps w:val="false"/>
          <w:smallCaps w:val="false"/>
          <w:sz w:val="20"/>
        </w:rPr>
        <w:t>RPT Policy</w:t>
      </w:r>
      <w:r>
        <w:rPr>
          <w:rFonts w:ascii="Times New Roman;Times;Serif" w:hAnsi="Times New Roman;Times;Serif"/>
          <w:b w:val="false"/>
          <w:i w:val="false"/>
          <w:caps w:val="false"/>
          <w:smallCaps w:val="false"/>
          <w:sz w:val="20"/>
        </w:rPr>
        <w:t>”) that sets forth our policies and procedures regarding the identification, review, consideration and approval or ratification of “related party transactions.” For purposes of our policy only, a “related party transaction” is any transaction, arrangement or relationship (including any indebtedness, guarantee, or series of similar transactions) in which we or any of our subsidiaries and any “related person” is a participant and in which a “related person” has, had, or will have a direct or indirect material interest, including any transaction, arrangement, or relationship requiring disclosure under Item 404 of Regulation S-K under the Securities Act or the Exchange Act. Transactions available to employees generally on the same terms, compensation arrangements approved or recommended by the Compensation Committee (or the full Board) in accordance with its charter and any transaction involving less than $25,000, individually or when aggregated with all similar transactions with the same Related Person over the trailing twelve months are not covered by this policy. A “related person” is any director or senior officer of the Company (including, at a minimum, each executive vice president and each officer subject to Section 16 of the Exchange Act), any person or entity known to the Company to beneficially own in excess of five percent (5%) of any class of the Company's voting securities, including Factor and any of its controlled affiliates, any Immediate Family Member (as defined in the RPT Policy) of a person described above, any entity that is owned or controlled by, or in which a substantial ownership interest is held by, any person or entity described above, and any nominee for director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RELATED PERSON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compensation arrangements for our directors and executive officers, which are described in the section titled “Executive and Director Compensation,” the following is a description of our related person transactions since January 1, 2024 to which we were a party or will be a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Erigen Asset Purchase Agreement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2025, we executed an Asset Purchase Agreement (the “</w:t>
      </w:r>
      <w:r>
        <w:rPr>
          <w:rFonts w:ascii="Times New Roman;Times;Serif" w:hAnsi="Times New Roman;Times;Serif"/>
          <w:b/>
          <w:i/>
          <w:caps w:val="false"/>
          <w:smallCaps w:val="false"/>
          <w:sz w:val="20"/>
        </w:rPr>
        <w:t>Asset Purchase Agreement</w:t>
      </w:r>
      <w:r>
        <w:rPr>
          <w:rFonts w:ascii="Times New Roman;Times;Serif" w:hAnsi="Times New Roman;Times;Serif"/>
          <w:b w:val="false"/>
          <w:i w:val="false"/>
          <w:caps w:val="false"/>
          <w:smallCaps w:val="false"/>
          <w:sz w:val="20"/>
        </w:rPr>
        <w:t>”) with Erigen LLC, a Delaware limited liability company (“</w:t>
      </w:r>
      <w:r>
        <w:rPr>
          <w:rFonts w:ascii="Times New Roman;Times;Serif" w:hAnsi="Times New Roman;Times;Serif"/>
          <w:b/>
          <w:i/>
          <w:caps w:val="false"/>
          <w:smallCaps w:val="false"/>
          <w:sz w:val="20"/>
        </w:rPr>
        <w:t>Erigen</w:t>
      </w:r>
      <w:r>
        <w:rPr>
          <w:rFonts w:ascii="Times New Roman;Times;Serif" w:hAnsi="Times New Roman;Times;Serif"/>
          <w:b w:val="false"/>
          <w:i w:val="false"/>
          <w:caps w:val="false"/>
          <w:smallCaps w:val="false"/>
          <w:sz w:val="20"/>
        </w:rPr>
        <w:t>”), and Factor, a Delaware corporation (together with Erigen, “</w:t>
      </w:r>
      <w:r>
        <w:rPr>
          <w:rFonts w:ascii="Times New Roman;Times;Serif" w:hAnsi="Times New Roman;Times;Serif"/>
          <w:b/>
          <w:i/>
          <w:caps w:val="false"/>
          <w:smallCaps w:val="false"/>
          <w:sz w:val="20"/>
        </w:rPr>
        <w:t>Sellers</w:t>
      </w:r>
      <w:r>
        <w:rPr>
          <w:rFonts w:ascii="Times New Roman;Times;Serif" w:hAnsi="Times New Roman;Times;Serif"/>
          <w:b w:val="false"/>
          <w:i w:val="false"/>
          <w:caps w:val="false"/>
          <w:smallCaps w:val="false"/>
          <w:sz w:val="20"/>
        </w:rPr>
        <w:t>”), pursuant to which Sellers agreed to sell and transfer to the Company all right, title and interest of Sellers, worldwide outside of China, Russia, India, and Turkey, in and to all of the assets primarily related to (a) the autologous BCMA/CD19 dual-targeting CAR T-cell therapy known as TPST-2003 currently being evaluated in a Phase 1/2a clinical study in patients with rrMM, a Phase 1/2 investigator-initiated trial (“</w:t>
      </w:r>
      <w:r>
        <w:rPr>
          <w:rFonts w:ascii="Times New Roman;Times;Serif" w:hAnsi="Times New Roman;Times;Serif"/>
          <w:b/>
          <w:i/>
          <w:caps w:val="false"/>
          <w:smallCaps w:val="false"/>
          <w:sz w:val="20"/>
        </w:rPr>
        <w:t>IIT</w:t>
      </w:r>
      <w:r>
        <w:rPr>
          <w:rFonts w:ascii="Times New Roman;Times;Serif" w:hAnsi="Times New Roman;Times;Serif"/>
          <w:b w:val="false"/>
          <w:i w:val="false"/>
          <w:caps w:val="false"/>
          <w:smallCaps w:val="false"/>
          <w:sz w:val="20"/>
        </w:rPr>
        <w:t>”) in patients with rrMM, and a Phase 1 clinical study in patients with POEMS Syndrome (“</w:t>
      </w:r>
      <w:r>
        <w:rPr>
          <w:rFonts w:ascii="Times New Roman;Times;Serif" w:hAnsi="Times New Roman;Times;Serif"/>
          <w:b/>
          <w:i/>
          <w:caps w:val="false"/>
          <w:smallCaps w:val="false"/>
          <w:sz w:val="20"/>
        </w:rPr>
        <w:t>POEMS</w:t>
      </w:r>
      <w:r>
        <w:rPr>
          <w:rFonts w:ascii="Times New Roman;Times;Serif" w:hAnsi="Times New Roman;Times;Serif"/>
          <w:b w:val="false"/>
          <w:i w:val="false"/>
          <w:caps w:val="false"/>
          <w:smallCaps w:val="false"/>
          <w:sz w:val="20"/>
        </w:rPr>
        <w:t>”), a rare blood disorder caused by abnormal plasma cells, (b) the autologous CD70/CD70 dual-targeting CAR T-cell therapy known as TPST-2206, (c) the allogeneic BCMA/CD19 dual-targeting CAR T-cell therapy with a gene edit in the TRAC locus that inactivates the T cell receptor known as TPST-3003, and (d) the allogeneic CD70/CD70 dual-targeting CAR T-cell therapy with a gene edit in the TRAC locus that inactivates the T cell receptor known as TPST-3206 (collectively referred to herein as the “</w:t>
      </w:r>
      <w:r>
        <w:rPr>
          <w:rFonts w:ascii="Times New Roman;Times;Serif" w:hAnsi="Times New Roman;Times;Serif"/>
          <w:b/>
          <w:i/>
          <w:caps w:val="false"/>
          <w:smallCaps w:val="false"/>
          <w:sz w:val="20"/>
        </w:rPr>
        <w:t>Assets</w:t>
      </w:r>
      <w:r>
        <w:rPr>
          <w:rFonts w:ascii="Times New Roman;Times;Serif" w:hAnsi="Times New Roman;Times;Serif"/>
          <w:b w:val="false"/>
          <w:i w:val="false"/>
          <w:caps w:val="false"/>
          <w:smallCaps w:val="false"/>
          <w:sz w:val="20"/>
        </w:rPr>
        <w:t>”), in exchange for an aggregate purchase price of 8,268,495 shares of our common stock issued to Erigen on behalf of both Sellers.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Asset Purchase Agreement, at Closing (as defined below) we assumed Erigen’s rights and obligations under each of the Novatim License Agreement and the Restated Factor License Agreement (each as defined below. See “</w:t>
      </w:r>
      <w:r>
        <w:rPr>
          <w:rFonts w:ascii="Times New Roman;Times;Serif" w:hAnsi="Times New Roman;Times;Serif"/>
          <w:b/>
          <w:i/>
          <w:caps w:val="false"/>
          <w:smallCaps w:val="false"/>
          <w:sz w:val="20"/>
        </w:rPr>
        <w:t>Novatim License and Collaboration Agreement</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Factor Amended and Restated License and Collaboration Agreement</w:t>
      </w:r>
      <w:r>
        <w:rPr>
          <w:rFonts w:ascii="Times New Roman;Times;Serif" w:hAnsi="Times New Roman;Times;Serif"/>
          <w:b w:val="false"/>
          <w:i w:val="false"/>
          <w:caps w:val="false"/>
          <w:smallCaps w:val="false"/>
          <w:sz w:val="20"/>
        </w:rPr>
        <w:t>”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2026, we completed the acquisition of the Assets (the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under the Asset Purchase Agreement (the “</w:t>
      </w:r>
      <w:r>
        <w:rPr>
          <w:rFonts w:ascii="Times New Roman;Times;Serif" w:hAnsi="Times New Roman;Times;Serif"/>
          <w:b/>
          <w:i/>
          <w:caps w:val="false"/>
          <w:smallCaps w:val="false"/>
          <w:sz w:val="20"/>
        </w:rPr>
        <w:t>Asset Acquisition</w:t>
      </w:r>
      <w:r>
        <w:rPr>
          <w:rFonts w:ascii="Times New Roman;Times;Serif" w:hAnsi="Times New Roman;Times;Serif"/>
          <w:b w:val="false"/>
          <w:i w:val="false"/>
          <w:caps w:val="false"/>
          <w:smallCaps w:val="false"/>
          <w:sz w:val="20"/>
        </w:rPr>
        <w:t>”) and issued to Erigen 8,268,495 shares of our common stock (the “</w:t>
      </w:r>
      <w:r>
        <w:rPr>
          <w:rFonts w:ascii="Times New Roman;Times;Serif" w:hAnsi="Times New Roman;Times;Serif"/>
          <w:b/>
          <w:i/>
          <w:caps w:val="false"/>
          <w:smallCaps w:val="false"/>
          <w:sz w:val="20"/>
        </w:rPr>
        <w:t>Share Issuance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Erigen is a limited liability company and an affiliate of Factor with two members, Dr. Angel and Lotus Capital BVI Limited (“</w:t>
      </w:r>
      <w:r>
        <w:rPr>
          <w:rFonts w:ascii="Times New Roman;Times;Serif" w:hAnsi="Times New Roman;Times;Serif"/>
          <w:b/>
          <w:i/>
          <w:caps w:val="false"/>
          <w:smallCaps w:val="false"/>
          <w:sz w:val="20"/>
        </w:rPr>
        <w:t>Lotus</w:t>
      </w:r>
      <w:r>
        <w:rPr>
          <w:rFonts w:ascii="Times New Roman;Times;Serif" w:hAnsi="Times New Roman;Times;Serif"/>
          <w:b w:val="false"/>
          <w:i w:val="false"/>
          <w:caps w:val="false"/>
          <w:smallCaps w:val="false"/>
          <w:sz w:val="20"/>
        </w:rPr>
        <w:t>”), who own 58.5% and 41.5% of Erigen, respectively. At Closing, we issued 8,268,495 shares of our common to Erigen, resulting in Dr. Angel and Lotus beneficially holding approximately 37% and 26% of our common stock, respectively, immediately following the Closing. On February 3, 2026, Dr. Angel was appointed to serve as our President and Chief Executive Officer and as a member of the Board. Following the Closing, Erigen distributed 4,837,070 shares of common stock to Dr. Angel and 3,431,425 shares of common stock to Lotus.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Asset Purchase Agreement, Factor made a funding commitment (the “</w:t>
      </w:r>
      <w:r>
        <w:rPr>
          <w:rFonts w:ascii="Times New Roman;Times;Serif" w:hAnsi="Times New Roman;Times;Serif"/>
          <w:b/>
          <w:i/>
          <w:caps w:val="false"/>
          <w:smallCaps w:val="false"/>
          <w:sz w:val="20"/>
        </w:rPr>
        <w:t>Funding Commitment</w:t>
      </w:r>
      <w:r>
        <w:rPr>
          <w:rFonts w:ascii="Times New Roman;Times;Serif" w:hAnsi="Times New Roman;Times;Serif"/>
          <w:b w:val="false"/>
          <w:i w:val="false"/>
          <w:caps w:val="false"/>
          <w:smallCaps w:val="false"/>
          <w:sz w:val="20"/>
        </w:rPr>
        <w:t>”) to provide us with financial support until the earlier of (i) 18 months following the Closing and (ii) our receipt of at least $20.0 million in gross proceeds from the sale of equity or debt securities, up to a maximum of $20.0 million (inclusive of amounts raised by us after the date of the Asset Purchase Agreement), subject to the terms and conditions of a funding commitment letter entered into concurrently with the Asset Purchase Agreement. As of June 30, 2026, $11.8 million of availability remained under the Funding Commitment.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Novatim License and Collaboration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2025, Erigen entered into an Exclusive License and Collaboration Agreement (the “</w:t>
      </w:r>
      <w:r>
        <w:rPr>
          <w:rFonts w:ascii="Times New Roman;Times;Serif" w:hAnsi="Times New Roman;Times;Serif"/>
          <w:b/>
          <w:i/>
          <w:caps w:val="false"/>
          <w:smallCaps w:val="false"/>
          <w:sz w:val="20"/>
        </w:rPr>
        <w:t>Novatim License Agreement</w:t>
      </w:r>
      <w:r>
        <w:rPr>
          <w:rFonts w:ascii="Times New Roman;Times;Serif" w:hAnsi="Times New Roman;Times;Serif"/>
          <w:b w:val="false"/>
          <w:i w:val="false"/>
          <w:caps w:val="false"/>
          <w:smallCaps w:val="false"/>
          <w:sz w:val="20"/>
        </w:rPr>
        <w:t>”) with Novatim Immune Therapeutics (“</w:t>
      </w:r>
      <w:r>
        <w:rPr>
          <w:rFonts w:ascii="Times New Roman;Times;Serif" w:hAnsi="Times New Roman;Times;Serif"/>
          <w:b/>
          <w:i/>
          <w:caps w:val="false"/>
          <w:smallCaps w:val="false"/>
          <w:sz w:val="20"/>
        </w:rPr>
        <w:t>Novatim</w:t>
      </w:r>
      <w:r>
        <w:rPr>
          <w:rFonts w:ascii="Times New Roman;Times;Serif" w:hAnsi="Times New Roman;Times;Serif"/>
          <w:b w:val="false"/>
          <w:i w:val="false"/>
          <w:caps w:val="false"/>
          <w:smallCaps w:val="false"/>
          <w:sz w:val="20"/>
        </w:rPr>
        <w:t>”). On February 3, 2026, the Novatim License Agreement was assigned to us in connection with the Closing pursuant to the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Novatim License Agreement, we obtained an exclusive license to specified patents and know-how in all fields worldwide, but excluding Greater China, India, Turkey, and Russia, to exploit the TPST-2003 and TPST-2206 programs and allogeneic CAR-T therapies based on the TPST-2003 and TPST-2206 programs. We also received a right of first negotiation to negotiate a license to exploit allogeneic CAR-T therapies and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CAR-T therapies in Greater China. We are obligated to meet certain diligence milestones by specified dates and to use commercially reasonable efforts to develop and make commercially available at least one licensed product in the licensed territory. No upfront payment was paid pursuant to the Novatim License Agreement. We are obligated to pay Novatim up to $80 million in total upon achievement of certain development milestones for the programs and up to $1.24 billion in total upon achievement of certain commercial milestones for the programs. In addition, we are required to pay Novatim mid-to-high single digit royalties on net sales of licensed products, subject to certain customary reductions, up to a lifetime maximum of $800 million, following which our license shall become fully paid and royalty-free.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Novatim License Agreement is subject to termination (i) by either party, subject to specified cure periods, for the material breach by the other party or the bankruptcy or insolvency of the other party, or (ii) by mutual agreement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Factor Amended and Restated License and Collaboration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2025, Erigen entered into an Amended and Restated License and Collaboration Agreement, effective as of August 6, 2025 (the “</w:t>
      </w:r>
      <w:r>
        <w:rPr>
          <w:rFonts w:ascii="Times New Roman;Times;Serif" w:hAnsi="Times New Roman;Times;Serif"/>
          <w:b/>
          <w:i/>
          <w:caps w:val="false"/>
          <w:smallCaps w:val="false"/>
          <w:sz w:val="20"/>
        </w:rPr>
        <w:t>Restated Factor License Agreement</w:t>
      </w:r>
      <w:r>
        <w:rPr>
          <w:rFonts w:ascii="Times New Roman;Times;Serif" w:hAnsi="Times New Roman;Times;Serif"/>
          <w:b w:val="false"/>
          <w:i w:val="false"/>
          <w:caps w:val="false"/>
          <w:smallCaps w:val="false"/>
          <w:sz w:val="20"/>
        </w:rPr>
        <w:t>”) with Factor Bioscience Limited, a wholly owned subsidiary of Factor. On February 3, 2026, the Restated Factor License Agreement was assigned to us in connection with the Closing pursuant to the Asset Purchase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Restated Factor License Agreement, we obtained an exclusive license to specified patents in all fields worldwide, but excluding Greater China, India, Turkey, and Russia (the “</w:t>
      </w:r>
      <w:r>
        <w:rPr>
          <w:rFonts w:ascii="Times New Roman;Times;Serif" w:hAnsi="Times New Roman;Times;Serif"/>
          <w:b/>
          <w:i/>
          <w:caps w:val="false"/>
          <w:smallCaps w:val="false"/>
          <w:sz w:val="20"/>
        </w:rPr>
        <w:t>Licensed Territory</w:t>
      </w:r>
      <w:r>
        <w:rPr>
          <w:rFonts w:ascii="Times New Roman;Times;Serif" w:hAnsi="Times New Roman;Times;Serif"/>
          <w:b w:val="false"/>
          <w:i w:val="false"/>
          <w:caps w:val="false"/>
          <w:smallCaps w:val="false"/>
          <w:sz w:val="20"/>
        </w:rPr>
        <w:t>”), to exploit the TPST-3003 and TPST-3206 programs. The Restated Factor License Agreement also established a Joint Steering Committee for the purposes of discussing and coordinating collaboration opportunities and serving as a forum for information sharing. Pursuant to the Restated Factor License Agreement, we are obligated to meet certain diligence milestones by specified dates and to use commercially reasonable efforts to develop and make commercially available at least one licensed product in the licensed territory. No upfront payment was paid pursuant to the Restated Factor License Agreement. We are obligated to pay Factor Bioscience Limited up to $40 million in total upon achievement of certain development milestones for the programs and up to $620 million in total upon achievement of certain commercial milestones for the programs. In addition, we are required to pay Factor Bioscience Limited mid-single digit to high-teens royalties on net sales of licensed products on a country-by-country and licensed product-by-licensed product basis until expiration of the last to expire valid claim of certain licensed patents covering such licensed product in such country, subject to certain customary reductions, and low-to-mid double digit sublicense fees.</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Restated Factor License Agreement will continue until expiration of the last-to-expire Royalty Term. “Royalty Term” is defined as, on a product-by-product and country-by-country basis, the period commencing on the first arms-length sale of a product in a country of the Licensed Territory, and ending on the date of expiration of the last to expire valid patent covering the exploitation of the applicable product in the applicable country of the Licensed Territory. The Restated Factor License Agreement is subject to termination (i) by either party, subject to specified cure periods, for the material breach by the other party or the bankruptcy or insolvency of the other party, (ii) by us for any reason upon 60 days notice, or (iii) by mutual agreement of the parties.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Factor Amended and Restated Master Services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Erigen entered into an Amended and Restated Master Services Agreement with Factor (the “</w:t>
      </w:r>
      <w:r>
        <w:rPr>
          <w:rFonts w:ascii="Times New Roman;Times;Serif" w:hAnsi="Times New Roman;Times;Serif"/>
          <w:b/>
          <w:i/>
          <w:caps w:val="false"/>
          <w:smallCaps w:val="false"/>
          <w:sz w:val="20"/>
        </w:rPr>
        <w:t>Restated Factor Services Agreement</w:t>
      </w:r>
      <w:r>
        <w:rPr>
          <w:rFonts w:ascii="Times New Roman;Times;Serif" w:hAnsi="Times New Roman;Times;Serif"/>
          <w:b w:val="false"/>
          <w:i w:val="false"/>
          <w:caps w:val="false"/>
          <w:smallCaps w:val="false"/>
          <w:sz w:val="20"/>
        </w:rPr>
        <w:t>”), which was assigned to us on February 3, 2026 in connection with the Closing pursuant to the Asset Purchase Agreement. Under the Restated Factor Services Agreement, we are obligated to pay Factor a service fee and all non-cancellable obligations in the amount specified in each work order. We may terminate the Restated Factor Services Agreement or any work order upon 30 days’ prior written notice, and immediately upon written notice if Factor breaches and fails to cure within 30 days. Upon termination of any work order, we will pay Factor for all services performed and reimburse Factor for all authorized, non-cancellable expenses reasonably incurred prior to termination.  Pursuant to the Restated Factor Services Agreement, Factor will perform services requested by us on a fee-for-services basis and provide us access to Factor’s facilities as mutually agreed upon in one or more written work orders. All deliverables developed as a result of Factor’s performance of the services or as set forth in a work order, other than specified improvements, will be our property and confidential information. Furthermore, Factor granted us a freedom-to-operate license to its background intellectual property solely to the extent necessary or reasonably useful to use, practice or otherwise exploit the deliverables.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our Board approved Work Order No. 1 under the Restated Factor Services Agreement for research and development services beginning April 2026, primarily related to the clinical advancement of TPST-2003, TPST-3003 and TPST-4003, under which we committed to pay Factor for services through March 31, 2027.  Under Work Order No. 1 thereunder, approved by our Board in March 2026, Factor provides research and development services through March 31, 2027. In April 2026, we paid Factor a $0.4 million deposit. On May 12, 2026, Factor agreed to waive the first $2.1 million payable by us under the work order and to return $0.2 million of the deposit, which we must repay upon raising at least $5.0 million in gross proceeds. Through June 30, 2026, approximately $1.7 million of services had been rendered, all covered by the waiver.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2026 Master Services Agreement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2026, we entered into a Master Services Agreement (the “</w:t>
      </w:r>
      <w:r>
        <w:rPr>
          <w:rFonts w:ascii="Times New Roman;Times;Serif" w:hAnsi="Times New Roman;Times;Serif"/>
          <w:b/>
          <w:i/>
          <w:caps w:val="false"/>
          <w:smallCaps w:val="false"/>
          <w:sz w:val="20"/>
        </w:rPr>
        <w:t>MSA</w:t>
      </w:r>
      <w:r>
        <w:rPr>
          <w:rFonts w:ascii="Times New Roman;Times;Serif" w:hAnsi="Times New Roman;Times;Serif"/>
          <w:b w:val="false"/>
          <w:i w:val="false"/>
          <w:caps w:val="false"/>
          <w:smallCaps w:val="false"/>
          <w:sz w:val="20"/>
        </w:rPr>
        <w:t>”) with Factor. The MSA establishes the terms under which Factor will provide research and development services requested by Tempest pursuant to mutually agreed work orders. The MSA supports Tempest’s development activities, including its obligations under the Amended and Restated License and Collaboration Agreement between Tempest and Factor Bioscience Limited, Factor’s Irish subsidiary, dated November 19, 2025 and effective as of August 6, 2025. Concurrently with the MSA, Tempest and Factor entered into Work Order No. 1, relating to the development of in vivo CAR-T therapies.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MSA continues until terminated by either party upon 30 days’ prior written notice. Work Order No. 1 may similarly be terminated by either party upon at least 30 days’ prior written notice. Work orders that remain in effect when the MSA is terminated will continue to be governed by the MSA until their expiration or termination. Tempest may also suspend the services under Work Order No. 1 for one calendar month by providing at least 14 days’ prior written notice before the end of the then-current calendar month. Tempest may exercise this suspension right up to three times and remains responsible for services performed and authorized, non-cancellable costs and expenses incurred in connection with the suspended services.</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Matt Angel, Ph.D., our President and Chief Executive Officer and the Chair of our Board, is the majority owner, Chief Executive Officer, and chairman of Factor Bioscience LLC. Factor is a wholly-owned subsidiary of Factor Bioscience LLC. As of September 30, 2026, Dr. Angel owned 31.5% of the outstanding shares of common stock of Tempest, which includes shares of common stock held by Factor. As the majority stockholder and Chairman of the Board of Directors of Factor, Dr. Angel exercises voting and investment power over the shares held by Factor Biosciences Inc.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Factor is a related person, the Board and its Audit Committee believe that the MSA constitutes a related person transaction under the Company’s Related Party Transaction Policy. The MSA was reviewed and approved by the Audit Committee with Dr. Angel not participating in the deliberations or vote. In evaluating the MSA, the Audit Committee considered, among other factors, whether the terms are no less favorable to the Company than terms generally available from an unaffiliated third party under the same or similar circumstances.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expects that aggregate fees payable to Factor under the MSA will be $5.0 million per year, payable in equal monthly installments of $416,667, subject to proration for the first and last months of service. Tempest will additionally reimburse Factor for materials, equipment, reagents and third-party services incurred in furtherance of the services or on Tempest’s behalf, together with a 10% project management fee on those amounts. Factor is obliged to provide quarterly reports summarizing the services performed.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 and Registration Rights Agreement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under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Private Placement</w:t>
      </w:r>
      <w:r>
        <w:rPr>
          <w:rFonts w:ascii="Times New Roman;Times;Serif" w:hAnsi="Times New Roman;Times;Serif"/>
          <w:b w:val="false"/>
          <w:i w:val="false"/>
          <w:caps w:val="false"/>
          <w:smallCaps w:val="false"/>
          <w:sz w:val="20"/>
        </w:rPr>
        <w:t>,” on March 20, 2026, we entered into the Purchase Agreement with (a) the Institutional Investors and (b) Factor Bioscience Inc., pursuant to which we agreed to issue and sell in a Private Placement an aggregate of 462,964 Shares of our common stock, and, in lieu of common stock, pre-funded warrants to purchase up to 462,963 shares of our common stock, in each case accompanied by (i) Series A Warrants to purchase up to 925,927 shares of our common stock and (ii) Series B Warrants to purchase up to 925,927 shares of our common stock. Dr. Angel is the majority stockholder and Chairman of the Board of Directors of Factor Biosciences Inc. Pursuant to the Purchase Agreement, we sold an aggregate of 231,482 Shares, 231,482 Series A Warrants and 231,482 Series B Warrants to Factor in exchange for $0.5 million, before deducting placement agent fees and other offering expenses payable by 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Fee Settlement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Erigen Closing, Erigen incurred approximately $0.4 million of legal fees with Wilson Sonsini Goodrich &amp; Rosati (“</w:t>
      </w:r>
      <w:r>
        <w:rPr>
          <w:rFonts w:ascii="Times New Roman;Times;Serif" w:hAnsi="Times New Roman;Times;Serif"/>
          <w:b/>
          <w:i/>
          <w:caps w:val="false"/>
          <w:smallCaps w:val="false"/>
          <w:sz w:val="20"/>
        </w:rPr>
        <w:t>WSGR</w:t>
      </w:r>
      <w:r>
        <w:rPr>
          <w:rFonts w:ascii="Times New Roman;Times;Serif" w:hAnsi="Times New Roman;Times;Serif"/>
          <w:b w:val="false"/>
          <w:i w:val="false"/>
          <w:caps w:val="false"/>
          <w:smallCaps w:val="false"/>
          <w:sz w:val="20"/>
        </w:rPr>
        <w:t>”), which serves as intellectual property counsel to both the Company and Factor, in connection with due diligence and other matters predating the Asset Acquisition. These fees were not liabilities assumed by the Company under the Asset Purchase Agreement, and the Company had no contractual or legal obligation to pay them. In April 2026, WSGR redirected the outstanding invoices to the Company and requested payment. Because Erigen is affiliated with Factor, a related party of the Company, this matter was reviewed and approved by the Audit Committee of the Board of Directors as a related party transaction. In June 2026, the Company’s management agreed to settle the invoices on Erigen’s behalf in order to preserve the Company’s ongoing relationship with WSGR.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obligation was not assumed under the Asset Purchase Agreement, was not required to complete the Erigen Closing, and resulted from a discretionary decision made after the Erigen Closing, the Company recognized the $0.4 million settlement as general and administrative expense during the three and six months ended June 30, 2026. The $0.4 million was recorded in accounts payable as of June 30,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Professional Services Agreement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2026, we entered into a Professional Services Agreement, effective April 1, 2026, with YQ Advisors Limited (“</w:t>
      </w:r>
      <w:r>
        <w:rPr>
          <w:rFonts w:ascii="Times New Roman;Times;Serif" w:hAnsi="Times New Roman;Times;Serif"/>
          <w:b/>
          <w:i/>
          <w:caps w:val="false"/>
          <w:smallCaps w:val="false"/>
          <w:sz w:val="20"/>
        </w:rPr>
        <w:t>YQ</w:t>
      </w:r>
      <w:r>
        <w:rPr>
          <w:rFonts w:ascii="Times New Roman;Times;Serif" w:hAnsi="Times New Roman;Times;Serif"/>
          <w:b w:val="false"/>
          <w:i w:val="false"/>
          <w:caps w:val="false"/>
          <w:smallCaps w:val="false"/>
          <w:sz w:val="20"/>
        </w:rPr>
        <w:t>”) pursuant to which YQ will provide various business development and corporate development activities to us at an hourly rate of (i) $1,250 for services provided by Andrew Fang and (ii) $250 for services provided by other YQ service providers, up to a maximum aggregate amount of $720,000 per year. The agreement has a term of 12 months unless extended by mutual written agreement of the parties. Mr. Fang is the son of Bangxia Yang, the beneficial owner of Lotus, a greater than 5% holder of our common stock.</w:t>
      </w:r>
    </w:p>
    <w:p>
      <w:pPr>
        <w:pStyle w:val="TextBody"/>
        <w:bidi w:val="0"/>
        <w:spacing w:before="0" w:after="0"/>
        <w:ind w:left="0" w:right="0" w:firstLine="408"/>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INDEMNIFICATION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current directors and officers. These agreements provide for the indemnification of such persons for all reasonable expenses and liabilities incurred in connection with any action or proceeding brought against them by reason of the fact that they are or were serving in such capacity. We believe that these indemnification agreements are necessary to attract and retain qualified persons as directors and officers. Furthermore, we have obtained director and officer liability insurance to cover liabilities our directors and officers may incur in connection with their services to 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PROPOSAL 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LINCOLN PARK STOCK ISSUANCE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we entered into the Lincoln Park Purchase Agreement with Lincoln Park Capital Fund, LLC (“</w:t>
      </w:r>
      <w:r>
        <w:rPr>
          <w:rFonts w:ascii="Times New Roman;Times;Serif" w:hAnsi="Times New Roman;Times;Serif"/>
          <w:b/>
          <w:i/>
          <w:caps w:val="false"/>
          <w:smallCaps w:val="false"/>
          <w:sz w:val="20"/>
        </w:rPr>
        <w:t>Lincoln Park</w:t>
      </w:r>
      <w:r>
        <w:rPr>
          <w:rFonts w:ascii="Times New Roman;Times;Serif" w:hAnsi="Times New Roman;Times;Serif"/>
          <w:b w:val="false"/>
          <w:i w:val="false"/>
          <w:caps w:val="false"/>
          <w:smallCaps w:val="false"/>
          <w:sz w:val="20"/>
        </w:rPr>
        <w:t>”) and a related registration rights agreement (the “</w:t>
      </w:r>
      <w:r>
        <w:rPr>
          <w:rFonts w:ascii="Times New Roman;Times;Serif" w:hAnsi="Times New Roman;Times;Serif"/>
          <w:b/>
          <w:i/>
          <w:caps w:val="false"/>
          <w:smallCaps w:val="false"/>
          <w:sz w:val="20"/>
        </w:rPr>
        <w:t>Registration Rights Agreement</w:t>
      </w:r>
      <w:r>
        <w:rPr>
          <w:rFonts w:ascii="Times New Roman;Times;Serif" w:hAnsi="Times New Roman;Times;Serif"/>
          <w:b w:val="false"/>
          <w:i w:val="false"/>
          <w:caps w:val="false"/>
          <w:smallCaps w:val="false"/>
          <w:sz w:val="20"/>
        </w:rPr>
        <w:t>”). Pursuant to the Lincoln Park Purchase Agreement, Lincoln Park has agreed to purchase from us up to an aggregate of $50.0 million of shares of our common stock, consisting of an initial aggregate commitment of $25.0 million, which will automatically increase by an additional $25.0 million upon our receipt of gross proceeds equal to the full $25.0 million initial commitment from sales of common stock to Lincoln Park under the Lincoln Park Purchase Agreement. We are submitting this Proposal 3 to our stockholders in order to obtain the requisite stockholder approval in accordance with Nasdaq Listing Rule 5635(d) to issue and sell shares of our common stock to Lincoln Park in excess of 20% of the outstanding shares of our common stock as of the date we entered into the Lincoln Park Purchase Agreement. Nothing contained in the Lincoln Park Purchase Agreement obligates us to issue and sell any shares, other than the Commitment Shares (as defined below), and any sales by us under the Lincoln Park Purchase Agreement would be made at our sole election and in our discretion, subject to the terms and satisfaction of the conditions contained in the Lincoln Park Purchase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Lincoln Park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and subject to the conditions of the Lincoln Park Purchase Agreement, we have the right, but not the obligation, to sell to Lincoln Park, and Lincoln Park is obligated to purchase, up to $50.0 million of shares of common stock, consisting of an initial aggregate commitment of $25.0 million, which will automatically increase by an additional $25.0 million upon our receipt of gross proceeds equal to the full $25.0 million initial commitment from sales of common stock to Lincoln Park under the Lincoln Park Purchase Agreement. Such sales of common stock by us, if any, are subject to certain limitations and may occur from time to time, at our sole discretion, during the term of the Lincoln Park Purchase Agreement, after the satisfaction of certain conditions set forth therein, including the effectiveness of a registration statement filed with the SEC in accordance with the Registration Rights Agreement, pursuant to which we have registered for resale by Lincoln Park the shares of common stock that we may issue and sell under the Lincoln Park Purchase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for shares of common stock sold to Lincoln Park under the Lincoln Park Purchase Agreement will be determined by reference to the market price of our common stock during the applicable pricing period specified in the Lincoln Park Purchase Agreement, less a 3% discount in the case of regular purchases and a 4% discount in the case of accelerated purchases and additional accelerated purchases, subject to the terms, conditions and limitations set forth therein. There are no upper limits on the price per share that Lincoln Park may be required to pay for shares of common stock purchased under the Lincoln Park Purchase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Lincoln Park’s commitment to purchase shares of common stock in accordance with the Lincoln Park Purchase Agreement, we issued 560,356 shares of common stock to Lincoln Park as an initial commitment fee (the “</w:t>
      </w:r>
      <w:r>
        <w:rPr>
          <w:rFonts w:ascii="Times New Roman;Times;Serif" w:hAnsi="Times New Roman;Times;Serif"/>
          <w:b/>
          <w:i/>
          <w:caps w:val="false"/>
          <w:smallCaps w:val="false"/>
          <w:sz w:val="20"/>
        </w:rPr>
        <w:t>Initial Commitment Shares</w:t>
      </w:r>
      <w:r>
        <w:rPr>
          <w:rFonts w:ascii="Times New Roman;Times;Serif" w:hAnsi="Times New Roman;Times;Serif"/>
          <w:b w:val="false"/>
          <w:i w:val="false"/>
          <w:caps w:val="false"/>
          <w:smallCaps w:val="false"/>
          <w:sz w:val="20"/>
        </w:rPr>
        <w:t>”). Upon our receipt of gross proceeds equal to the full $25.0 million initial commitment and the resulting automatic increase of Lincoln Park’s commitment by an additional $25.0 million, we will issue an additional 350,223 shares of common stock to Lincoln Park as an additional commitment fee (the “</w:t>
      </w:r>
      <w:r>
        <w:rPr>
          <w:rFonts w:ascii="Times New Roman;Times;Serif" w:hAnsi="Times New Roman;Times;Serif"/>
          <w:b/>
          <w:i/>
          <w:caps w:val="false"/>
          <w:smallCaps w:val="false"/>
          <w:sz w:val="20"/>
        </w:rPr>
        <w:t>Additional Commitment Shares</w:t>
      </w:r>
      <w:r>
        <w:rPr>
          <w:rFonts w:ascii="Times New Roman;Times;Serif" w:hAnsi="Times New Roman;Times;Serif"/>
          <w:b w:val="false"/>
          <w:i w:val="false"/>
          <w:caps w:val="false"/>
          <w:smallCaps w:val="false"/>
          <w:sz w:val="20"/>
        </w:rPr>
        <w:t>” and, together with the Initial Commitment Shares, the “</w:t>
      </w:r>
      <w:r>
        <w:rPr>
          <w:rFonts w:ascii="Times New Roman;Times;Serif" w:hAnsi="Times New Roman;Times;Serif"/>
          <w:b/>
          <w:i/>
          <w:caps w:val="false"/>
          <w:smallCaps w:val="false"/>
          <w:sz w:val="20"/>
        </w:rPr>
        <w:t>Commitment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Lincoln Park holds any shares of common stock as of the record date for the Annual Meeting, it will not vote such shares on the Lincoln Park Stock Issuance Proposal.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instances, we may not sell shares of our common stock to Lincoln Park under the Lincoln Park Purchase Agreement if such sale would result in Lincoln Park beneficially owning more than 4.99% of our outstanding common stock, subject to the terms of the Lincoln Park Purchase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the sale of common stock to Lincoln Park for working capital and general corporate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listing of our common stock on The Nasdaq Capital Market, issuances of our common stock are subject to the Nasdaq Listing Rules, including Rule 5635(d), which requires us to obtain stockholder approval prior to the issuance of securities in connection with a transaction, other than a public offering, involving the sale, issuance or potential issuance by us of 20% or more of our outstanding shares of common stock or voting power at a price less than the lower of: (i) the closing price of our common stock immediately preceding the signing of the binding agreement; or (ii) the average closing price of our common stock for the five trading days immediately preceding the signing of the binding agreement (the “</w:t>
      </w:r>
      <w:r>
        <w:rPr>
          <w:rFonts w:ascii="Times New Roman;Times;Serif" w:hAnsi="Times New Roman;Times;Serif"/>
          <w:b/>
          <w:i/>
          <w:caps w:val="false"/>
          <w:smallCaps w:val="false"/>
          <w:sz w:val="20"/>
        </w:rPr>
        <w:t>Nasdaq 20% Rule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Nasdaq 20% Rule, in no event may we issue or sell to Lincoln Park under the Lincoln Park Purchase Agreement more than 3,195,881 shares of our common stock, representing 19.99% of the shares of our common stock outstanding immediately prior to the execution of the Lincoln Park Purchase Agreement (the “</w:t>
      </w:r>
      <w:r>
        <w:rPr>
          <w:rFonts w:ascii="Times New Roman;Times;Serif" w:hAnsi="Times New Roman;Times;Serif"/>
          <w:b/>
          <w:i/>
          <w:caps w:val="false"/>
          <w:smallCaps w:val="false"/>
          <w:sz w:val="20"/>
        </w:rPr>
        <w:t>Exchange Cap</w:t>
      </w:r>
      <w:r>
        <w:rPr>
          <w:rFonts w:ascii="Times New Roman;Times;Serif" w:hAnsi="Times New Roman;Times;Serif"/>
          <w:b w:val="false"/>
          <w:i w:val="false"/>
          <w:caps w:val="false"/>
          <w:smallCaps w:val="false"/>
          <w:sz w:val="20"/>
        </w:rPr>
        <w:t>”), unless (i) we first obtain stockholder approval to issue shares of common stock in excess of the Exchange Cap in accordance with applicable Nasdaq listing rules or (ii) at the time we have issued shares of common stock equal to the Exchange Cap and at all times thereafter, the average price per share of common stock for all shares sold by us to Lincoln Park under the Lincoln Park Purchase Agreement equals or exceeds $1.3854 per share (the “</w:t>
      </w:r>
      <w:r>
        <w:rPr>
          <w:rFonts w:ascii="Times New Roman;Times;Serif" w:hAnsi="Times New Roman;Times;Serif"/>
          <w:b/>
          <w:i/>
          <w:caps w:val="false"/>
          <w:smallCaps w:val="false"/>
          <w:sz w:val="20"/>
        </w:rPr>
        <w:t>LP Minimum Price</w:t>
      </w:r>
      <w:r>
        <w:rPr>
          <w:rFonts w:ascii="Times New Roman;Times;Serif" w:hAnsi="Times New Roman;Times;Serif"/>
          <w:b w:val="false"/>
          <w:i w:val="false"/>
          <w:caps w:val="false"/>
          <w:smallCaps w:val="false"/>
          <w:sz w:val="20"/>
        </w:rPr>
        <w:t>”), such that the Exchange Cap limitation would no longer apply under the Nasdaq 20% Rule. In any event, the Lincoln Park Purchase Agreement provides that we may not issue or sell any shares of our common stock under the Lincoln Park Purchase Agreement if such issuance or sale would breach any applicable Nasdaq rules.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number of shares that may be issued to Lincoln Park in exchange for the full $50.0 million commitment will depend on the market price of our common stock at the time of each sale, the total number of shares issuable under the Lincoln Park Purchase Agreement cannot be determined at this time and could exceed the Exchange Cap. Accordingly, to permit us to access the full amount available under the Lincoln Park Purchase Agreement at prices below the LP Minimum Price, we are seeking stockholder approval to issue shares in excess of the Exchange Cap in accordance with the terms of the Lincoln Park Purchase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Failure to Obtain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stockholders do not approve this Proposal 3, we will be unable to issue shares of common stock to Lincoln Park pursuant to the Lincoln Park Purchase Agreement in excess of the 3,195,881-share Exchange Cap if the applicable issuances are made at prices below the $1.3854 LP Minimum Price. As a result, we may be unable to access all or a substantial portion of the $50.0 million aggregate commitment available under the Lincoln Park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obtain stockholder approval as requested in this Proposal 3, we would no longer be subject to the Nasdaq 20% Rule restriction with respect to the issuance and sale of common stock to Lincoln Park under the Lincoln Park Purchase Agreement. If this Proposal 3 is approved by our stockholders, we would be able to issue more than the Exchange Cap, or 3,195,881 shares, to Lincoln Park under the Lincoln Park Purchase Agreement at prices below the LP Minimum Price.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shares of common stock that we may issue and sell to Lincoln Park under the Lincoln Park Purchase Agreement will fluctuate from time to time based on the market price of our common stock and therefore cannot be determined at this time. The issuance of shares to Lincoln Park, including shares issued in excess of the Exchange Cap, would result in dilution to existing stockholders and may result in a decline in our stock price or greater price volatility.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additional share of common stock issuable to Lincoln Park under the Lincoln Park Purchase Agreement would have the same rights and privileges as each share of our currently outstanding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 Required and Recommendation of the Board of Directors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present, approval, for purposes of complying with Nasdaq Listing Rule 5635(d), of the potential issuance and sale of 20% or more of the Company’s issued and outstanding common stock pursuant to the Lincoln Park Purchase Agreement requires that a majority of the votes cast at the Annual Meeting are cast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OF DIRECTORS UNANIMOUSLY RECOMMENDS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VOTE “FOR” PROPOSAL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 xml:space="preserve">PROPOSAL 4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PIPE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2026, we entered into a Securities Purchase Agreement (the “</w:t>
      </w:r>
      <w:r>
        <w:rPr>
          <w:rFonts w:ascii="Times New Roman;Times;Serif" w:hAnsi="Times New Roman;Times;Serif"/>
          <w:b/>
          <w:i/>
          <w:caps w:val="false"/>
          <w:smallCaps w:val="false"/>
          <w:sz w:val="20"/>
        </w:rPr>
        <w:t>SPA</w:t>
      </w:r>
      <w:r>
        <w:rPr>
          <w:rFonts w:ascii="Times New Roman;Times;Serif" w:hAnsi="Times New Roman;Times;Serif"/>
          <w:b w:val="false"/>
          <w:i w:val="false"/>
          <w:caps w:val="false"/>
          <w:smallCaps w:val="false"/>
          <w:sz w:val="20"/>
        </w:rPr>
        <w:t>”) with an institutional investor for the purchase and sale in a private placement of pre-funded warrants to purchase an aggregate of 3,105,591 shares of our common stock, together with Series C warrants to purchase up to 3,105,591 shares of common stock and Series D warrants to purchase up to 3,105,591 shares of common stock. The combined purchase price was $0.805 per share of common stock, or $0.804 per pre-funded warrant, and the accompanying PIPE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 Warrants have an exercise price of $0.805 per share. The Series C Warrants will become exercisable on the PIPE Stockholder Approval Date and expire six years from the later of the PIPE Stockholder Approval Date and the Effectiveness Date. The Series D Warrants will become exercisable on the PIPE Stockholder Approval Date and expire three years from the later of the PIPE Stockholder Approval Date and the Effectiveness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closed on September 15, 2026. The Placement Agent acted as the exclusive placement agent in connection with the private placement pursuant to an engagement letter entered into between us and the Placement Agent, dated May 26, 2026 (the “</w:t>
      </w:r>
      <w:r>
        <w:rPr>
          <w:rFonts w:ascii="Times New Roman;Times;Serif" w:hAnsi="Times New Roman;Times;Serif"/>
          <w:b/>
          <w:i/>
          <w:caps w:val="false"/>
          <w:smallCaps w:val="false"/>
          <w:sz w:val="20"/>
        </w:rPr>
        <w:t>Engagement Letter</w:t>
      </w:r>
      <w:r>
        <w:rPr>
          <w:rFonts w:ascii="Times New Roman;Times;Serif" w:hAnsi="Times New Roman;Times;Serif"/>
          <w:b w:val="false"/>
          <w:i w:val="false"/>
          <w:caps w:val="false"/>
          <w:smallCaps w:val="false"/>
          <w:sz w:val="20"/>
        </w:rPr>
        <w:t>”). In connection with the private placement and pursuant to the Engagement Letter, we issued to the Placement Agent’s designees 217,391 PA Warrants in substantially the same form as the Series C Warrants, except that the exercise price thereunder is $1.0063 per share. The PA Warrants will become exercisable upon receipt of stockholder approval.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SPA, we agreed to seek stockholder approval of the issuance of the shares of common stock issuable upon exercise of the PIPE Warrants within 90 days following the date of the SPA. If stockholder approval is not obtained at the first meeting at which the proposal is submitted, we are required to call a meeting every 90 days thereafter to seek stockholder approval until the earlier of the date stockholder approval is obtained and the date the PIPE Warrants are no longer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has agreed that, if it holds any shares of common stock or shares underlying pre-funded warrants as of the record date for the Annual Meeting, it will not vote such shares on the PIPE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Reasons for Stockholder Approval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and, as such, we are subject to the applicable Nasdaq Listing Rules, including Nasdaq Listing Rule 5635(d), which requires stockholder approval of transactions other than a public offering involving the sale, issuance or potential issuance by the issuer of common stock, or securities convertible into or exercisable for common stock, equal to 20% or more of the common stock or voting power outstanding before the issuance at a price less than the Minimum Price, regardless of whether such securities are issued to one person or group or are more widely distributed.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are seeking stockholder approval of this Proposal 4 under Nasdaq Listing Rule 5635(d) because the aggregate of 6,211,182 shares of common stock issuable upon exercise of the PIPE Warrants may represent 20% or more of our outstanding common stock or voting power, and the PIPE Warrants have an exercise price of $0.805 per share, which was less than the Minimum Price.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approving this Proposal 4, you are approving the issuance of the shares of common stock issuable upon exercise of the Warrants for purposes of Nasdaq Listing Rule 5635(d).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the Warrants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Price and Duration</w:t>
      </w:r>
      <w:r>
        <w:rPr>
          <w:rFonts w:ascii="Times New Roman;Times;Serif" w:hAnsi="Times New Roman;Times;Serif"/>
          <w:b w:val="false"/>
          <w:i w:val="false"/>
          <w:caps w:val="false"/>
          <w:smallCaps w:val="false"/>
          <w:sz w:val="20"/>
        </w:rPr>
        <w:t>. The PIPE Warrants each have an exercise price of $0.805 per share. The Series C Warrants will become exercisable on the PIPE Stockholder Approval Date and will expire six years from the later of the PIPE Stockholder Approval Date and the Effectiveness Date. The Series D Warrants will become exercisable on the PIPE Stockholder Approval Date and will expire three years from the later of the PIPE Stockholder Approval Date and the Effectiveness Date. The exercise price and number of shares issuable upon exercise are subject to appropriate adjustment in the event of certain stock dividends and distributions, stock splits, stock combinations, reclassifications or similar events affecting our common stock. The PIPE Warrants may also be exercised by means of a cashless exercise as provided in the applicable warrant.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Ownership Limitation.</w:t>
      </w:r>
      <w:r>
        <w:rPr>
          <w:rFonts w:ascii="Times New Roman;Times;Serif" w:hAnsi="Times New Roman;Times;Serif"/>
          <w:b w:val="false"/>
          <w:i w:val="false"/>
          <w:caps w:val="false"/>
          <w:smallCaps w:val="false"/>
          <w:sz w:val="20"/>
        </w:rPr>
        <w:t xml:space="preserve"> The PIPE Warrants contain a beneficial ownership limitation that generally restricts a holder from exercising the applicable PIPE Warrant if, after giving effect to such exercise, the holder and its affiliates and attribution parties would beneficially own more than 4.99% of our outstanding common stock, which percentage may be increased or decreased by the holder, subject to the terms and limitations contained in the PIPE Warrants, provided that any increase will not become effective until the 61st day after notice is delivered to us and may not exceed 9.99%.</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Fundamental Transactions</w:t>
      </w:r>
      <w:r>
        <w:rPr>
          <w:rFonts w:ascii="Times New Roman;Times;Serif" w:hAnsi="Times New Roman;Times;Serif"/>
          <w:b w:val="false"/>
          <w:i w:val="false"/>
          <w:caps w:val="false"/>
          <w:smallCaps w:val="false"/>
          <w:sz w:val="20"/>
        </w:rPr>
        <w:t>. If a Fundamental Transaction (as defined in the applicable PIPE Warrant) occurs, then, upon any subsequent exercise of such warrant, the holder shall have the right to receive, for each warrant share that would have been issuable upon such exercise immediately prior to the occurrence of such Fundamental Transaction, at the option of the holder (without regard to any beneficial ownership limitation), the number of shares of common stock of the successor or acquiring corporation or of our Company, if we are the surviving corporation, and any additional consideration (the “</w:t>
      </w:r>
      <w:r>
        <w:rPr>
          <w:rFonts w:ascii="Times New Roman;Times;Serif" w:hAnsi="Times New Roman;Times;Serif"/>
          <w:b/>
          <w:i/>
          <w:caps w:val="false"/>
          <w:smallCaps w:val="false"/>
          <w:sz w:val="20"/>
        </w:rPr>
        <w:t>Alternate Consideration</w:t>
      </w:r>
      <w:r>
        <w:rPr>
          <w:rFonts w:ascii="Times New Roman;Times;Serif" w:hAnsi="Times New Roman;Times;Serif"/>
          <w:b w:val="false"/>
          <w:i w:val="false"/>
          <w:caps w:val="false"/>
          <w:smallCaps w:val="false"/>
          <w:sz w:val="20"/>
        </w:rPr>
        <w:t>”) receivable as a result of such Fundamental Transaction. If holders of our common stock are given any choice as to the securities, cash or property to be received in a Fundamental Transaction, then the holder of the PIPE Warrant, as applicable, shall be given the same choice as to the Alternate Consideration it receives upon any exercise of such warrant following such Fundamental Transaction.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as a Stockholder</w:t>
      </w:r>
      <w:r>
        <w:rPr>
          <w:rFonts w:ascii="Times New Roman;Times;Serif" w:hAnsi="Times New Roman;Times;Serif"/>
          <w:b w:val="false"/>
          <w:i w:val="false"/>
          <w:caps w:val="false"/>
          <w:smallCaps w:val="false"/>
          <w:sz w:val="20"/>
        </w:rPr>
        <w:t>. Except as set forth in the PIPE Warrants, the holders of the PIPE Warrants do not have the rights or privileges of a holder of our common stock, including any voting rights, until such warrants are exercised.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Transferability</w:t>
      </w:r>
      <w:r>
        <w:rPr>
          <w:rFonts w:ascii="Times New Roman;Times;Serif" w:hAnsi="Times New Roman;Times;Serif"/>
          <w:b w:val="false"/>
          <w:i w:val="false"/>
          <w:caps w:val="false"/>
          <w:smallCaps w:val="false"/>
          <w:sz w:val="20"/>
        </w:rPr>
        <w:t>. The PIPE Warrants may be offered for sale, sold, transferred or assigned without our consent, subject to compliance with applicable securities laws and the conditions set forth in the PIPE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Fractional Shares</w:t>
      </w:r>
      <w:r>
        <w:rPr>
          <w:rFonts w:ascii="Times New Roman;Times;Serif" w:hAnsi="Times New Roman;Times;Serif"/>
          <w:b w:val="false"/>
          <w:i w:val="false"/>
          <w:caps w:val="false"/>
          <w:smallCaps w:val="false"/>
          <w:sz w:val="20"/>
        </w:rPr>
        <w:t>. No fractional shares of common stock will be issued upon the exercise of the PIPE Warrants. As to any fraction of a share which the holder would otherwise be entitled to purchase upon such exercise, we shall, at our election, either pay a cash adjustment in respect of such final fraction in an amount equal to such fraction multiplied by the exercise price or round up to the next whole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and Waiver</w:t>
      </w:r>
      <w:r>
        <w:rPr>
          <w:rFonts w:ascii="Times New Roman;Times;Serif" w:hAnsi="Times New Roman;Times;Serif"/>
          <w:b w:val="false"/>
          <w:i w:val="false"/>
          <w:caps w:val="false"/>
          <w:smallCaps w:val="false"/>
          <w:sz w:val="20"/>
        </w:rPr>
        <w:t>. Each of the PIPE Warrants may be modified or amended or the provisions thereof waived with the written consent of our Company and the respective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Placement Agent 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 Warrants are exercisable for an aggregate of 217,391 shares of common stock, have an exercise price of $1.0063 per share and are otherwise in substantially the same form as the Series C Warrants. Under the terms of the PA Warrants, a holder may not exercise the warrants to the extent such exercise would cause the holder, together with its affiliates and attribution parties, to beneficially own a number of shares of common stock which would exceed 4.99% (or, at such investor’s option upon issuance, up to 9.99%), of the Company’s then outstanding common stock following such exercise, excluding for purposes of such determination shares of common stock issuable upon exercise of such warrants which have not been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Issuable Upon Exercise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stockholder approval of this Proposal 4, up to 3,105,591 shares of common stock will be issuable upon exercise of the Series C Warrants and up to 3,105,591 shares of common stock will be issuable upon exercise of the Series D Warrants, for an aggregate of up to 6,211,182 shares of common stock. Further, up to 217,391 shares of common stock will be issuable upon exercise of the PA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registration rights agreement entered into in connection with the private placement, we filed a registration statement on Form S-3 covering the resale of the securities issued in the private placement and the shares issuable upon exercise of the PIPE Warrants. The sale into the public market of the shares of common stock underlying the PIPE Warrants could materially and adversely affect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Effects of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do not approve this Proposal 4, the Warrants will not become exercisable, and we will not receive any proceeds from their exercise. Approval of this Proposal 4 will assist us in meeting our obligations under the SPA. In addition, our ability to receive the potential approximately $5.0 million of additional gross proceeds from the exercise of the Warrants is important to support our liquidity and fund our operations. There can be no assurance, however, that the Warrants will be exercised or that we will receive any proceeds from their exercise, even if this Proposal 4 is approved.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do not approve this Proposal 4 at the Annual Meeting, pursuant to the SPA, we are required to call a meeting every 90 days thereafter to seek stockholder approval until the earlier of the date on which stockholder approval is obtained and the date the PIPE Warrants are no longer outstanding. Failure to receive approval of this Proposal 4 at the Annual Meeting would therefore increase our general and administrative expenses, which are funds that we believe would be better spent pursuing our business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4 is approved, the issuance of shares upon exercise of the Warrants will increase the number of shares of common stock outstanding and will dilute the ownership and voting interests of our existing stockholders. Sales of a substantial number of such shares in the public market could also adversely affect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Additional Information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intended to provide you with basic information concerning the private placement, the SPA transaction and the Warrants. For a more complete description of the private placement, the SPA and the PIPE Warrants, please see the Current Report on Form 8-K filed on September 15, 2026 and the exhibits filed therewith.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OF DIRECTORS UNANIMOUSLY RECOMMENDS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VOTE “FOR” PROPOSAL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 xml:space="preserve">OTHER INFORMATION FOR STOCKHOLDERS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Stockholder Proposals for the 2027 Annual Meeting of Stockholders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Requirements for stockholder proposals to be brought before an annual meeting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Bylaws provide that, for stockholder director nominations or other proposals to be considered at an annual meeting, the stockholder must give timely notice thereof in writing to our Corporate Secretary at Tempest Therapeutics, Inc., 2000 Sierra Point Parkway, Suite 400, Brisbane, California, 94005. To be timely for the 2027 Annual Meeting of Stockholders, a stockholder’s notice must be delivered to or mailed and received by our Secretary at our principal executive offices between July 12, 2027 and August 11, 2027;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the date of that annual meeting of stockholders is advanced by more than 20 days or delayed by more than 60 days from the anniversary of the preceding year’s annual meeting, you must give the required notice not earlier than the 120th day prior to the meeting date and not later than the 90th day prior to the meeting date or, if later than the 90th day prior to such meeting date, the 10th day following the day on which public disclosure of that meeting date is first made. A stockholder’s notice to the Secretary must also set forth the information required by our Bylaws, including your name and address and the class and number of shares of our stock that you beneficially own.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Requirements for stockholder proposals to be considered for inclusion in our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proposals submitted pursuant to Rule 14a-8 under the Exchange Act, and intended to be presented at the 2027 Annual Meeting of Stockholders must be received by us not later than June 28, 2027 in order to be considered for inclusion in our proxy materials for that meeting. However, if the 2027 Annual Meeting of Stockholders is advanced by more than 30 days prior to or delayed by more than 30 days after November 9, 2027, then the deadline will be a reasonable time prior to the time we begin to print and send our proxy materials.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stockholders who intend to solicit proxies in support of director nominees other than our nominees must also comply with the additional requirements of Rule 14a-19 under the Exchange Act. For stockholder nominees for directors to be considered timely for inclusion on a universal proxy card pursuant to Rule 14a-19 under the Exchange Act, stockholders must provide notice to us no later than September 10, 2027, containing the information required by Rule 14a-19 under the Exchange Act; however, Rule 14a-19's notice requirement does not override or supersede the longer notice period established by our Bylaws, and the longer period contained in our Bylaws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Householding of Proxy Materials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and intermediaries, such as brokers, to satisfy the delivery requirements for proxy statement materials with respect to two or more stockholders sharing the same address by delivering a single set of these materials addressed to those stockholders. This process, which is commonly referred to as “householding,” potentially means extra convenience for stockholders and cost savings for companies.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this meeting, a number of brokers with account holders who are our stockholders will be “householding” the Company’s proxy materials. A single set of Annual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your broker or us. Direct your written request to Tempest Therapeutics, Inc., Attention: Corporate Secretary, 2000 Sierra Point Parkway, Suite 400, Brisbane, CA 94005. Stockholders who currently receive multiple copies of the Annual Meeting materials at their addresses and would like to request “householding” of their communications should contact their brokers.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 xml:space="preserve">OTHER MATTERS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Constance Ames</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Secretary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copy of our Annual Report to the Securities and Exchange Commission on Form 10-K for the fiscal year ended December 31, 2025 is available without charge upon written request to: Corporate Secretary, Tempest Therapeutics, Inc., 2000 Sierra Point Parkway, Suite 400, Brisbane, California, 94005.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7724775" cy="10001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T04754-P59132 For Against Abstain ! ! ! ! ! ! ! ! ! ! ! ! TEMPEST THERAPEUTICS, INC. 1. To elect the Board's Class II nominees, Dr. John David Yee and Mr. William Drake Richey, to the Board of Directors to hold office until the 2029 Annual Meeting of Stockholders. 2. To ratify the selection of Ernst &amp; Young LLP as the independent registered public accounting firm for the fiscal year ending in December 31, 2026. 3. To approve, for purposes of complying with Nasdaq Listing Rule 5635(d), the potential issuance and sale of 20% or more of our issued and outstanding common stock, par value $0.001 per share of the Company (the "common stock"), pursuant to our purchase agreement with Lincoln Park Capital Fund, LLC. 4. To approve, pursuant to Nasdaq Listing Rule 5635(d), the issuance of up to (A) (i) 3,105,591 shares of common stock issuable upon the exercise of outstanding Series C Warrants and (ii) 3,105,591 shares of common stock issuable upon the exercise of outstanding Series D Warrants, which warrants were issued in connection with the Company's private placement pursuant to the Securities Purchase Agreement, dated September 11, 2026, by and between the Company and the investor party thereto (the "SPA") and (B) up to 217,391 shares of our common stock issuable upon the exercise of certain placement agent warrants issued to designees of H.C. Wainwright &amp; Co., LLC, our placement agent in connection with the private placement. The Board of Directors recommends you vote FOR the following proposals: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SCAN TO VIEW MATERIALS &amp; VOTEw TEMPEST THERAPEUTICS, INC. 2000 SIERRA POINT PARKWAY SUITE 400 BRISBANE, CALIFORNIA 94005 VOTE BY INTERNET Before The Meeting - Go to www.proxyvote.com or scan the QR Barcode above Use the Internet to transmit your voting instructions and for electronic delivery of information Vote by 11:59 p.m. Eastern Time on November 8, 2026. Have your proxy card in hand when you access the web site and follow the instructions to obtain your records and to create an electronic voting instruction form. During The Meeting - Go to www.virtualshareholdermeeting.com/TPST2026 You may attend the meeting via the Internet and vote during the meeting. Have the information that is printed in the box marked by the arrow available and follow the instructions. VOTE BY PHONE - 1-800-690-6903 Use any touch-tone telephone to transmit your voting instructions. Vote by 11:59 p.m. Eastern Time on November 8, 2026. Have your proxy card in hand when you call and then follow the instructions. VOTE BY MAIL Mark, sign and date your proxy card and return it in the postage-paid envelope we have provided or return it to Vote Processing, c/o Broadridge, 51 Mercedes Way, Edgewood, NY 11717.</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724775" cy="10001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T04755-P59132 Important Notice Regarding the Availability of Proxy Materials for the Annual Meeting: The Proxy Statement is available at www.proxyvote.com. TEMPEST THERAPEUTICS, INC. Annual Meeting of Stockholders November 9, 2026 at 1:00 p.m. Pacific Time This proxy is solicited by the Board of Directors The stockholder(s) hereby appoint(s) Matthew Angel and Constance Ames, or either of them, as proxies, each with the power to appoint his substitute, and hereby authorize(s) them to represent and to vote, as designated on the reverse side of this ballot, all of the shares of common stock of TEMPEST THERAPEUTICS, INC. that the stockholder(s) is/are entitled to vote at the Annual Meeting of Stockholders to be held live via webcast at www.virtualshareholdermeeting.com/TPST2026 on November 9, 2026 at 1:00 p.m. Pacific Time, and any adjournment or postponement thereof. This proxy, when properly executed, will be voted in the manner directed herein. If no such direction is made, this proxy will be voted in accordance with the Board of Directors' recommendations. Continued and to be signed on reverse side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4.jpeg"/><Relationship Id="rId11" Type="http://schemas.openxmlformats.org/officeDocument/2006/relationships/image" Target="media/image4.jpeg"/><Relationship Id="rId12" Type="http://schemas.openxmlformats.org/officeDocument/2006/relationships/image" Target="media/image4.jpeg"/><Relationship Id="rId13" Type="http://schemas.openxmlformats.org/officeDocument/2006/relationships/image" Target="media/image4.jpeg"/><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image" Target="media/image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26266</Words>
  <Characters>141447</Characters>
  <CharactersWithSpaces>168255</CharactersWithSpaces>
  <Paragraphs>2757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