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pst-20240930.htm"/>
        <w:bookmarkStart w:id="1" w:name="kstpst202409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bookmarkStart w:id="2" w:name="section1"/>
      <w:bookmarkEnd w:id="2"/>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w:t>
      </w:r>
      <w:r>
        <w:rPr>
          <w:rFonts w:ascii="Times New Roman" w:hAnsi="Times New Roman"/>
          <w:color w:val="000000"/>
          <w:sz w:val="20"/>
          <w:u w:val="single"/>
        </w:rPr>
        <w:t xml:space="preserve"> </w:t>
      </w:r>
      <w:r>
        <w:rPr>
          <w:rFonts w:ascii="Times New Roman" w:hAnsi="Times New Roman"/>
          <w:b/>
          <w:color w:val="000000"/>
          <w:sz w:val="18"/>
        </w:rPr>
        <w:t xml:space="preserve">to </w:t>
      </w:r>
      <w:r>
        <w:rPr>
          <w:rFonts w:ascii="Times New Roman" w:hAnsi="Times New Roman"/>
          <w:b/>
          <w:color w:val="FFFFFF"/>
          <w:sz w:val="18"/>
          <w:u w:val="single"/>
        </w:rPr>
        <w:t>.</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No. 001-35890</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472" w:type="dxa"/>
        <w:jc w:val="left"/>
        <w:tblInd w:w="0" w:type="dxa"/>
        <w:tblLayout w:type="fixed"/>
        <w:tblCellMar>
          <w:top w:w="28" w:type="dxa"/>
          <w:left w:w="28" w:type="dxa"/>
          <w:bottom w:w="28" w:type="dxa"/>
          <w:right w:w="28" w:type="dxa"/>
        </w:tblCellMar>
      </w:tblPr>
      <w:tblGrid>
        <w:gridCol w:w="3016"/>
        <w:gridCol w:w="1456"/>
      </w:tblGrid>
      <w:tr>
        <w:trPr/>
        <w:tc>
          <w:tcPr>
            <w:tcW w:w="30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Delaware</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45-1472564</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(State or Other Jurisdiction of</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(I.R.S. Employer</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Incorporation or Organization)</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Identification No.)</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2000 Sierra Point Parkway, Suite 400</w:t>
            </w:r>
          </w:p>
        </w:tc>
        <w:tc>
          <w:tcPr>
            <w:tcW w:w="1456" w:type="dxa"/>
            <w:tcBorders/>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Brisbane, California</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94005</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(Address of Principal Executive Offices)</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spacing w:before="0" w:after="120"/>
        <w:jc w:val="center"/>
        <w:rPr>
          <w:rFonts w:ascii="Times New Roman" w:hAnsi="Times New Roman"/>
          <w:sz w:val="20"/>
        </w:rPr>
      </w:pPr>
      <w:r>
        <w:rPr>
          <w:rFonts w:ascii="Times New Roman" w:hAnsi="Times New Roman"/>
          <w:b/>
          <w:color w:val="000000"/>
          <w:sz w:val="18"/>
        </w:rPr>
        <w:t>Registrant’s telephone number, including area code: (415)</w:t>
      </w:r>
      <w:r>
        <w:rPr>
          <w:rFonts w:ascii="Times New Roman" w:hAnsi="Times New Roman"/>
          <w:color w:val="000000"/>
          <w:sz w:val="20"/>
        </w:rPr>
        <w:t xml:space="preserve"> </w:t>
      </w:r>
      <w:r>
        <w:rPr>
          <w:rFonts w:ascii="Times New Roman" w:hAnsi="Times New Roman"/>
          <w:b/>
          <w:color w:val="000000"/>
          <w:sz w:val="18"/>
        </w:rPr>
        <w:t>798-8589</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8568" w:type="dxa"/>
        <w:jc w:val="left"/>
        <w:tblInd w:w="0" w:type="dxa"/>
        <w:tblLayout w:type="fixed"/>
        <w:tblCellMar>
          <w:top w:w="28" w:type="dxa"/>
          <w:left w:w="28" w:type="dxa"/>
          <w:bottom w:w="28" w:type="dxa"/>
          <w:right w:w="28" w:type="dxa"/>
        </w:tblCellMar>
      </w:tblPr>
      <w:tblGrid>
        <w:gridCol w:w="3916"/>
        <w:gridCol w:w="146"/>
        <w:gridCol w:w="496"/>
        <w:gridCol w:w="146"/>
        <w:gridCol w:w="2266"/>
        <w:gridCol w:w="146"/>
        <w:gridCol w:w="1261"/>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062" w:type="dxa"/>
            <w:gridSpan w:val="2"/>
            <w:vMerge w:val="restart"/>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Title of each class</w:t>
            </w:r>
          </w:p>
        </w:tc>
        <w:tc>
          <w:tcPr>
            <w:tcW w:w="642" w:type="dxa"/>
            <w:gridSpan w:val="2"/>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Trading</w:t>
            </w:r>
          </w:p>
        </w:tc>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Name of each exchange</w:t>
            </w:r>
          </w:p>
        </w:tc>
        <w:tc>
          <w:tcPr>
            <w:tcW w:w="146" w:type="dxa"/>
            <w:tcBorders/>
            <w:vAlign w:val="center"/>
          </w:tcPr>
          <w:p>
            <w:pPr>
              <w:pStyle w:val="TableContents"/>
              <w:bidi w:val="0"/>
              <w:spacing w:before="0" w:after="283"/>
              <w:jc w:val="left"/>
              <w:rPr/>
            </w:pPr>
            <w:r>
              <w:rPr/>
              <w:t> </w:t>
            </w:r>
          </w:p>
        </w:tc>
        <w:tc>
          <w:tcPr>
            <w:tcW w:w="1261"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062" w:type="dxa"/>
            <w:gridSpan w:val="2"/>
            <w:vMerge w:val="continue"/>
            <w:tcBorders/>
            <w:tcMar>
              <w:top w:w="0" w:type="dxa"/>
              <w:left w:w="0" w:type="dxa"/>
              <w:bottom w:w="0" w:type="dxa"/>
              <w:right w:w="0" w:type="dxa"/>
            </w:tcMar>
            <w:vAlign w:val="center"/>
          </w:tcPr>
          <w:p>
            <w:pPr>
              <w:pStyle w:val="Normal"/>
              <w:bidi w:val="0"/>
              <w:jc w:val="left"/>
              <w:rPr/>
            </w:pPr>
            <w:r>
              <w:rPr/>
            </w:r>
          </w:p>
        </w:tc>
        <w:tc>
          <w:tcPr>
            <w:tcW w:w="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2"/>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Symbol(s)</w:t>
            </w:r>
          </w:p>
        </w:tc>
        <w:tc>
          <w:tcPr>
            <w:tcW w:w="126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on which registered</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16" w:type="dxa"/>
            <w:tcBorders>
              <w:top w:val="single" w:sz="8" w:space="0" w:color="000000"/>
            </w:tcBorders>
            <w:tcMar>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Common Stock, $0.001 par value</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8" w:space="0" w:color="000000"/>
            </w:tcBorders>
            <w:tcMar>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TPST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The Nasdaq Stock Market LLC</w:t>
            </w:r>
          </w:p>
        </w:tc>
        <w:tc>
          <w:tcPr>
            <w:tcW w:w="146" w:type="dxa"/>
            <w:tcBorders/>
            <w:vAlign w:val="center"/>
          </w:tcPr>
          <w:p>
            <w:pPr>
              <w:pStyle w:val="TableContents"/>
              <w:bidi w:val="0"/>
              <w:spacing w:before="0" w:after="283"/>
              <w:jc w:val="left"/>
              <w:rPr/>
            </w:pPr>
            <w:r>
              <w:rPr/>
              <w:t> </w:t>
            </w:r>
          </w:p>
        </w:tc>
        <w:tc>
          <w:tcPr>
            <w:tcW w:w="1452" w:type="dxa"/>
            <w:gridSpan w:val="2"/>
            <w:tcBorders/>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Series A Junior Participating Preferred Purchase Rights</w:t>
            </w:r>
          </w:p>
        </w:tc>
        <w:tc>
          <w:tcPr>
            <w:tcW w:w="146" w:type="dxa"/>
            <w:tcBorders/>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N/A</w:t>
            </w:r>
          </w:p>
        </w:tc>
        <w:tc>
          <w:tcPr>
            <w:tcW w:w="146" w:type="dxa"/>
            <w:tcBorders/>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The Nasdaq Stock Market LLC</w:t>
            </w:r>
          </w:p>
        </w:tc>
        <w:tc>
          <w:tcPr>
            <w:tcW w:w="146" w:type="dxa"/>
            <w:tcBorders/>
            <w:vAlign w:val="center"/>
          </w:tcPr>
          <w:p>
            <w:pPr>
              <w:pStyle w:val="TableContents"/>
              <w:bidi w:val="0"/>
              <w:spacing w:before="0" w:after="283"/>
              <w:jc w:val="left"/>
              <w:rPr/>
            </w:pPr>
            <w:r>
              <w:rPr/>
              <w:t> </w:t>
            </w:r>
          </w:p>
        </w:tc>
        <w:tc>
          <w:tcPr>
            <w:tcW w:w="1452"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w:t>
      </w:r>
    </w:p>
    <w:p>
      <w:pPr>
        <w:pStyle w:val="TextBody"/>
        <w:pBdr>
          <w:bottom w:val="double" w:sz="6" w:space="1" w:color="000000"/>
        </w:pBdr>
        <w:bidi w:val="0"/>
        <w:jc w:val="left"/>
        <w:rPr>
          <w:rFonts w:ascii="Times New Roman" w:hAnsi="Times New Roman"/>
          <w:color w:val="000000"/>
          <w:sz w:val="16"/>
        </w:rPr>
      </w:pPr>
      <w:r>
        <w:rPr>
          <w:rFonts w:ascii="Times New Roman" w:hAnsi="Times New Roman"/>
          <w:color w:val="000000"/>
          <w:sz w:val="16"/>
        </w:rPr>
        <w:t>The number of shares of Registrant’s Common Stock, $0.001 par value per share, outstanding as of November 8, 2024 was 43,642,072.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index_to_form_10q"/>
      <w:bookmarkEnd w:id="3"/>
      <w:r>
        <w:rPr>
          <w:rFonts w:ascii="Times New Roman" w:hAnsi="Times New Roman"/>
          <w:b/>
          <w:color w:val="000000"/>
          <w:sz w:val="18"/>
        </w:rPr>
        <w:t>INDEX T</w:t>
      </w:r>
      <w:bookmarkStart w:id="4" w:name="toc_page"/>
      <w:bookmarkEnd w:id="4"/>
      <w:r>
        <w:rPr>
          <w:rFonts w:ascii="Times New Roman" w:hAnsi="Times New Roman"/>
          <w:b/>
          <w:color w:val="000000"/>
          <w:sz w:val="18"/>
        </w:rPr>
        <w:t>O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76"/>
        <w:gridCol w:w="8718"/>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871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b/>
                <w:color w:val="000000"/>
                <w:sz w:val="18"/>
                <w:u w:val="single"/>
              </w:rPr>
            </w:pPr>
            <w:r>
              <w:rPr>
                <w:rFonts w:ascii="Times New Roman" w:hAnsi="Times New Roman"/>
                <w:b/>
                <w:color w:val="000000"/>
                <w:sz w:val="18"/>
                <w:u w:val="single"/>
              </w:rPr>
              <w:t>Page</w:t>
            </w:r>
          </w:p>
        </w:tc>
      </w:tr>
      <w:tr>
        <w:trPr/>
        <w:tc>
          <w:tcPr>
            <w:tcW w:w="9694" w:type="dxa"/>
            <w:gridSpan w:val="2"/>
            <w:tcBorders/>
            <w:tcMar>
              <w:top w:w="0" w:type="dxa"/>
              <w:left w:w="0" w:type="dxa"/>
              <w:bottom w:w="0" w:type="dxa"/>
              <w:right w:w="0" w:type="dxa"/>
            </w:tcMar>
            <w:vAlign w:val="center"/>
          </w:tcPr>
          <w:p>
            <w:pPr>
              <w:pStyle w:val="TableContents"/>
              <w:bidi w:val="0"/>
              <w:spacing w:before="30" w:after="30"/>
              <w:jc w:val="left"/>
              <w:rPr/>
            </w:pPr>
            <w:hyperlink w:anchor="special_note_regarding_forward_looking">
              <w:r>
                <w:rPr>
                  <w:rStyle w:val="InternetLink"/>
                  <w:rFonts w:ascii="Times New Roman" w:hAnsi="Times New Roman"/>
                  <w:color w:val="0000FF"/>
                  <w:sz w:val="20"/>
                  <w:u w:val="single"/>
                </w:rPr>
                <w:t>Special Note Regarding Forward-Looking Statements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3</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center"/>
              <w:rPr/>
            </w:pPr>
            <w:hyperlink w:anchor="part_i_financial_information">
              <w:r>
                <w:rPr>
                  <w:rStyle w:val="InternetLink"/>
                  <w:rFonts w:ascii="Times New Roman" w:hAnsi="Times New Roman"/>
                  <w:color w:val="0000FF"/>
                  <w:sz w:val="20"/>
                  <w:u w:val="single"/>
                </w:rPr>
                <w:t>PART I — FINANCIAL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condensed_consolidated_balance_sheets">
              <w:r>
                <w:rPr>
                  <w:rStyle w:val="InternetLink"/>
                  <w:rFonts w:ascii="Times New Roman" w:hAnsi="Times New Roman"/>
                  <w:color w:val="0000FF"/>
                  <w:sz w:val="20"/>
                  <w:u w:val="single"/>
                </w:rPr>
                <w:t>Condensed Consolidated Balance Sheets as of September 30, 2024 and December 31,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operations_and_comp_loss">
              <w:r>
                <w:rPr>
                  <w:rStyle w:val="InternetLink"/>
                  <w:rFonts w:ascii="Times New Roman" w:hAnsi="Times New Roman"/>
                  <w:color w:val="0000FF"/>
                  <w:sz w:val="20"/>
                  <w:u w:val="single"/>
                </w:rPr>
                <w:t>Condensed Consolidated Statements of Operations for the Three and Nine Months Ended September 30, 2024 and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6</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stockholders_equity">
              <w:r>
                <w:rPr>
                  <w:rStyle w:val="InternetLink"/>
                  <w:rFonts w:ascii="Times New Roman" w:hAnsi="Times New Roman"/>
                  <w:color w:val="0000FF"/>
                  <w:sz w:val="20"/>
                  <w:u w:val="single"/>
                </w:rPr>
                <w:t>Condensed Consolidated Statements of Stockholders’ Equity for the Three and Nine Months Ended September 30, 2024 and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cash_flows">
              <w:r>
                <w:rPr>
                  <w:rStyle w:val="InternetLink"/>
                  <w:rFonts w:ascii="Times New Roman" w:hAnsi="Times New Roman"/>
                  <w:color w:val="0000FF"/>
                  <w:sz w:val="20"/>
                  <w:u w:val="single"/>
                </w:rPr>
                <w:t>Condensed Consolidated Statements of Cash Flows for the Nine Months Ended September 30, 2024 and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9</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2.</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2_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18</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3.</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28</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4.</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28</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center"/>
              <w:rPr/>
            </w:pPr>
            <w:hyperlink w:anchor="part_ii_other_information">
              <w:r>
                <w:rPr>
                  <w:rStyle w:val="InternetLink"/>
                  <w:rFonts w:ascii="Times New Roman" w:hAnsi="Times New Roman"/>
                  <w:color w:val="0000FF"/>
                  <w:sz w:val="20"/>
                  <w:u w:val="single"/>
                </w:rPr>
                <w:t>PART II — OTHER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29</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29</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1A.</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29</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2.</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80</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3.</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80</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4.</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80</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5.</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80</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6.</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81</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hyperlink w:anchor="signatures">
              <w:r>
                <w:rPr>
                  <w:rStyle w:val="InternetLink"/>
                  <w:rFonts w:ascii="Times New Roman" w:hAnsi="Times New Roman"/>
                  <w:color w:val="0000FF"/>
                  <w:sz w:val="20"/>
                  <w:u w:val="single"/>
                </w:rPr>
                <w:t>Signatures</w:t>
              </w:r>
            </w:hyperlink>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special_note_regarding_forward_looking"/>
      <w:bookmarkEnd w:id="5"/>
      <w:r>
        <w:rPr>
          <w:rFonts w:ascii="Times New Roman" w:hAnsi="Times New Roman"/>
          <w:b/>
          <w:color w:val="000000"/>
          <w:sz w:val="20"/>
        </w:rPr>
        <w:t>SPECIAL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Forward-looking statements contained in this Quarterly Report on Form 10-Q include, but are not limited to, statements about: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future growth and our ability to manage such growth;</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develop, obtain regulatory approval for and commercialize amezalpat (previously known as TPST-1120), TPST-1495 and any future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development, regulatory approval, efficacy and commercialization of competing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establish sales and marketing capabilities or enter into agreements with third parties to market and sell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retain regulatory approval for our product candidates or future product candidates in the United States and in any foreign countries in which we make seek to do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retain and hire our board of directors, senior management, or operational personnel;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develop and maintain our corporate infrastructure, including our ability to design and maintain an effective system of internal controls;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remain in compliance with our obligations under our term loan with Oxford Finance LLC, or to obtain a waiver from Oxford for any failure to comply with the covenants contained in such term loan agreement;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bank failures, public health crises or geopolitical tensions;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 regarding the period during which we will qualify as a smaller reporting company under the federal securities laws;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context suggests otherwise, references in this Quarterly Report on Form 10-Q to “Tempest,” “the Company,” “we,” “us,” and “our” refer to Tempest Therapeutics, Inc. and, where appropriate, its subsidiaries.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6" w:name="part_i_financial_information"/>
      <w:bookmarkEnd w:id="6"/>
      <w:r>
        <w:rPr>
          <w:rFonts w:ascii="Times New Roman" w:hAnsi="Times New Roman"/>
          <w:b/>
          <w:color w:val="000000"/>
          <w:sz w:val="20"/>
        </w:rPr>
        <w:t>PART I – FINANCIAL INFORMATION</w:t>
      </w:r>
    </w:p>
    <w:p>
      <w:pPr>
        <w:pStyle w:val="TextBody"/>
        <w:bidi w:val="0"/>
        <w:jc w:val="center"/>
        <w:rPr>
          <w:rFonts w:ascii="Times New Roman" w:hAnsi="Times New Roman"/>
          <w:b/>
          <w:color w:val="000000"/>
          <w:sz w:val="20"/>
        </w:rPr>
      </w:pPr>
      <w:bookmarkStart w:id="7" w:name="item_1_financial_statements"/>
      <w:bookmarkEnd w:id="7"/>
      <w:r>
        <w:rPr>
          <w:rFonts w:ascii="Times New Roman" w:hAnsi="Times New Roman"/>
          <w:b/>
          <w:color w:val="000000"/>
          <w:sz w:val="20"/>
        </w:rPr>
        <w:t>Item 1 – Financial Statements</w:t>
      </w:r>
    </w:p>
    <w:p>
      <w:pPr>
        <w:pStyle w:val="TextBody"/>
        <w:bidi w:val="0"/>
        <w:jc w:val="center"/>
        <w:rPr>
          <w:rFonts w:ascii="Times New Roman" w:hAnsi="Times New Roman"/>
          <w:b/>
          <w:color w:val="000000"/>
          <w:sz w:val="18"/>
        </w:rPr>
      </w:pPr>
      <w:bookmarkStart w:id="8" w:name="condensed_consolidated_balance_sheets"/>
      <w:bookmarkEnd w:id="8"/>
      <w:r>
        <w:rPr>
          <w:rFonts w:ascii="Times New Roman" w:hAnsi="Times New Roman"/>
          <w:b/>
          <w:color w:val="000000"/>
          <w:sz w:val="18"/>
        </w:rPr>
        <w:t>TEMPEST THERAPEUTICS, INC.</w:t>
      </w:r>
    </w:p>
    <w:p>
      <w:pPr>
        <w:pStyle w:val="TextBody"/>
        <w:bidi w:val="0"/>
        <w:jc w:val="center"/>
        <w:rPr>
          <w:rFonts w:ascii="Times New Roman" w:hAnsi="Times New Roman"/>
          <w:sz w:val="20"/>
        </w:rPr>
      </w:pPr>
      <w:r>
        <w:rPr>
          <w:rFonts w:ascii="Times New Roman" w:hAnsi="Times New Roman"/>
          <w:b/>
          <w:color w:val="000000"/>
          <w:sz w:val="18"/>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88"/>
        <w:gridCol w:w="446"/>
        <w:gridCol w:w="249"/>
        <w:gridCol w:w="994"/>
        <w:gridCol w:w="166"/>
        <w:gridCol w:w="146"/>
        <w:gridCol w:w="245"/>
        <w:gridCol w:w="977"/>
        <w:gridCol w:w="594"/>
      </w:tblGrid>
      <w:tr>
        <w:trPr/>
        <w:tc>
          <w:tcPr>
            <w:tcW w:w="63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388"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2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2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vAlign w:val="center"/>
          </w:tcPr>
          <w:p>
            <w:pPr>
              <w:pStyle w:val="TableContents"/>
              <w:bidi w:val="0"/>
              <w:spacing w:before="0" w:after="283"/>
              <w:jc w:val="left"/>
              <w:rPr/>
            </w:pPr>
            <w:r>
              <w:rPr/>
              <w:t> </w:t>
            </w:r>
          </w:p>
        </w:tc>
        <w:tc>
          <w:tcPr>
            <w:tcW w:w="124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4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3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3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8"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40,363</w:t>
            </w:r>
          </w:p>
        </w:tc>
        <w:tc>
          <w:tcPr>
            <w:tcW w:w="594" w:type="dxa"/>
            <w:tcBorders/>
            <w:shd w:fill="CFF0FC" w:val="cle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 net</w:t>
            </w:r>
          </w:p>
        </w:tc>
        <w:tc>
          <w:tcPr>
            <w:tcW w:w="4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594" w:type="dxa"/>
            <w:tcBorders/>
            <w:shd w:fill="FFFFFF" w:val="clear"/>
            <w:vAlign w:val="center"/>
          </w:tcPr>
          <w:p>
            <w:pPr>
              <w:pStyle w:val="TableContents"/>
              <w:bidi w:val="0"/>
              <w:spacing w:before="0" w:after="283"/>
              <w:jc w:val="left"/>
              <w:rPr/>
            </w:pPr>
            <w:r>
              <w:rPr/>
              <w:t> </w:t>
            </w:r>
          </w:p>
        </w:tc>
      </w:tr>
      <w:tr>
        <w:trPr/>
        <w:tc>
          <w:tcPr>
            <w:tcW w:w="6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4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w:t>
            </w:r>
          </w:p>
        </w:tc>
        <w:tc>
          <w:tcPr>
            <w:tcW w:w="594" w:type="dxa"/>
            <w:tcBorders/>
            <w:shd w:fill="CFF0FC" w:val="cle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4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51,603</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4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446" w:type="dxa"/>
            <w:tcBorders/>
            <w:shd w:fill="CFF0FC" w:val="clear"/>
            <w:vAlign w:val="center"/>
          </w:tcPr>
          <w:p>
            <w:pPr>
              <w:pStyle w:val="TableContents"/>
              <w:bidi w:val="0"/>
              <w:spacing w:before="0" w:after="283"/>
              <w:jc w:val="left"/>
              <w:rPr/>
            </w:pPr>
            <w:r>
              <w:rPr/>
              <w:t> </w:t>
            </w:r>
          </w:p>
        </w:tc>
        <w:tc>
          <w:tcPr>
            <w:tcW w:w="124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3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3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3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loan payable (net of discount and issuance costs of $122 and $112, respectively)</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3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operating lease liabilities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3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3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payable</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8"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594" w:type="dxa"/>
            <w:tcBorders/>
            <w:shd w:fill="FFFFFF" w:val="clear"/>
            <w:vAlign w:val="center"/>
          </w:tcPr>
          <w:p>
            <w:pPr>
              <w:pStyle w:val="TableContents"/>
              <w:bidi w:val="0"/>
              <w:spacing w:before="0" w:after="283"/>
              <w:jc w:val="left"/>
              <w:rPr/>
            </w:pPr>
            <w:r>
              <w:rPr/>
              <w:t> </w:t>
            </w:r>
          </w:p>
        </w:tc>
      </w:tr>
      <w:tr>
        <w:trPr/>
        <w:tc>
          <w:tcPr>
            <w:tcW w:w="6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(net of discount and issuance costs of nil and $164, respectively)</w:t>
            </w:r>
          </w:p>
        </w:tc>
        <w:tc>
          <w:tcPr>
            <w:tcW w:w="4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594" w:type="dxa"/>
            <w:tcBorders/>
            <w:shd w:fill="CFF0FC" w:val="cle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4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446" w:type="dxa"/>
            <w:tcBorders/>
            <w:shd w:fill="FFFFFF" w:val="clear"/>
            <w:vAlign w:val="center"/>
          </w:tcPr>
          <w:p>
            <w:pPr>
              <w:pStyle w:val="TableContents"/>
              <w:bidi w:val="0"/>
              <w:spacing w:before="0" w:after="283"/>
              <w:jc w:val="left"/>
              <w:rPr/>
            </w:pPr>
            <w:r>
              <w:rPr/>
              <w:t> </w:t>
            </w:r>
          </w:p>
        </w:tc>
        <w:tc>
          <w:tcPr>
            <w:tcW w:w="12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446" w:type="dxa"/>
            <w:tcBorders/>
            <w:shd w:fill="CFF0FC" w:val="clear"/>
            <w:vAlign w:val="center"/>
          </w:tcPr>
          <w:p>
            <w:pPr>
              <w:pStyle w:val="TableContents"/>
              <w:bidi w:val="0"/>
              <w:spacing w:before="0" w:after="283"/>
              <w:jc w:val="left"/>
              <w:rPr/>
            </w:pPr>
            <w:r>
              <w:rPr/>
              <w:t> </w:t>
            </w:r>
          </w:p>
        </w:tc>
        <w:tc>
          <w:tcPr>
            <w:tcW w:w="124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3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100,000,000 shares authorized; 26,565,886 and 22,045,255 shares issued and outstanding at September 30, 2024 and December 31, 2023, respectively</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3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192,009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3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(165,263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4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51,603</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9" w:name="statements_operations_and_comp_loss"/>
      <w:bookmarkEnd w:id="9"/>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19"/>
        <w:gridCol w:w="146"/>
        <w:gridCol w:w="212"/>
        <w:gridCol w:w="1045"/>
        <w:gridCol w:w="167"/>
        <w:gridCol w:w="147"/>
        <w:gridCol w:w="212"/>
        <w:gridCol w:w="1045"/>
        <w:gridCol w:w="166"/>
        <w:gridCol w:w="146"/>
        <w:gridCol w:w="211"/>
        <w:gridCol w:w="1036"/>
        <w:gridCol w:w="166"/>
        <w:gridCol w:w="146"/>
        <w:gridCol w:w="211"/>
        <w:gridCol w:w="1036"/>
        <w:gridCol w:w="494"/>
      </w:tblGrid>
      <w:tr>
        <w:trPr/>
        <w:tc>
          <w:tcPr>
            <w:tcW w:w="3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6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ind w:left="0" w:right="0" w:firstLine="100"/>
              <w:jc w:val="left"/>
              <w:rPr/>
            </w:pPr>
            <w:r>
              <w:rPr/>
              <w:t> </w:t>
            </w:r>
          </w:p>
        </w:tc>
      </w:tr>
      <w:tr>
        <w:trPr/>
        <w:tc>
          <w:tcPr>
            <w:tcW w:w="361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w:t>
            </w:r>
          </w:p>
        </w:tc>
        <w:tc>
          <w:tcPr>
            <w:tcW w:w="494" w:type="dxa"/>
            <w:tcBorders/>
            <w:shd w:fill="FFFFFF" w:val="clear"/>
            <w:vAlign w:val="center"/>
          </w:tcPr>
          <w:p>
            <w:pPr>
              <w:pStyle w:val="TableContents"/>
              <w:bidi w:val="0"/>
              <w:spacing w:before="0" w:after="283"/>
              <w:ind w:left="0" w:right="0" w:firstLine="100"/>
              <w:jc w:val="left"/>
              <w:rPr/>
            </w:pPr>
            <w:r>
              <w:rPr/>
              <w:t> </w:t>
            </w:r>
          </w:p>
        </w:tc>
      </w:tr>
      <w:tr>
        <w:trPr/>
        <w:tc>
          <w:tcPr>
            <w:tcW w:w="361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4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19"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(21,643</w:t>
            </w:r>
          </w:p>
        </w:tc>
        <w:tc>
          <w:tcPr>
            <w:tcW w:w="4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ind w:left="0" w:right="0" w:firstLine="100"/>
              <w:jc w:val="left"/>
              <w:rPr/>
            </w:pPr>
            <w:r>
              <w:rPr/>
              <w:t> </w:t>
            </w:r>
          </w:p>
        </w:tc>
      </w:tr>
      <w:tr>
        <w:trPr/>
        <w:tc>
          <w:tcPr>
            <w:tcW w:w="3619"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49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49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19"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RSUs and pre-funded warrants, basic and diluted</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RSUs and pre-funded warrants outstanding, basic and diluted</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25,806,825</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23,537,453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14,059,008</w:t>
            </w:r>
          </w:p>
        </w:tc>
        <w:tc>
          <w:tcPr>
            <w:tcW w:w="494"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10" w:name="statements_stockholders_equity"/>
      <w:bookmarkEnd w:id="10"/>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Nine Months Ended September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1"/>
        <w:gridCol w:w="146"/>
        <w:gridCol w:w="146"/>
        <w:gridCol w:w="916"/>
        <w:gridCol w:w="146"/>
        <w:gridCol w:w="146"/>
        <w:gridCol w:w="271"/>
        <w:gridCol w:w="480"/>
        <w:gridCol w:w="146"/>
        <w:gridCol w:w="146"/>
        <w:gridCol w:w="208"/>
        <w:gridCol w:w="741"/>
        <w:gridCol w:w="146"/>
        <w:gridCol w:w="146"/>
        <w:gridCol w:w="233"/>
        <w:gridCol w:w="893"/>
        <w:gridCol w:w="166"/>
        <w:gridCol w:w="146"/>
        <w:gridCol w:w="258"/>
        <w:gridCol w:w="871"/>
        <w:gridCol w:w="213"/>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22,045,255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26,768</w:t>
            </w:r>
          </w:p>
        </w:tc>
        <w:tc>
          <w:tcPr>
            <w:tcW w:w="213" w:type="dxa"/>
            <w:tcBorders/>
            <w:shd w:fill="CFF0FC"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issuance costs of $8)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3" w:type="dxa"/>
            <w:tcBorders/>
            <w:shd w:fill="FFFFFF" w:val="clear"/>
            <w:vAlign w:val="center"/>
          </w:tcPr>
          <w:p>
            <w:pPr>
              <w:pStyle w:val="TableContents"/>
              <w:bidi w:val="0"/>
              <w:spacing w:before="0" w:after="283"/>
              <w:jc w:val="left"/>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213" w:type="dxa"/>
            <w:tcBorders/>
            <w:shd w:fill="CFF0FC"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equity plan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13" w:type="dxa"/>
            <w:tcBorders/>
            <w:shd w:fill="FFFFFF" w:val="clear"/>
            <w:vAlign w:val="center"/>
          </w:tcPr>
          <w:p>
            <w:pPr>
              <w:pStyle w:val="TableContents"/>
              <w:bidi w:val="0"/>
              <w:spacing w:before="0" w:after="283"/>
              <w:jc w:val="left"/>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22,217,265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(173,167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20,632</w:t>
            </w:r>
          </w:p>
        </w:tc>
        <w:tc>
          <w:tcPr>
            <w:tcW w:w="213" w:type="dxa"/>
            <w:tcBorders/>
            <w:shd w:fill="FFFFFF" w:val="clear"/>
            <w:vAlign w:val="center"/>
          </w:tcPr>
          <w:p>
            <w:pPr>
              <w:pStyle w:val="TableContents"/>
              <w:bidi w:val="0"/>
              <w:spacing w:before="0" w:after="283"/>
              <w:jc w:val="left"/>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issuance costs of $261)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4,557</w:t>
            </w:r>
          </w:p>
        </w:tc>
        <w:tc>
          <w:tcPr>
            <w:tcW w:w="213" w:type="dxa"/>
            <w:tcBorders/>
            <w:shd w:fill="CFF0FC"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213" w:type="dxa"/>
            <w:tcBorders/>
            <w:shd w:fill="FFFFFF" w:val="clear"/>
            <w:vAlign w:val="center"/>
          </w:tcPr>
          <w:p>
            <w:pPr>
              <w:pStyle w:val="TableContents"/>
              <w:bidi w:val="0"/>
              <w:spacing w:before="0" w:after="283"/>
              <w:jc w:val="left"/>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equity plan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24,475,799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16,939</w:t>
            </w:r>
          </w:p>
        </w:tc>
        <w:tc>
          <w:tcPr>
            <w:tcW w:w="213" w:type="dxa"/>
            <w:tcBorders/>
            <w:shd w:fill="CFF0FC"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issuance costs of $112)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w:t>
            </w:r>
          </w:p>
        </w:tc>
        <w:tc>
          <w:tcPr>
            <w:tcW w:w="213" w:type="dxa"/>
            <w:tcBorders/>
            <w:shd w:fill="FFFFFF" w:val="clear"/>
            <w:vAlign w:val="center"/>
          </w:tcPr>
          <w:p>
            <w:pPr>
              <w:pStyle w:val="TableContents"/>
              <w:bidi w:val="0"/>
              <w:spacing w:before="0" w:after="283"/>
              <w:jc w:val="left"/>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w:t>
            </w:r>
          </w:p>
        </w:tc>
        <w:tc>
          <w:tcPr>
            <w:tcW w:w="213" w:type="dxa"/>
            <w:tcBorders/>
            <w:shd w:fill="CFF0FC"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equity plan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13" w:type="dxa"/>
            <w:tcBorders/>
            <w:shd w:fill="FFFFFF" w:val="clear"/>
            <w:vAlign w:val="center"/>
          </w:tcPr>
          <w:p>
            <w:pPr>
              <w:pStyle w:val="TableContents"/>
              <w:bidi w:val="0"/>
              <w:spacing w:before="0" w:after="283"/>
              <w:jc w:val="left"/>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26,565,886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Nine Months Ended September 30,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5"/>
        <w:gridCol w:w="146"/>
        <w:gridCol w:w="146"/>
        <w:gridCol w:w="916"/>
        <w:gridCol w:w="146"/>
        <w:gridCol w:w="146"/>
        <w:gridCol w:w="271"/>
        <w:gridCol w:w="480"/>
        <w:gridCol w:w="146"/>
        <w:gridCol w:w="146"/>
        <w:gridCol w:w="211"/>
        <w:gridCol w:w="751"/>
        <w:gridCol w:w="146"/>
        <w:gridCol w:w="146"/>
        <w:gridCol w:w="233"/>
        <w:gridCol w:w="893"/>
        <w:gridCol w:w="166"/>
        <w:gridCol w:w="146"/>
        <w:gridCol w:w="280"/>
        <w:gridCol w:w="861"/>
        <w:gridCol w:w="214"/>
      </w:tblGrid>
      <w:tr>
        <w:trPr/>
        <w:tc>
          <w:tcPr>
            <w:tcW w:w="3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4" w:type="dxa"/>
            <w:tcBorders/>
            <w:shd w:fill="FFFFFF" w:val="clear"/>
            <w:vAlign w:val="center"/>
          </w:tcPr>
          <w:p>
            <w:pPr>
              <w:pStyle w:val="TableContents"/>
              <w:bidi w:val="0"/>
              <w:spacing w:before="0" w:after="283"/>
              <w:jc w:val="center"/>
              <w:rPr/>
            </w:pPr>
            <w:r>
              <w:rPr/>
              <w:t> </w:t>
            </w:r>
          </w:p>
        </w:tc>
      </w:tr>
      <w:tr>
        <w:trPr/>
        <w:tc>
          <w:tcPr>
            <w:tcW w:w="36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10,518,539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18,111</w:t>
            </w:r>
          </w:p>
        </w:tc>
        <w:tc>
          <w:tcPr>
            <w:tcW w:w="214" w:type="dxa"/>
            <w:tcBorders/>
            <w:shd w:fill="CFF0FC"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4" w:type="dxa"/>
            <w:tcBorders/>
            <w:shd w:fill="FFFFFF" w:val="clear"/>
            <w:vAlign w:val="center"/>
          </w:tcPr>
          <w:p>
            <w:pPr>
              <w:pStyle w:val="TableContents"/>
              <w:bidi w:val="0"/>
              <w:spacing w:before="0" w:after="283"/>
              <w:jc w:val="left"/>
              <w:rPr/>
            </w:pPr>
            <w:r>
              <w:rPr/>
              <w:t> </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214" w:type="dxa"/>
            <w:tcBorders/>
            <w:shd w:fill="CFF0FC"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10,561,700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(143,408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10,965</w:t>
            </w:r>
          </w:p>
        </w:tc>
        <w:tc>
          <w:tcPr>
            <w:tcW w:w="214" w:type="dxa"/>
            <w:tcBorders/>
            <w:shd w:fill="CFF0FC"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 (net of issuance cost of $30)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w:t>
            </w:r>
          </w:p>
        </w:tc>
        <w:tc>
          <w:tcPr>
            <w:tcW w:w="214" w:type="dxa"/>
            <w:tcBorders/>
            <w:shd w:fill="FFFFFF" w:val="clear"/>
            <w:vAlign w:val="center"/>
          </w:tcPr>
          <w:p>
            <w:pPr>
              <w:pStyle w:val="TableContents"/>
              <w:bidi w:val="0"/>
              <w:spacing w:before="0" w:after="283"/>
              <w:jc w:val="left"/>
              <w:rPr/>
            </w:pPr>
            <w:r>
              <w:rPr/>
              <w:t> </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4" w:type="dxa"/>
            <w:tcBorders/>
            <w:shd w:fill="CFF0FC"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214" w:type="dxa"/>
            <w:tcBorders/>
            <w:shd w:fill="FFFFFF" w:val="clear"/>
            <w:vAlign w:val="center"/>
          </w:tcPr>
          <w:p>
            <w:pPr>
              <w:pStyle w:val="TableContents"/>
              <w:bidi w:val="0"/>
              <w:spacing w:before="0" w:after="283"/>
              <w:jc w:val="left"/>
              <w:rPr/>
            </w:pPr>
            <w:r>
              <w:rPr/>
              <w:t> </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4" w:type="dxa"/>
            <w:tcBorders/>
            <w:shd w:fill="CFF0FC"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12,583,833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(150,989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5,012</w:t>
            </w:r>
          </w:p>
        </w:tc>
        <w:tc>
          <w:tcPr>
            <w:tcW w:w="214" w:type="dxa"/>
            <w:tcBorders/>
            <w:shd w:fill="CFF0FC"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14" w:type="dxa"/>
            <w:tcBorders/>
            <w:shd w:fill="FFFFFF" w:val="clear"/>
            <w:vAlign w:val="center"/>
          </w:tcPr>
          <w:p>
            <w:pPr>
              <w:pStyle w:val="TableContents"/>
              <w:bidi w:val="0"/>
              <w:spacing w:before="0" w:after="283"/>
              <w:jc w:val="left"/>
              <w:rPr/>
            </w:pPr>
            <w:r>
              <w:rPr/>
              <w:t> </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4" w:type="dxa"/>
            <w:tcBorders/>
            <w:shd w:fill="CFF0FC" w:val="clear"/>
            <w:vAlign w:val="center"/>
          </w:tcPr>
          <w:p>
            <w:pPr>
              <w:pStyle w:val="TableContents"/>
              <w:bidi w:val="0"/>
              <w:spacing w:before="0" w:after="283"/>
              <w:jc w:val="left"/>
              <w:rPr/>
            </w:pPr>
            <w:r>
              <w:rPr/>
              <w:t> </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214" w:type="dxa"/>
            <w:tcBorders/>
            <w:shd w:fill="FFFFFF" w:val="clear"/>
            <w:vAlign w:val="center"/>
          </w:tcPr>
          <w:p>
            <w:pPr>
              <w:pStyle w:val="TableContents"/>
              <w:bidi w:val="0"/>
              <w:spacing w:before="0" w:after="283"/>
              <w:jc w:val="left"/>
              <w:rPr/>
            </w:pPr>
            <w:r>
              <w:rPr/>
              <w:t> </w:t>
            </w:r>
          </w:p>
        </w:tc>
      </w:tr>
      <w:tr>
        <w:trPr/>
        <w:tc>
          <w:tcPr>
            <w:tcW w:w="36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14,323,405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11" w:name="statements_cash_flows"/>
      <w:bookmarkEnd w:id="11"/>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7042"/>
        <w:gridCol w:w="146"/>
        <w:gridCol w:w="211"/>
        <w:gridCol w:w="736"/>
        <w:gridCol w:w="166"/>
        <w:gridCol w:w="146"/>
        <w:gridCol w:w="211"/>
        <w:gridCol w:w="736"/>
        <w:gridCol w:w="8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w:t>
              <w:br/>
              <w:t>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70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70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0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70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0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interest and 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70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0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70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0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0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70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in connection with at-the-market offering,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811" w:type="dxa"/>
            <w:tcBorders/>
            <w:shd w:fill="CFF0FC" w:val="clear"/>
            <w:vAlign w:val="center"/>
          </w:tcPr>
          <w:p>
            <w:pPr>
              <w:pStyle w:val="TableContents"/>
              <w:bidi w:val="0"/>
              <w:spacing w:before="0" w:after="283"/>
              <w:jc w:val="left"/>
              <w:rPr/>
            </w:pPr>
            <w:r>
              <w:rPr/>
              <w:t> </w:t>
            </w:r>
          </w:p>
        </w:tc>
      </w:tr>
      <w:tr>
        <w:trPr/>
        <w:tc>
          <w:tcPr>
            <w:tcW w:w="70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under equity plan awards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4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811" w:type="dxa"/>
            <w:tcBorders/>
            <w:shd w:fill="FFFFFF" w:val="clear"/>
            <w:vAlign w:val="center"/>
          </w:tcPr>
          <w:p>
            <w:pPr>
              <w:pStyle w:val="TableContents"/>
              <w:bidi w:val="0"/>
              <w:spacing w:before="0" w:after="283"/>
              <w:jc w:val="left"/>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(20,092</w:t>
            </w:r>
          </w:p>
        </w:tc>
        <w:tc>
          <w:tcPr>
            <w:tcW w:w="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business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4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in 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notes_to_financial_statements"/>
      <w:bookmarkEnd w:id="12"/>
      <w:r>
        <w:rPr>
          <w:rFonts w:ascii="Times New Roman" w:hAnsi="Times New Roman"/>
          <w:b/>
          <w:color w:val="000000"/>
          <w:sz w:val="20"/>
        </w:rPr>
        <w:t>TEMPEST THERAPEUTICS,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are in thousands, except share and per share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ORGANIZATION AND DESCRIPTION OF THE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Tempest Therapeutics, Inc. (“Tempest” or the “Company”) is a clinical-stage biotechnology company moving into late-stage development with a diverse portfolio of targeted and immune-mediated product candidates with the potential to be first-in-class treatments for a wide range of cancers. Tempest’s novel programs range from early research to the lead program, amezalpat (previously known as TPST-1120), that is poised to begin a pivotal study in first-line liver cancer. Tempest is also developing other potential product candidates in its Discovery Research group. The Company is headquartered in Brisbane, California.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The Company has incurred operating losses since inception. As of September 30, 2024, the Company had cash and cash equivalents of $22.1 million. The Company has not yet generated product sales and as a result has experienced operating losses since inception. The Company expects to incur additional losses in the future to conduct research and development and will need to raise additional capital to continue operations. The Company intends to raise such capital through the issuance of additional debt or equity including in connection with potential merger opportunities, or through business development activities. The Company’s ability to continue as a going concern is dependent upon its ability to control its variable spend over the next 12 months, while management plans to secure sources of financing and ultimately attain profitable operations. If the Company are unable to obtain adequate capital, it could be forced to cease operations. Management believes that its existing cash and cash equivalents will be sufficient to fund the Company’s cash requirements for at least 12 months following the issuance of these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ATM Program</w:t>
      </w:r>
    </w:p>
    <w:p>
      <w:pPr>
        <w:pStyle w:val="TextBody"/>
        <w:bidi w:val="0"/>
        <w:spacing w:before="240" w:after="283"/>
        <w:jc w:val="both"/>
        <w:rPr>
          <w:rFonts w:ascii="Times New Roman" w:hAnsi="Times New Roman"/>
          <w:sz w:val="20"/>
        </w:rPr>
      </w:pPr>
      <w:r>
        <w:rPr>
          <w:rFonts w:ascii="Times New Roman" w:hAnsi="Times New Roman"/>
          <w:color w:val="000000"/>
          <w:sz w:val="20"/>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approximately $42.7 million ($41.5 million net of commissions and estimated expenses) under the Prior ATM Program. On June 20, 2024, the Company and Jefferies terminated the Prior ATM Program and entered a new Open Market Sale Agreement</w:t>
      </w:r>
      <w:r>
        <w:rPr>
          <w:rFonts w:ascii="Times New Roman" w:hAnsi="Times New Roman"/>
          <w:color w:val="000000"/>
          <w:sz w:val="13"/>
        </w:rPr>
        <w:t>SM</w:t>
      </w:r>
      <w:r>
        <w:rPr>
          <w:rFonts w:ascii="Times New Roman" w:hAnsi="Times New Roman"/>
          <w:color w:val="000000"/>
          <w:sz w:val="20"/>
        </w:rPr>
        <w:t xml:space="preserve"> (the “Sales Agreement”) to sell shares of common stock from time to time through Jefferies acting as sales agent (the “ATM Program”). Pursuant to the prospectus supplement dated June 20, 2024 (the “Prospectus Supplement”) filed by the Company with the U.S. Securities and Exchange Commission (“SEC”), the Company will be able to offer and sell up to $205,000,000 of its shares of common stock pursuant to the Sales Agreement. The Company will pay Jefferies a commission up to 3.0% of the gross sales proceeds of any shares of its common stock sold through Jefferies under the ATM Program and also has provided Jefferies with indemnification and contribution rights. As of September 30, 2024, the Company has sold an aggregate of 4,164,167 shares of its common stock for gross proceeds of approximately $8.6 million, or $8.3 million after deducting commissions and offering expenses, pursuant to the ATM Program. As of September 30, 2024, approximately $196.4 million remained available for sale under the ATM Program. Between October 1, 2024 and November 8, 2024, the Company sold 17,076,186 shares of the Company's common stock for gross proceeds of $20.5 million, or $19.9 million after deducting commissions and estimated offering expenses, pursuant to the ATM Program.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 As of September 30, 2024, all pre-funded warrants had been exercised.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—The Company’s significant accounting policies are described in Note 2, “Summary of Significant Accounting Policies,” in the Company’s Annual Report on Form 10-K filed with the SEC on March 19, 2024. There have been no material changes to the significant accounting policies during the period ended September 30, 2024.</w:t>
      </w:r>
    </w:p>
    <w:p>
      <w:pPr>
        <w:pStyle w:val="TextBody"/>
        <w:bidi w:val="0"/>
        <w:spacing w:before="20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—The unaudited interim Condensed Consolidated Financial Statements have been prepared pursuant to the rules and regulations of 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pStyle w:val="TextBody"/>
        <w:bidi w:val="0"/>
        <w:spacing w:before="20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pStyle w:val="TextBody"/>
        <w:bidi w:val="0"/>
        <w:spacing w:before="200" w:after="283"/>
        <w:jc w:val="both"/>
        <w:rPr>
          <w:rFonts w:ascii="Times New Roman" w:hAnsi="Times New Roman"/>
          <w:b/>
          <w:color w:val="000000"/>
          <w:sz w:val="20"/>
        </w:rPr>
      </w:pPr>
      <w:bookmarkStart w:id="13" w:name="section14"/>
      <w:bookmarkEnd w:id="13"/>
      <w:r>
        <w:rPr>
          <w:rFonts w:ascii="Times New Roman" w:hAnsi="Times New Roman"/>
          <w:b/>
          <w:color w:val="000000"/>
          <w:sz w:val="20"/>
        </w:rPr>
        <w:t>3.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Company’s fair value hierarchy for assets measured at fair value on a recurring basis:</w:t>
      </w:r>
    </w:p>
    <w:p>
      <w:pPr>
        <w:pStyle w:val="TextBody"/>
        <w:bidi w:val="0"/>
        <w:jc w:val="both"/>
        <w:rPr/>
      </w:pPr>
      <w:r>
        <w:rPr/>
        <w:t> </w:t>
      </w:r>
    </w:p>
    <w:tbl>
      <w:tblPr>
        <w:tblW w:w="6543" w:type="dxa"/>
        <w:jc w:val="left"/>
        <w:tblInd w:w="0" w:type="dxa"/>
        <w:tblLayout w:type="fixed"/>
        <w:tblCellMar>
          <w:top w:w="28" w:type="dxa"/>
          <w:left w:w="28" w:type="dxa"/>
          <w:bottom w:w="28" w:type="dxa"/>
          <w:right w:w="28" w:type="dxa"/>
        </w:tblCellMar>
      </w:tblPr>
      <w:tblGrid>
        <w:gridCol w:w="2266"/>
        <w:gridCol w:w="146"/>
        <w:gridCol w:w="211"/>
        <w:gridCol w:w="676"/>
        <w:gridCol w:w="146"/>
        <w:gridCol w:w="146"/>
        <w:gridCol w:w="244"/>
        <w:gridCol w:w="401"/>
        <w:gridCol w:w="146"/>
        <w:gridCol w:w="146"/>
        <w:gridCol w:w="244"/>
        <w:gridCol w:w="401"/>
        <w:gridCol w:w="146"/>
        <w:gridCol w:w="146"/>
        <w:gridCol w:w="211"/>
        <w:gridCol w:w="67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w:t>
      </w:r>
    </w:p>
    <w:p>
      <w:pPr>
        <w:pStyle w:val="TextBody"/>
        <w:bidi w:val="0"/>
        <w:jc w:val="both"/>
        <w:rPr/>
      </w:pPr>
      <w:r>
        <w:rPr/>
        <w:t> </w:t>
      </w:r>
    </w:p>
    <w:tbl>
      <w:tblPr>
        <w:tblW w:w="6915" w:type="dxa"/>
        <w:jc w:val="left"/>
        <w:tblInd w:w="0" w:type="dxa"/>
        <w:tblLayout w:type="fixed"/>
        <w:tblCellMar>
          <w:top w:w="28" w:type="dxa"/>
          <w:left w:w="28" w:type="dxa"/>
          <w:bottom w:w="28" w:type="dxa"/>
          <w:right w:w="28" w:type="dxa"/>
        </w:tblCellMar>
      </w:tblPr>
      <w:tblGrid>
        <w:gridCol w:w="3346"/>
        <w:gridCol w:w="146"/>
        <w:gridCol w:w="323"/>
        <w:gridCol w:w="877"/>
        <w:gridCol w:w="446"/>
        <w:gridCol w:w="446"/>
        <w:gridCol w:w="307"/>
        <w:gridCol w:w="833"/>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446" w:type="dxa"/>
            <w:tcBorders/>
            <w:shd w:fill="CCEEFF" w:val="cle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30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91" w:type="dxa"/>
            <w:tcBorders/>
            <w:shd w:fill="CCEEFF"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costs</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446" w:type="dxa"/>
            <w:tcBorders/>
            <w:shd w:fill="FFFFFF" w:val="cle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3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both"/>
        <w:rPr/>
      </w:pPr>
      <w:r>
        <w:rPr/>
        <w:t> </w:t>
      </w:r>
    </w:p>
    <w:tbl>
      <w:tblPr>
        <w:tblW w:w="6400" w:type="dxa"/>
        <w:jc w:val="left"/>
        <w:tblInd w:w="0" w:type="dxa"/>
        <w:tblLayout w:type="fixed"/>
        <w:tblCellMar>
          <w:top w:w="28" w:type="dxa"/>
          <w:left w:w="28" w:type="dxa"/>
          <w:bottom w:w="28" w:type="dxa"/>
          <w:right w:w="28" w:type="dxa"/>
        </w:tblCellMar>
      </w:tblPr>
      <w:tblGrid>
        <w:gridCol w:w="2911"/>
        <w:gridCol w:w="446"/>
        <w:gridCol w:w="300"/>
        <w:gridCol w:w="900"/>
        <w:gridCol w:w="166"/>
        <w:gridCol w:w="146"/>
        <w:gridCol w:w="285"/>
        <w:gridCol w:w="855"/>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446" w:type="dxa"/>
            <w:tcBorders/>
            <w:shd w:fill="CFF0FC"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4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446" w:type="dxa"/>
            <w:tcBorders/>
            <w:shd w:fill="CFF0FC"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4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4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4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three and nine months ended September 30, 2024 was $98 and $340, respectively. Depreciation expense for the three and nine months ended September 30, 2023 was $88 and $296,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w:t>
      </w:r>
    </w:p>
    <w:p>
      <w:pPr>
        <w:pStyle w:val="TextBody"/>
        <w:bidi w:val="0"/>
        <w:jc w:val="both"/>
        <w:rPr/>
      </w:pPr>
      <w:r>
        <w:rPr/>
        <w:t> </w:t>
      </w:r>
    </w:p>
    <w:tbl>
      <w:tblPr>
        <w:tblW w:w="5505" w:type="dxa"/>
        <w:jc w:val="left"/>
        <w:tblInd w:w="0" w:type="dxa"/>
        <w:tblLayout w:type="fixed"/>
        <w:tblCellMar>
          <w:top w:w="28" w:type="dxa"/>
          <w:left w:w="28" w:type="dxa"/>
          <w:bottom w:w="28" w:type="dxa"/>
          <w:right w:w="28" w:type="dxa"/>
        </w:tblCellMar>
      </w:tblPr>
      <w:tblGrid>
        <w:gridCol w:w="2536"/>
        <w:gridCol w:w="146"/>
        <w:gridCol w:w="323"/>
        <w:gridCol w:w="877"/>
        <w:gridCol w:w="146"/>
        <w:gridCol w:w="146"/>
        <w:gridCol w:w="307"/>
        <w:gridCol w:w="833"/>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91" w:type="dxa"/>
            <w:tcBorders/>
            <w:shd w:fill="CCEEFF"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liability</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4" w:name="section16"/>
      <w:bookmarkEnd w:id="14"/>
      <w:r>
        <w:rPr>
          <w:rFonts w:ascii="Times New Roman" w:hAnsi="Times New Roman"/>
          <w:b/>
          <w:color w:val="000000"/>
          <w:sz w:val="20"/>
        </w:rPr>
        <w:t>5. COMMITMENTS AND CONTINGENCIES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Facilities Lease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2022, the Company entered into a new 8-year office lease agreement for a 20,116 square feet facility in Brisbane, California (“Brisbane Lease”). The lease commenced in December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2024 and December 31, 2023, the balance of the operating lease right of use assets were $8,904 and $9,952, respectively, and the related operating lease liability were $9,234 and $10,112, respectively, as shown in the accompanying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Rent expense was $486 and $1,758 for the three and nine months ended September 30, 2024, respectively. Rent expense was $685 and $2,054 for the three and nine months ended September 30, 2023,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2024, future minimum lease payments under the Company's operating lease liabilities were as follows:</w:t>
      </w:r>
    </w:p>
    <w:p>
      <w:pPr>
        <w:pStyle w:val="TextBody"/>
        <w:bidi w:val="0"/>
        <w:jc w:val="both"/>
        <w:rPr/>
      </w:pPr>
      <w:r>
        <w:rPr/>
        <w:t> </w:t>
      </w:r>
    </w:p>
    <w:tbl>
      <w:tblPr>
        <w:tblW w:w="6918" w:type="dxa"/>
        <w:jc w:val="left"/>
        <w:tblInd w:w="0" w:type="dxa"/>
        <w:tblLayout w:type="fixed"/>
        <w:tblCellMar>
          <w:top w:w="28" w:type="dxa"/>
          <w:left w:w="28" w:type="dxa"/>
          <w:bottom w:w="28" w:type="dxa"/>
          <w:right w:w="28" w:type="dxa"/>
        </w:tblCellMar>
      </w:tblPr>
      <w:tblGrid>
        <w:gridCol w:w="4786"/>
        <w:gridCol w:w="146"/>
        <w:gridCol w:w="373"/>
        <w:gridCol w:w="1202"/>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5"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Ending</w:t>
            </w:r>
          </w:p>
        </w:tc>
        <w:tc>
          <w:tcPr>
            <w:tcW w:w="146" w:type="dxa"/>
            <w:tcBorders/>
            <w:shd w:fill="FFFFFF" w:val="cle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Commitment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(excluding nine months ended September 30, 2024)</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4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41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4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and beyond</w:t>
            </w:r>
          </w:p>
        </w:tc>
        <w:tc>
          <w:tcPr>
            <w:tcW w:w="146" w:type="dxa"/>
            <w:tcBorders/>
            <w:shd w:fill="CFF0FC" w:val="cle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4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Present value of operating lease obligations</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4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obligations</w:t>
            </w:r>
          </w:p>
        </w:tc>
        <w:tc>
          <w:tcPr>
            <w:tcW w:w="146" w:type="dxa"/>
            <w:tcBorders/>
            <w:shd w:fill="FFFFFF" w:val="cle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September 30, 2024.</w:t>
      </w:r>
    </w:p>
    <w:p>
      <w:pPr>
        <w:pStyle w:val="TextBody"/>
        <w:bidi w:val="0"/>
        <w:spacing w:before="200" w:after="283"/>
        <w:jc w:val="both"/>
        <w:rPr>
          <w:rFonts w:ascii="Times New Roman" w:hAnsi="Times New Roman"/>
          <w:b/>
          <w:color w:val="000000"/>
          <w:sz w:val="20"/>
        </w:rPr>
      </w:pPr>
      <w:bookmarkStart w:id="15" w:name="section17"/>
      <w:bookmarkEnd w:id="15"/>
      <w:r>
        <w:rPr>
          <w:rFonts w:ascii="Times New Roman" w:hAnsi="Times New Roman"/>
          <w:b/>
          <w:color w:val="000000"/>
          <w:sz w:val="20"/>
        </w:rPr>
        <w:t>6. LOAN PAYABLE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15, 2021, the Company entered into a loan agreement with Oxford Finance LLC (the “Lender”) to borrow a term loan amount of up to $35,000 to be funded in three tranches. The company has only drawn Tranche A in the amount of $15,000 which was wired to the Company on January 15, 2021. Tranche B of $10,000 expired on March 31, 2022. Tranche C of $10,000 is available at the Lender’s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23, 2022, in connection with and following the Company’s merger with Millendo Therapeutics, Inc. (“Millendo”), the Company entered into a First Amendment to the loan agreement. The amendment modified the agreement as follows: (i) each of the Company and Millendo Therapeutics US, Inc., a Delaware corporation and wholly owned non-operating subsidiary of the Company created in connection with the merger (“Millendo US”),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and Millendo, in addition to the existing interest the Lender had in TempestTx, including any intellectual property, was granted to the Lender. In addition, the Lender permitted a one-time prepayment in the amount of $5.0 million, which the Company paid on December 23,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amendment to the loan agreement, the term loan matures on August 1, 2025 and has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began on July 1, 2024 and the Company paid the first principal payment to the Lender in July 2024. Related to this borrowing, the Company recorded loan discounts totaling $898 and paid $95 of debt issuance costs. These amounts would be amortized as additional interest expense over the life of the loan. As of September 30, 2024, the balance of the loan payable (net of debt issuance costs) was $8.5 million. The carrying value of the loan approximates fair value (Level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nine months ended September 30, 2024, total interest expense was $329 and $1,069, respectively. For the three and nine months ended September 30, 2023, total interest expense was $373 and $1,072,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6" w:name="section18"/>
      <w:bookmarkEnd w:id="16"/>
      <w:r>
        <w:rPr>
          <w:rFonts w:ascii="Times New Roman" w:hAnsi="Times New Roman"/>
          <w:b/>
          <w:color w:val="000000"/>
          <w:sz w:val="20"/>
        </w:rPr>
        <w:t>7. STOCKHOLDERS' EQUITY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2024 and December 31, 2023, the Company was authorized to issue 100,000,000 shares of common stock and 5,000,000 shares of preferred stock, each with a par value of $0.001 per share. Of the common stock shares authorized, 26,565,886 and 22,045,255 were issued and outstanding at September 30, 2024 and December 31, 2023, respectively. There were no shares subject to repurchase due to remaining vesting requirements. Common stockholders are entitled to dividends as declared by the Company’s board of directors (the “Board of Directors”), subject to rights of holders of all classes of stock outstanding having priority rights as to dividends. There was no preferred stock issued nor outstanding as of September 30, 2024 and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Board of Directors.</w:t>
      </w:r>
    </w:p>
    <w:p>
      <w:pPr>
        <w:pStyle w:val="TextBody"/>
        <w:bidi w:val="0"/>
        <w:spacing w:before="200" w:after="283"/>
        <w:jc w:val="both"/>
        <w:rPr>
          <w:rFonts w:ascii="Times New Roman" w:hAnsi="Times New Roman"/>
          <w:sz w:val="20"/>
        </w:rPr>
      </w:pPr>
      <w:r>
        <w:rPr>
          <w:rFonts w:ascii="Times New Roman" w:hAnsi="Times New Roman"/>
          <w:b/>
          <w:color w:val="000000"/>
          <w:sz w:val="20"/>
        </w:rPr>
        <w:t>Rights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10, 2023, the Board of Directors adopted a limited duration stockholder rights plan (the “Rights Plan”), effective immediately, and declared a dividend of one preferred share purchase right (each, a “Right” and collectively, the “Rights”) for each outstanding share of the common stock, par value $0.001 per share (the “Common Shares”), of the Company. The dividend was effective as of October 23, 2023 (the “Record Date”) with respect to stockholders of record on that date. The Rights will also attach to new Common Shares issued after the Record Date. Each Right entitles the registered holder to purchase from the Company one one-thousandth of a share of Series A Junior Participating Preferred Stock, par value $0.001 per share, (the “Preferred Shares”), of the Company at a price of $25.00 per one one-thousandth of a Preferred Share, subject to adjustment. The descriptions and terms of the Rights are set forth in a Rights Agreement, dated as of October 10, 2023 (the “Original Rights Agreement”), between the Company and Computershare Trust Company, NA. On October 9, 2024, the Company entered into Amendment No. 1 to the Original Rights Agreement (together with the Original Rights Agreement, the “Rights Agreement”). The amendment extends the expiration date until immediately following the Company’s 2025 Annual Meeting of Stockholders, or, if the Company’s stockholders approve the Rights Plan, on October 10, 2026, unless the Rights are earlier redeemed or exchanged by the Company. The Company does not have any obligation under the Rights Agreement to seek stockholder approval for the Rights Agreement. The Rights Agreement otherwise remains unmodified and in full force and effect in accordance with its terms.</w:t>
      </w:r>
    </w:p>
    <w:p>
      <w:pPr>
        <w:pStyle w:val="TextBody"/>
        <w:bidi w:val="0"/>
        <w:spacing w:before="200" w:after="283"/>
        <w:jc w:val="both"/>
        <w:rPr>
          <w:rFonts w:ascii="Times New Roman" w:hAnsi="Times New Roman"/>
          <w:b/>
          <w:color w:val="000000"/>
          <w:sz w:val="20"/>
        </w:rPr>
      </w:pPr>
      <w:bookmarkStart w:id="17" w:name="section20"/>
      <w:bookmarkEnd w:id="17"/>
      <w:r>
        <w:rPr>
          <w:rFonts w:ascii="Times New Roman" w:hAnsi="Times New Roman"/>
          <w:b/>
          <w:color w:val="000000"/>
          <w:sz w:val="20"/>
        </w:rPr>
        <w:t>8. STOCK-BASED COMPENSATION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2024, the common stock reserved for issuance was increased by 881,810 shares. As of September 30, 2024, there were 508,017 shares available for future grant under the 2023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Directors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Board of Directors without stockholder approval in accordance with such rule. As of September 30, 2024, there were 933,450 shares available for future grant under the 2023 Inducement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employee and non-employee stock-based awards at grant date fair value and records compensation expense on a straight-line basis over the vesting period of the award.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Employee Stock Ownership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Millendo board of directors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 shares of Common Stock, or (iii) such lesser number of shares of Common Stock as determined by the Board of Directors (which may be zero). On January 1, 2024, the common stock reserved for issuance was increased by 330,678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2024, 469,337 shares of common stock remained available for future issuance under the 2019 ESPP. During the three and nine months ended September 30, 2024, 59,454 and 93,477 shares of common stock were issued under the 2019 ESPP,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shows the stock option activities for the nine months ended September 30, 2024 and 2023:</w:t>
      </w:r>
    </w:p>
    <w:p>
      <w:pPr>
        <w:pStyle w:val="TextBody"/>
        <w:bidi w:val="0"/>
        <w:jc w:val="left"/>
        <w:rPr/>
      </w:pPr>
      <w:r>
        <w:rPr/>
        <w:t> </w:t>
      </w:r>
    </w:p>
    <w:tbl>
      <w:tblPr>
        <w:tblW w:w="6057" w:type="dxa"/>
        <w:jc w:val="left"/>
        <w:tblInd w:w="0" w:type="dxa"/>
        <w:tblLayout w:type="fixed"/>
        <w:tblCellMar>
          <w:top w:w="28" w:type="dxa"/>
          <w:left w:w="28" w:type="dxa"/>
          <w:bottom w:w="28" w:type="dxa"/>
          <w:right w:w="28" w:type="dxa"/>
        </w:tblCellMar>
      </w:tblPr>
      <w:tblGrid>
        <w:gridCol w:w="2596"/>
        <w:gridCol w:w="146"/>
        <w:gridCol w:w="146"/>
        <w:gridCol w:w="935"/>
        <w:gridCol w:w="166"/>
        <w:gridCol w:w="146"/>
        <w:gridCol w:w="477"/>
        <w:gridCol w:w="1054"/>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887,675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3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2,181,585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at September 30, 2024:</w:t>
      </w:r>
    </w:p>
    <w:p>
      <w:pPr>
        <w:pStyle w:val="TextBody"/>
        <w:bidi w:val="0"/>
        <w:jc w:val="both"/>
        <w:rPr/>
      </w:pPr>
      <w:r>
        <w:rPr/>
        <w:t> </w:t>
      </w:r>
    </w:p>
    <w:tbl>
      <w:tblPr>
        <w:tblW w:w="8336" w:type="dxa"/>
        <w:jc w:val="left"/>
        <w:tblInd w:w="0" w:type="dxa"/>
        <w:tblLayout w:type="fixed"/>
        <w:tblCellMar>
          <w:top w:w="28" w:type="dxa"/>
          <w:left w:w="28" w:type="dxa"/>
          <w:bottom w:w="28" w:type="dxa"/>
          <w:right w:w="28" w:type="dxa"/>
        </w:tblCellMar>
      </w:tblPr>
      <w:tblGrid>
        <w:gridCol w:w="2386"/>
        <w:gridCol w:w="146"/>
        <w:gridCol w:w="146"/>
        <w:gridCol w:w="931"/>
        <w:gridCol w:w="146"/>
        <w:gridCol w:w="146"/>
        <w:gridCol w:w="297"/>
        <w:gridCol w:w="948"/>
        <w:gridCol w:w="146"/>
        <w:gridCol w:w="146"/>
        <w:gridCol w:w="360"/>
        <w:gridCol w:w="795"/>
        <w:gridCol w:w="146"/>
        <w:gridCol w:w="146"/>
        <w:gridCol w:w="299"/>
        <w:gridCol w:w="961"/>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78,906</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78,906</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32,877</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2024 and 2023, the Company granted employees and non-employees stock options to purchase 887,675 and 679,150 shares of common stock, respectively, with a weighted-average grant date fair value of $3.36 and $1.08 per share, respectively. As of September 30, 2024 and 2023, total unrecognized compensation costs related to unvested employee stock options were $13,648 and $2,576, respectively. These costs are expected to be recognized over a weighted-average period of approximately 2.9 years and 2.2 years,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nine months ended September 30, 2024 and 2023:</w:t>
      </w:r>
    </w:p>
    <w:p>
      <w:pPr>
        <w:pStyle w:val="TextBody"/>
        <w:bidi w:val="0"/>
        <w:jc w:val="both"/>
        <w:rPr/>
      </w:pPr>
      <w:r>
        <w:rPr/>
        <w:t> </w:t>
      </w:r>
    </w:p>
    <w:tbl>
      <w:tblPr>
        <w:tblW w:w="5515" w:type="dxa"/>
        <w:jc w:val="left"/>
        <w:tblInd w:w="0" w:type="dxa"/>
        <w:tblLayout w:type="fixed"/>
        <w:tblCellMar>
          <w:top w:w="28" w:type="dxa"/>
          <w:left w:w="28" w:type="dxa"/>
          <w:bottom w:w="28" w:type="dxa"/>
          <w:right w:w="28" w:type="dxa"/>
        </w:tblCellMar>
      </w:tblPr>
      <w:tblGrid>
        <w:gridCol w:w="2086"/>
        <w:gridCol w:w="146"/>
        <w:gridCol w:w="360"/>
        <w:gridCol w:w="855"/>
        <w:gridCol w:w="331"/>
        <w:gridCol w:w="146"/>
        <w:gridCol w:w="360"/>
        <w:gridCol w:w="855"/>
        <w:gridCol w:w="3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5.5 - 6.1</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5.5 - 6.1</w:t>
            </w:r>
          </w:p>
        </w:tc>
        <w:tc>
          <w:tcPr>
            <w:tcW w:w="376"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 - 124%</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 - 111%</w:t>
            </w:r>
          </w:p>
        </w:tc>
        <w:tc>
          <w:tcPr>
            <w:tcW w:w="376" w:type="dxa"/>
            <w:tcBorders/>
            <w:shd w:fill="FFFFFF" w:val="clear"/>
            <w:vAlign w:val="center"/>
          </w:tcPr>
          <w:p>
            <w:pPr>
              <w:pStyle w:val="TableContents"/>
              <w:bidi w:val="0"/>
              <w:spacing w:before="0" w:after="283"/>
              <w:jc w:val="righ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- 4.7%</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 - 3.9%</w:t>
            </w:r>
          </w:p>
        </w:tc>
        <w:tc>
          <w:tcPr>
            <w:tcW w:w="376"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3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Expected Term</w:t>
      </w:r>
      <w:r>
        <w:rPr>
          <w:rFonts w:ascii="Times New Roman" w:hAnsi="Times New Roman"/>
          <w:color w:val="000000"/>
          <w:sz w:val="20"/>
        </w:rPr>
        <w:t>—The expected term of options granted represents the period of time that the options are expected to be outstanding. Due to the lack of historical exercise history, the expected term of the Company’s employee stock options has been determined utilizing the simplified method for awards that qualify as plain-vanilla options.</w:t>
      </w:r>
    </w:p>
    <w:p>
      <w:pPr>
        <w:pStyle w:val="TextBody"/>
        <w:bidi w:val="0"/>
        <w:spacing w:before="200" w:after="283"/>
        <w:jc w:val="both"/>
        <w:rPr>
          <w:rFonts w:ascii="Times New Roman" w:hAnsi="Times New Roman"/>
          <w:sz w:val="20"/>
        </w:rPr>
      </w:pPr>
      <w:r>
        <w:rPr>
          <w:rFonts w:ascii="Times New Roman" w:hAnsi="Times New Roman"/>
          <w:b/>
          <w:i/>
          <w:color w:val="000000"/>
          <w:sz w:val="20"/>
        </w:rPr>
        <w:t>Expected Volatility</w:t>
      </w:r>
      <w:r>
        <w:rPr>
          <w:rFonts w:ascii="Times New Roman" w:hAnsi="Times New Roman"/>
          <w:color w:val="000000"/>
          <w:sz w:val="20"/>
        </w:rPr>
        <w:t>—The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Risk-Free Interest Rate</w:t>
      </w:r>
      <w:r>
        <w:rPr>
          <w:rFonts w:ascii="Times New Roman" w:hAnsi="Times New Roman"/>
          <w:color w:val="000000"/>
          <w:sz w:val="20"/>
        </w:rPr>
        <w:t>—The risk-free interest rate assumption is based on the U.S. Treasury instruments whose term was consistent with the expected term of the Company’s stock options.</w:t>
      </w:r>
    </w:p>
    <w:p>
      <w:pPr>
        <w:pStyle w:val="TextBody"/>
        <w:bidi w:val="0"/>
        <w:spacing w:before="20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—The Company has not paid any cash dividends on common stock since inception and does not anticipate paying any dividends in the foreseeable future. Consequently, an expected dividend yield of zero was used.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components of stock-based compensation expense recognized in the Company’s condensed consolidated statement of operations for the three and nine months ended September 30, 2024:</w:t>
      </w:r>
    </w:p>
    <w:p>
      <w:pPr>
        <w:pStyle w:val="TextBody"/>
        <w:bidi w:val="0"/>
        <w:jc w:val="both"/>
        <w:rPr/>
      </w:pPr>
      <w:r>
        <w:rPr/>
        <w:t> </w:t>
      </w:r>
    </w:p>
    <w:tbl>
      <w:tblPr>
        <w:tblW w:w="9060" w:type="dxa"/>
        <w:jc w:val="left"/>
        <w:tblInd w:w="0" w:type="dxa"/>
        <w:tblLayout w:type="fixed"/>
        <w:tblCellMar>
          <w:top w:w="28" w:type="dxa"/>
          <w:left w:w="28" w:type="dxa"/>
          <w:bottom w:w="28" w:type="dxa"/>
          <w:right w:w="28" w:type="dxa"/>
        </w:tblCellMar>
      </w:tblPr>
      <w:tblGrid>
        <w:gridCol w:w="2311"/>
        <w:gridCol w:w="146"/>
        <w:gridCol w:w="386"/>
        <w:gridCol w:w="1044"/>
        <w:gridCol w:w="267"/>
        <w:gridCol w:w="267"/>
        <w:gridCol w:w="386"/>
        <w:gridCol w:w="770"/>
        <w:gridCol w:w="146"/>
        <w:gridCol w:w="146"/>
        <w:gridCol w:w="341"/>
        <w:gridCol w:w="923"/>
        <w:gridCol w:w="236"/>
        <w:gridCol w:w="236"/>
        <w:gridCol w:w="341"/>
        <w:gridCol w:w="92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267"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23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3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8" w:name="section21"/>
      <w:bookmarkEnd w:id="18"/>
      <w:r>
        <w:rPr>
          <w:rFonts w:ascii="Times New Roman" w:hAnsi="Times New Roman"/>
          <w:b/>
          <w:color w:val="000000"/>
          <w:sz w:val="20"/>
        </w:rPr>
        <w:t>9. RETIREMENT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and nine months ended September 30, 2024, the Company contributed $38 and $132 to the 401(k) Plan, respectively. During the three and nine months ended September 30, 2023, the Company contributed $31 and $122 to the 401(k) Plan, respectively.</w:t>
      </w:r>
    </w:p>
    <w:p>
      <w:pPr>
        <w:pStyle w:val="TextBody"/>
        <w:bidi w:val="0"/>
        <w:spacing w:before="200" w:after="283"/>
        <w:jc w:val="both"/>
        <w:rPr>
          <w:rFonts w:ascii="Times New Roman" w:hAnsi="Times New Roman"/>
          <w:b/>
          <w:color w:val="000000"/>
          <w:sz w:val="20"/>
        </w:rPr>
      </w:pPr>
      <w:bookmarkStart w:id="19" w:name="section22"/>
      <w:bookmarkEnd w:id="19"/>
      <w:r>
        <w:rPr>
          <w:rFonts w:ascii="Times New Roman" w:hAnsi="Times New Roman"/>
          <w:b/>
          <w:color w:val="000000"/>
          <w:sz w:val="20"/>
        </w:rPr>
        <w:t>10. 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computation of the Company’s basis in diluted net loss per share for the three and nine months ended September 30, 2024 and 2023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84"/>
        <w:gridCol w:w="146"/>
        <w:gridCol w:w="213"/>
        <w:gridCol w:w="1051"/>
        <w:gridCol w:w="168"/>
        <w:gridCol w:w="147"/>
        <w:gridCol w:w="213"/>
        <w:gridCol w:w="1051"/>
        <w:gridCol w:w="166"/>
        <w:gridCol w:w="146"/>
        <w:gridCol w:w="211"/>
        <w:gridCol w:w="1036"/>
        <w:gridCol w:w="166"/>
        <w:gridCol w:w="146"/>
        <w:gridCol w:w="211"/>
        <w:gridCol w:w="1036"/>
        <w:gridCol w:w="214"/>
      </w:tblGrid>
      <w:tr>
        <w:trPr/>
        <w:tc>
          <w:tcPr>
            <w:tcW w:w="3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884"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center"/>
              <w:rPr/>
            </w:pPr>
            <w:r>
              <w:rPr/>
              <w:t> </w:t>
            </w:r>
          </w:p>
        </w:tc>
        <w:tc>
          <w:tcPr>
            <w:tcW w:w="1264" w:type="dxa"/>
            <w:gridSpan w:val="2"/>
            <w:tcBorders/>
            <w:shd w:fill="CFF0FC" w:val="clear"/>
            <w:vAlign w:val="center"/>
          </w:tcPr>
          <w:p>
            <w:pPr>
              <w:pStyle w:val="TableContents"/>
              <w:bidi w:val="0"/>
              <w:spacing w:before="0" w:after="283"/>
              <w:jc w:val="center"/>
              <w:rPr/>
            </w:pPr>
            <w:r>
              <w:rPr/>
              <w:t> </w:t>
            </w:r>
          </w:p>
        </w:tc>
        <w:tc>
          <w:tcPr>
            <w:tcW w:w="168" w:type="dxa"/>
            <w:tcBorders/>
            <w:shd w:fill="CFF0FC" w:val="clear"/>
            <w:vAlign w:val="center"/>
          </w:tcPr>
          <w:p>
            <w:pPr>
              <w:pStyle w:val="TableContents"/>
              <w:bidi w:val="0"/>
              <w:spacing w:before="0" w:after="283"/>
              <w:jc w:val="center"/>
              <w:rPr/>
            </w:pPr>
            <w:r>
              <w:rPr/>
              <w:t> </w:t>
            </w:r>
          </w:p>
        </w:tc>
        <w:tc>
          <w:tcPr>
            <w:tcW w:w="147" w:type="dxa"/>
            <w:tcBorders/>
            <w:shd w:fill="CFF0FC" w:val="clear"/>
            <w:vAlign w:val="center"/>
          </w:tcPr>
          <w:p>
            <w:pPr>
              <w:pStyle w:val="TableContents"/>
              <w:bidi w:val="0"/>
              <w:spacing w:before="0" w:after="283"/>
              <w:jc w:val="center"/>
              <w:rPr/>
            </w:pPr>
            <w:r>
              <w:rPr/>
              <w:t> </w:t>
            </w:r>
          </w:p>
        </w:tc>
        <w:tc>
          <w:tcPr>
            <w:tcW w:w="1264"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center"/>
              <w:rPr/>
            </w:pPr>
            <w:r>
              <w:rPr/>
              <w:t> </w:t>
            </w:r>
          </w:p>
        </w:tc>
      </w:tr>
      <w:tr>
        <w:trPr/>
        <w:tc>
          <w:tcPr>
            <w:tcW w:w="3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w:t>
            </w:r>
          </w:p>
        </w:tc>
        <w:tc>
          <w:tcPr>
            <w:tcW w:w="1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64"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26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25,806,825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23,537,453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14,059,008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 diluted net loss per share</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25,806,825</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23,537,453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14,059,008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stockholders—basic and diluted</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2024 and 2023,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September 30, 2024 and 2023, the Company excluded the following potential common shares from the computation of diluted net loss per share attributable to common stockholders because including them would have had an anti-dilutive effect:</w:t>
      </w:r>
    </w:p>
    <w:p>
      <w:pPr>
        <w:pStyle w:val="TextBody"/>
        <w:bidi w:val="0"/>
        <w:jc w:val="both"/>
        <w:rPr/>
      </w:pPr>
      <w:r>
        <w:rPr/>
        <w:t> </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bottom w:val="single" w:sz="4" w:space="0" w:color="CCEE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2,181,585</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2,312,621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0" w:name="item_2_managements_discussion_analysis"/>
      <w:bookmarkEnd w:id="20"/>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2023, filed with the U.S. Securities and Exchange Commission ("SEC") on March 19, 2024.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pStyle w:val="TextBody"/>
        <w:bidi w:val="0"/>
        <w:spacing w:before="200" w:after="283"/>
        <w:jc w:val="both"/>
        <w:rPr>
          <w:rFonts w:ascii="Times New Roman" w:hAnsi="Times New Roman"/>
          <w:b/>
          <w:color w:val="000000"/>
          <w:sz w:val="20"/>
        </w:rPr>
      </w:pPr>
      <w:bookmarkStart w:id="21" w:name="section24"/>
      <w:bookmarkEnd w:id="21"/>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biotechnology company moving towards late-stage development with a diverse portfolio of targeted and immune-mediated product candidates with the potential to be first-in-class to treat a wide range of cancers. Our novel programs range from early research to the lead program, amezalpat (previously known as TPST-1120), that is poised to begin a pivotal study in first-line hepatocellular carcinoma (“HCC”). In addition to amezalpat, our second clinical-stage therapeutic product candidate is TPST-1495; we believe both are the first clinical-stage molecules designed to inhibit their respective targets.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Amezalpat (TPST-1120) Clinical Update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Amezalpat is a selective antagonist of peroxisome proliferator-activated receptor alpha (“PPARα”). On August 15, 2024, we announced the successful completion of our end-of-Phase 2 meeting with the U.S. Food and Drug Administration (“FDA”) regarding the development of amezalpat for the treatment first-line unresectable or metastatic HCC. The FDA provided positive feedback on the pivotal Phase 3 clinical trial design, which closely mirrors the positive randomized Phase 2 study.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planned Phase 3 trial is designed to use the current amezalpat dose and schedule in combination with atezolizumab and bevacizumab and will be compared to atezolizumab and bevacizumab alone, the standard of care. The primary endpoint of the trial will be Overall Survival (“OS”). The FDA also agreed on a pre-specified early efficacy analysis, that if met would potentially reduce the time to primary read-out by up to 8 months.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Randomized Phase 2 Trial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an updated February 14, 2024 data cut, the ongoing global randomized Phase 1b/2 trial of amezalpat combined with the standard-of-care first-line regimen of atezolizumab and bevacizumab continued to show positive outcomes in patients with advanced or metastatic HCC. This study compares the amezalpat arm to the standard-of-care control and enrolled 40 patients randomized to the amezalpat arm and 30 patients randomized to the control arm. With 10 additional months of follow-up since the April 2023 primary analysis, the median OS in the amezalpat arm reached 21 months, representing a 6-month improvement over the 15-month OS in the control arm. Importantly, the hazard ratio (“HR”) remained stable at 0.65 from 0.59 observed earlier, demonstrating a sustained reduction in the relative risk of death compared to the control arm.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cutoff date, 50% (20/40) of patients in the amezalpat arm remained in survival follow-up versus 30% (9/30) in the control arm. We believe this reinforces the meaningful clinical benefit observed in this population, with OS serving as the primary endpoint for regulatory approval globally for first-line HCC.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confirmed objective response rate (“ORR”) for the amezalpat arm remained consistent at 30%, compared to 13.3% in the control arm. Notably, one patient in the amezalpat arm who had previously achieved a partial response (“PR”) as of April 2023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converted to a complete response (“CR”) by February 2024, with at least an 80% reduction in tumor burden. This patient, despite having a PD-L1 score &lt;1% and an immune desert phenotype, achieved a CR with the addition of amezalpat, highlighting its potential efficacy in hard-to-treat tumors.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in biomarker subpopulation analyses, patients with b-catenin activating mutations (21% of the study population) showed an increased confirmed ORR of 43% and a disease control rate (“DCR”) of 100% in the amezalpat arm. The triplet regimen with amezalpat remained active across PD-L1 negative tumors, with a confirmed ORR of 27% compared to a reduced ORR of 7% for the control arm.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randomized data, combined with clinical data from the earlier Phase 1 trials that were reported at a podium presentation at the American Society of Clinical Oncology (“ASCO”) annual meeting in June 2022, we believe support the advancement of amezalpat to a pivotal Phase 3 trial in first-line HCC, with further potential indications in kidney cancer (“RCC”) under consideration.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Leadership Team Expansion and Update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preparation for the pivotal Phase 3 of amezalpat, we continued to strengthen our leadership team. In September 2024, we announced the appointment of Sheldon Mullins as Vice President of Regulatory Affairs, following the addition of Troy Wagner as Vice President of Quality Assurance. In addition, Darrin Bomba and Henry Johnson are now serving as Vice President, Development Operations and Vice President, CMC &amp; Medicinal Chemistry, respectively, reflecting their roles in supporting the company’s late-stage clinical development.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TPST-1495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second clinical program, TPST-1495, is a dual antagonist of the EP2 and EP4 receptors of prostaglandin E2. Data from the TPST-1495 Phase 1 trial was presented at the ASCO annual meeting in June 2023, and we are planning to advance TPST-1495 in a new indication, Familial Adenomatous Polyposis (“FAP”), for which there are no approved systemic therapies. Given that prostaglandin signaling is implicated in FAP and based on positive preclinical data in a relevant mouse model, we believe there is strong mechanistic support for this approach. We are working with the Cancer Prevention Clinical Trials Network on a National Cancer Institute (“NCI”)-funded Phase 2 study and subject to final approval, plan to start the study in the second half of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Beyond these clinical programs, we plan to continue to leverage our drug development and company-building experience along with academic relationships to identify promising new targets that may feed new programs into our pipeline. Our Discovery Research team employs a multidisciplinary approach to identify and validate therapeutic targets in oncology, and preclinical validation studies are then conducted to further understand the mechanism of action and potential therapeutic benefit to patients.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Potential Future Milestones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Advance amezalpat into a pivotal study in first-line HCC patients where amezalpat will be studied in a combination treatment and compared to a standard-of-care therapy, subject to obtaining feedback from the FDA. We believe positive results from the ongoing randomized Phase 1b/2 study provide strategic opportunities for us. We are also evaluating further development in RCC and cholangiocarcinoma (“CCA”) based on the Phase 1 data presented at ASCO 2022.</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Explore TPST-1495 beyond original tumor types of interest. We plan to complete the ongoing combination arm in patients with advanced endometrial cancer, where prostaglandin signaling is implicated, and report the data in 2024. Additionally, subject to final approval from the NCI, we are planning to advance TPST-1495 with the Cancer Prevention Clinical Trials Network into a Phase 2 study in patients with FAP in the second half of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Roche Master Clinical Supply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2024, we entered into a master clinical supply agreement (“Roche Supply Agreement”) with F. Hoffmann-La Roche Ltd. (“Roche”), pursuant to which Roche will supply Roche’s atezolizumab (TECENTRIQ) for use in one or more clinical studies conducted by us involving amezalpat in combination with atezolizumab, in each case, in accordance with the applicable study protocol prepared by us and reviewed by Roche. Under the Roche Supply Agreement, the parties may execute one or more clinical supply agreement supplements (each, a “CSA Supplement”) that will set forth the study to be conducted by us, the quantities of atezolizumab to be supplied by Roche for such study, and the delivery timeline for such quantities of atezolizumab.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2024, we entered into a CSA Supplement for Roche to supply atezolizumab to us, free of charge, for use in our planned phase 3 trial.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Stockholder Rights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amended our stockholder rights plan on October 9, 2024 to extend the final expiration date until immediately following our 2025 Annual Meeting of Stockholders or, if our stockholders approve the rights plan at or prior to such meeting, to October 10, 2026, unless the rights are earlier redeemed or exchanged by the Company. We do not have any obligation under the rights plan to seek stockholder approval. The rights plan otherwise remains unmodified and in full force and effect in accordance with its original terms. The rights plan is intended to reduce the likelihood that any person or group gains control of Tempest through open market accumulation without paying stockholders an appropriate control premium or without providing the Board sufficient time to make informed judgments and take actions that are in the best interests of all stockholders.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 products approved for commercial sale and have not generated any revenue from product sales. From inception through September 30, 2024, we have raised $211.3 million, through sales of our capital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been profitable and have incurred operating losses in each period since inception. Our net losses were $28.0 million and $22.0 million for the nine months ended September 30, 2024 and 2023, respectively. As of September 30, 2024, we had an accumulated deficit of $193.3 million. Substantially all of the operating losses resulted from expenses incurred in connection with our research and development programs and from general and administrative costs associated with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involves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business strategy, our existing cash and cash equivalents of $22.1 million as of September 30, 2024 and the $19.9 million of net proceeds raised between October 1, 2024 and November 8, 2024 through sales of common stock under our ATM Program, will be sufficient to fund our cash requirements for at least 12 months from the date our consolidated financial statements were available to be issued.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22" w:name="section25"/>
      <w:bookmarkEnd w:id="22"/>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represent costs incurred to conduct research and development, such as the development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all research and development costs as they are incurred. Research and development expenses consist primarily of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salaries, benefits and stock-based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licensing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allocated occupancy;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materials and supplies;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contracted research and manufacturing;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consulting arrangements;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expenses incurred to advance our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(expense), net consists primarily of interest expense, interest income, and various other income or expense items of a non-recurring nature.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2024 and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operating results for the three months ended September 30,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10"/>
        <w:gridCol w:w="146"/>
        <w:gridCol w:w="211"/>
        <w:gridCol w:w="736"/>
        <w:gridCol w:w="166"/>
        <w:gridCol w:w="146"/>
        <w:gridCol w:w="211"/>
        <w:gridCol w:w="631"/>
        <w:gridCol w:w="166"/>
        <w:gridCol w:w="146"/>
        <w:gridCol w:w="394"/>
        <w:gridCol w:w="1069"/>
        <w:gridCol w:w="166"/>
        <w:gridCol w:w="146"/>
        <w:gridCol w:w="597"/>
        <w:gridCol w:w="1545"/>
        <w:gridCol w:w="619"/>
      </w:tblGrid>
      <w:tr>
        <w:trPr/>
        <w:tc>
          <w:tcPr>
            <w:tcW w:w="3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31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619" w:type="dxa"/>
            <w:tcBorders/>
            <w:shd w:fill="FFFFFF" w:val="clear"/>
            <w:vAlign w:val="center"/>
          </w:tcPr>
          <w:p>
            <w:pPr>
              <w:pStyle w:val="TableContents"/>
              <w:bidi w:val="0"/>
              <w:spacing w:before="0" w:after="283"/>
              <w:jc w:val="center"/>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2" w:type="dxa"/>
            <w:gridSpan w:val="2"/>
            <w:tcBorders/>
            <w:shd w:fill="FFFFFF" w:val="clear"/>
            <w:vAlign w:val="center"/>
          </w:tcPr>
          <w:p>
            <w:pPr>
              <w:pStyle w:val="TableContents"/>
              <w:bidi w:val="0"/>
              <w:spacing w:before="0" w:after="283"/>
              <w:jc w:val="center"/>
              <w:rPr/>
            </w:pPr>
            <w:r>
              <w:rPr/>
              <w:t> </w:t>
            </w:r>
          </w:p>
        </w:tc>
        <w:tc>
          <w:tcPr>
            <w:tcW w:w="619" w:type="dxa"/>
            <w:tcBorders/>
            <w:shd w:fill="FFFFFF" w:val="clear"/>
            <w:vAlign w:val="center"/>
          </w:tcPr>
          <w:p>
            <w:pPr>
              <w:pStyle w:val="TableContents"/>
              <w:bidi w:val="0"/>
              <w:spacing w:before="0" w:after="283"/>
              <w:jc w:val="center"/>
              <w:rPr/>
            </w:pPr>
            <w:r>
              <w:rPr/>
              <w:t> </w:t>
            </w:r>
          </w:p>
        </w:tc>
      </w:tr>
      <w:tr>
        <w:trPr/>
        <w:tc>
          <w:tcPr>
            <w:tcW w:w="31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30"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619" w:type="dxa"/>
            <w:tcBorders/>
            <w:shd w:fill="FFFFFF" w:val="clear"/>
            <w:vAlign w:val="center"/>
          </w:tcPr>
          <w:p>
            <w:pPr>
              <w:pStyle w:val="TableContents"/>
              <w:bidi w:val="0"/>
              <w:spacing w:before="0" w:after="283"/>
              <w:jc w:val="center"/>
              <w:rPr/>
            </w:pPr>
            <w:r>
              <w:rPr/>
              <w:t> </w:t>
            </w:r>
          </w:p>
        </w:tc>
      </w:tr>
      <w:tr>
        <w:trPr/>
        <w:tc>
          <w:tcPr>
            <w:tcW w:w="31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2" w:type="dxa"/>
            <w:gridSpan w:val="2"/>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ind w:left="0" w:right="0" w:firstLine="200"/>
              <w:jc w:val="left"/>
              <w:rPr/>
            </w:pPr>
            <w:r>
              <w:rPr/>
              <w:t> </w:t>
            </w:r>
          </w:p>
        </w:tc>
      </w:tr>
      <w:tr>
        <w:trPr/>
        <w:tc>
          <w:tcPr>
            <w:tcW w:w="31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61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2" w:type="dxa"/>
            <w:gridSpan w:val="2"/>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ind w:left="0" w:right="0" w:firstLine="100"/>
              <w:jc w:val="left"/>
              <w:rPr/>
            </w:pPr>
            <w:r>
              <w:rPr/>
              <w:t> </w:t>
            </w:r>
          </w:p>
        </w:tc>
      </w:tr>
      <w:tr>
        <w:trPr/>
        <w:tc>
          <w:tcPr>
            <w:tcW w:w="311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expenses for the three months ended September 30, 2024 and 2023 were primarily incurred in connection with our most advanced product candidates, amezalpat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our research and development expenses by program for the three months ended September 30,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86"/>
        <w:gridCol w:w="146"/>
        <w:gridCol w:w="211"/>
        <w:gridCol w:w="571"/>
        <w:gridCol w:w="146"/>
        <w:gridCol w:w="146"/>
        <w:gridCol w:w="211"/>
        <w:gridCol w:w="571"/>
        <w:gridCol w:w="146"/>
        <w:gridCol w:w="146"/>
        <w:gridCol w:w="435"/>
        <w:gridCol w:w="1181"/>
        <w:gridCol w:w="166"/>
        <w:gridCol w:w="146"/>
        <w:gridCol w:w="624"/>
        <w:gridCol w:w="1807"/>
        <w:gridCol w:w="366"/>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6" w:type="dxa"/>
            <w:tcBorders/>
            <w:shd w:fill="FFFFFF" w:val="clear"/>
            <w:vAlign w:val="center"/>
          </w:tcPr>
          <w:p>
            <w:pPr>
              <w:pStyle w:val="TableContents"/>
              <w:bidi w:val="0"/>
              <w:spacing w:before="0" w:after="283"/>
              <w:jc w:val="center"/>
              <w:rPr/>
            </w:pPr>
            <w:r>
              <w:rPr/>
              <w:t> </w:t>
            </w:r>
          </w:p>
        </w:tc>
      </w:tr>
      <w:tr>
        <w:trPr/>
        <w:tc>
          <w:tcPr>
            <w:tcW w:w="3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1" w:type="dxa"/>
            <w:gridSpan w:val="2"/>
            <w:tcBorders/>
            <w:shd w:fill="FFFFFF" w:val="clear"/>
            <w:vAlign w:val="center"/>
          </w:tcPr>
          <w:p>
            <w:pPr>
              <w:pStyle w:val="TableContents"/>
              <w:bidi w:val="0"/>
              <w:spacing w:before="0" w:after="283"/>
              <w:jc w:val="center"/>
              <w:rPr/>
            </w:pPr>
            <w:r>
              <w:rPr/>
              <w:t> </w:t>
            </w:r>
          </w:p>
        </w:tc>
        <w:tc>
          <w:tcPr>
            <w:tcW w:w="366" w:type="dxa"/>
            <w:tcBorders/>
            <w:shd w:fill="FFFFFF" w:val="clear"/>
            <w:vAlign w:val="center"/>
          </w:tcPr>
          <w:p>
            <w:pPr>
              <w:pStyle w:val="TableContents"/>
              <w:bidi w:val="0"/>
              <w:spacing w:before="0" w:after="283"/>
              <w:jc w:val="center"/>
              <w:rPr/>
            </w:pPr>
            <w:r>
              <w:rPr/>
              <w:t> </w:t>
            </w:r>
          </w:p>
        </w:tc>
      </w:tr>
      <w:tr>
        <w:trPr/>
        <w:tc>
          <w:tcPr>
            <w:tcW w:w="3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07"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6" w:type="dxa"/>
            <w:tcBorders/>
            <w:shd w:fill="FFFFFF" w:val="clear"/>
            <w:vAlign w:val="center"/>
          </w:tcPr>
          <w:p>
            <w:pPr>
              <w:pStyle w:val="TableContents"/>
              <w:bidi w:val="0"/>
              <w:spacing w:before="0" w:after="283"/>
              <w:jc w:val="center"/>
              <w:rPr/>
            </w:pPr>
            <w:r>
              <w:rPr/>
              <w:t> </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Amezalpat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4" w:type="dxa"/>
            <w:tcBorders/>
            <w:shd w:fill="CFF0FC" w:val="clear"/>
            <w:vAlign w:val="center"/>
          </w:tcPr>
          <w:p>
            <w:pPr>
              <w:pStyle w:val="TableContents"/>
              <w:bidi w:val="0"/>
              <w:spacing w:before="0" w:after="283"/>
              <w:jc w:val="left"/>
              <w:rPr/>
            </w:pPr>
            <w:r>
              <w:rPr/>
              <w:t> </w:t>
            </w:r>
          </w:p>
        </w:tc>
        <w:tc>
          <w:tcPr>
            <w:tcW w:w="1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TPST-1495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candidate specific research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pPr>
            <w:r>
              <w:rPr/>
              <w:t> </w:t>
            </w:r>
          </w:p>
        </w:tc>
        <w:tc>
          <w:tcPr>
            <w:tcW w:w="1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and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Research and development expenses increased by $3.3 million to $7.6 million for the three months ended September 30, 2024, compared to three months ended September 30, 2023, which was primarily attributable to an increase in costs incurred from engaging contract research and manufacturing organizations in preparation for our pivotal Phase 3 trial of amezalpat for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treatment of first-line HCC. The following table summarizes our research and development expenses for the three months ended September 30,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65"/>
        <w:gridCol w:w="146"/>
        <w:gridCol w:w="211"/>
        <w:gridCol w:w="571"/>
        <w:gridCol w:w="146"/>
        <w:gridCol w:w="146"/>
        <w:gridCol w:w="211"/>
        <w:gridCol w:w="571"/>
        <w:gridCol w:w="146"/>
        <w:gridCol w:w="146"/>
        <w:gridCol w:w="437"/>
        <w:gridCol w:w="1186"/>
        <w:gridCol w:w="166"/>
        <w:gridCol w:w="146"/>
        <w:gridCol w:w="627"/>
        <w:gridCol w:w="1817"/>
        <w:gridCol w:w="367"/>
      </w:tblGrid>
      <w:tr>
        <w:trPr/>
        <w:tc>
          <w:tcPr>
            <w:tcW w:w="3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1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7" w:type="dxa"/>
            <w:tcBorders/>
            <w:shd w:fill="FFFFFF" w:val="clear"/>
            <w:vAlign w:val="center"/>
          </w:tcPr>
          <w:p>
            <w:pPr>
              <w:pStyle w:val="TableContents"/>
              <w:bidi w:val="0"/>
              <w:spacing w:before="0" w:after="283"/>
              <w:jc w:val="center"/>
              <w:rPr/>
            </w:pPr>
            <w:r>
              <w:rPr/>
              <w:t> </w:t>
            </w:r>
          </w:p>
        </w:tc>
      </w:tr>
      <w:tr>
        <w:trPr/>
        <w:tc>
          <w:tcPr>
            <w:tcW w:w="31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4" w:type="dxa"/>
            <w:gridSpan w:val="2"/>
            <w:tcBorders/>
            <w:shd w:fill="FFFFFF" w:val="clear"/>
            <w:vAlign w:val="center"/>
          </w:tcPr>
          <w:p>
            <w:pPr>
              <w:pStyle w:val="TableContents"/>
              <w:bidi w:val="0"/>
              <w:spacing w:before="0" w:after="283"/>
              <w:jc w:val="center"/>
              <w:rPr/>
            </w:pPr>
            <w:r>
              <w:rPr/>
              <w:t> </w:t>
            </w:r>
          </w:p>
        </w:tc>
        <w:tc>
          <w:tcPr>
            <w:tcW w:w="367" w:type="dxa"/>
            <w:tcBorders/>
            <w:shd w:fill="FFFFFF" w:val="clear"/>
            <w:vAlign w:val="center"/>
          </w:tcPr>
          <w:p>
            <w:pPr>
              <w:pStyle w:val="TableContents"/>
              <w:bidi w:val="0"/>
              <w:spacing w:before="0" w:after="283"/>
              <w:jc w:val="center"/>
              <w:rPr/>
            </w:pPr>
            <w:r>
              <w:rPr/>
              <w:t> </w:t>
            </w:r>
          </w:p>
        </w:tc>
      </w:tr>
      <w:tr>
        <w:trPr/>
        <w:tc>
          <w:tcPr>
            <w:tcW w:w="31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27"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7" w:type="dxa"/>
            <w:tcBorders/>
            <w:shd w:fill="FFFFFF" w:val="clear"/>
            <w:vAlign w:val="center"/>
          </w:tcPr>
          <w:p>
            <w:pPr>
              <w:pStyle w:val="TableContents"/>
              <w:bidi w:val="0"/>
              <w:spacing w:before="0" w:after="283"/>
              <w:jc w:val="center"/>
              <w:rPr/>
            </w:pPr>
            <w:r>
              <w:rPr/>
              <w:t> </w:t>
            </w:r>
          </w:p>
        </w:tc>
      </w:tr>
      <w:tr>
        <w:trPr/>
        <w:tc>
          <w:tcPr>
            <w:tcW w:w="31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27" w:type="dxa"/>
            <w:tcBorders/>
            <w:shd w:fill="CFF0FC" w:val="clear"/>
            <w:vAlign w:val="center"/>
          </w:tcPr>
          <w:p>
            <w:pPr>
              <w:pStyle w:val="TableContents"/>
              <w:bidi w:val="0"/>
              <w:spacing w:before="0" w:after="283"/>
              <w:jc w:val="left"/>
              <w:rPr/>
            </w:pPr>
            <w:r>
              <w:rPr/>
              <w:t> </w:t>
            </w:r>
          </w:p>
        </w:tc>
        <w:tc>
          <w:tcPr>
            <w:tcW w:w="1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1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$0.6 million to $3.0 million for the three months ended September 30, 2024, compared to the three months ended September 30, 2023. The increase was primarily due to an increase in stock-based compensation expense due to increased headcount as well as an increase in expenses related to legal and consulting services.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September 30, 2024 and 2023, other income (expense), net consisted of total interest expense of $329 thousand and $373 thousand, respectively, related to the loan with Oxford Finance, LLC (“Oxford” and such loan the “Oxford Loan”), and interest income of $324 thousand and $179 thousand,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2024 and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operating results for the nine months ended September 30,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58"/>
        <w:gridCol w:w="146"/>
        <w:gridCol w:w="211"/>
        <w:gridCol w:w="736"/>
        <w:gridCol w:w="166"/>
        <w:gridCol w:w="146"/>
        <w:gridCol w:w="211"/>
        <w:gridCol w:w="736"/>
        <w:gridCol w:w="166"/>
        <w:gridCol w:w="146"/>
        <w:gridCol w:w="389"/>
        <w:gridCol w:w="1056"/>
        <w:gridCol w:w="166"/>
        <w:gridCol w:w="146"/>
        <w:gridCol w:w="541"/>
        <w:gridCol w:w="1567"/>
        <w:gridCol w:w="618"/>
      </w:tblGrid>
      <w:tr>
        <w:trPr/>
        <w:tc>
          <w:tcPr>
            <w:tcW w:w="3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618" w:type="dxa"/>
            <w:tcBorders/>
            <w:shd w:fill="FFFFFF" w:val="clear"/>
            <w:vAlign w:val="center"/>
          </w:tcPr>
          <w:p>
            <w:pPr>
              <w:pStyle w:val="TableContents"/>
              <w:bidi w:val="0"/>
              <w:spacing w:before="0" w:after="283"/>
              <w:jc w:val="center"/>
              <w:rPr/>
            </w:pPr>
            <w:r>
              <w:rPr/>
              <w:t> </w:t>
            </w:r>
          </w:p>
        </w:tc>
      </w:tr>
      <w:tr>
        <w:trPr/>
        <w:tc>
          <w:tcPr>
            <w:tcW w:w="30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8" w:type="dxa"/>
            <w:gridSpan w:val="2"/>
            <w:tcBorders/>
            <w:shd w:fill="FFFFFF" w:val="clear"/>
            <w:vAlign w:val="center"/>
          </w:tcPr>
          <w:p>
            <w:pPr>
              <w:pStyle w:val="TableContents"/>
              <w:bidi w:val="0"/>
              <w:spacing w:before="0" w:after="283"/>
              <w:jc w:val="center"/>
              <w:rPr/>
            </w:pPr>
            <w:r>
              <w:rPr/>
              <w:t> </w:t>
            </w:r>
          </w:p>
        </w:tc>
        <w:tc>
          <w:tcPr>
            <w:tcW w:w="618" w:type="dxa"/>
            <w:tcBorders/>
            <w:shd w:fill="FFFFFF" w:val="clear"/>
            <w:vAlign w:val="center"/>
          </w:tcPr>
          <w:p>
            <w:pPr>
              <w:pStyle w:val="TableContents"/>
              <w:bidi w:val="0"/>
              <w:spacing w:before="0" w:after="283"/>
              <w:jc w:val="center"/>
              <w:rPr/>
            </w:pPr>
            <w:r>
              <w:rPr/>
              <w:t> </w:t>
            </w:r>
          </w:p>
        </w:tc>
      </w:tr>
      <w:tr>
        <w:trPr/>
        <w:tc>
          <w:tcPr>
            <w:tcW w:w="30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83"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618" w:type="dxa"/>
            <w:tcBorders/>
            <w:shd w:fill="FFFFFF" w:val="clear"/>
            <w:vAlign w:val="center"/>
          </w:tcPr>
          <w:p>
            <w:pPr>
              <w:pStyle w:val="TableContents"/>
              <w:bidi w:val="0"/>
              <w:spacing w:before="0" w:after="283"/>
              <w:jc w:val="center"/>
              <w:rPr/>
            </w:pPr>
            <w:r>
              <w:rPr/>
              <w:t> </w:t>
            </w:r>
          </w:p>
        </w:tc>
      </w:tr>
      <w:tr>
        <w:trPr/>
        <w:tc>
          <w:tcPr>
            <w:tcW w:w="30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8" w:type="dxa"/>
            <w:gridSpan w:val="2"/>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ind w:left="0" w:right="0" w:firstLine="200"/>
              <w:jc w:val="left"/>
              <w:rPr/>
            </w:pPr>
            <w:r>
              <w:rPr/>
              <w:t> </w:t>
            </w:r>
          </w:p>
        </w:tc>
      </w:tr>
      <w:tr>
        <w:trPr/>
        <w:tc>
          <w:tcPr>
            <w:tcW w:w="30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41"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8"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58"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8" w:type="dxa"/>
            <w:gridSpan w:val="2"/>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ind w:left="0" w:right="0" w:firstLine="100"/>
              <w:jc w:val="left"/>
              <w:rPr/>
            </w:pPr>
            <w:r>
              <w:rPr/>
              <w:t> </w:t>
            </w:r>
          </w:p>
        </w:tc>
      </w:tr>
      <w:tr>
        <w:trPr/>
        <w:tc>
          <w:tcPr>
            <w:tcW w:w="305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5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58"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6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research and development expenses for the nine months ended September 30, 2024 and 2023 were primarily incurred in connection with our most advanced product candidates, amezalpat and TPST-1495. We typically have various early-stage research and drug discovery projects, as well as various potential product candidates undergoing clinical trials. Our internal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resources, employees and infrastructure are not directly tied to any one research or drug discovery project and our resources are typically deployed across multiple projects.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7"/>
        <w:gridCol w:w="146"/>
        <w:gridCol w:w="211"/>
        <w:gridCol w:w="676"/>
        <w:gridCol w:w="146"/>
        <w:gridCol w:w="146"/>
        <w:gridCol w:w="211"/>
        <w:gridCol w:w="676"/>
        <w:gridCol w:w="146"/>
        <w:gridCol w:w="146"/>
        <w:gridCol w:w="396"/>
        <w:gridCol w:w="1183"/>
        <w:gridCol w:w="166"/>
        <w:gridCol w:w="146"/>
        <w:gridCol w:w="606"/>
        <w:gridCol w:w="1754"/>
        <w:gridCol w:w="363"/>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3" w:type="dxa"/>
            <w:tcBorders/>
            <w:shd w:fill="FFFFFF" w:val="cle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60" w:type="dxa"/>
            <w:gridSpan w:val="2"/>
            <w:tcBorders/>
            <w:shd w:fill="FFFFFF" w:val="clear"/>
            <w:vAlign w:val="center"/>
          </w:tcPr>
          <w:p>
            <w:pPr>
              <w:pStyle w:val="TableContents"/>
              <w:bidi w:val="0"/>
              <w:spacing w:before="0" w:after="283"/>
              <w:jc w:val="center"/>
              <w:rPr/>
            </w:pPr>
            <w:r>
              <w:rPr/>
              <w:t> </w:t>
            </w:r>
          </w:p>
        </w:tc>
        <w:tc>
          <w:tcPr>
            <w:tcW w:w="363" w:type="dxa"/>
            <w:tcBorders/>
            <w:shd w:fill="FFFFFF" w:val="cle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9"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3" w:type="dxa"/>
            <w:tcBorders/>
            <w:shd w:fill="FFFFFF" w:val="clear"/>
            <w:vAlign w:val="center"/>
          </w:tcPr>
          <w:p>
            <w:pPr>
              <w:pStyle w:val="TableContents"/>
              <w:bidi w:val="0"/>
              <w:spacing w:before="0" w:after="283"/>
              <w:jc w:val="center"/>
              <w:rPr/>
            </w:pPr>
            <w:r>
              <w:rPr/>
              <w:t> </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Amezalpat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pPr>
            <w:r>
              <w:rPr/>
              <w:t> </w:t>
            </w:r>
          </w:p>
        </w:tc>
        <w:tc>
          <w:tcPr>
            <w:tcW w:w="1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TPST-1495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candidate specific research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pPr>
            <w:r>
              <w:rPr/>
              <w:t> </w:t>
            </w:r>
          </w:p>
        </w:tc>
        <w:tc>
          <w:tcPr>
            <w:tcW w:w="11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left"/>
              <w:rPr/>
            </w:pPr>
            <w:r>
              <w:rPr/>
              <w:t> </w:t>
            </w:r>
          </w:p>
        </w:tc>
        <w:tc>
          <w:tcPr>
            <w:tcW w:w="17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and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increased by $4.4 million to $17.7 million for the nine months ended September 30, 2024, compared to the nine months ended September 30, 2023, which was primarily attributable to an increase in costs incurred from engaging contract research and manufacturing organizations in preparation for our pivotal Phase 3 trial of amezalpat for the treatment of first-line HCC, as well as an increase in stock-based compensation due to increased headcount. The following table summarizes our research and development expenses for the nine months ended September 30,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69"/>
        <w:gridCol w:w="146"/>
        <w:gridCol w:w="211"/>
        <w:gridCol w:w="676"/>
        <w:gridCol w:w="146"/>
        <w:gridCol w:w="146"/>
        <w:gridCol w:w="211"/>
        <w:gridCol w:w="676"/>
        <w:gridCol w:w="146"/>
        <w:gridCol w:w="146"/>
        <w:gridCol w:w="427"/>
        <w:gridCol w:w="1158"/>
        <w:gridCol w:w="166"/>
        <w:gridCol w:w="146"/>
        <w:gridCol w:w="609"/>
        <w:gridCol w:w="1763"/>
        <w:gridCol w:w="363"/>
      </w:tblGrid>
      <w:tr>
        <w:trPr/>
        <w:tc>
          <w:tcPr>
            <w:tcW w:w="3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0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3" w:type="dxa"/>
            <w:tcBorders/>
            <w:shd w:fill="FFFFFF" w:val="clear"/>
            <w:vAlign w:val="center"/>
          </w:tcPr>
          <w:p>
            <w:pPr>
              <w:pStyle w:val="TableContents"/>
              <w:bidi w:val="0"/>
              <w:spacing w:before="0" w:after="283"/>
              <w:jc w:val="center"/>
              <w:rPr/>
            </w:pPr>
            <w:r>
              <w:rPr/>
              <w:t> </w:t>
            </w:r>
          </w:p>
        </w:tc>
      </w:tr>
      <w:tr>
        <w:trPr/>
        <w:tc>
          <w:tcPr>
            <w:tcW w:w="30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2" w:type="dxa"/>
            <w:gridSpan w:val="2"/>
            <w:tcBorders/>
            <w:shd w:fill="FFFFFF" w:val="clear"/>
            <w:vAlign w:val="center"/>
          </w:tcPr>
          <w:p>
            <w:pPr>
              <w:pStyle w:val="TableContents"/>
              <w:bidi w:val="0"/>
              <w:spacing w:before="0" w:after="283"/>
              <w:jc w:val="center"/>
              <w:rPr/>
            </w:pPr>
            <w:r>
              <w:rPr/>
              <w:t> </w:t>
            </w:r>
          </w:p>
        </w:tc>
        <w:tc>
          <w:tcPr>
            <w:tcW w:w="363" w:type="dxa"/>
            <w:tcBorders/>
            <w:shd w:fill="FFFFFF" w:val="clear"/>
            <w:vAlign w:val="center"/>
          </w:tcPr>
          <w:p>
            <w:pPr>
              <w:pStyle w:val="TableContents"/>
              <w:bidi w:val="0"/>
              <w:spacing w:before="0" w:after="283"/>
              <w:jc w:val="center"/>
              <w:rPr/>
            </w:pPr>
            <w:r>
              <w:rPr/>
              <w:t> </w:t>
            </w:r>
          </w:p>
        </w:tc>
      </w:tr>
      <w:tr>
        <w:trPr/>
        <w:tc>
          <w:tcPr>
            <w:tcW w:w="30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7"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3" w:type="dxa"/>
            <w:tcBorders/>
            <w:shd w:fill="FFFFFF" w:val="clear"/>
            <w:vAlign w:val="center"/>
          </w:tcPr>
          <w:p>
            <w:pPr>
              <w:pStyle w:val="TableContents"/>
              <w:bidi w:val="0"/>
              <w:spacing w:before="0" w:after="283"/>
              <w:jc w:val="center"/>
              <w:rPr/>
            </w:pPr>
            <w:r>
              <w:rPr/>
              <w:t> </w:t>
            </w:r>
          </w:p>
        </w:tc>
      </w:tr>
      <w:tr>
        <w:trPr/>
        <w:tc>
          <w:tcPr>
            <w:tcW w:w="30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09" w:type="dxa"/>
            <w:tcBorders/>
            <w:shd w:fill="CFF0FC" w:val="clear"/>
            <w:vAlign w:val="center"/>
          </w:tcPr>
          <w:p>
            <w:pPr>
              <w:pStyle w:val="TableContents"/>
              <w:bidi w:val="0"/>
              <w:spacing w:before="0" w:after="283"/>
              <w:jc w:val="left"/>
              <w:rPr/>
            </w:pPr>
            <w:r>
              <w:rPr/>
              <w:t> </w:t>
            </w:r>
          </w:p>
        </w:tc>
        <w:tc>
          <w:tcPr>
            <w:tcW w:w="1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1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9" w:type="dxa"/>
            <w:tcBorders/>
            <w:shd w:fill="CFF0FC" w:val="clear"/>
            <w:vAlign w:val="center"/>
          </w:tcPr>
          <w:p>
            <w:pPr>
              <w:pStyle w:val="TableContents"/>
              <w:bidi w:val="0"/>
              <w:spacing w:before="0" w:after="283"/>
              <w:jc w:val="left"/>
              <w:rPr/>
            </w:pPr>
            <w:r>
              <w:rPr/>
              <w:t> </w:t>
            </w:r>
          </w:p>
        </w:tc>
        <w:tc>
          <w:tcPr>
            <w:tcW w:w="1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1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$2.0 million to $10.4 million for the nine months ended September 30, 2024, compared to the nine months ended September 30, 2023. The increase was primarily due to an increase in stock-based compensation expense due to increased headcount as well as an increase in expenses related to legal and consulting services.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both"/>
        <w:rPr>
          <w:rFonts w:ascii="Times New Roman" w:hAnsi="Times New Roman"/>
          <w:color w:val="000000"/>
          <w:sz w:val="20"/>
        </w:rPr>
      </w:pPr>
      <w:bookmarkStart w:id="23" w:name="section26"/>
      <w:bookmarkEnd w:id="23"/>
      <w:r>
        <w:rPr>
          <w:rFonts w:ascii="Times New Roman" w:hAnsi="Times New Roman"/>
          <w:color w:val="000000"/>
          <w:sz w:val="20"/>
        </w:rPr>
        <w:t>For the nine months ended September 30, 2024 and 2023, other income (expense), net consisted of total interest expense of $1.1 million in each period, related to the Oxford Loan, and interest income of $1.1 million and $0.7 million,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inception through September 30, 2024, our operations have been financed primarily by net cash proceeds from the sale of our common stock, convertible preferred stock and issuance of debt. As of September 30, 2024, we had $22.1 million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cash and cash equivalents and an accumulated deficit of $193.3 million. We expect that our research and development and general and administrative expenses will increase, and, as a result, we anticipate that we will continue to incur increasing losses in the foreseeable future.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our cash and cash equivalents as of September 30, 2024 and the $19.9 million of net proceeds raised between October 1, 2024 and November 8, 2024 through sales of common stock under our ATM Program will fund our ongoing working capital, investing, and financing requirements into the fourth quarter of 2025.</w:t>
      </w:r>
    </w:p>
    <w:p>
      <w:pPr>
        <w:pStyle w:val="TextBody"/>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Loan Agreement with Oxford Finance LLC</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2021, we entered into a Loan Agreement with Oxford that provided us with up to $35.0 million of borrowing capacity across three potential tranches, which was subsequently amended in December 2022. The initial tranche of $15.0 million was funded at the closing of the Loan Agreement, of which $5.0 million was repaid in December 2022. As of September 30, 2024, the balance of the loan payable (net of debt issuance costs) was $8.5 million and a total of $10.0 million in borrowing capacity remained available at the option of Oxford. Monthly principal payments of $733 thousand began on July 1, 2024 and the Company paid the first principal payment to Oxford in July 2024. The term loan matures on August 1, 2025 and has an annual floating interest rate of 7.15% which is an Index Rate plus 7.10%. Index Rate is the greater of (i) 1-Month CME Term SOFR or (ii) 0.05%. Refer to Note 6 to our consolidated financial statements for additional information on our Loan Agreement with Oxford.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July 23, 2021, we entered into a sales agreement with Jefferies LLC (“Jefferies”), pursuant to which we may sell, from time to time at its sole discretion through Jefferies, as its sales agent, shares of its common stock having, up to an aggregate sales price of $100.0 million of its common stock through Jefferies (the “Prior ATM Program”). As of June 20, 2024, we had sold an aggregate 9,017,110 shares of its common stock for gross proceeds of approximately $42.7 million ($41.5 million net of commissions and estimated expenses) under the Prior ATM Program. On June 20, 2024, we and Jefferies terminated the Prior ATM Program and entered a new Open Market Sale Agreement</w:t>
      </w:r>
      <w:r>
        <w:rPr>
          <w:rFonts w:ascii="Times New Roman" w:hAnsi="Times New Roman"/>
          <w:color w:val="000000"/>
          <w:sz w:val="13"/>
        </w:rPr>
        <w:t>SM</w:t>
      </w:r>
      <w:r>
        <w:rPr>
          <w:rFonts w:ascii="Times New Roman" w:hAnsi="Times New Roman"/>
          <w:color w:val="000000"/>
          <w:sz w:val="20"/>
        </w:rPr>
        <w:t xml:space="preserve"> (the “Sales Agreement”) to sell shares of common stock from time to time through Jefferies acting as sales agent (the “ATM Program”). Pursuant to the prospectus supplement dated June 20, 2024 (the “Prospectus Supplement”) filed by us with the U.S. Securities and Exchange Commission (“SEC”), we will be able to offer and sell up to $205,000,000 of its shares of common stock pursuant to the Sales Agreement. We will pay Jefferies a commission up to 3.0% of the gross sales proceeds of any shares of its common stock sold through Jefferies under the ATM Program and also has provided Jefferies with indemnification and contribution rights. As of September 30, 2024, we have sold an aggregate of 4,164,167 shares of its common stock for gross proceeds of approximately $8.6 million, or $8.3 million after deducting commissions and offering expenses, pursuant to the ATM Program. As of September 30, 2024, approximately $196.4 million remained available for sale under the ATM Program. Between October 1, 2024 and November 8, 2024 the Company sold 17,076,186 shares of our common stock for gross proceeds of $20.5 million or $19.9 million after deducting commissions and estimated offering expenses, pursuant to the ATM Program.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for the nine months ended September 30, 2024 and 2023:</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r>
          </w:p>
        </w:tc>
        <w:tc>
          <w:tcPr>
            <w:tcW w:w="2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used in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operating activities for the nine months ended September 30, 2024 was $22.9 million, consisting of a net loss of $28.0 million, add back of non-cash adjustments for depreciation, stock-based compensation, non-cash operating lease expense and other non-cash items totaling $5.5 million, less changes in operating assets and liabilities of $0.4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operating activities for the nine months ended September 30, 2023 was $21.2 million, consisting of a net loss of $22.0 million, add back of non-cash adjustments for depreciation, stock-based compensation, non-cash operating lease expense and other non-cash items totaling $3.2 million, plus changes in operating assets and liabilities of $2.4 million.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investing activities for the nine months ended September 30, 2024 and 2023 was related to purchases of property and equipment, primarily related to laboratory and computer equipment.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provided by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financing activities for the nine months ended September 30, 2024 was related to proceeds from the issuance of common stock of $6.5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financing activities for the nine months ended September 30, 2023 was related to proceeds from the issuance of common stock of $1.3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available cash and cash equivalents are sufficient to fund existing and planned cash requirements for the next 12 months from the date our consolidated financial statements were available to be issued.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a pivotal study for amezalpat in first-line HCC patients, as well as other costs associated with the scope, progress and results of discovery, preclinical development, laboratory testing and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the manufacturing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related to the extent to which we enter into partnerships or other arrangements with third parties to further develop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and fees associated with the discovery, acquisition or in-license of product candidates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future commercialization activities, if any, including product sales, marketing, manufacturing and distribution, for any of our product candidates for which we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material cash requirements primarily relate to the maturities of the principal obligations under our long-term debt, operating leases for office space, trade payables, and accrued expenses. As of September 30, 2024, we have $14.0 million payable within 12 months, including the current loan payable (net of discount and issuance costs) of $8.5 million due to Oxford and $0.8 million related to the Brisbane Lease. Refer to Notes 5 and 6 to our consolidated financial statements for additional information. We also expect our operating expenses to continue to increase in connection with our ongoing development activities, particularly as we continue the research, development and clinical trials of, and seek regulatory approval for, our product candidates. Accordingly, we will need substantial additional funding in connection with our continuing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we can generate a sufficient amount of product revenue to finance our cash requirements, we expect to finance our future cash needs, including those set forth above,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ourselves.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significant changes to our critical accounting policies since December 31, 2023.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2 to our Condensed Consolidated Financial Statements for a description of recent accounting pronouncements applicable to our Condensed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bookmarkStart w:id="24" w:name="item_3_quantitative_qualitative_disclosu"/>
      <w:bookmarkEnd w:id="24"/>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spacing w:before="200" w:after="283"/>
        <w:jc w:val="both"/>
        <w:rPr>
          <w:rFonts w:ascii="Times New Roman" w:hAnsi="Times New Roman"/>
          <w:sz w:val="20"/>
        </w:rPr>
      </w:pPr>
      <w:bookmarkStart w:id="25" w:name="item_4_controls_procedures"/>
      <w:bookmarkEnd w:id="25"/>
      <w:r>
        <w:rPr>
          <w:rFonts w:ascii="Times New Roman" w:hAnsi="Times New Roman"/>
          <w:b/>
          <w:color w:val="000000"/>
          <w:sz w:val="20"/>
        </w:rPr>
        <w:t xml:space="preserve">Item 4. </w:t>
      </w:r>
      <w:r>
        <w:rPr>
          <w:rFonts w:ascii="Times New Roman" w:hAnsi="Times New Roman"/>
          <w:b/>
          <w:i/>
          <w:color w:val="000000"/>
          <w:sz w:val="20"/>
        </w:rPr>
        <w:t>Controls 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 with the participation of our Chief Executive Officer (principal executive officer) and Vice-President, Strategy and Finance (principal financial officer), evaluated the effectiveness of our disclosure controls and procedures (as defined in Rules 13a-15(e) and 15d-15(e) under the Exchange Act), as of the end of the period covered by this Quarterly Report. Based on such evaluation, our Chief Executive Officer and Vice-President, Strategy and Finance have concluded that as of September 30, 2024, our disclosure controls and procedures were effective at the reasonable assurance level.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internal control over financial reporting during the quarter ended September 30, 2024 that have materially affected, or are reasonably likely to materially affect, our internal control over financial reporting.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6" w:name="part_ii_other_information"/>
      <w:bookmarkEnd w:id="26"/>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27" w:name="item_1_legal_proceedings"/>
      <w:bookmarkEnd w:id="27"/>
      <w:r>
        <w:rPr>
          <w:rFonts w:ascii="Times New Roman" w:hAnsi="Times New Roman"/>
          <w:b/>
          <w:color w:val="000000"/>
          <w:sz w:val="20"/>
        </w:rPr>
        <w:t xml:space="preserve">Item 1. </w:t>
      </w:r>
      <w:r>
        <w:rPr>
          <w:rFonts w:ascii="Times New Roman" w:hAnsi="Times New Roman"/>
          <w:b/>
          <w:i/>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pertaining to legal proceedings is provided in Note 5 to the Condensed Consolidated Financial Statements contained in this report and is incorporated by reference herein.</w:t>
      </w:r>
    </w:p>
    <w:p>
      <w:pPr>
        <w:pStyle w:val="TextBody"/>
        <w:bidi w:val="0"/>
        <w:spacing w:before="200" w:after="283"/>
        <w:jc w:val="both"/>
        <w:rPr>
          <w:rFonts w:ascii="Times New Roman" w:hAnsi="Times New Roman"/>
          <w:sz w:val="20"/>
        </w:rPr>
      </w:pPr>
      <w:bookmarkStart w:id="28" w:name="item_1a_risk_factors"/>
      <w:bookmarkEnd w:id="28"/>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Summary of Selected Risks Associated with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we have faced substantial doubt regarding our ability to continue as a going concern and may face such challenges in the future. If we are unable to maintain the cash reserves required to fund our business,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proprietary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Loan Agreement with Oxford Finance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expand our development and regulatory capabilities, and as a result, we may encounter difficulties in managing our growth, which could disrupt our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develop, obtain regulatory approval for and commercialize amezalpat, TPST-1495, or any of our future product candidates, or if we experience significant delays in doing so, our business will be materially harmed.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of product candidates and develop marketable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 candidates, including TPST-1495 and amezalpat, will depend upon their degree of market acceptance by providers, patients, patient advocacy groups, third-party payors and the general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third parties to manufacture our clinical product supplies, and we may have to rely on third parties to produce and process our product candidates,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Food and Drug Administration (“FDA”) regulatory approval process is lengthy and time-consuming, and we may experience significant delays in the clinical development and regulatory approval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owned and in-licensed patents and patent applications may not provide sufficient protection of our product candidates or result in any competitive advantage.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 of the shares of our common stock has been and is likely to continue to be volatile, and purchasers of our common stock could incur substantial losses.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Unstable market and economic conditions may have serious adverse consequences on our business, financial condition and share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thinly traded and our stockholders may be unable to sell their shares quickly or at market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maintain proper and effective internal controls, our ability to produce accurate financial statements on a timely basis could be impaired.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a history of operating losses, and we may not achieve or sustain profitability. We anticipate that we will continue to incur losses for the foreseeable future. If we fail to obtain additional funding to conduct our planned research and</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efforts, we could be forced to delay, reduce or eliminate our product development programs or commercial development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$28.0 million and $22.0 million for the nine months ended September 30, 2024 and 2023, respectively. As of September 30, 2024, we had an accumulated deficit of $193.3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have consumed significant amounts of cash since inception. We expect our expenses to continue to increase in connection with our ongoing activities, particularly as we conduct clinical trials of, and seek marketing approval for, our product candidates, including later stage clinical trials such as our potential pivotal Phase 3 trial in first-line HCC, subject to our discussions with the FDA,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timing, progress, costs and results of our ongoing preclinical studies and clinical trials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progress, results and costs of preclinical development, laboratory testing and clinical trials of other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reimbursement and distribution, for any of our product candidates for which we may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our product candidates for which we may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any milestone and royalty payments with respect to any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our cash and cash equivalents and additional financing to achieve our business objectives.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September 30, 2024, we had cash and cash equivalents of $22.1 million. We believe that our cash and cash equivalents as of September 30, 2024,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we will require substantial additional capital to develop our product candidates. Adequate additional financing may not be available to us on acceptable terms, or at all. If we require additional capital at a time when investment in our industry or in the marketplace in general is limited, we might not be able to raise funding on favorable terms, if at all.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such as the Russia-Ukraine war and the war in Israel. If we are unable to raise capital when needed or on acceptable terms, we could be forced to delay, reduce, or explore other strategic options for our research and development programs or other opportunities, or even our operations. If we do not obtain additional financing and are required to terminate our operations, our stockholders will lose their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June 2024, we terminated the prior sales agreement with Jefferies LLC (“Jefferies”) from July 2021 for our at-the-market program and entered into a new sales agreement with Jefferies for an at-the-market offering program (the “ATM Program”). Pursuant to the prospectus supplement we filed in June 2024, we may sell up to an aggregate of $205 million of our common stock under our ATM Program.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Agreement with Oxford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terms of the Loan Agreement with Oxford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2021, we entered into a Loan Agreement with Oxford that provided us with up to $35.0 million of borrowing capacity across three potential tranches, which was subsequently amended in December 2022. The initial tranche of $15.0 million was funded at the closing of the Loan Agreement, of which $5.0 million was repaid in December 2022. As of September 30, 2024, the balance of the loan payable (net of debt issuance costs) was $10.7 million and a total of $10.0 million in borrowing capacity remained available at the option of Oxford.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default under the Loan Agreement, Oxford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limited operating history may make it difficult for you to evaluate the success of our business to date and to assess our future viability.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pStyle w:val="TextBody"/>
        <w:bidi w:val="0"/>
        <w:jc w:val="both"/>
        <w:rPr>
          <w:rFonts w:ascii="Times New Roman" w:hAnsi="Times New Roman"/>
          <w:color w:val="000000"/>
          <w:sz w:val="20"/>
        </w:rPr>
      </w:pPr>
      <w:r>
        <w:rPr>
          <w:rFonts w:ascii="Times New Roman" w:hAnsi="Times New Roman"/>
          <w:color w:val="000000"/>
          <w:sz w:val="20"/>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tax credit carryforwards may be subject to limitations.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Tx, Inc. (our predecessor),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Business and Strategy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to expand our development and regulatory capabilities, and as a result, we may encounter difficulties in managing our growth, which could disrupt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attract and retain highly skilled employees to succeed.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pStyle w:val="TextBody"/>
        <w:bidi w:val="0"/>
        <w:jc w:val="both"/>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greater financial and other resources, different risk profiles and a longer history in the industry than we do. They also may provide more diverse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Future acquisitions or strategic alliances could disrupt our business and harm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addressing acquisition integration challenges;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coordination of research and development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retention of key employees from the acquired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relationships with strategic partners as a result of product acquisitions or strategic positioning resulting from the acquisition;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cultural challenges associated with integrating employees from the acquired company into our organization;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need to implement or improve controls, procedures and policies at a business that prior to the acquisition may have lacked sufficiently effective controls, procedures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for activities of the acquired company before the acquisition, including intellectual property infringement claims, violation of laws, commercial disputes, tax liabilities and other known liabilities;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unanticipated write-offs or charges;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or other claims in connection with the acquired company, including claims from terminated employees, customers, former stockholders or other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Product Development and Regulatory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develop, obtain regulatory approval for and commercialize TPST-1495, amezalpat, or any of our future product candidates, or if we experience significant delays in doing so, our business will be materially harmed.</w:t>
      </w:r>
    </w:p>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plan to invest a substantial amount of our efforts and financial resources in our current lead product candidates, TPST-1495, a dual EP2/EP4 prostaglandin (“PGE2”) receptor antagonist, and amezalpat, a peroxisome proliferator-activated receptor alpha (“PPARα”) antagonist for the treatment of various cancers. We have initiated Phase 1 clinical trials of TPST-1495 and amezalpat for the treatment of advanced solid tumors. We anticipate receiving feedback from the FDA on our potential pivotal Phase 3 trial design for amezalpat for HCC during the third quarter of 2024. The FDA may require that we conduct additional dose optimization or Phase 2 development work prior to proceeding to a Phase 3 trial. Any delay in our ability to proceed to a pivotal trial for amezalpat will add time and expense to the development pathway and adversely impact the timing and potential for profitability. Our ability to generate product revenue will depend heavily on the successful development and eventual commercialization of TPST-1495 and amezalpat and any future product candidates, which may never occur. We currently generate no revenue from sales of any product and we may never be able to develop or commercialize a marketable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TPST-1495 and amezalpat and any future product candidates depends on multiple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Investigational New Drug applications or other regulatory applications, that allow commencement of our planned clinical trials or future clinical trials for our product candidates in relevant territories;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and maintaining relationships with contract research organizations (“CROs”) and clinical sites for the clinical development of our product candidates, both in the United States and internationally;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of arrangements with third-party contract manufacturing organizations (“CMOs”) for key materials used in our manufacturing processes and to establish backup sources for clinical and large-scale commercial supply;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positive results from our clinical programs that are supportive of safety and efficacy and provide an acceptable risk-benefit profile for our product candidates in the intended patient populations;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receipt of regulatory approvals from applicable regulatory authorities, including those necessary for pricing and reimbursement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and maintenance of patent and trade secret protection and regulatory exclusivity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launch of our product candidates, if and when approved, whether alone or in collaboration with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acceptance of our product candidates, if and when approved, by patients, patient advocacy groups, third-party payors and the general medical community;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effectively compete with developers of other therapies available in the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and maintenance of adequate reimbursement from third-party payors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acquire or in-license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prosecution, maintenance, enforcement and defense of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of a continued acceptable safety profile of our product candidates following approval, including meeting any post-marketing commitments or requirements imposed by or agreed to with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political factors surrounding the approval process, such as government shutdowns;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such as the Russia-Ukraine war and the war in Israel, natural disasters including earthquakes, typhoons, floods and fires, and public health crises.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our clinical trials demonstrate acceptable safety and efficacy of TPST-1495 and amezalpat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amezalpat, to the satisfaction of the FDA or foreign regulatory authorities, then the regulatory approvals for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product candidates could be significantly delayed as we work to meet approval requirements, or, if we are not able to meet these requirements, such approvals could be withheld or withdrawn.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that patients enrolled in our clinical trials will drop out of the trials before the infusion of our product candidates or trial completion.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because our product candidates represent unproven methods for cancer treatment, potential patients and their doctors may be inclined to use existing therapies rather than enroll patients in our clinical trials.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pStyle w:val="TextBody"/>
        <w:bidi w:val="0"/>
        <w:jc w:val="both"/>
        <w:rPr>
          <w:rFonts w:ascii="Times New Roman" w:hAnsi="Times New Roman"/>
          <w:color w:val="000000"/>
          <w:sz w:val="20"/>
        </w:rPr>
      </w:pPr>
      <w:r>
        <w:rPr>
          <w:rFonts w:ascii="Times New Roman" w:hAnsi="Times New Roman"/>
          <w:color w:val="000000"/>
          <w:sz w:val="20"/>
        </w:rPr>
        <w:t xml:space="preserve">Preliminary or interim data also remain subject to audit and verification procedures that may result in the final data being materially different from the preliminary data we previously published. As a result, interim and preliminary data should be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viewed with caution until the final data is available. Adverse differences between preliminary or interim data and final data could significantly harm our business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are investigating amezalpat and TPST-1495 in combination with other approved therapies, and we may in the future investigate product candidates in combination with other approved and unapproved therapies, which exposes us to additional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product candidate and the approval may be for a narrower indication than we seek.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commercialization, TPST-1495, amezalpat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amezalpat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of TPST-1495 and amezalpat and any future product candidates may be delayed or refused for many reasons, including: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populations studied in clinical trials may not be sufficiently broad or representative to assure efficacy and safety in the populations for which we seek approval;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demonstrate that our product candidates’ clinical and other benefits outweigh their safety risks;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or other comparable submission in foreign jurisdictions or to obtain regulatory approval in the United States or elsewhere;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facilities of third-party manufacturers with which we contract or procure certain service or raw materials, may not be adequate to support approval of our product candidates;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TPST-1495, amezalpat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amezalpat and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if we or others later identify undesirable side effects caused by our product candidates, several potentially significant negative consequences could result,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may suspend or withdraw approvals of such product candidate;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may require additional warnings in the product labeling;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harm our business, financial condition, results of operations and prospects significantly.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our efforts to expand our pipeline of product candidates and develop marketable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our pipeline includes multiple programs, we are primarily focused on our lead product candidates, TPST-1495 and amezalpat, and we may forego or delay pursuit of opportunities with other product candidates or for other indications that later prove to have greater commercial potential. Our resource allocation decisions may cause us to fail to capitalize on viable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our product candidates, manufacturers or manufacturing processes, or failure to comply with regulatory requirements, may yield various results,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such product candidates, manufacturers or manufacturing processes;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the labeling or marketing of a product;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withdrawal of any approved product from the market;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recall of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to permit the import or export of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seizure;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Non-compliance with Canadian and European requirements regarding safety monitoring or pharmacovigilance, and with requirements related to the development of products for the pediatric population, can also result in significant financial penalties.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obtain regulatory approval in international jurisdictions would prevent us from marketing our product candidates outside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market and sell TPST-1495, amezalpat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 and Manufacturing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commercial success of our product candidates, including TPST-1495 and amezalpat, will depend upon their degree of market acceptance by providers, patients, patient advocacy groups, third-party payors and the general medical community.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amezalpat or any future product candidates. Any product that we commercialize may not gain acceptance by providers, patients, patient advocacy groups, third-party payors and the general medical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community. If these products do not achieve an adequate level of acceptance, we may not generate significant product revenue and may not become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clinical trials, market acceptance of the product will not be fully known until after it is launched.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amezalpat, and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 parties to manufacture our clinical product supplies, and we may have to rely on third parties to produce and process our product candidates,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manufacturers might be unable to timely formulate and manufacture our product or produce the quantity and quality required to meet our clinical and commercial needs,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manufacturers may not be able to execute our manufacturing procedures appropriately.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contract manufacturers may not perform as agreed or may not remain in the contract manufacturing business for the time required to supply our clinical trials or to successfully produce, store and distribute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manufacturers could breach or terminate their agreement(s)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cGMP. Furthermore, although we do not have day-to-day control over the operations of our CMOs, we are responsible for ensuring compliance with applicable laws and regulations, including cGMP.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do not have an organization for the sales, marketing and distribution of TPST-1495, amezalpat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amezalpat and any future product candidates, including in markets outside of the United States or for other large markets that are beyond our resources. This will reduce the revenue generated from the sales of these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 regulatory approval process is lengthy and time consuming, and we may experience significant delays in the clinical development and regulatory approval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experience delays in obtaining regulatory approvals, including but not limited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regulatory authorization to begin a trial, if applicable;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redesigning our study protocols and need to conduct additional studies as may be required by a regulator;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governmental or regulatory delays and changes in regulation or policy relating to the development and commercialization of our product candidate by the FDA or other comparable foreign regulatory authorities;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timing and cost of meeting regulatory requirements established by the FDA, and other comparable foreign regulatory authorities;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availability of financial resources to commence and complete the planned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negotiating the terms of any collaboration agreements we may choose to initiate or conclude;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of third-party contractors, such as CROs, or investigators to comply with regulatory requirements, including GCPs;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failure in obtaining the necessary approvals from regulators or institutional review boards (“IRBs”), in order to commence a clinical trial at a prospective trial site, or their suspension or termination of a clinical trial once commenced;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recruit and enroll suitable patients to participate in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having patients complete a trial, including having patients enrolled in clinical trials dropping out of the trial before the product candidate is manufactured and returned to the site, or return for post-treatment follow-up;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difficulty in having patients complete a trial or return for post-treatment follow-up;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addressing any patient safety concerns that arise during the course of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add new clinical trial sites;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varying interpretations of the data generated from our preclinical or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defending intellectual property disputes, including patent infringement actions brought by third parties;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and timing of establishing, expanding and scaling manufacturing capabilities;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manufacture, or obtain from third parties, sufficient quantities of qualified materials under cGMP, for the completion in pre-clinical and clinical studies;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problems with biopharmaceutical product candidate storage, stability and distribution resulting in global supply chain disruptions;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 for which we may receive regulatory approval in regions where we choose to commercialize our products on our own;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Enacted and future legislation may increase the difficulty and cost for us to commercialize and obtain marketing approval of our product candidates and may affect the prices we may set.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changes to U.S. government priorities, policies, and/or initiatives as a result of the 2024 election cycle, could result in changes to the regulatory landscape, which could adversely impact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and our failure to comply with them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collect, receive, store, process, generate, use, transfer, disclose, make accessible, protect, secure, dispose of, transmit, and share (collectively, process) a large quantity of sensitive information, including confidential business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there are numerous federal and state privacy and data security laws and regulations governing the processing of personal data, including health information privacy laws, security breach notification laws, consumer protection laws,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the Health Insurance Portability and Accountability Act of 1996 (“HIPAA”), which imposes specific requirements relating to the privacy, security, and transmission of protected health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exempts some data processed in the context of clinical trials, the CCPA may increase our compliance costs and potential liability. Similar laws are being considered in several other states, as well as at the federal and local levels, and we expect more states to pass similar laws in the future.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another example, the European Union’s General Data Protection Regulation (the “EU GDPR”) and the United Kingdom’s GDPR (together with EU GDPR, “GDPR”) also impose strict requirements for processing personal data and substantial fines for breaches and violations (for example, under the EU GDPR, up to the greater of €20 million or 4% of our annual worldwide gross revenue). Additionally, under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on processing personal data; orders to destroy or not use personal data; imprisonment of company officials; or other consequences that could adversely affect our business, financial condition and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upon which we rely.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could include wrongful conduct by hostile foreign governments, industrial espionage, wire fraud and other forms of cyber fraud, the deployment of harmful malware, denial-of-service attacks, social engineering attacks (including through deep-fakes, which may be increasingly more difficult to identify as fake, and phishing attacks), malicious code (such as viruses and worms), credential stuffing attacks, credential harvesting, ransomware attacks, supply-chain attacks, software bugs, server malfunctions, software or hardware failures, loss of data, attacks enhanced or facilitated by artificial intelligence or other information technology assets, fraud or other means to threaten confidentiality, integrity and availability of our sensitive information. We and the third parties upon which we rely may also experience telecommunications failures, natural disasters, terrorism, war and other similar threats.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upon which we rely hardware and software).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successful or perceived security incident experienced by us or the third parties upon which we rely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CROs, CMOs and consultants may engage in misconduct or other improper activities, including non-compliance with regulatory standards and requirements and insider trading.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under applicable U.S. federal and state healthcare laws and regulations include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HIPAA imposes criminal and civil liability for, among other things, knowingly and willfully executing or attempting to execute a scheme to defraud any healthcare benefit program or making false statements relating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healthcare matters. Similar to the federal Anti-Kickback Statute, a person or entity does not need to have actual knowledge of the statute or specific intent to violate it in order to have committed a violation;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tax laws or regulations could materially adversely affect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success will depend in large part on obtaining and maintaining patent, trademark, trade secret and other intellectual property protection of our proprietary technologies and product candidates, which include TPST-1495, amezalpat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and may in the future depend on intellectual property licensed from third parties, and our current or future licensors may not always act in our best interest. If we fail to comply with our obligations under our intellectual property</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licenses, if the licenses are terminated, or if disputes regarding these licenses arise, we could lose significant rights that may be important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royalty, milestone or other payment obligations that may result from the advancement or commercial sale of any of our product candidates;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owned and in-licensed patents and patent applications may not provide sufficient protection of our product candidates or result in any competitive advantage.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2045,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others may be able to make or use compounds that are similar to the active compositions of our product candidates but that are not covered by the claims of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APIs in our current product candidates will eventually become commercially available in generic drug products, and no patent protection may be available with regard to formulation or method of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current or future licensors, as the case may be, may fail to meet our or our obligations to the U.S. government regarding any patents and patent applications funded by U.S. government grants, leading to the loss or unenforceability of patent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current or future licensors, as the case may be, might not have been the first to file patent applications for certain inventions;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our pending patent applications will not result in issued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there are prior public disclosures that could invalidate our owned or in-licensed patents, as the case may be, or parts of our owned or in-licensed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others may circumvent our owned or in-licensed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there are unpublished applications or patent applications maintained in secrecy that may later issue with claims covering our product candidates or technology similar to ours;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laws of foreign countries may not protect our, or our current or future licensors’, as the case may be, proprietary rights to the same extent as the laws of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claims of our owned or in-licensed issued patents or patent applications, if and when issued, may not adequately cover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engaged in scientific collaborations in the past and will continue to do so in the future and our collaborators may develop adjacent or competing products that are outside the scope of our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product candidates or diagnostic tests we develop may be covered by third parties’ patents or other exclusive rights;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foregoing could have a material adverse effect on our business, financial conditions,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strategy of obtaining rights to key technologies through in-licenses may not be successful.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Third-party claims of intellectual property infringement may prevent, delay or otherwise interfere with our product discovery and development efforts.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third party claims that we infringe, misappropriate or otherwise violate their intellectual property rights, we may face a number of issues,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infringement and other intellectual property claims that, regardless of merit, may be expensive and time-consuming to litigate and may divert our management’s attention from our core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license is available from a third party, we may have to pay substantial royalties, upfront fees and other amounts, and/or grant cross-licenses to intellectual property rights for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 that we redesign our product candidates or processes so they do not infringe, which may not be possible or may require substantial monetary expenditures and time;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that event, we would be unable to further develop and commercialize our product candidates, which could significantly harm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could result in a finding that such patents are unenforceable or invalid.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Conversely, we may choose to challenge the patentability of claims in a third party’s U.S. patent by requesting that the USPTO review the patent claims in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assert that our employees or consultants have wrongfully used or disclosed confidential information or misappropriated trade secrets.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patent law in the United States and in non-U.S. jurisdictions could diminish the value of patents in general, thereby impairing our ability to protect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obtain patent term extension for any product candidates it may develop, our business may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Intellectual property discovered through government funded programs may be subject to federal regulations such as </w:t>
      </w:r>
      <w:r>
        <w:rPr>
          <w:rFonts w:ascii="Times New Roman" w:hAnsi="Times New Roman"/>
          <w:color w:val="000000"/>
          <w:sz w:val="20"/>
        </w:rPr>
        <w:t>“</w:t>
      </w:r>
      <w:r>
        <w:rPr>
          <w:rFonts w:ascii="Times New Roman" w:hAnsi="Times New Roman"/>
          <w:b/>
          <w:i/>
          <w:color w:val="000000"/>
          <w:sz w:val="20"/>
        </w:rPr>
        <w:t>march-in</w:t>
      </w:r>
      <w:r>
        <w:rPr>
          <w:rFonts w:ascii="Times New Roman" w:hAnsi="Times New Roman"/>
          <w:color w:val="000000"/>
          <w:sz w:val="20"/>
        </w:rPr>
        <w:t xml:space="preserve">” </w:t>
      </w:r>
      <w:r>
        <w:rPr>
          <w:rFonts w:ascii="Times New Roman" w:hAnsi="Times New Roman"/>
          <w:b/>
          <w:i/>
          <w:color w:val="000000"/>
          <w:sz w:val="20"/>
        </w:rPr>
        <w:t>rights, certain reporting requirements and a preference for U.S.-based companies. Compliance with such regulations may limit our exclusive rights and limit our ability to contract with non-U.S.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Ownership of Our Common Stock and Other General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trading price of the shares of our common stock has been and is likely to continue to be volatile, and purchasers of our common stock could incur substantial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 price of our common stock has been and is likely to continue to be volatile. For example, during 2023, the closing price of our common stock on The Nasdaq Capital Market ranged from $0.23 per share to $9.77 per share. Some of the factors that may cause the market price of our common stock to fluctuate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existing or future collaborators;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announcements of significant acquisitions, strategic collaborations, joint ventures or capital commitments by us or our competitors;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actions taken by regulatory agencies with respect to our product candidates, clinical studies, manufacturing process or sales and marketing terms;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adverse or misleading opinions regarding our business and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securities by us or our securityholders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raise an adequate amount of capital to fund our operations and continued development of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announcements by competitors of new commercial products, clinical progress or lack thereof, significant contracts, commercial relationships or capital commitments;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publicity relating to precision medicine product candidates, including with respect to other products in such markets;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introduction of technological innovations or new therapies that compete with our products and services;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geopolitical tensions, like the Russia-Ukraine war and the war in Israel,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common stock is thinly traded and our stockholders may be unable to sell their shares quickly or at market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smaller reporting company, and the reduced reporting requirements applicable to smaller reporting companies may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Status as a Public Company and Other General Matters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continue to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in September 2023, we received a notice from Nasdaq notifying us that for the previous 30 consecutive business days, the bid price of our common stock had closed below $1.00 per share, the minimum closing bid price required by the continued listing requirements of Nasdaq Listing Rule 5550(a)(2). We were able to achieve compliance within the 180 calendar day compliance period, but there can be no assurance that we will remain in compliance with the requirements for listing our common stock on Nasdaq. Delisting could adversely affect our ability to raise additional capital through the public or private sale of equity securities,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 Also,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disasters and other calamities, including public health crises, and our business continuity and disaster recovery plans may not adequately protect us from a serious disaster.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termination of our collaboration relationships or disputes with our collaborators;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voluntary product recalls, withdrawals or labeling restrictions;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for nominations to our board of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prohibit actions by our stockholders by written consent;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that stockholder actions be effected at a duly called stockholders meeting;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October 2023, we implemented a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As a result of the amendment, the rights will expire immediately following our 2025 Annual Meeting of Stockholders, or, if our stockholders approve the Rights Plan, on October 10, 2026, unless the rights are earlier redeemed or exchanged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that we will pay any cash dividends in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current expectation is that we will retain our future earnings, if any, to fund our growth as opposed to paying dividends. As a result, capital appreciation, if any, of our common stock will be your sole source of gain, if any, for the foreseeable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9" w:name="item_2_unregistered_sales_equity_securit"/>
      <w:bookmarkEnd w:id="29"/>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30" w:name="item_3_defaults_upon_senior_securities"/>
      <w:bookmarkEnd w:id="30"/>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31" w:name="item_4_mine_safety_disclosures"/>
      <w:bookmarkEnd w:id="31"/>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32" w:name="item_5_other_information"/>
      <w:bookmarkEnd w:id="32"/>
      <w:r>
        <w:rPr>
          <w:rFonts w:ascii="Times New Roman" w:hAnsi="Times New Roman"/>
          <w:b/>
          <w:color w:val="000000"/>
          <w:sz w:val="20"/>
        </w:rPr>
        <w:t>Item 5. Other Information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our last fiscal quarter, no director or officer (as defined in Rule 16a-1(f) under the Exchange Act) adopted or terminated a “Rule 10b5-1 trading arrangement” or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33" w:name="item_6_exhibits"/>
      <w:bookmarkEnd w:id="33"/>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incorporated by reference or filed as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5387"/>
        <w:gridCol w:w="526"/>
        <w:gridCol w:w="821"/>
        <w:gridCol w:w="676"/>
        <w:gridCol w:w="632"/>
        <w:gridCol w:w="1259"/>
      </w:tblGrid>
      <w:tr>
        <w:trPr/>
        <w:tc>
          <w:tcPr>
            <w:tcW w:w="904" w:type="dxa"/>
            <w:tcBorders/>
            <w:vAlign w:val="center"/>
          </w:tcPr>
          <w:p>
            <w:pPr>
              <w:pStyle w:val="TableContents"/>
              <w:bidi w:val="0"/>
              <w:spacing w:before="0" w:after="283"/>
              <w:jc w:val="left"/>
              <w:rPr>
                <w:sz w:val="4"/>
                <w:szCs w:val="4"/>
              </w:rPr>
            </w:pPr>
            <w:r>
              <w:rPr>
                <w:sz w:val="4"/>
                <w:szCs w:val="4"/>
              </w:rPr>
            </w:r>
          </w:p>
        </w:tc>
        <w:tc>
          <w:tcPr>
            <w:tcW w:w="538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904" w:type="dxa"/>
            <w:tcBorders/>
            <w:tcMar>
              <w:top w:w="0" w:type="dxa"/>
              <w:left w:w="0" w:type="dxa"/>
              <w:bottom w:w="0" w:type="dxa"/>
              <w:right w:w="0" w:type="dxa"/>
            </w:tcMar>
            <w:vAlign w:val="center"/>
          </w:tcPr>
          <w:p>
            <w:pPr>
              <w:pStyle w:val="TableContents"/>
              <w:bidi w:val="0"/>
              <w:spacing w:before="0" w:after="283"/>
              <w:jc w:val="left"/>
              <w:rPr/>
            </w:pPr>
            <w:r>
              <w:rPr/>
              <w:t> </w:t>
            </w:r>
          </w:p>
        </w:tc>
        <w:tc>
          <w:tcPr>
            <w:tcW w:w="53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4" w:type="dxa"/>
            <w:gridSpan w:val="5"/>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Incorporation by Reference</w:t>
            </w:r>
          </w:p>
        </w:tc>
      </w:tr>
      <w:tr>
        <w:trPr/>
        <w:tc>
          <w:tcPr>
            <w:tcW w:w="904"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Exhibit Number</w:t>
            </w:r>
          </w:p>
        </w:tc>
        <w:tc>
          <w:tcPr>
            <w:tcW w:w="5387"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Description of Exhibit</w:t>
            </w:r>
          </w:p>
        </w:tc>
        <w:tc>
          <w:tcPr>
            <w:tcW w:w="526"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Form</w:t>
            </w:r>
          </w:p>
        </w:tc>
        <w:tc>
          <w:tcPr>
            <w:tcW w:w="821"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File Number</w:t>
            </w:r>
          </w:p>
        </w:tc>
        <w:tc>
          <w:tcPr>
            <w:tcW w:w="676"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Exhibit</w:t>
            </w:r>
          </w:p>
        </w:tc>
        <w:tc>
          <w:tcPr>
            <w:tcW w:w="632"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Filing Date</w:t>
            </w:r>
          </w:p>
        </w:tc>
        <w:tc>
          <w:tcPr>
            <w:tcW w:w="1259"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Filed or Furnished Herewith</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2">
              <w:r>
                <w:rPr>
                  <w:rStyle w:val="InternetLink"/>
                  <w:rFonts w:ascii="Times New Roman" w:hAnsi="Times New Roman"/>
                  <w:color w:val="0000FF"/>
                  <w:sz w:val="18"/>
                  <w:u w:val="single"/>
                </w:rPr>
                <w:t>Restated Certificate of Incorporation of the Registrant, as amended</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10-Q</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5/15/2019</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3.2</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3">
              <w:r>
                <w:rPr>
                  <w:rStyle w:val="InternetLink"/>
                  <w:rFonts w:ascii="Times New Roman" w:hAnsi="Times New Roman"/>
                  <w:color w:val="0000FF"/>
                  <w:sz w:val="18"/>
                  <w:u w:val="single"/>
                </w:rPr>
                <w:t>Certificate of Amendment to the Restated Certificate of Incorporation of the Company, as filed with the Secretary of State of the State of Delaware on June 24, 2021</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6/28/2021</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3.3</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4">
              <w:r>
                <w:rPr>
                  <w:rStyle w:val="InternetLink"/>
                  <w:rFonts w:ascii="Times New Roman" w:hAnsi="Times New Roman"/>
                  <w:color w:val="0000FF"/>
                  <w:sz w:val="18"/>
                  <w:u w:val="single"/>
                </w:rPr>
                <w:t>Certificate of Amendment to the Restated Certificate of Incorporation of the Company, as filed with the Secretary of State of the State of Delaware on June 25, 2021</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3.2</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6/28/2021</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3.4</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5">
              <w:r>
                <w:rPr>
                  <w:rStyle w:val="InternetLink"/>
                  <w:rFonts w:ascii="Times New Roman" w:hAnsi="Times New Roman"/>
                  <w:color w:val="0000FF"/>
                  <w:sz w:val="18"/>
                  <w:u w:val="single"/>
                </w:rPr>
                <w:t>Certificate of Designation of Series A Junior Participating Preferred Stock filed with the Secretary of State of the State of Delaware on October 10, 2023</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10/11/2023</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3.5</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6">
              <w:r>
                <w:rPr>
                  <w:rStyle w:val="InternetLink"/>
                  <w:rFonts w:ascii="Times New Roman" w:hAnsi="Times New Roman"/>
                  <w:color w:val="0000FF"/>
                  <w:sz w:val="18"/>
                  <w:u w:val="single"/>
                </w:rPr>
                <w:t>Amended and Restated Bylaws of the Registrant</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9/24/2021</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4.1</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7">
              <w:r>
                <w:rPr>
                  <w:rStyle w:val="InternetLink"/>
                  <w:rFonts w:ascii="Times New Roman" w:hAnsi="Times New Roman"/>
                  <w:color w:val="0000FF"/>
                  <w:sz w:val="18"/>
                  <w:u w:val="single"/>
                </w:rPr>
                <w:t>Amendment No. 1, dated as of October 9, 2024, to Rights Agreement, dated as of October 10, 2023, by and between Tempest Therapeutics, Inc. and Computershare Trust Company, N.A., as rights agent</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4.1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10/10/2024</w:t>
            </w:r>
          </w:p>
        </w:tc>
        <w:tc>
          <w:tcPr>
            <w:tcW w:w="1259" w:type="dxa"/>
            <w:tcBorders/>
            <w:tcMar>
              <w:top w:w="0" w:type="dxa"/>
              <w:left w:w="0" w:type="dxa"/>
              <w:bottom w:w="0" w:type="dxa"/>
              <w:right w:w="0" w:type="dxa"/>
            </w:tcMar>
            <w:vAlign w:val="center"/>
          </w:tcPr>
          <w:p>
            <w:pPr>
              <w:pStyle w:val="TableContents"/>
              <w:bidi w:val="0"/>
              <w:spacing w:before="30" w:after="30"/>
              <w:jc w:val="center"/>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31.1</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w:anchor="tpst-ex31_1.htm">
              <w:r>
                <w:rPr>
                  <w:rStyle w:val="InternetLink"/>
                  <w:rFonts w:ascii="Times New Roman" w:hAnsi="Times New Roman"/>
                  <w:color w:val="0000FF"/>
                  <w:sz w:val="18"/>
                  <w:u w:val="single"/>
                </w:rPr>
                <w:t>Certification of Principal Executive Officer pursuant to Rules 13a-14(a) and 15d-14(a) promulgated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31.2</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w:anchor="tpst-ex31_2.htm">
              <w:r>
                <w:rPr>
                  <w:rStyle w:val="InternetLink"/>
                  <w:rFonts w:ascii="Times New Roman" w:hAnsi="Times New Roman"/>
                  <w:color w:val="0000FF"/>
                  <w:sz w:val="18"/>
                  <w:u w:val="single"/>
                </w:rPr>
                <w:t>Certification of Principal Financial Officer pursuant to Rules 13a-14(a) and 15d-14(a) promulgated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sz w:val="18"/>
              </w:rPr>
            </w:pPr>
            <w:r>
              <w:rPr>
                <w:rFonts w:ascii="Times New Roman" w:hAnsi="Times New Roman"/>
                <w:color w:val="000000"/>
                <w:sz w:val="18"/>
              </w:rPr>
              <w:t>32.1</w:t>
            </w:r>
            <w:r>
              <w:rPr>
                <w:rFonts w:ascii="Times New Roman" w:hAnsi="Times New Roman"/>
                <w:color w:val="000000"/>
                <w:sz w:val="12"/>
              </w:rPr>
              <w:t>^</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w:anchor="tpst-ex32_1.htm">
              <w:r>
                <w:rPr>
                  <w:rStyle w:val="InternetLink"/>
                  <w:rFonts w:ascii="Times New Roman" w:hAnsi="Times New Roman"/>
                  <w:color w:val="0000FF"/>
                  <w:sz w:val="18"/>
                  <w:u w:val="single"/>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101.INS</w:t>
            </w:r>
          </w:p>
        </w:tc>
        <w:tc>
          <w:tcPr>
            <w:tcW w:w="5387"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18"/>
              </w:rPr>
            </w:pPr>
            <w:r>
              <w:rPr>
                <w:rFonts w:ascii="Times New Roman" w:hAnsi="Times New Roman"/>
                <w:color w:val="000000"/>
                <w:sz w:val="18"/>
              </w:rPr>
              <w:t>Inline XBRL Instance Document (the instance document does not appear in the Interactive Data File as its XBRL tags are embedded within the Inline XBRL document)</w:t>
            </w:r>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101.SCH</w:t>
            </w:r>
          </w:p>
        </w:tc>
        <w:tc>
          <w:tcPr>
            <w:tcW w:w="5387"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104</w:t>
            </w:r>
          </w:p>
        </w:tc>
        <w:tc>
          <w:tcPr>
            <w:tcW w:w="5387"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18"/>
              </w:rPr>
            </w:pPr>
            <w:r>
              <w:rPr>
                <w:rFonts w:ascii="Times New Roman" w:hAnsi="Times New Roman"/>
                <w:color w:val="000000"/>
                <w:sz w:val="18"/>
              </w:rPr>
              <w:t>The cover page from the Company’s Quarterly Report on Form 10-Q for the quarter ended September 30, 2024, has been formatted in Inline XBRL.</w:t>
            </w:r>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Pursuant to Item 601(b)(10)(iv) of Regulation S-K, certain portions of this exhibit (marked by [***]) have been omitted because the identified information is the type that the registrant treats as private or confidential and is not material.</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4" w:name="signatures"/>
      <w:bookmarkEnd w:id="34"/>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444" w:type="dxa"/>
        <w:jc w:val="left"/>
        <w:tblInd w:w="0" w:type="dxa"/>
        <w:tblLayout w:type="fixed"/>
        <w:tblCellMar>
          <w:top w:w="28" w:type="dxa"/>
          <w:left w:w="28" w:type="dxa"/>
          <w:bottom w:w="28" w:type="dxa"/>
          <w:right w:w="28" w:type="dxa"/>
        </w:tblCellMar>
      </w:tblPr>
      <w:tblGrid>
        <w:gridCol w:w="960"/>
        <w:gridCol w:w="333"/>
        <w:gridCol w:w="4151"/>
      </w:tblGrid>
      <w:tr>
        <w:trPr/>
        <w:tc>
          <w:tcPr>
            <w:tcW w:w="9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15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TEMPEST THERAPEUTICS, INC.</w:t>
            </w:r>
          </w:p>
        </w:tc>
      </w:tr>
      <w:tr>
        <w:trPr/>
        <w:tc>
          <w:tcPr>
            <w:tcW w:w="9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4151" w:type="dxa"/>
            <w:tcBorders/>
            <w:vAlign w:val="center"/>
          </w:tcPr>
          <w:p>
            <w:pPr>
              <w:pStyle w:val="TableContents"/>
              <w:bidi w:val="0"/>
              <w:spacing w:before="0" w:after="283"/>
              <w:jc w:val="left"/>
              <w:rPr/>
            </w:pPr>
            <w:r>
              <w:rPr/>
              <w:t> </w:t>
            </w:r>
          </w:p>
        </w:tc>
      </w:tr>
      <w:tr>
        <w:trPr/>
        <w:tc>
          <w:tcPr>
            <w:tcW w:w="9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 w:type="dxa"/>
            <w:tcBorders/>
            <w:vAlign w:val="center"/>
          </w:tcPr>
          <w:p>
            <w:pPr>
              <w:pStyle w:val="TableContents"/>
              <w:bidi w:val="0"/>
              <w:spacing w:before="0" w:after="283"/>
              <w:jc w:val="left"/>
              <w:rPr/>
            </w:pPr>
            <w:r>
              <w:rPr/>
              <w:t> </w:t>
            </w:r>
          </w:p>
        </w:tc>
        <w:tc>
          <w:tcPr>
            <w:tcW w:w="4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Brady</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Stephen Brady</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&amp; President (Principal Executive Officer)</w:t>
            </w:r>
          </w:p>
        </w:tc>
      </w:tr>
      <w:tr>
        <w:trPr/>
        <w:tc>
          <w:tcPr>
            <w:tcW w:w="5444" w:type="dxa"/>
            <w:gridSpan w:val="3"/>
            <w:tcBorders/>
            <w:vAlign w:val="center"/>
          </w:tcPr>
          <w:p>
            <w:pPr>
              <w:pStyle w:val="TableContents"/>
              <w:bidi w:val="0"/>
              <w:spacing w:before="0" w:after="283"/>
              <w:jc w:val="left"/>
              <w:rPr/>
            </w:pPr>
            <w:r>
              <w:rPr/>
              <w:t> </w:t>
            </w:r>
          </w:p>
        </w:tc>
      </w:tr>
      <w:tr>
        <w:trPr/>
        <w:tc>
          <w:tcPr>
            <w:tcW w:w="5444" w:type="dxa"/>
            <w:gridSpan w:val="3"/>
            <w:tcBorders/>
            <w:vAlign w:val="center"/>
          </w:tcPr>
          <w:p>
            <w:pPr>
              <w:pStyle w:val="TableContents"/>
              <w:bidi w:val="0"/>
              <w:spacing w:before="0" w:after="283"/>
              <w:jc w:val="left"/>
              <w:rPr/>
            </w:pPr>
            <w:r>
              <w:rPr/>
              <w:t> </w:t>
            </w:r>
          </w:p>
        </w:tc>
      </w:tr>
      <w:tr>
        <w:trPr/>
        <w:tc>
          <w:tcPr>
            <w:tcW w:w="9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 w:type="dxa"/>
            <w:tcBorders/>
            <w:vAlign w:val="center"/>
          </w:tcPr>
          <w:p>
            <w:pPr>
              <w:pStyle w:val="TableContents"/>
              <w:bidi w:val="0"/>
              <w:spacing w:before="0" w:after="283"/>
              <w:jc w:val="left"/>
              <w:rPr/>
            </w:pPr>
            <w:r>
              <w:rPr/>
              <w:t> </w:t>
            </w:r>
          </w:p>
        </w:tc>
        <w:tc>
          <w:tcPr>
            <w:tcW w:w="4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Maestas</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Nicholas Maestas</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Vice-President, Strategy and Finance (Principal</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Officer)</w:t>
            </w:r>
          </w:p>
        </w:tc>
      </w:tr>
      <w:tr>
        <w:trPr/>
        <w:tc>
          <w:tcPr>
            <w:tcW w:w="5444" w:type="dxa"/>
            <w:gridSpan w:val="3"/>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November 12, 2024</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tpst-ex31_1.htm"/>
      <w:bookmarkStart w:id="36" w:name="kstpstex31_1"/>
      <w:bookmarkEnd w:id="35"/>
      <w:bookmarkEnd w:id="36"/>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Stephen Brady,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Form 10-Q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73" w:type="dxa"/>
        <w:jc w:val="left"/>
        <w:tblInd w:w="0" w:type="dxa"/>
        <w:tblLayout w:type="fixed"/>
        <w:tblCellMar>
          <w:top w:w="28" w:type="dxa"/>
          <w:left w:w="28" w:type="dxa"/>
          <w:bottom w:w="28" w:type="dxa"/>
          <w:right w:w="28" w:type="dxa"/>
        </w:tblCellMar>
      </w:tblPr>
      <w:tblGrid>
        <w:gridCol w:w="2206"/>
        <w:gridCol w:w="406"/>
        <w:gridCol w:w="3061"/>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Brady</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tpst-ex31_2.htm"/>
      <w:bookmarkStart w:id="38" w:name="kstpstex31_2"/>
      <w:bookmarkEnd w:id="37"/>
      <w:bookmarkEnd w:id="38"/>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Nicholas Maestas,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Form 10-Q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48" w:type="dxa"/>
        <w:jc w:val="left"/>
        <w:tblInd w:w="0" w:type="dxa"/>
        <w:tblLayout w:type="fixed"/>
        <w:tblCellMar>
          <w:top w:w="28" w:type="dxa"/>
          <w:left w:w="28" w:type="dxa"/>
          <w:bottom w:w="28" w:type="dxa"/>
          <w:right w:w="28" w:type="dxa"/>
        </w:tblCellMar>
      </w:tblPr>
      <w:tblGrid>
        <w:gridCol w:w="2206"/>
        <w:gridCol w:w="406"/>
        <w:gridCol w:w="313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Maestas</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Maestas</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Vice-President, Strategy and Finance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tpst-ex32_1.htm"/>
      <w:bookmarkStart w:id="40" w:name="kstpstex32_1"/>
      <w:bookmarkEnd w:id="39"/>
      <w:bookmarkEnd w:id="40"/>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Company’s Quarterly Report on Form 10-Q for the period ended September 30, 2024, to which this Certification is attached as Exhibit 32.1 (the “Report”), fully complies with the requirements of Section 13(a) or Section 15(d) of the Exchange Act;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November 12, 2024</w:t>
      </w:r>
    </w:p>
    <w:p>
      <w:pPr>
        <w:pStyle w:val="TextBody"/>
        <w:bidi w:val="0"/>
        <w:jc w:val="both"/>
        <w:rPr/>
      </w:pPr>
      <w:r>
        <w:rPr/>
        <w:t> </w:t>
      </w:r>
    </w:p>
    <w:tbl>
      <w:tblPr>
        <w:tblW w:w="6353" w:type="dxa"/>
        <w:jc w:val="left"/>
        <w:tblInd w:w="0" w:type="dxa"/>
        <w:tblLayout w:type="fixed"/>
        <w:tblCellMar>
          <w:top w:w="28" w:type="dxa"/>
          <w:left w:w="28" w:type="dxa"/>
          <w:bottom w:w="28" w:type="dxa"/>
          <w:right w:w="28" w:type="dxa"/>
        </w:tblCellMar>
      </w:tblPr>
      <w:tblGrid>
        <w:gridCol w:w="3031"/>
        <w:gridCol w:w="166"/>
        <w:gridCol w:w="3156"/>
      </w:tblGrid>
      <w:tr>
        <w:trPr/>
        <w:tc>
          <w:tcPr>
            <w:tcW w:w="3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/s/ Stephen Brady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56" w:type="dxa"/>
            <w:tcBorders>
              <w:bottom w:val="single" w:sz="4" w:space="0" w:color="000000"/>
            </w:tcBorders>
            <w:tcMar>
              <w:top w:w="0" w:type="dxa"/>
              <w:left w:w="0" w:type="dxa"/>
              <w:right w:w="0" w:type="dxa"/>
            </w:tcMar>
            <w:vAlign w:val="center"/>
          </w:tcPr>
          <w:p>
            <w:pPr>
              <w:pStyle w:val="TableContents"/>
              <w:bidi w:val="0"/>
              <w:spacing w:before="53" w:after="30"/>
              <w:ind w:left="0" w:right="0" w:firstLine="20"/>
              <w:jc w:val="left"/>
              <w:rPr>
                <w:rFonts w:ascii="Times New Roman" w:hAnsi="Times New Roman"/>
                <w:color w:val="000000"/>
                <w:sz w:val="20"/>
              </w:rPr>
            </w:pPr>
            <w:r>
              <w:rPr>
                <w:rFonts w:ascii="Times New Roman" w:hAnsi="Times New Roman"/>
                <w:color w:val="000000"/>
                <w:sz w:val="20"/>
              </w:rPr>
              <w:t xml:space="preserve">/s/ Nicholas Maestas </w:t>
            </w:r>
          </w:p>
        </w:tc>
      </w:tr>
      <w:tr>
        <w:trPr/>
        <w:tc>
          <w:tcPr>
            <w:tcW w:w="3031" w:type="dxa"/>
            <w:tcBorders/>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Stephen Brady</w:t>
            </w:r>
          </w:p>
        </w:tc>
        <w:tc>
          <w:tcPr>
            <w:tcW w:w="166" w:type="dxa"/>
            <w:tcBorders/>
            <w:vAlign w:val="center"/>
          </w:tcPr>
          <w:p>
            <w:pPr>
              <w:pStyle w:val="TableContents"/>
              <w:bidi w:val="0"/>
              <w:spacing w:before="0" w:after="283"/>
              <w:ind w:left="0" w:right="0" w:firstLine="20"/>
              <w:jc w:val="left"/>
              <w:rPr/>
            </w:pPr>
            <w:r>
              <w:rPr/>
              <w:t> </w:t>
            </w:r>
          </w:p>
        </w:tc>
        <w:tc>
          <w:tcPr>
            <w:tcW w:w="3156" w:type="dxa"/>
            <w:tcBorders/>
            <w:vAlign w:val="center"/>
          </w:tcPr>
          <w:p>
            <w:pPr>
              <w:pStyle w:val="TableContents"/>
              <w:bidi w:val="0"/>
              <w:spacing w:before="53" w:after="30"/>
              <w:ind w:left="0" w:right="0" w:firstLine="20"/>
              <w:jc w:val="left"/>
              <w:rPr>
                <w:rFonts w:ascii="Times New Roman" w:hAnsi="Times New Roman"/>
                <w:color w:val="000000"/>
                <w:sz w:val="20"/>
              </w:rPr>
            </w:pPr>
            <w:r>
              <w:rPr>
                <w:rFonts w:ascii="Times New Roman" w:hAnsi="Times New Roman"/>
                <w:color w:val="000000"/>
                <w:sz w:val="20"/>
              </w:rPr>
              <w:t>Nicholas Maestas</w:t>
            </w:r>
          </w:p>
        </w:tc>
      </w:tr>
      <w:tr>
        <w:trPr/>
        <w:tc>
          <w:tcPr>
            <w:tcW w:w="3031" w:type="dxa"/>
            <w:tcBorders/>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&amp; President</w:t>
            </w:r>
          </w:p>
        </w:tc>
        <w:tc>
          <w:tcPr>
            <w:tcW w:w="166" w:type="dxa"/>
            <w:tcBorders/>
            <w:vAlign w:val="center"/>
          </w:tcPr>
          <w:p>
            <w:pPr>
              <w:pStyle w:val="TableContents"/>
              <w:bidi w:val="0"/>
              <w:spacing w:before="0" w:after="283"/>
              <w:ind w:left="0" w:right="0" w:firstLine="20"/>
              <w:jc w:val="left"/>
              <w:rPr/>
            </w:pPr>
            <w:r>
              <w:rPr/>
              <w:t> </w:t>
            </w:r>
          </w:p>
        </w:tc>
        <w:tc>
          <w:tcPr>
            <w:tcW w:w="3156" w:type="dxa"/>
            <w:tcBorders/>
            <w:vAlign w:val="center"/>
          </w:tcPr>
          <w:p>
            <w:pPr>
              <w:pStyle w:val="TableContents"/>
              <w:bidi w:val="0"/>
              <w:spacing w:before="53" w:after="30"/>
              <w:ind w:left="0" w:right="0" w:firstLine="20"/>
              <w:jc w:val="left"/>
              <w:rPr>
                <w:rFonts w:ascii="Times New Roman" w:hAnsi="Times New Roman"/>
                <w:color w:val="000000"/>
                <w:sz w:val="20"/>
              </w:rPr>
            </w:pPr>
            <w:r>
              <w:rPr>
                <w:rFonts w:ascii="Times New Roman" w:hAnsi="Times New Roman"/>
                <w:color w:val="000000"/>
                <w:sz w:val="20"/>
              </w:rPr>
              <w:t>Vice-President, Strategy and Finance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4227/000155837019005038/mlnd-20190331ex31b53fa83.htm" TargetMode="External"/><Relationship Id="rId3" Type="http://schemas.openxmlformats.org/officeDocument/2006/relationships/hyperlink" Target="https://www.sec.gov/Archives/edgar/data/1544227/000119312521201157/d196630dex31.htm" TargetMode="External"/><Relationship Id="rId4" Type="http://schemas.openxmlformats.org/officeDocument/2006/relationships/hyperlink" Target="https://www.sec.gov/Archives/edgar/data/1544227/000119312521201157/d196630dex32.htm" TargetMode="External"/><Relationship Id="rId5" Type="http://schemas.openxmlformats.org/officeDocument/2006/relationships/hyperlink" Target="https://www.sec.gov/Archives/edgar/data/1544227/000119312523253882/d547808dex31.htm" TargetMode="External"/><Relationship Id="rId6" Type="http://schemas.openxmlformats.org/officeDocument/2006/relationships/hyperlink" Target="https://www.sec.gov/Archives/edgar/data/1544227/000119312521281694/d222030dex31.htm" TargetMode="External"/><Relationship Id="rId7" Type="http://schemas.openxmlformats.org/officeDocument/2006/relationships/hyperlink" Target="https://www.sec.gov/ix?doc=/Archives/edgar/data/1544227/000119312524235598/d877681d8k.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48564</Words>
  <Characters>270565</Characters>
  <CharactersWithSpaces>318977</CharactersWithSpaces>
  <Paragraphs>4917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