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40250ddef14a.htm"/>
        <w:bookmarkStart w:id="1" w:name="ksd240250ddef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44"/>
        </w:rPr>
      </w:pPr>
      <w:r>
        <w:rPr>
          <w:rFonts w:ascii="Times New Roman" w:hAnsi="Times New Roman"/>
          <w:b/>
          <w:sz w:val="44"/>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466850" cy="1282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12827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 94005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June 13, 2024 at 1:00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You are cordially invited to attend the Annual Meeting of Stockholders (the </w:t>
      </w:r>
      <w:r>
        <w:rPr>
          <w:rFonts w:ascii="Times New Roman" w:hAnsi="Times New Roman"/>
          <w:b/>
          <w:i/>
          <w:sz w:val="20"/>
        </w:rPr>
        <w:t>Annual Meeting</w:t>
      </w:r>
      <w:r>
        <w:rPr>
          <w:rFonts w:ascii="Times New Roman" w:hAnsi="Times New Roman"/>
          <w:sz w:val="20"/>
        </w:rPr>
        <w:t>) of Tempest Therapeutics, Inc., a Delaware corporation (the </w:t>
      </w:r>
      <w:r>
        <w:rPr>
          <w:rFonts w:ascii="Times New Roman" w:hAnsi="Times New Roman"/>
          <w:b/>
          <w:i/>
          <w:sz w:val="20"/>
        </w:rPr>
        <w:t>Company</w:t>
      </w:r>
      <w:r>
        <w:rPr>
          <w:rFonts w:ascii="Times New Roman" w:hAnsi="Times New Roman"/>
          <w:sz w:val="20"/>
        </w:rPr>
        <w:t xml:space="preserve">). The meeting will be held virtually through a live webcast on Thursday, June 13, 2024 at 1:00 P.M. Pacific time. You will not be able to attend the meeting in person. The Annual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the Boards nominees, Stephen Brady, Michael Raab and Ronit Simantov, to the Board of Directors to hold office until the 2027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paid to the Companys named executive officers, as disclosed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ratify the selection of Ernst &amp; Young LLP as the independent registered public accounting firm of the Company for its fiscal year ending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conduct any other business properly brought before the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You will be able to attend the Annual Meeting, submit questions and vote during the live webcast by visiting </w:t>
      </w:r>
      <w:r>
        <w:rPr>
          <w:rFonts w:ascii="Times New Roman" w:hAnsi="Times New Roman"/>
          <w:i/>
          <w:sz w:val="20"/>
        </w:rPr>
        <w:t>www.virtualshareholdermeeting.com/TPST2024</w:t>
      </w:r>
      <w:r>
        <w:rPr>
          <w:rFonts w:ascii="Times New Roman" w:hAnsi="Times New Roman"/>
          <w:sz w:val="20"/>
        </w:rPr>
        <w:t xml:space="preserve"> and entering the 16-digit Control Number included in your Notice of Internet Availability, or in the instructions that you received via email. Please refer to the additional logistical details and recommendations in the accompanying proxy statement. You may log in beginning at 12:45 P.M. Pacific time on Thursday, June 13, 2024.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the Annual Meeting is April 18, 2024. Only stockholders of record at the close of business on that date may vote at the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 Nicholas Maestas </w:t>
      </w:r>
    </w:p>
    <w:p>
      <w:pPr>
        <w:pStyle w:val="TextBody"/>
        <w:bidi w:val="0"/>
        <w:spacing w:before="240" w:after="0"/>
        <w:jc w:val="left"/>
        <w:rPr>
          <w:rFonts w:ascii="Times New Roman" w:hAnsi="Times New Roman"/>
          <w:sz w:val="20"/>
        </w:rPr>
      </w:pPr>
      <w:r>
        <w:rPr>
          <w:rFonts w:ascii="Times New Roman" w:hAnsi="Times New Roman"/>
          <w:sz w:val="20"/>
        </w:rPr>
        <w:t xml:space="preserve">Nicholas Maestas </w:t>
      </w:r>
    </w:p>
    <w:p>
      <w:pPr>
        <w:pStyle w:val="TextBody"/>
        <w:bidi w:val="0"/>
        <w:spacing w:before="0" w:after="0"/>
        <w:jc w:val="left"/>
        <w:rPr>
          <w:rFonts w:ascii="Times New Roman" w:hAnsi="Times New Roman"/>
          <w:sz w:val="20"/>
        </w:rPr>
      </w:pPr>
      <w:r>
        <w:rPr>
          <w:rFonts w:ascii="Times New Roman" w:hAnsi="Times New Roman"/>
          <w:sz w:val="20"/>
        </w:rPr>
        <w:t xml:space="preserve">Corporate Secretary </w:t>
      </w:r>
    </w:p>
    <w:p>
      <w:pPr>
        <w:pStyle w:val="TextBody"/>
        <w:bidi w:val="0"/>
        <w:spacing w:before="0" w:after="0"/>
        <w:jc w:val="left"/>
        <w:rPr>
          <w:rFonts w:ascii="Times New Roman" w:hAnsi="Times New Roman"/>
          <w:sz w:val="20"/>
        </w:rPr>
      </w:pPr>
      <w:r>
        <w:rPr>
          <w:rFonts w:ascii="Times New Roman" w:hAnsi="Times New Roman"/>
          <w:sz w:val="20"/>
        </w:rPr>
        <w:t xml:space="preserve">Brisbane,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23, 2024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8" w:space="2" w:color="000000"/>
        </w:rPr>
      </w:pPr>
      <w:r>
        <w:rPr>
          <w:rFonts w:ascii="Times New Roman" w:hAnsi="Times New Roman"/>
          <w:b/>
          <w:sz w:val="20"/>
          <w:bdr w:val="single" w:sz="8" w:space="2" w:color="000000"/>
        </w:rPr>
        <w:t xml:space="preserve">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69"/>
        <w:gridCol w:w="60"/>
        <w:gridCol w:w="265"/>
        <w:gridCol w:w="63"/>
      </w:tblGrid>
      <w:tr>
        <w:trPr/>
        <w:tc>
          <w:tcPr>
            <w:tcW w:w="9648"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oc240250_1">
              <w:r>
                <w:rPr>
                  <w:rStyle w:val="InternetLink"/>
                  <w:rFonts w:ascii="Times New Roman" w:hAnsi="Times New Roman"/>
                  <w:sz w:val="20"/>
                </w:rPr>
                <w:t>QUESTIONS AND ANSWERS ABOUT THESE PROXY MATERIALS AND VOTING</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2">
              <w:r>
                <w:rPr>
                  <w:rStyle w:val="InternetLink"/>
                  <w:rFonts w:ascii="Times New Roman" w:hAnsi="Times New Roman"/>
                  <w:sz w:val="20"/>
                </w:rPr>
                <w:t>PROPOSAL 1 ELECTION OF DIRECTORS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3">
              <w:r>
                <w:rPr>
                  <w:rStyle w:val="InternetLink"/>
                  <w:rFonts w:ascii="Times New Roman" w:hAnsi="Times New Roman"/>
                  <w:sz w:val="20"/>
                </w:rPr>
                <w:t>INFORMATION REGARDING DIRECTOR NOMINEES AND CONTINUING DIRECTORS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4">
              <w:r>
                <w:rPr>
                  <w:rStyle w:val="InternetLink"/>
                  <w:rFonts w:ascii="Times New Roman" w:hAnsi="Times New Roman"/>
                  <w:sz w:val="20"/>
                </w:rPr>
                <w:t>INFORMATION REGARDING THE BOARD OF DIRECTORS AND CORPORATE GOVERNANCE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5">
              <w:r>
                <w:rPr>
                  <w:rStyle w:val="InternetLink"/>
                  <w:rFonts w:ascii="Times New Roman" w:hAnsi="Times New Roman"/>
                  <w:sz w:val="20"/>
                </w:rPr>
                <w:t>PROPOSAL 2 ADVISORY VOTE ON NAMED EXECUTIVE OFFICER COMPENSATION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6">
              <w:r>
                <w:rPr>
                  <w:rStyle w:val="InternetLink"/>
                  <w:rFonts w:ascii="Times New Roman" w:hAnsi="Times New Roman"/>
                  <w:sz w:val="20"/>
                </w:rPr>
                <w:t>PROPOSAL 3 RATIFICATION OF SELECTION OF INDEPENDENT REGISTERED PUBLIC ACCOUNTING FIRM</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7">
              <w:r>
                <w:rPr>
                  <w:rStyle w:val="InternetLink"/>
                  <w:rFonts w:ascii="Times New Roman" w:hAnsi="Times New Roman"/>
                  <w:sz w:val="20"/>
                </w:rPr>
                <w:t>EXECUTIVE OFFICERS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8">
              <w:r>
                <w:rPr>
                  <w:rStyle w:val="InternetLink"/>
                  <w:rFonts w:ascii="Times New Roman" w:hAnsi="Times New Roman"/>
                  <w:sz w:val="20"/>
                </w:rPr>
                <w:t>EXECUTIVE AND DIRECTOR COMPENSATION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9">
              <w:r>
                <w:rPr>
                  <w:rStyle w:val="InternetLink"/>
                  <w:rFonts w:ascii="Times New Roman" w:hAnsi="Times New Roman"/>
                  <w:sz w:val="20"/>
                </w:rPr>
                <w:t>EQUITY COMPENSATION PLAN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10">
              <w:r>
                <w:rPr>
                  <w:rStyle w:val="InternetLink"/>
                  <w:rFonts w:ascii="Times New Roman" w:hAnsi="Times New Roman"/>
                  <w:sz w:val="20"/>
                </w:rPr>
                <w:t>SECURITY OWNERSHIP OF CERTAIN BENEFICIAL OWNERS AND MANAGEMENT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11">
              <w:r>
                <w:rPr>
                  <w:rStyle w:val="InternetLink"/>
                  <w:rFonts w:ascii="Times New Roman" w:hAnsi="Times New Roman"/>
                  <w:sz w:val="20"/>
                </w:rPr>
                <w:t>TRANSACTIONS WITH RELATED PERSONS AND INDEMNIFICATION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12">
              <w:r>
                <w:rPr>
                  <w:rStyle w:val="InternetLink"/>
                  <w:rFonts w:ascii="Times New Roman" w:hAnsi="Times New Roman"/>
                  <w:sz w:val="20"/>
                </w:rPr>
                <w:t>OTHER INFORMATION FOR STOCKHOLDERS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240250_13">
              <w:r>
                <w:rPr>
                  <w:rStyle w:val="InternetLink"/>
                  <w:rFonts w:ascii="Times New Roman" w:hAnsi="Times New Roman"/>
                  <w:sz w:val="20"/>
                </w:rPr>
                <w:t>OTHER MATTERS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i/>
          <w:sz w:val="20"/>
        </w:rPr>
      </w:pPr>
      <w:r>
        <w:rPr>
          <w:rFonts w:ascii="Times New Roman" w:hAnsi="Times New Roman"/>
          <w:b/>
          <w:i/>
          <w:sz w:val="20"/>
        </w:rPr>
        <w:t xml:space="preserve">Website References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additional information about Tempest Therapeutics, Inc. at </w:t>
      </w:r>
      <w:r>
        <w:rPr>
          <w:rFonts w:ascii="Times New Roman" w:hAnsi="Times New Roman"/>
          <w:i/>
          <w:sz w:val="20"/>
        </w:rPr>
        <w:t>www.tempesttx.com</w:t>
      </w:r>
      <w:r>
        <w:rPr>
          <w:rFonts w:ascii="Times New Roman" w:hAnsi="Times New Roman"/>
          <w:sz w:val="20"/>
        </w:rPr>
        <w:t xml:space="preserve"> and </w:t>
      </w:r>
      <w:r>
        <w:rPr>
          <w:rFonts w:ascii="Times New Roman" w:hAnsi="Times New Roman"/>
          <w:i/>
          <w:sz w:val="20"/>
        </w:rPr>
        <w:t>ir.tempesttx.com</w:t>
      </w:r>
      <w:r>
        <w:rPr>
          <w:rFonts w:ascii="Times New Roman" w:hAnsi="Times New Roman"/>
          <w:sz w:val="20"/>
        </w:rPr>
        <w:t xml:space="preserve">. References to our websites throughout this proxy statement are provided for convenience only and the content on our website does not constitute a part of this proxy statement.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2024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JUNE 13, 2024 </w:t>
      </w:r>
    </w:p>
    <w:p>
      <w:pPr>
        <w:pStyle w:val="TextBody"/>
        <w:bidi w:val="0"/>
        <w:spacing w:before="240" w:after="0"/>
        <w:jc w:val="center"/>
        <w:rPr>
          <w:rFonts w:ascii="Times New Roman" w:hAnsi="Times New Roman"/>
          <w:b/>
          <w:sz w:val="20"/>
        </w:rPr>
      </w:pPr>
      <w:bookmarkStart w:id="3" w:name="toc240250_1"/>
      <w:bookmarkEnd w:id="3"/>
      <w:r>
        <w:rPr>
          <w:rFonts w:ascii="Times New Roman" w:hAnsi="Times New Roman"/>
          <w:b/>
          <w:sz w:val="20"/>
        </w:rPr>
        <w:t xml:space="preserve">QUESTIONS AND ANSWERS ABOUT THESE PROXY MATERIALS AND VOTING </w:t>
      </w:r>
    </w:p>
    <w:p>
      <w:pPr>
        <w:pStyle w:val="TextBody"/>
        <w:bidi w:val="0"/>
        <w:spacing w:before="240" w:after="0"/>
        <w:jc w:val="left"/>
        <w:rPr>
          <w:rFonts w:ascii="Times New Roman" w:hAnsi="Times New Roman"/>
          <w:b/>
          <w:sz w:val="20"/>
        </w:rPr>
      </w:pPr>
      <w:r>
        <w:rPr>
          <w:rFonts w:ascii="Times New Roman" w:hAnsi="Times New Roman"/>
          <w:b/>
          <w:sz w:val="20"/>
        </w:rPr>
        <w:t xml:space="preserve">Why did I receive a notice regarding the availability of proxy materials on the internet? </w:t>
      </w:r>
    </w:p>
    <w:p>
      <w:pPr>
        <w:pStyle w:val="TextBody"/>
        <w:bidi w:val="0"/>
        <w:spacing w:before="120" w:after="0"/>
        <w:jc w:val="left"/>
        <w:rPr>
          <w:rFonts w:ascii="Times New Roman" w:hAnsi="Times New Roman"/>
          <w:sz w:val="20"/>
        </w:rPr>
      </w:pPr>
      <w:r>
        <w:rPr>
          <w:rFonts w:ascii="Times New Roman" w:hAnsi="Times New Roman"/>
          <w:sz w:val="20"/>
        </w:rPr>
        <w:t>Pursuant to rules adopted by the Securities and Exchange Commission (the </w:t>
      </w:r>
      <w:r>
        <w:rPr>
          <w:rFonts w:ascii="Times New Roman" w:hAnsi="Times New Roman"/>
          <w:b/>
          <w:i/>
          <w:sz w:val="20"/>
        </w:rPr>
        <w:t>SEC</w:t>
      </w:r>
      <w:r>
        <w:rPr>
          <w:rFonts w:ascii="Times New Roman" w:hAnsi="Times New Roman"/>
          <w:sz w:val="20"/>
        </w:rPr>
        <w:t>), we have elected to provide access to our proxy materials over the internet. Accordingly, we have sent you a Notice of Internet Availability of Proxy Materials (the </w:t>
      </w:r>
      <w:r>
        <w:rPr>
          <w:rFonts w:ascii="Times New Roman" w:hAnsi="Times New Roman"/>
          <w:b/>
          <w:i/>
          <w:sz w:val="20"/>
        </w:rPr>
        <w:t>Notice</w:t>
      </w:r>
      <w:r>
        <w:rPr>
          <w:rFonts w:ascii="Times New Roman" w:hAnsi="Times New Roman"/>
          <w:sz w:val="20"/>
        </w:rPr>
        <w:t>) because the Board of Directors (the </w:t>
      </w:r>
      <w:r>
        <w:rPr>
          <w:rFonts w:ascii="Times New Roman" w:hAnsi="Times New Roman"/>
          <w:b/>
          <w:i/>
          <w:sz w:val="20"/>
        </w:rPr>
        <w:t>Board</w:t>
      </w:r>
      <w:r>
        <w:rPr>
          <w:rFonts w:ascii="Times New Roman" w:hAnsi="Times New Roman"/>
          <w:sz w:val="20"/>
        </w:rPr>
        <w:t>) of Tempest Therapeutics, Inc. (the </w:t>
      </w:r>
      <w:r>
        <w:rPr>
          <w:rFonts w:ascii="Times New Roman" w:hAnsi="Times New Roman"/>
          <w:b/>
          <w:i/>
          <w:sz w:val="20"/>
        </w:rPr>
        <w:t>Company</w:t>
      </w:r>
      <w:r>
        <w:rPr>
          <w:rFonts w:ascii="Times New Roman" w:hAnsi="Times New Roman"/>
          <w:sz w:val="20"/>
        </w:rPr>
        <w:t> or </w:t>
      </w:r>
      <w:r>
        <w:rPr>
          <w:rFonts w:ascii="Times New Roman" w:hAnsi="Times New Roman"/>
          <w:b/>
          <w:i/>
          <w:sz w:val="20"/>
        </w:rPr>
        <w:t>Tempest</w:t>
      </w:r>
      <w:r>
        <w:rPr>
          <w:rFonts w:ascii="Times New Roman" w:hAnsi="Times New Roman"/>
          <w:sz w:val="20"/>
        </w:rPr>
        <w:t>) is soliciting your proxy to vote at the 2024 Annual Meeting of Stockholders (the </w:t>
      </w:r>
      <w:r>
        <w:rPr>
          <w:rFonts w:ascii="Times New Roman" w:hAnsi="Times New Roman"/>
          <w:b/>
          <w:i/>
          <w:sz w:val="20"/>
        </w:rPr>
        <w:t>Annual Meeting</w:t>
      </w:r>
      <w:r>
        <w:rPr>
          <w:rFonts w:ascii="Times New Roman" w:hAnsi="Times New Roman"/>
          <w:sz w:val="20"/>
        </w:rPr>
        <w:t xml:space="preserve">),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the Notice on or about April 24, 2024 to all stockholders of record entitled to vote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Will I receive any other proxy materials by mail? </w:t>
      </w:r>
    </w:p>
    <w:p>
      <w:pPr>
        <w:pStyle w:val="TextBody"/>
        <w:bidi w:val="0"/>
        <w:spacing w:before="120" w:after="0"/>
        <w:jc w:val="left"/>
        <w:rPr>
          <w:rFonts w:ascii="Times New Roman" w:hAnsi="Times New Roman"/>
          <w:sz w:val="20"/>
        </w:rPr>
      </w:pPr>
      <w:r>
        <w:rPr>
          <w:rFonts w:ascii="Times New Roman" w:hAnsi="Times New Roman"/>
          <w:sz w:val="20"/>
        </w:rPr>
        <w:t xml:space="preserve">You will not receive any additional proxy materials via mail unless you request a printed copy in accordance with the instructions set forth in the Notice. We may elect to send you a proxy card, along with a second Notice, after 10 calendar days have passed since our first mailing of the Notice.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held through a live webcast at </w:t>
      </w:r>
      <w:r>
        <w:rPr>
          <w:rFonts w:ascii="Times New Roman" w:hAnsi="Times New Roman"/>
          <w:i/>
          <w:sz w:val="20"/>
        </w:rPr>
        <w:t>www.virtualshareholdermeeting.com/TPST2024</w:t>
      </w:r>
      <w:r>
        <w:rPr>
          <w:rFonts w:ascii="Times New Roman" w:hAnsi="Times New Roman"/>
          <w:sz w:val="20"/>
        </w:rPr>
        <w:t xml:space="preserve">. You will not be able to attend the Annual Meeting in person. If you attend the Annual Meeting online, you will be able to vote and submit questions, at </w:t>
      </w:r>
      <w:r>
        <w:rPr>
          <w:rFonts w:ascii="Times New Roman" w:hAnsi="Times New Roman"/>
          <w:i/>
          <w:sz w:val="20"/>
        </w:rPr>
        <w:t>www.virtualshareholdermeeting.com/TPST2024</w:t>
      </w:r>
      <w:r>
        <w:rPr>
          <w:rFonts w:ascii="Times New Roman" w:hAnsi="Times New Roman"/>
          <w:sz w:val="20"/>
        </w:rPr>
        <w:t xml:space="preserve">. Stockholders attending the virtual Annual Meeting will be afforded the same rights and opportunities to participate as they would at an in-person meeting. </w:t>
      </w:r>
    </w:p>
    <w:p>
      <w:pPr>
        <w:pStyle w:val="TextBody"/>
        <w:bidi w:val="0"/>
        <w:spacing w:before="240" w:after="0"/>
        <w:jc w:val="left"/>
        <w:rPr>
          <w:rFonts w:ascii="Times New Roman" w:hAnsi="Times New Roman"/>
          <w:sz w:val="20"/>
        </w:rPr>
      </w:pPr>
      <w:r>
        <w:rPr>
          <w:rFonts w:ascii="Times New Roman" w:hAnsi="Times New Roman"/>
          <w:sz w:val="20"/>
        </w:rPr>
        <w:t>You are entitled to attend the Annual Meeting if you were a stockholder as of the close of business on April 18, 2024 (the </w:t>
      </w:r>
      <w:r>
        <w:rPr>
          <w:rFonts w:ascii="Times New Roman" w:hAnsi="Times New Roman"/>
          <w:b/>
          <w:i/>
          <w:sz w:val="20"/>
        </w:rPr>
        <w:t>Record Date</w:t>
      </w:r>
      <w:r>
        <w:rPr>
          <w:rFonts w:ascii="Times New Roman" w:hAnsi="Times New Roman"/>
          <w:sz w:val="20"/>
        </w:rPr>
        <w:t xml:space="preserve">), or hold a valid proxy for the meeting. To be admitted to the Annual Meeting, you will need to visit </w:t>
      </w:r>
      <w:r>
        <w:rPr>
          <w:rFonts w:ascii="Times New Roman" w:hAnsi="Times New Roman"/>
          <w:i/>
          <w:sz w:val="20"/>
        </w:rPr>
        <w:t>www.virtualshareholdermeeting.com/TPST2024</w:t>
      </w:r>
      <w:r>
        <w:rPr>
          <w:rFonts w:ascii="Times New Roman" w:hAnsi="Times New Roman"/>
          <w:sz w:val="20"/>
        </w:rPr>
        <w:t xml:space="preserve"> and enter the 16-digit control number found next to the label control number on your Notice,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or proxy to vote. </w:t>
      </w:r>
    </w:p>
    <w:p>
      <w:pPr>
        <w:pStyle w:val="TextBody"/>
        <w:bidi w:val="0"/>
        <w:spacing w:before="240" w:after="0"/>
        <w:jc w:val="left"/>
        <w:rPr>
          <w:rFonts w:ascii="Times New Roman" w:hAnsi="Times New Roman"/>
          <w:b/>
          <w:i/>
          <w:sz w:val="20"/>
        </w:rPr>
      </w:pPr>
      <w:r>
        <w:rPr>
          <w:rFonts w:ascii="Times New Roman" w:hAnsi="Times New Roman"/>
          <w:b/>
          <w:i/>
          <w:sz w:val="20"/>
        </w:rPr>
        <w:t xml:space="preserve">Whether or not you participate in the Annual Meeting, it is important that you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begin promptly at 1:00 P.M. Pacific time on Thursday, June 13, 2024. We encourage you to access the Annual Meeting a few minutes before it begins. Online check-in will start approximately 15 minutes before the meeting begins.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registered stockholder, please contact us at cc@tempesttx.com and we will be able to provide your control number to you. If you do not have a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you will be able to login as a guest. To view the meeting webcast visit </w:t>
      </w:r>
      <w:r>
        <w:rPr>
          <w:rFonts w:ascii="Times New Roman" w:hAnsi="Times New Roman"/>
          <w:i/>
          <w:sz w:val="20"/>
        </w:rPr>
        <w:t>www.virtualshareholdermeeting.com/TPST2024</w:t>
      </w:r>
      <w:r>
        <w:rPr>
          <w:rFonts w:ascii="Times New Roman" w:hAnsi="Times New Roman"/>
          <w:sz w:val="20"/>
        </w:rPr>
        <w:t xml:space="preserve"> and register as a guest. If you login as a guest, you will not be able to vote your shares or ask questions.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have technical difficulties or trouble accessing the 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hAnsi="Times New Roman"/>
          <w:i/>
          <w:sz w:val="20"/>
        </w:rPr>
        <w:t>www.virtualshareholdermeeting.com/TPST2024</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Will a list of record stockholders as of the Record Date be available? </w:t>
      </w:r>
    </w:p>
    <w:p>
      <w:pPr>
        <w:pStyle w:val="TextBody"/>
        <w:bidi w:val="0"/>
        <w:spacing w:before="120" w:after="0"/>
        <w:jc w:val="left"/>
        <w:rPr>
          <w:rFonts w:ascii="Times New Roman" w:hAnsi="Times New Roman"/>
          <w:sz w:val="20"/>
        </w:rPr>
      </w:pPr>
      <w:r>
        <w:rPr>
          <w:rFonts w:ascii="Times New Roman" w:hAnsi="Times New Roman"/>
          <w:sz w:val="20"/>
        </w:rPr>
        <w:t xml:space="preserve">A list of our record stockholders as of the close of business on the Record Date will be made available to stockholders during the meeting at </w:t>
      </w:r>
      <w:r>
        <w:rPr>
          <w:rFonts w:ascii="Times New Roman" w:hAnsi="Times New Roman"/>
          <w:i/>
          <w:sz w:val="20"/>
        </w:rPr>
        <w:t>www.virtualshareholdermeeting.com/TPST2024</w:t>
      </w:r>
      <w:r>
        <w:rPr>
          <w:rFonts w:ascii="Times New Roman" w:hAnsi="Times New Roman"/>
          <w:sz w:val="20"/>
        </w:rPr>
        <w:t xml:space="preserve">. In addition, for the 10 days prior to the Annual Meeting, the list will be available for examination by any stockholder of record for a legally valid purpose during regular business hours. To access the list of record stockholders beginning June 3, 2024 and until the meeting, stockholders should email cc@tempesttx.com. </w:t>
      </w:r>
    </w:p>
    <w:p>
      <w:pPr>
        <w:pStyle w:val="TextBody"/>
        <w:bidi w:val="0"/>
        <w:spacing w:before="360" w:after="0"/>
        <w:jc w:val="left"/>
        <w:rPr>
          <w:rFonts w:ascii="Times New Roman" w:hAnsi="Times New Roman"/>
          <w:b/>
          <w:sz w:val="20"/>
        </w:rPr>
      </w:pPr>
      <w:r>
        <w:rPr>
          <w:rFonts w:ascii="Times New Roman" w:hAnsi="Times New Roman"/>
          <w:b/>
          <w:sz w:val="20"/>
        </w:rPr>
        <w:t xml:space="preserve">For the Annual Meeting, how do we ask questions of management and the Board?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submit questions relevant to the proposals to be voted on at the Annual Meeting through </w:t>
      </w:r>
      <w:r>
        <w:rPr>
          <w:rFonts w:ascii="Times New Roman" w:hAnsi="Times New Roman"/>
          <w:i/>
          <w:sz w:val="20"/>
        </w:rPr>
        <w:t xml:space="preserve">www.virtualshareholdermeeting.com/TPST2024. </w:t>
      </w:r>
      <w:r>
        <w:rPr>
          <w:rFonts w:ascii="Times New Roman" w:hAnsi="Times New Roman"/>
          <w:sz w:val="20"/>
        </w:rPr>
        <w:t xml:space="preserve">If 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t>
      </w:r>
      <w:r>
        <w:rPr>
          <w:rFonts w:ascii="Times New Roman" w:hAnsi="Times New Roman"/>
          <w:i/>
          <w:sz w:val="20"/>
        </w:rPr>
        <w:t xml:space="preserve">www.virtualshareholdermeeting.com/TPST2024.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at the Annual Meeting. On the Record Date, there were 22,217,265 shares of common stock outstanding and entitled to vote.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our transfer agent, Computershare Trust Company, N.A., then you are a stockholder of record. As a stockholder of record, you may vote online at the meeting or vote by proxy. Whether or not you plan to attend the Annual Meeting, to ensure your vote is counted, we urge you vote by proxy over the telephone, or vote by proxy through the internet, or vote by proxy using a proxy card that you may request or that we may elect to deliver at a later time as described under the question Will I receive any other proxy materials by mail? above.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direct your broker, bank or other agent regarding how to vote the shares in your account. You are also invited to attend the Annual Meeting. Beneficial holders who attend the Annual Meeting may also vote during the Annual Meeting by going to </w:t>
      </w:r>
      <w:r>
        <w:rPr>
          <w:rFonts w:ascii="Times New Roman" w:hAnsi="Times New Roman"/>
          <w:i/>
          <w:sz w:val="20"/>
        </w:rPr>
        <w:t>www.virtualshareholdermeeting.com/TPST2024</w:t>
      </w:r>
      <w:r>
        <w:rPr>
          <w:rFonts w:ascii="Times New Roman" w:hAnsi="Times New Roman"/>
          <w:sz w:val="20"/>
        </w:rPr>
        <w:t xml:space="preserve"> and following the instructions regarding voting. However, since you are not the shareholder of record, you may not vote your shares at the meeting unless you request and obtain a valid proxy from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What am I voting on?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matters scheduled for a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Election of the Boards nominees, Stephen Brady, Michael Raab and Ronit Simantov, to the Board to hold office until the 2027 Annual Meeting of Stockholders (</w:t>
            </w:r>
            <w:r>
              <w:rPr>
                <w:rFonts w:ascii="Times New Roman" w:hAnsi="Times New Roman"/>
                <w:b/>
                <w:sz w:val="20"/>
              </w:rPr>
              <w:t>Proposal 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Approval, on an advisory basis, of the compensation of our named executive officers, as disclosed in this proxy statement (</w:t>
            </w:r>
            <w:r>
              <w:rPr>
                <w:rFonts w:ascii="Times New Roman" w:hAnsi="Times New Roman"/>
                <w:b/>
                <w:sz w:val="20"/>
              </w:rPr>
              <w:t>Proposal 2</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Ratification of the selection of Ernst &amp; Young LLP as our independent registered public accounting firm for our fiscal year ending December 31, 2024 (</w:t>
            </w:r>
            <w:r>
              <w:rPr>
                <w:rFonts w:ascii="Times New Roman" w:hAnsi="Times New Roman"/>
                <w:b/>
                <w:sz w:val="20"/>
              </w:rPr>
              <w:t>Proposal 3</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You may either vote </w:t>
      </w:r>
      <w:r>
        <w:rPr>
          <w:rFonts w:ascii="Times New Roman" w:hAnsi="Times New Roman"/>
          <w:b/>
          <w:i/>
          <w:sz w:val="20"/>
        </w:rPr>
        <w:t>For</w:t>
      </w:r>
      <w:r>
        <w:rPr>
          <w:rFonts w:ascii="Times New Roman" w:hAnsi="Times New Roman"/>
          <w:sz w:val="20"/>
        </w:rPr>
        <w:t> all the nominees to the Board or you may </w:t>
      </w:r>
      <w:r>
        <w:rPr>
          <w:rFonts w:ascii="Times New Roman" w:hAnsi="Times New Roman"/>
          <w:b/>
          <w:i/>
          <w:sz w:val="20"/>
        </w:rPr>
        <w:t>Withhold</w:t>
      </w:r>
      <w:r>
        <w:rPr>
          <w:rFonts w:ascii="Times New Roman" w:hAnsi="Times New Roman"/>
          <w:sz w:val="20"/>
        </w:rPr>
        <w:t> your vote for any nominee you specify. For each of the other matters to be voted on, you may vote </w:t>
      </w:r>
      <w:r>
        <w:rPr>
          <w:rFonts w:ascii="Times New Roman" w:hAnsi="Times New Roman"/>
          <w:b/>
          <w:i/>
          <w:sz w:val="20"/>
        </w:rPr>
        <w:t>For</w:t>
      </w:r>
      <w:r>
        <w:rPr>
          <w:rFonts w:ascii="Times New Roman" w:hAnsi="Times New Roman"/>
          <w:sz w:val="20"/>
        </w:rPr>
        <w:t> or </w:t>
      </w:r>
      <w:r>
        <w:rPr>
          <w:rFonts w:ascii="Times New Roman" w:hAnsi="Times New Roman"/>
          <w:b/>
          <w:i/>
          <w:sz w:val="20"/>
        </w:rPr>
        <w:t>Against</w:t>
      </w:r>
      <w:r>
        <w:rPr>
          <w:rFonts w:ascii="Times New Roman" w:hAnsi="Times New Roman"/>
          <w:sz w:val="20"/>
        </w:rPr>
        <w:t xml:space="preserve"> or abstain from voting.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online at the Annual Meeting, vote by proxy over the telephone, vote by proxy through the internet, or vote by proxy using a proxy card that you may request or that we may elect to deliver at a later time as described under the question titled Will I receive any other proxy materials by mail? above. Whether or not you plan to attend the meeting, we urge you to vote by proxy to ensure your vote is counted. You may still attend the meeting and vote at the meeting even if you have already voted by proxy.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By Internet</w:t>
            </w:r>
            <w:r>
              <w:rPr>
                <w:rFonts w:ascii="Times New Roman" w:hAnsi="Times New Roman"/>
                <w:sz w:val="20"/>
              </w:rPr>
              <w:t xml:space="preserve">. To vote through the internet prior to the meeting, go to </w:t>
            </w:r>
            <w:r>
              <w:rPr>
                <w:rFonts w:ascii="Times New Roman" w:hAnsi="Times New Roman"/>
                <w:i/>
                <w:sz w:val="20"/>
              </w:rPr>
              <w:t>www.proxyvote.com</w:t>
            </w:r>
            <w:r>
              <w:rPr>
                <w:rFonts w:ascii="Times New Roman" w:hAnsi="Times New Roman"/>
                <w:sz w:val="20"/>
              </w:rPr>
              <w:t xml:space="preserve"> and follow the instructions to submit your vote on an electronic proxy card. You will be asked to provide the control number from the Notice. Your internet vote must be received by 11:59 p.m., Eastern time (8:59 p.m., Pacific time) on June 12, 2024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By Telephone</w:t>
            </w:r>
            <w:r>
              <w:rPr>
                <w:rFonts w:ascii="Times New Roman" w:hAnsi="Times New Roman"/>
                <w:sz w:val="20"/>
              </w:rPr>
              <w:t xml:space="preserve">. To vote over the telephone, dial (800) 690-6903 toll-free from the United States, U.S. territories and Canada and follow the recorded instructions. You will be asked to provide the control number from the Notice. Your telephone vote must be received by 11:59 p.m., Eastern time (8:59 p.m., Pacific time) on June 12, 2024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By Proxy Card</w:t>
            </w:r>
            <w:r>
              <w:rPr>
                <w:rFonts w:ascii="Times New Roman" w:hAnsi="Times New Roman"/>
                <w:sz w:val="20"/>
              </w:rPr>
              <w:t xml:space="preserve">. To vote using the proxy card that may be requested or delivered, simply complete, sign and date the proxy card and return it promptly in the envelope provided. If you return your signed proxy card to us before the Annual Meeting, we will vote your shares as you direct.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Online During the Annual Meeting</w:t>
            </w:r>
            <w:r>
              <w:rPr>
                <w:rFonts w:ascii="Times New Roman" w:hAnsi="Times New Roman"/>
                <w:sz w:val="20"/>
              </w:rPr>
              <w:t xml:space="preserve">. Access the Annual Meeting by visiting </w:t>
            </w:r>
            <w:r>
              <w:rPr>
                <w:rFonts w:ascii="Times New Roman" w:hAnsi="Times New Roman"/>
                <w:i/>
                <w:sz w:val="20"/>
              </w:rPr>
              <w:t>www.virtualshareholdermeeting.com/TPST2024</w:t>
            </w:r>
            <w:r>
              <w:rPr>
                <w:rFonts w:ascii="Times New Roman" w:hAnsi="Times New Roman"/>
                <w:sz w:val="20"/>
              </w:rPr>
              <w:t xml:space="preserve"> and providing your control number from your Notice, on your proxy card or on the instructions that accompanied your proxy materials, as applicable. The webcast will open 15 minutes before the start of the meeting.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To vote prior to the Annual Meeting, simply follow the voting instructions in the Notice to ensure that your vote is counted. Alternatively, you may vote by telephone or over the internet as instructed by your broker or bank. You may also access and vote at the Annual Meeting by logging in with your Control Number on your voting instruction form at </w:t>
      </w:r>
      <w:r>
        <w:rPr>
          <w:rFonts w:ascii="Times New Roman" w:hAnsi="Times New Roman"/>
          <w:i/>
          <w:sz w:val="20"/>
        </w:rPr>
        <w:t>www.virtualshareholdermeeting.com/TPST2024</w:t>
      </w:r>
      <w:r>
        <w:rPr>
          <w:rFonts w:ascii="Times New Roman" w:hAnsi="Times New Roman"/>
          <w:sz w:val="20"/>
        </w:rPr>
        <w:t xml:space="preserve">. However, since you are not the stockholder of record, you may not vote your shares at the Annual Meeting unless you request and obtain a valid proxy from your broker, bank or other agent. </w:t>
      </w:r>
    </w:p>
    <w:p>
      <w:pPr>
        <w:pStyle w:val="TextBody"/>
        <w:bidi w:val="0"/>
        <w:spacing w:before="240" w:after="0"/>
        <w:jc w:val="left"/>
        <w:rPr>
          <w:rFonts w:ascii="Times New Roman" w:hAnsi="Times New Roman"/>
          <w:b/>
          <w:sz w:val="20"/>
        </w:rPr>
      </w:pPr>
      <w:r>
        <w:rPr>
          <w:rFonts w:ascii="Times New Roman" w:hAnsi="Times New Roman"/>
          <w:b/>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our common stock, on each matter to be voted upon, you have one vote for each share of common stock you own as of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through the internet or online at the Annual Meeting, your shares will not be voted. </w:t>
      </w:r>
    </w:p>
    <w:p>
      <w:pPr>
        <w:pStyle w:val="TextBody"/>
        <w:bidi w:val="0"/>
        <w:spacing w:before="240" w:after="0"/>
        <w:jc w:val="left"/>
        <w:rPr>
          <w:rFonts w:ascii="Times New Roman" w:hAnsi="Times New Roman"/>
          <w:sz w:val="20"/>
        </w:rPr>
      </w:pPr>
      <w:r>
        <w:rPr>
          <w:rFonts w:ascii="Times New Roman" w:hAnsi="Times New Roman"/>
          <w:sz w:val="20"/>
        </w:rPr>
        <w:t>If you return a signed and dated proxy card or otherwise vote without marking voting selections, your shares will be voted, as applicable, </w:t>
      </w:r>
      <w:r>
        <w:rPr>
          <w:rFonts w:ascii="Times New Roman" w:hAnsi="Times New Roman"/>
          <w:b/>
          <w:i/>
          <w:sz w:val="20"/>
        </w:rPr>
        <w:t>For</w:t>
      </w:r>
      <w:r>
        <w:rPr>
          <w:rFonts w:ascii="Times New Roman" w:hAnsi="Times New Roman"/>
          <w:sz w:val="20"/>
        </w:rPr>
        <w:t> the election of each of the nominees for director, </w:t>
      </w:r>
      <w:r>
        <w:rPr>
          <w:rFonts w:ascii="Times New Roman" w:hAnsi="Times New Roman"/>
          <w:b/>
          <w:i/>
          <w:sz w:val="20"/>
        </w:rPr>
        <w:t>For</w:t>
      </w:r>
      <w:r>
        <w:rPr>
          <w:rFonts w:ascii="Times New Roman" w:hAnsi="Times New Roman"/>
          <w:sz w:val="20"/>
        </w:rPr>
        <w:t> the advisory approval of the compensation of our named executive officers as disclosed in this proxy statement, and </w:t>
      </w:r>
      <w:r>
        <w:rPr>
          <w:rFonts w:ascii="Times New Roman" w:hAnsi="Times New Roman"/>
          <w:b/>
          <w:i/>
          <w:sz w:val="20"/>
        </w:rPr>
        <w:t>For</w:t>
      </w:r>
      <w:r>
        <w:rPr>
          <w:rFonts w:ascii="Times New Roman" w:hAnsi="Times New Roman"/>
          <w:sz w:val="20"/>
        </w:rPr>
        <w:t xml:space="preserve"> the ratification of the selection of Ernst &amp; Young LLP as our independent registered public accounting firm for our fiscal year ending December 31, 2024. If any other matter is properly presented at the meeting, your proxyholder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or bank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w:t>
      </w:r>
      <w:r>
        <w:rPr>
          <w:rFonts w:ascii="Times New Roman" w:hAnsi="Times New Roman"/>
          <w:b/>
          <w:i/>
          <w:sz w:val="20"/>
        </w:rPr>
        <w:t>NYSE</w:t>
      </w:r>
      <w:r>
        <w:rPr>
          <w:rFonts w:ascii="Times New Roman" w:hAnsi="Times New Roman"/>
          <w:sz w:val="20"/>
        </w:rPr>
        <w:t xml:space="preserve">), brokers, banks and other securities intermediaries that are subject to NYSE rules may use their discretion to vote your uninstructed shares with respect to matters considered to be routine under NYSE rules, but not with respect to non-routine matters. In this regard, Proposals 1, and 2 are considered to be non-routine under NYSE rules meaning that your broker may not vote your shares on those proposals in the absence of your voting instructions. However, Proposal 3 is considered to be a routine matter under NYSE rules, meaning that if you do not return voting instructions to your broker by its deadline, your shares may be voted by your broker in its discretion on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If you are a beneficial owner of shares held in street name, and you do not plan to attend the Annual Meeting, in order to ensure your shares are voted in the way you would prefer, you </w:t>
      </w:r>
      <w:r>
        <w:rPr>
          <w:rFonts w:ascii="Times New Roman" w:hAnsi="Times New Roman"/>
          <w:i/>
          <w:sz w:val="20"/>
          <w:u w:val="single"/>
        </w:rPr>
        <w:t>must</w:t>
      </w:r>
      <w:r>
        <w:rPr>
          <w:rFonts w:ascii="Times New Roman" w:hAnsi="Times New Roman"/>
          <w:sz w:val="20"/>
        </w:rPr>
        <w:t xml:space="preserve"> </w:t>
      </w:r>
      <w:r>
        <w:rPr>
          <w:rFonts w:ascii="Times New Roman" w:hAnsi="Times New Roman"/>
          <w:i/>
          <w:sz w:val="20"/>
        </w:rPr>
        <w:t>provide voting instructions to your broker, bank or other agent by the deadline provided in the materials you receive from your broker, bank or other agent.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 broker non-vote occurs when your broker submits a proxy for the meeting with respect to routine matters but does not vote on non-routine matters because you did not provide voting instructions on these matters. These unvoted shares with respect to non-routine matters are counted as broker non-votes. Only Proposal 3 (Ratification of Auditors) is considered a routine matter under applicable stock exchange rules, and without your instruction, your broker, bank or other agent may vote your shares in its discretion. Proposals 1 and 2 are considered non-routine under applicable stock exchange rules, and without your instruction, your broker, bank or other agent cannot vote your shares on this these matters. Please instruct your broker, bank or other agent so your vote can be counted.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bidi w:val="0"/>
        <w:spacing w:before="120" w:after="0"/>
        <w:jc w:val="left"/>
        <w:rPr>
          <w:rFonts w:ascii="Times New Roman" w:hAnsi="Times New Roman"/>
          <w:sz w:val="20"/>
        </w:rPr>
      </w:pPr>
      <w:r>
        <w:rPr>
          <w:rFonts w:ascii="Times New Roman" w:hAnsi="Times New Roman"/>
          <w:sz w:val="20"/>
        </w:rPr>
        <w:t xml:space="preserve">If you receive more than one Notice, your shares may be registered in more than one name or in different accounts. Please follow the voting instructions on the Notices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You can revoke your proxy at any time before the final vote at the Annual Meeting. If you are the record holder of your shares, you may revoke your proxy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another properly completed proxy card with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 subsequent proxy by telephone or through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 the Annual Meeting and vote online. Simply attending the meeting will not, by itself, revoke your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Send a timely written notice that you are revoking your proxy by email at cc@tempesttx.com.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your broker, bank or other agent. </w:t>
      </w:r>
    </w:p>
    <w:p>
      <w:pPr>
        <w:pStyle w:val="TextBody"/>
        <w:bidi w:val="0"/>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bidi w:val="0"/>
        <w:spacing w:before="12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for the proposal to elect directors, votes </w:t>
      </w:r>
      <w:r>
        <w:rPr>
          <w:rFonts w:ascii="Times New Roman" w:hAnsi="Times New Roman"/>
          <w:b/>
          <w:i/>
          <w:sz w:val="20"/>
        </w:rPr>
        <w:t>For</w:t>
      </w:r>
      <w:r>
        <w:rPr>
          <w:rFonts w:ascii="Times New Roman" w:hAnsi="Times New Roman"/>
          <w:sz w:val="20"/>
        </w:rPr>
        <w:t>, </w:t>
      </w:r>
      <w:r>
        <w:rPr>
          <w:rFonts w:ascii="Times New Roman" w:hAnsi="Times New Roman"/>
          <w:b/>
          <w:i/>
          <w:sz w:val="20"/>
        </w:rPr>
        <w:t>Withhold</w:t>
      </w:r>
      <w:r>
        <w:rPr>
          <w:rFonts w:ascii="Times New Roman" w:hAnsi="Times New Roman"/>
          <w:sz w:val="20"/>
        </w:rPr>
        <w:t> and abstentions and, with respect to the other proposals, votes </w:t>
      </w:r>
      <w:r>
        <w:rPr>
          <w:rFonts w:ascii="Times New Roman" w:hAnsi="Times New Roman"/>
          <w:b/>
          <w:i/>
          <w:sz w:val="20"/>
        </w:rPr>
        <w:t>For</w:t>
      </w:r>
      <w:r>
        <w:rPr>
          <w:rFonts w:ascii="Times New Roman" w:hAnsi="Times New Roman"/>
          <w:sz w:val="20"/>
        </w:rPr>
        <w:t> and </w:t>
      </w:r>
      <w:r>
        <w:rPr>
          <w:rFonts w:ascii="Times New Roman" w:hAnsi="Times New Roman"/>
          <w:b/>
          <w:i/>
          <w:sz w:val="20"/>
        </w:rPr>
        <w:t>Against</w:t>
      </w:r>
      <w:r>
        <w:rPr>
          <w:rFonts w:ascii="Times New Roman" w:hAnsi="Times New Roman"/>
          <w:sz w:val="20"/>
        </w:rPr>
        <w:t xml:space="preserve"> and abstentions.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vote is required to approve each item and how are votes counted?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minimum vote needed to approve each proposal and the effect of abstentions and broker non-votes.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40"/>
        <w:gridCol w:w="127"/>
        <w:gridCol w:w="2709"/>
        <w:gridCol w:w="195"/>
        <w:gridCol w:w="2525"/>
        <w:gridCol w:w="195"/>
        <w:gridCol w:w="1439"/>
        <w:gridCol w:w="195"/>
        <w:gridCol w:w="1480"/>
      </w:tblGrid>
      <w:tr>
        <w:trPr/>
        <w:tc>
          <w:tcPr>
            <w:tcW w:w="134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1340" w:type="dxa"/>
            <w:tcBorders>
              <w:bottom w:val="single" w:sz="8" w:space="0" w:color="000000"/>
            </w:tcBorders>
            <w:tcMar>
              <w:bottom w:w="28" w:type="dxa"/>
            </w:tcMar>
            <w:vAlign w:val="bottom"/>
          </w:tcPr>
          <w:p>
            <w:pPr>
              <w:pStyle w:val="TableContents"/>
              <w:bidi w:val="0"/>
              <w:spacing w:before="0" w:after="283"/>
              <w:jc w:val="center"/>
              <w:rPr>
                <w:b/>
              </w:rPr>
            </w:pPr>
            <w:r>
              <w:rPr>
                <w:b/>
              </w:rPr>
              <w:t>Proposal</w:t>
              <w:br/>
              <w:t>Number</w:t>
            </w:r>
          </w:p>
        </w:tc>
        <w:tc>
          <w:tcPr>
            <w:tcW w:w="127" w:type="dxa"/>
            <w:tcBorders/>
            <w:vAlign w:val="bottom"/>
          </w:tcPr>
          <w:p>
            <w:pPr>
              <w:pStyle w:val="TableContents"/>
              <w:bidi w:val="0"/>
              <w:spacing w:before="0" w:after="283"/>
              <w:jc w:val="left"/>
              <w:rPr/>
            </w:pPr>
            <w:r>
              <w:rPr/>
              <w:t>  </w:t>
            </w:r>
          </w:p>
        </w:tc>
        <w:tc>
          <w:tcPr>
            <w:tcW w:w="27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Proposed Description</w:t>
            </w:r>
          </w:p>
        </w:tc>
        <w:tc>
          <w:tcPr>
            <w:tcW w:w="195" w:type="dxa"/>
            <w:tcBorders/>
            <w:vAlign w:val="bottom"/>
          </w:tcPr>
          <w:p>
            <w:pPr>
              <w:pStyle w:val="TableContents"/>
              <w:bidi w:val="0"/>
              <w:spacing w:before="0" w:after="283"/>
              <w:jc w:val="left"/>
              <w:rPr/>
            </w:pPr>
            <w:r>
              <w:rPr/>
              <w:t>  </w:t>
            </w:r>
          </w:p>
        </w:tc>
        <w:tc>
          <w:tcPr>
            <w:tcW w:w="25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 Required for Approval</w:t>
            </w:r>
          </w:p>
        </w:tc>
        <w:tc>
          <w:tcPr>
            <w:tcW w:w="195" w:type="dxa"/>
            <w:tcBorders/>
            <w:vAlign w:val="bottom"/>
          </w:tcPr>
          <w:p>
            <w:pPr>
              <w:pStyle w:val="TableContents"/>
              <w:bidi w:val="0"/>
              <w:spacing w:before="0" w:after="283"/>
              <w:jc w:val="left"/>
              <w:rPr/>
            </w:pPr>
            <w:r>
              <w:rPr/>
              <w:t>  </w:t>
            </w:r>
          </w:p>
        </w:tc>
        <w:tc>
          <w:tcPr>
            <w:tcW w:w="14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95" w:type="dxa"/>
            <w:tcBorders/>
            <w:vAlign w:val="bottom"/>
          </w:tcPr>
          <w:p>
            <w:pPr>
              <w:pStyle w:val="TableContents"/>
              <w:bidi w:val="0"/>
              <w:spacing w:before="0" w:after="283"/>
              <w:jc w:val="left"/>
              <w:rPr/>
            </w:pPr>
            <w:r>
              <w:rPr/>
              <w:t>  </w:t>
            </w:r>
          </w:p>
        </w:tc>
        <w:tc>
          <w:tcPr>
            <w:tcW w:w="14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 Broker</w:t>
              <w:br/>
              <w:t>Non-Votes</w:t>
            </w:r>
          </w:p>
        </w:tc>
      </w:tr>
      <w:tr>
        <w:trPr/>
        <w:tc>
          <w:tcPr>
            <w:tcW w:w="1340" w:type="dxa"/>
            <w:tcBorders/>
          </w:tcPr>
          <w:p>
            <w:pPr>
              <w:pStyle w:val="TableContents"/>
              <w:bidi w:val="0"/>
              <w:spacing w:before="0" w:after="283"/>
              <w:jc w:val="left"/>
              <w:rPr/>
            </w:pPr>
            <w:r>
              <w:rPr/>
              <w:t>1.</w:t>
            </w:r>
          </w:p>
        </w:tc>
        <w:tc>
          <w:tcPr>
            <w:tcW w:w="127" w:type="dxa"/>
            <w:tcBorders/>
            <w:vAlign w:val="bottom"/>
          </w:tcPr>
          <w:p>
            <w:pPr>
              <w:pStyle w:val="TableContents"/>
              <w:bidi w:val="0"/>
              <w:spacing w:before="0" w:after="283"/>
              <w:jc w:val="left"/>
              <w:rPr/>
            </w:pPr>
            <w:r>
              <w:rPr/>
              <w:t>  </w:t>
            </w:r>
          </w:p>
        </w:tc>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Election of Directors</w:t>
            </w:r>
          </w:p>
        </w:tc>
        <w:tc>
          <w:tcPr>
            <w:tcW w:w="195" w:type="dxa"/>
            <w:tcBorders/>
            <w:vAlign w:val="bottom"/>
          </w:tcPr>
          <w:p>
            <w:pPr>
              <w:pStyle w:val="TableContents"/>
              <w:bidi w:val="0"/>
              <w:spacing w:before="0" w:after="283"/>
              <w:jc w:val="left"/>
              <w:rPr/>
            </w:pPr>
            <w:r>
              <w:rPr/>
              <w:t>  </w:t>
            </w:r>
          </w:p>
        </w:tc>
        <w:tc>
          <w:tcPr>
            <w:tcW w:w="2525" w:type="dxa"/>
            <w:tcBorders/>
          </w:tcPr>
          <w:p>
            <w:pPr>
              <w:pStyle w:val="TableContents"/>
              <w:bidi w:val="0"/>
              <w:spacing w:before="0" w:after="283"/>
              <w:jc w:val="left"/>
              <w:rPr/>
            </w:pPr>
            <w:r>
              <w:rPr/>
              <w:t>Nominees receiving the most For votes; withheld votes will have no effect</w:t>
            </w:r>
          </w:p>
        </w:tc>
        <w:tc>
          <w:tcPr>
            <w:tcW w:w="195"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center"/>
              <w:rPr/>
            </w:pPr>
            <w:r>
              <w:rPr/>
              <w:t>Not applicable</w:t>
            </w:r>
          </w:p>
        </w:tc>
        <w:tc>
          <w:tcPr>
            <w:tcW w:w="195" w:type="dxa"/>
            <w:tcBorders/>
            <w:vAlign w:val="bottom"/>
          </w:tcPr>
          <w:p>
            <w:pPr>
              <w:pStyle w:val="TableContents"/>
              <w:bidi w:val="0"/>
              <w:spacing w:before="0" w:after="283"/>
              <w:jc w:val="left"/>
              <w:rPr/>
            </w:pPr>
            <w:r>
              <w:rPr/>
              <w:t>  </w:t>
            </w:r>
          </w:p>
        </w:tc>
        <w:tc>
          <w:tcPr>
            <w:tcW w:w="1480" w:type="dxa"/>
            <w:tcBorders/>
          </w:tcPr>
          <w:p>
            <w:pPr>
              <w:pStyle w:val="TableContents"/>
              <w:bidi w:val="0"/>
              <w:spacing w:before="0" w:after="283"/>
              <w:jc w:val="center"/>
              <w:rPr/>
            </w:pPr>
            <w:r>
              <w:rPr/>
              <w:t>No effect</w:t>
            </w:r>
          </w:p>
        </w:tc>
      </w:tr>
      <w:tr>
        <w:trPr/>
        <w:tc>
          <w:tcPr>
            <w:tcW w:w="1340" w:type="dxa"/>
            <w:tcBorders/>
          </w:tcPr>
          <w:p>
            <w:pPr>
              <w:pStyle w:val="TableContents"/>
              <w:bidi w:val="0"/>
              <w:spacing w:before="0" w:after="283"/>
              <w:jc w:val="left"/>
              <w:rPr/>
            </w:pPr>
            <w:r>
              <w:rPr/>
              <w:t>2.</w:t>
            </w:r>
          </w:p>
        </w:tc>
        <w:tc>
          <w:tcPr>
            <w:tcW w:w="127" w:type="dxa"/>
            <w:tcBorders/>
            <w:vAlign w:val="bottom"/>
          </w:tcPr>
          <w:p>
            <w:pPr>
              <w:pStyle w:val="TableContents"/>
              <w:bidi w:val="0"/>
              <w:spacing w:before="0" w:after="283"/>
              <w:jc w:val="left"/>
              <w:rPr/>
            </w:pPr>
            <w:r>
              <w:rPr/>
              <w:t>  </w:t>
            </w:r>
          </w:p>
        </w:tc>
        <w:tc>
          <w:tcPr>
            <w:tcW w:w="2709" w:type="dxa"/>
            <w:tcBorders/>
          </w:tcPr>
          <w:p>
            <w:pPr>
              <w:pStyle w:val="TableContents"/>
              <w:bidi w:val="0"/>
              <w:spacing w:before="0" w:after="283"/>
              <w:jc w:val="left"/>
              <w:rPr/>
            </w:pPr>
            <w:r>
              <w:rPr/>
              <w:t>Advisory approval of the compensation of our named executive officers as disclosed in this proxy statement</w:t>
            </w:r>
          </w:p>
        </w:tc>
        <w:tc>
          <w:tcPr>
            <w:tcW w:w="195" w:type="dxa"/>
            <w:tcBorders/>
            <w:vAlign w:val="bottom"/>
          </w:tcPr>
          <w:p>
            <w:pPr>
              <w:pStyle w:val="TableContents"/>
              <w:bidi w:val="0"/>
              <w:spacing w:before="0" w:after="283"/>
              <w:jc w:val="left"/>
              <w:rPr/>
            </w:pPr>
            <w:r>
              <w:rPr/>
              <w:t>  </w:t>
            </w:r>
          </w:p>
        </w:tc>
        <w:tc>
          <w:tcPr>
            <w:tcW w:w="2525" w:type="dxa"/>
            <w:tcBorders/>
          </w:tcPr>
          <w:p>
            <w:pPr>
              <w:pStyle w:val="TableContents"/>
              <w:bidi w:val="0"/>
              <w:spacing w:before="0" w:after="283"/>
              <w:jc w:val="left"/>
              <w:rPr/>
            </w:pPr>
            <w:r>
              <w:rPr/>
              <w:t>For votes from the holders of a majority of the voting power of the votes cast by the holders of all the shares present or represented by proxy at the meeting and voting on such matter</w:t>
            </w:r>
          </w:p>
        </w:tc>
        <w:tc>
          <w:tcPr>
            <w:tcW w:w="195"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center"/>
              <w:rPr/>
            </w:pPr>
            <w:r>
              <w:rPr/>
              <w:t>No effect</w:t>
            </w:r>
          </w:p>
        </w:tc>
        <w:tc>
          <w:tcPr>
            <w:tcW w:w="195" w:type="dxa"/>
            <w:tcBorders/>
            <w:vAlign w:val="bottom"/>
          </w:tcPr>
          <w:p>
            <w:pPr>
              <w:pStyle w:val="TableContents"/>
              <w:bidi w:val="0"/>
              <w:spacing w:before="0" w:after="283"/>
              <w:jc w:val="left"/>
              <w:rPr/>
            </w:pPr>
            <w:r>
              <w:rPr/>
              <w:t>  </w:t>
            </w:r>
          </w:p>
        </w:tc>
        <w:tc>
          <w:tcPr>
            <w:tcW w:w="1480" w:type="dxa"/>
            <w:tcBorders/>
          </w:tcPr>
          <w:p>
            <w:pPr>
              <w:pStyle w:val="TableContents"/>
              <w:bidi w:val="0"/>
              <w:spacing w:before="0" w:after="283"/>
              <w:jc w:val="center"/>
              <w:rPr/>
            </w:pPr>
            <w:r>
              <w:rPr/>
              <w:t>Not applicable</w:t>
            </w:r>
          </w:p>
        </w:tc>
      </w:tr>
      <w:tr>
        <w:trPr/>
        <w:tc>
          <w:tcPr>
            <w:tcW w:w="1340" w:type="dxa"/>
            <w:tcBorders/>
          </w:tcPr>
          <w:p>
            <w:pPr>
              <w:pStyle w:val="TableContents"/>
              <w:bidi w:val="0"/>
              <w:spacing w:before="0" w:after="283"/>
              <w:jc w:val="left"/>
              <w:rPr/>
            </w:pPr>
            <w:r>
              <w:rPr/>
              <w:t>3.</w:t>
            </w:r>
          </w:p>
        </w:tc>
        <w:tc>
          <w:tcPr>
            <w:tcW w:w="127" w:type="dxa"/>
            <w:tcBorders/>
            <w:vAlign w:val="bottom"/>
          </w:tcPr>
          <w:p>
            <w:pPr>
              <w:pStyle w:val="TableContents"/>
              <w:bidi w:val="0"/>
              <w:spacing w:before="0" w:after="283"/>
              <w:jc w:val="left"/>
              <w:rPr/>
            </w:pPr>
            <w:r>
              <w:rPr/>
              <w:t>  </w:t>
            </w:r>
          </w:p>
        </w:tc>
        <w:tc>
          <w:tcPr>
            <w:tcW w:w="2709" w:type="dxa"/>
            <w:tcBorders/>
          </w:tcPr>
          <w:p>
            <w:pPr>
              <w:pStyle w:val="TableContents"/>
              <w:bidi w:val="0"/>
              <w:spacing w:before="0" w:after="283"/>
              <w:jc w:val="left"/>
              <w:rPr/>
            </w:pPr>
            <w:r>
              <w:rPr/>
              <w:t>Ratification of the selection of Ernst &amp; Young LLP as our independent registered public accounting firm</w:t>
            </w:r>
          </w:p>
        </w:tc>
        <w:tc>
          <w:tcPr>
            <w:tcW w:w="195" w:type="dxa"/>
            <w:tcBorders/>
            <w:vAlign w:val="bottom"/>
          </w:tcPr>
          <w:p>
            <w:pPr>
              <w:pStyle w:val="TableContents"/>
              <w:bidi w:val="0"/>
              <w:spacing w:before="0" w:after="283"/>
              <w:jc w:val="left"/>
              <w:rPr/>
            </w:pPr>
            <w:r>
              <w:rPr/>
              <w:t>  </w:t>
            </w:r>
          </w:p>
        </w:tc>
        <w:tc>
          <w:tcPr>
            <w:tcW w:w="2525" w:type="dxa"/>
            <w:tcBorders/>
          </w:tcPr>
          <w:p>
            <w:pPr>
              <w:pStyle w:val="TableContents"/>
              <w:bidi w:val="0"/>
              <w:spacing w:before="0" w:after="283"/>
              <w:jc w:val="left"/>
              <w:rPr/>
            </w:pPr>
            <w:r>
              <w:rPr/>
              <w:t>For votes from the holders of a majority of the voting power of the votes cast by the holders of all the shares present or represented by proxy at the meeting and voting on such matter</w:t>
            </w:r>
          </w:p>
        </w:tc>
        <w:tc>
          <w:tcPr>
            <w:tcW w:w="195"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center"/>
              <w:rPr/>
            </w:pPr>
            <w:r>
              <w:rPr/>
              <w:t>No effect</w:t>
            </w:r>
          </w:p>
        </w:tc>
        <w:tc>
          <w:tcPr>
            <w:tcW w:w="195" w:type="dxa"/>
            <w:tcBorders/>
            <w:vAlign w:val="bottom"/>
          </w:tcPr>
          <w:p>
            <w:pPr>
              <w:pStyle w:val="TableContents"/>
              <w:bidi w:val="0"/>
              <w:spacing w:before="0" w:after="283"/>
              <w:jc w:val="left"/>
              <w:rPr/>
            </w:pPr>
            <w:r>
              <w:rPr/>
              <w:t>  </w:t>
            </w:r>
          </w:p>
        </w:tc>
        <w:tc>
          <w:tcPr>
            <w:tcW w:w="1480" w:type="dxa"/>
            <w:tcBorders/>
          </w:tcPr>
          <w:p>
            <w:pPr>
              <w:pStyle w:val="TableContents"/>
              <w:bidi w:val="0"/>
              <w:spacing w:before="0" w:after="283"/>
              <w:jc w:val="center"/>
              <w:rPr/>
            </w:pPr>
            <w:r>
              <w:rPr/>
              <w:t>Not applicable(1)</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bidi w:val="0"/>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stockholders holding at least a majority of the outstanding shares entitled to vote are present at the meeting virtually or represented by proxy. On the Record Date, there were 22,217,265 shares outstanding and entitled to vote. Thus, the holders of 11,108,633 shares must be present virtually or represented by proxy at the meeting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Your shares will be counted towards the quorum only if you submit a valid proxy (or one is submitted on your behalf by your broker, bank or other nominee) or if you vote online at the Annual Meeting. Abstentions, withhold votes and broker non-votes will be counted towards the quorum requirement. If there is no quorum, the holders of a majority of shares present or represented at the meeting and entitled to vote may adjourn the meeting to another date. </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240250_2"/>
      <w:bookmarkEnd w:id="4"/>
      <w:r>
        <w:rPr>
          <w:rFonts w:ascii="Times New Roman" w:hAnsi="Times New Roman"/>
          <w:b/>
          <w:sz w:val="20"/>
        </w:rPr>
        <w:t xml:space="preserve">PROPOSAL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Board presently has five members. There are three directors in the class whose term of office expires in 2024. Upon the recommendation of the Nominating and Corporate Governance Committee, our Board has nominated the following individuals for election as directors at the Annual Meeting. Mr. Brady was appointed our Chief Executive Officer and to the Board and Mr. Raab was appointed as Chairman of the Board in June 2021, and Dr. Simantov was recommended for nomination to the Board by Mr. Brady, our CEO, and the members of the Nominating and Corporate Governance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Stephen Brady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Raab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Ronit Simantov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biographies below under Information Regarding Director Nominees and Continuing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If you elect the nominees listed above, they will each hold office until the 2027 Annual Meeting of Stockholders and until the directors successor has been duly elected and qualified, or, if sooner, until the directors death, resignation or removal. The nominees are currently serving on our Board and have consented to being named in this proxy statement and to serve if elected. There are no family relationships among any of our executive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elected by a plurality of the votes cast at the Annual Meeting by the holders entitled to vote on the election of directors. Accordingly, the nominees receiving the most FOR votes will be elected as directors. Broker non-votes will have no effect on the outcome of Proposal 1. You may not vote your shares cumulatively for the election of directors. Shares represented by executed proxies will be voted, if authority to do so is not withheld, for the election of the three nominees named above. If any nominee becomes unavailable for election because of an unexpected occurrence, your shares will be voted for the election of a substitute nominee proposed by our Board. Your proxy cannot be voted for a greater number of persons than the number of director nominees named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OUR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EACH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240250_3"/>
      <w:bookmarkEnd w:id="5"/>
      <w:r>
        <w:rPr>
          <w:rFonts w:ascii="Times New Roman" w:hAnsi="Times New Roman"/>
          <w:b/>
          <w:sz w:val="20"/>
        </w:rPr>
        <w:t xml:space="preserve">INFORMATION REGARDING DIRECTOR NOMINEES AND CONTINUING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the Class III nominees and our other continuing directors, their ages and position or office held with us as of the date of this proxy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4"/>
        <w:gridCol w:w="171"/>
        <w:gridCol w:w="79"/>
        <w:gridCol w:w="352"/>
        <w:gridCol w:w="199"/>
        <w:gridCol w:w="474"/>
        <w:gridCol w:w="4163"/>
        <w:gridCol w:w="171"/>
        <w:gridCol w:w="93"/>
        <w:gridCol w:w="853"/>
        <w:gridCol w:w="206"/>
      </w:tblGrid>
      <w:tr>
        <w:trPr/>
        <w:tc>
          <w:tcPr>
            <w:tcW w:w="3444"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4163"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r>
      <w:tr>
        <w:trPr/>
        <w:tc>
          <w:tcPr>
            <w:tcW w:w="34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1" w:type="dxa"/>
            <w:tcBorders/>
            <w:vAlign w:val="bottom"/>
          </w:tcPr>
          <w:p>
            <w:pPr>
              <w:pStyle w:val="TableContents"/>
              <w:bidi w:val="0"/>
              <w:spacing w:before="0" w:after="283"/>
              <w:jc w:val="left"/>
              <w:rPr/>
            </w:pPr>
            <w:r>
              <w:rPr/>
              <w:t>  </w:t>
            </w:r>
          </w:p>
        </w:tc>
        <w:tc>
          <w:tcPr>
            <w:tcW w:w="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99"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41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71"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Director</w:t>
              <w:br/>
              <w:t>Since</w:t>
            </w:r>
          </w:p>
        </w:tc>
        <w:tc>
          <w:tcPr>
            <w:tcW w:w="206" w:type="dxa"/>
            <w:tcBorders/>
            <w:vAlign w:val="bottom"/>
          </w:tcPr>
          <w:p>
            <w:pPr>
              <w:pStyle w:val="TableContents"/>
              <w:bidi w:val="0"/>
              <w:spacing w:before="0" w:after="283"/>
              <w:jc w:val="left"/>
              <w:rPr/>
            </w:pPr>
            <w:r>
              <w:rPr/>
              <w:t> </w:t>
            </w:r>
          </w:p>
        </w:tc>
      </w:tr>
      <w:tr>
        <w:trPr/>
        <w:tc>
          <w:tcPr>
            <w:tcW w:w="9999" w:type="dxa"/>
            <w:gridSpan w:val="10"/>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Class III Nominees for Election at the 2024 Annual Meeting of Stockholders</w:t>
            </w:r>
          </w:p>
        </w:tc>
        <w:tc>
          <w:tcPr>
            <w:tcW w:w="206" w:type="dxa"/>
            <w:tcBorders/>
            <w:shd w:fill="CCEEFF" w:val="clear"/>
          </w:tcPr>
          <w:p>
            <w:pPr>
              <w:pStyle w:val="TableContents"/>
              <w:bidi w:val="0"/>
              <w:spacing w:before="0" w:after="0"/>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54</w:t>
            </w:r>
          </w:p>
        </w:tc>
        <w:tc>
          <w:tcPr>
            <w:tcW w:w="199"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4163"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tc>
        <w:tc>
          <w:tcPr>
            <w:tcW w:w="17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2021</w:t>
            </w:r>
          </w:p>
        </w:tc>
        <w:tc>
          <w:tcPr>
            <w:tcW w:w="206" w:type="dxa"/>
            <w:tcBorders/>
            <w:vAlign w:val="bottom"/>
          </w:tcPr>
          <w:p>
            <w:pPr>
              <w:pStyle w:val="TableContents"/>
              <w:bidi w:val="0"/>
              <w:spacing w:before="0" w:after="283"/>
              <w:jc w:val="left"/>
              <w:rPr/>
            </w:pPr>
            <w:r>
              <w:rPr/>
              <w:t> </w:t>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59</w:t>
            </w:r>
          </w:p>
        </w:tc>
        <w:tc>
          <w:tcPr>
            <w:tcW w:w="199"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4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c>
          <w:tcPr>
            <w:tcW w:w="17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2021</w:t>
            </w:r>
          </w:p>
        </w:tc>
        <w:tc>
          <w:tcPr>
            <w:tcW w:w="206" w:type="dxa"/>
            <w:tcBorders/>
            <w:shd w:fill="CCEEFF" w:val="clear"/>
            <w:vAlign w:val="bottom"/>
          </w:tcPr>
          <w:p>
            <w:pPr>
              <w:pStyle w:val="TableContents"/>
              <w:bidi w:val="0"/>
              <w:spacing w:before="0" w:after="283"/>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59</w:t>
            </w:r>
          </w:p>
        </w:tc>
        <w:tc>
          <w:tcPr>
            <w:tcW w:w="199"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416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7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2021</w:t>
            </w:r>
          </w:p>
        </w:tc>
        <w:tc>
          <w:tcPr>
            <w:tcW w:w="206" w:type="dxa"/>
            <w:tcBorders/>
            <w:vAlign w:val="bottom"/>
          </w:tcPr>
          <w:p>
            <w:pPr>
              <w:pStyle w:val="TableContents"/>
              <w:bidi w:val="0"/>
              <w:spacing w:before="0" w:after="283"/>
              <w:jc w:val="left"/>
              <w:rPr/>
            </w:pPr>
            <w:r>
              <w:rPr/>
              <w:t> </w:t>
            </w:r>
          </w:p>
        </w:tc>
      </w:tr>
      <w:tr>
        <w:trPr>
          <w:trHeight w:val="120" w:hRule="atLeast"/>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9999" w:type="dxa"/>
            <w:gridSpan w:val="10"/>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Class I Director Continuing in Office Until the 2025 Annual Meeting of Stockholders</w:t>
            </w:r>
          </w:p>
        </w:tc>
        <w:tc>
          <w:tcPr>
            <w:tcW w:w="206" w:type="dxa"/>
            <w:tcBorders/>
            <w:shd w:fill="CCEEFF" w:val="clear"/>
          </w:tcPr>
          <w:p>
            <w:pPr>
              <w:pStyle w:val="TableContents"/>
              <w:bidi w:val="0"/>
              <w:spacing w:before="0" w:after="0"/>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69</w:t>
            </w:r>
          </w:p>
        </w:tc>
        <w:tc>
          <w:tcPr>
            <w:tcW w:w="199"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416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7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2019</w:t>
            </w:r>
          </w:p>
        </w:tc>
        <w:tc>
          <w:tcPr>
            <w:tcW w:w="206" w:type="dxa"/>
            <w:tcBorders/>
            <w:vAlign w:val="bottom"/>
          </w:tcPr>
          <w:p>
            <w:pPr>
              <w:pStyle w:val="TableContents"/>
              <w:bidi w:val="0"/>
              <w:spacing w:before="0" w:after="283"/>
              <w:jc w:val="left"/>
              <w:rPr/>
            </w:pPr>
            <w:r>
              <w:rPr/>
              <w:t> </w:t>
            </w:r>
          </w:p>
        </w:tc>
      </w:tr>
      <w:tr>
        <w:trPr>
          <w:trHeight w:val="120" w:hRule="atLeast"/>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9999" w:type="dxa"/>
            <w:gridSpan w:val="10"/>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Class II Nominees Continuing in Office Until the 2026 Annual Meeting of Stockholders</w:t>
            </w:r>
          </w:p>
        </w:tc>
        <w:tc>
          <w:tcPr>
            <w:tcW w:w="206" w:type="dxa"/>
            <w:tcBorders/>
            <w:shd w:fill="CCEEFF" w:val="clear"/>
          </w:tcPr>
          <w:p>
            <w:pPr>
              <w:pStyle w:val="TableContents"/>
              <w:bidi w:val="0"/>
              <w:spacing w:before="0" w:after="0"/>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Christine Pellizzari</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56</w:t>
            </w:r>
          </w:p>
        </w:tc>
        <w:tc>
          <w:tcPr>
            <w:tcW w:w="199"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416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7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2021</w:t>
            </w:r>
          </w:p>
        </w:tc>
        <w:tc>
          <w:tcPr>
            <w:tcW w:w="20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FOR ELECTION AT THE 2024 ANNUAL MEETING OF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Stephen Brady </w:t>
      </w:r>
    </w:p>
    <w:p>
      <w:pPr>
        <w:pStyle w:val="TextBody"/>
        <w:bidi w:val="0"/>
        <w:spacing w:before="120" w:after="0"/>
        <w:jc w:val="left"/>
        <w:rPr>
          <w:rFonts w:ascii="Times New Roman" w:hAnsi="Times New Roman"/>
          <w:sz w:val="20"/>
        </w:rPr>
      </w:pPr>
      <w:r>
        <w:rPr>
          <w:rFonts w:ascii="Times New Roman" w:hAnsi="Times New Roman"/>
          <w:sz w:val="20"/>
        </w:rPr>
        <w:t xml:space="preserve">Stephen Brady has served as our Chief Executive Officer and as a member of our Board since June 2021 and as our President since September 2023. Mr. Brady also served as President and Chief Operating Officer of our legacy company from September 2019 until June 2021. Previously, from September 2013 until April 2019, Mr. Brady served in various leadership positions, most recently as Executive Vice President, Strategy and Finance, at Immune Design, Inc., a biopharmaceutical company that was acquired by Merck in 2019. At Immune Design, Mr. Brady led the general and administrative functions at the company, including strategy, corporate development, finance and investor and public relations.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has served as a member of the board of directors of Atreca, Inc. since July 2021 and the Biotechnology Innovation Organization (BIO), Emerging Companies Section Governing Board, since 2022. Mr. Brady received a B.A. in English from the University of Oregon, a J.D. from the University of the Pacific and an LL.M. from New York University School of Law. Mr. Bradys role as our Chief Executive Officer, his business expertise and his prior leadership roles in biotechnology companies provides him with the qualifications and skills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Michael Raab </w:t>
      </w:r>
    </w:p>
    <w:p>
      <w:pPr>
        <w:pStyle w:val="TextBody"/>
        <w:bidi w:val="0"/>
        <w:spacing w:before="120" w:after="0"/>
        <w:jc w:val="left"/>
        <w:rPr>
          <w:rFonts w:ascii="Times New Roman" w:hAnsi="Times New Roman"/>
          <w:sz w:val="20"/>
        </w:rPr>
      </w:pPr>
      <w:r>
        <w:rPr>
          <w:rFonts w:ascii="Times New Roman" w:hAnsi="Times New Roman"/>
          <w:sz w:val="20"/>
        </w:rPr>
        <w:t xml:space="preserve">Michael Raab has served as a member and as Chairman of our Board since June 2021, and served as a member and Chairman of the board of directors of our legacy company from December 2018 until June 2021. Mr. Raab has served as Ardelyx Inc.s President and Chief Executive Officer since March 2009 and as a member of the board of directors since 2008. Before Ardelyx, Mr. Raab was a partner at New Enterprise Associates (NEA), where he focused on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lead independent director of Amicus Therapeutics, Inc. since 2004. Mr. Raab received his B.A. from DePauw University. Mr. Raabs industry and investment experience qualifies him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Ronit Simantov, M.D. </w:t>
      </w:r>
    </w:p>
    <w:p>
      <w:pPr>
        <w:pStyle w:val="TextBody"/>
        <w:bidi w:val="0"/>
        <w:spacing w:before="120" w:after="0"/>
        <w:jc w:val="left"/>
        <w:rPr>
          <w:rFonts w:ascii="Times New Roman" w:hAnsi="Times New Roman"/>
          <w:sz w:val="20"/>
        </w:rPr>
      </w:pPr>
      <w:r>
        <w:rPr>
          <w:rFonts w:ascii="Times New Roman" w:hAnsi="Times New Roman"/>
          <w:sz w:val="20"/>
        </w:rPr>
        <w:t xml:space="preserve">Ronit Simantov, M.D. has served as member of our Board since August 2021. Dr. Simantov has served as Chief Medical Officer of Gamida Cell Ltd. since July 2017 and as the Chief Scientific Officer since July 2021. From July 2021 to July 2023, Dr. Simantov served as a member of the board of directors of Clovis Oncology, Inc. Prior to joining Gamida Cell, Dr. Simantov served as Vice President, Oncology Global Medical Affairs at Pfizer Inc., where she was responsible for multiple oncology programs in various roles.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CONTINUING IN OFFICE UNTIL THE 2025 ANNUAL MEETING OF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Geoff Nichol, M.B., Ch.B., M.B.A. </w:t>
      </w:r>
    </w:p>
    <w:p>
      <w:pPr>
        <w:pStyle w:val="TextBody"/>
        <w:bidi w:val="0"/>
        <w:spacing w:before="120" w:after="0"/>
        <w:jc w:val="left"/>
        <w:rPr>
          <w:rFonts w:ascii="Times New Roman" w:hAnsi="Times New Roman"/>
          <w:sz w:val="20"/>
        </w:rPr>
      </w:pPr>
      <w:r>
        <w:rPr>
          <w:rFonts w:ascii="Times New Roman" w:hAnsi="Times New Roman"/>
          <w:sz w:val="20"/>
        </w:rPr>
        <w:t xml:space="preserve">Geoff Nichol has served as a member of our Board since June 2021, and served as a member of the board of our legacy company December 2019 until June 2021. Dr. Nichol has nearly 30 years experience in drug development. Dr. Nichol has served as SVP, Development at AbCellera Biologics, a monoclonal antibody discovery and development company since May 2023. From November 2016 to October 2021, Mr. Nichol served as Chief Medical Officer at BioMarin Pharmaceutical Inc., where he managed an active portfolio of clinical development programs. In October 2021, Dr. Nichol transitioned into a Senior Advisor role until his retirement from Biomarin in April 2022. Prior to Biomarin, Dr. Nichol was Executive Vice President, Research and Development at Sangamo BioSciences, where he managed the preclinical development of several IND candidates and Senior Vice President of Development at Medarex, where he was responsible for a portfolio of clinical development programs. Prior to joining Medarex, Dr. Nichol was Vice President at Novartis, where he managed a clinical development therapeutic area, United States Medical Affairs, and Global Project and Portfolio Management. Before Novartis, Dr. Nichol held various positions up to Group Medical Director, Clinical Development at SmithKline Beecham, where he was responsible for anti-infective development and medical affairs. Dr. Nichol received a B.Med.Sc., M.B., Ch.B., or the equivalent of an M.D. in the United States, from Otago University Medical School in New Zealand and an M.B.A. from Warwick University in the United Kingdom. Mr. Nichols financial and business expertise, including his background as an executive officer of pharmaceutical and biotechnology companies, provides him with the qualifications and skills to serve as a member of our Board.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CONTINUING UN OFFICE UNTIL THE 2026 ANNUAL MEETING OF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Christine Pellizzari </w:t>
      </w:r>
    </w:p>
    <w:p>
      <w:pPr>
        <w:pStyle w:val="TextBody"/>
        <w:bidi w:val="0"/>
        <w:spacing w:before="120" w:after="0"/>
        <w:jc w:val="left"/>
        <w:rPr>
          <w:rFonts w:ascii="Times New Roman" w:hAnsi="Times New Roman"/>
          <w:sz w:val="20"/>
        </w:rPr>
      </w:pPr>
      <w:r>
        <w:rPr>
          <w:rFonts w:ascii="Times New Roman" w:hAnsi="Times New Roman"/>
          <w:sz w:val="20"/>
        </w:rPr>
        <w:t xml:space="preserve">Christine Pellizzari has served as a member of our Board since July 2021. Ms. Pellizzari has served as the Chief Legal and Human Resources Officer of Science 37 Holdings, Inc. (Science 37) since July 2021. Ms. Pellizzari has served as a director and member of audit committee of Imunon, Inc. (formerly Celsion Corporation) since June 2021 and a director and member of the audit and compensation committees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Neurosense Therapeutics Ltd. since December 2021. Ms. Pellizzari served as Chief Legal Officer of Insmed, Inc. from 2018 to 2021 and prior to that as the General Counsel and Corporate Secretary from 2013 to 2018. Prior to joining Insmed, Ms. Pellizzari held various legal positions of increasing responsibility at Aegerion Pharmaceuticals, Inc., most recently as Executive Vice President, General Counsel and Secretary. Prior to Aegerion, 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 </w:t>
      </w:r>
    </w:p>
    <w:p>
      <w:pPr>
        <w:pStyle w:val="TextBody"/>
        <w:bidi w:val="0"/>
        <w:spacing w:before="480" w:after="0"/>
        <w:jc w:val="center"/>
        <w:rPr>
          <w:rFonts w:ascii="Times New Roman" w:hAnsi="Times New Roman"/>
          <w:b/>
          <w:sz w:val="20"/>
        </w:rPr>
      </w:pPr>
      <w:bookmarkStart w:id="6" w:name="toc240250_4"/>
      <w:bookmarkEnd w:id="6"/>
      <w:r>
        <w:rPr>
          <w:rFonts w:ascii="Times New Roman" w:hAnsi="Times New Roman"/>
          <w:b/>
          <w:sz w:val="20"/>
        </w:rPr>
        <w:t xml:space="preserve">INFORMATION REGARDING THE BOARD OF DIRECTORS AND 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Board Diversity Matrix, below, provides the diversity statistics for our Board as of the date of this Proxy Statement. Our previous years disclosure can be found in our definitive proxy statement filed with the SEC on May 1, 2023.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931"/>
        <w:gridCol w:w="294"/>
        <w:gridCol w:w="246"/>
        <w:gridCol w:w="559"/>
        <w:gridCol w:w="60"/>
        <w:gridCol w:w="294"/>
        <w:gridCol w:w="159"/>
        <w:gridCol w:w="373"/>
        <w:gridCol w:w="60"/>
        <w:gridCol w:w="294"/>
        <w:gridCol w:w="238"/>
        <w:gridCol w:w="541"/>
        <w:gridCol w:w="60"/>
        <w:gridCol w:w="294"/>
        <w:gridCol w:w="266"/>
        <w:gridCol w:w="652"/>
        <w:gridCol w:w="67"/>
      </w:tblGrid>
      <w:tr>
        <w:trPr/>
        <w:tc>
          <w:tcPr>
            <w:tcW w:w="4931"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9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Number of Directors</w:t>
            </w:r>
          </w:p>
        </w:tc>
        <w:tc>
          <w:tcPr>
            <w:tcW w:w="294" w:type="dxa"/>
            <w:tcBorders/>
            <w:vAlign w:val="bottom"/>
          </w:tcPr>
          <w:p>
            <w:pPr>
              <w:pStyle w:val="TableContents"/>
              <w:bidi w:val="0"/>
              <w:spacing w:before="0" w:after="283"/>
              <w:jc w:val="left"/>
              <w:rPr/>
            </w:pPr>
            <w:r>
              <w:rPr/>
              <w:t>  </w:t>
            </w:r>
          </w:p>
        </w:tc>
        <w:tc>
          <w:tcPr>
            <w:tcW w:w="4096" w:type="dxa"/>
            <w:gridSpan w:val="14"/>
            <w:tcBorders>
              <w:bottom w:val="single" w:sz="8" w:space="0" w:color="000000"/>
            </w:tcBorders>
            <w:tcMar>
              <w:bottom w:w="28" w:type="dxa"/>
            </w:tcMar>
            <w:vAlign w:val="bottom"/>
          </w:tcPr>
          <w:p>
            <w:pPr>
              <w:pStyle w:val="TableContents"/>
              <w:bidi w:val="0"/>
              <w:spacing w:before="0" w:after="283"/>
              <w:jc w:val="center"/>
              <w:rPr/>
            </w:pPr>
            <w:r>
              <w:rPr/>
              <w:t>5</w:t>
            </w:r>
          </w:p>
        </w:tc>
        <w:tc>
          <w:tcPr>
            <w:tcW w:w="67" w:type="dxa"/>
            <w:tcBorders/>
            <w:vAlign w:val="bottom"/>
          </w:tcPr>
          <w:p>
            <w:pPr>
              <w:pStyle w:val="TableContents"/>
              <w:bidi w:val="0"/>
              <w:spacing w:before="0" w:after="283"/>
              <w:jc w:val="left"/>
              <w:rPr/>
            </w:pPr>
            <w:r>
              <w:rPr/>
              <w:t> </w:t>
            </w:r>
          </w:p>
        </w:tc>
      </w:tr>
      <w:tr>
        <w:trPr/>
        <w:tc>
          <w:tcPr>
            <w:tcW w:w="4931"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Female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Male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w:t>
              <w:br/>
              <w:t>Binary</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Did Not</w:t>
              <w:br/>
              <w:t>Disclose</w:t>
              <w:br/>
              <w:t>Gender</w:t>
            </w:r>
          </w:p>
        </w:tc>
        <w:tc>
          <w:tcPr>
            <w:tcW w:w="67" w:type="dxa"/>
            <w:tcBorders/>
            <w:vAlign w:val="bottom"/>
          </w:tcPr>
          <w:p>
            <w:pPr>
              <w:pStyle w:val="TableContents"/>
              <w:bidi w:val="0"/>
              <w:spacing w:before="0" w:after="283"/>
              <w:jc w:val="left"/>
              <w:rPr/>
            </w:pPr>
            <w:r>
              <w:rPr/>
              <w:t> </w:t>
            </w:r>
          </w:p>
        </w:tc>
      </w:tr>
      <w:tr>
        <w:trPr/>
        <w:tc>
          <w:tcPr>
            <w:tcW w:w="9321" w:type="dxa"/>
            <w:gridSpan w:val="1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 Gender Identity</w:t>
            </w:r>
          </w:p>
        </w:tc>
        <w:tc>
          <w:tcPr>
            <w:tcW w:w="67" w:type="dxa"/>
            <w:tcBorders/>
            <w:shd w:fill="CCEEFF" w:val="clear"/>
          </w:tcPr>
          <w:p>
            <w:pPr>
              <w:pStyle w:val="TableContents"/>
              <w:bidi w:val="0"/>
              <w:spacing w:before="0" w:after="0"/>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29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9321" w:type="dxa"/>
            <w:gridSpan w:val="1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II: Demographic Background</w:t>
            </w:r>
          </w:p>
        </w:tc>
        <w:tc>
          <w:tcPr>
            <w:tcW w:w="67" w:type="dxa"/>
            <w:tcBorders/>
            <w:shd w:fill="CCEEFF" w:val="clear"/>
          </w:tcPr>
          <w:p>
            <w:pPr>
              <w:pStyle w:val="TableContents"/>
              <w:bidi w:val="0"/>
              <w:spacing w:before="0" w:after="0"/>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29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Alaskan Native or Native American</w:t>
            </w:r>
          </w:p>
        </w:tc>
        <w:tc>
          <w:tcPr>
            <w:tcW w:w="29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29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29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29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29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29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294"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Did Not Disclose Demographic Background</w:t>
            </w:r>
          </w:p>
        </w:tc>
        <w:tc>
          <w:tcPr>
            <w:tcW w:w="294"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OF DIRECTORS; EXECUTIVE SESSIONS </w:t>
      </w:r>
    </w:p>
    <w:p>
      <w:pPr>
        <w:pStyle w:val="TextBody"/>
        <w:bidi w:val="0"/>
        <w:spacing w:before="120" w:after="0"/>
        <w:jc w:val="left"/>
        <w:rPr>
          <w:rFonts w:ascii="Times New Roman" w:hAnsi="Times New Roman"/>
          <w:sz w:val="20"/>
        </w:rPr>
      </w:pPr>
      <w:r>
        <w:rPr>
          <w:rFonts w:ascii="Times New Roman" w:hAnsi="Times New Roman"/>
          <w:sz w:val="20"/>
        </w:rPr>
        <w:t>As required under the Nasdaq Capital Market (</w:t>
      </w:r>
      <w:r>
        <w:rPr>
          <w:rFonts w:ascii="Times New Roman" w:hAnsi="Times New Roman"/>
          <w:b/>
          <w:i/>
          <w:sz w:val="20"/>
        </w:rPr>
        <w:t>Nasdaq</w:t>
      </w:r>
      <w:r>
        <w:rPr>
          <w:rFonts w:ascii="Times New Roman" w:hAnsi="Times New Roman"/>
          <w:sz w:val="20"/>
        </w:rPr>
        <w:t>)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w:t>
      </w:r>
      <w:r>
        <w:rPr>
          <w:rFonts w:ascii="Times New Roman" w:hAnsi="Times New Roman"/>
          <w:b/>
          <w:i/>
          <w:sz w:val="20"/>
        </w:rPr>
        <w:t>Exchange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Chief Executive Officer and President, qualify as independent directors within the meaning of the Nasdaq rules. Accordingly, a majority of our directors are independent, as required under applicable Nasdaq rules. The Board also determined that each member of our Audit,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Nominating and Corporate Governance Committees satisfies the independence standards for such committees established by the SEC and the Nasdaq listing standards,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directors have been meeting, and we anticipate that they will continue to meet, in regularly scheduled executive sessions at which only non-employee directors are present.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specify that our Board will select our Chief Executive Officer and Chairperson of the Board in the manner that it determines to be in the best interests of the Company and our stockholders. The Board will conduct an annual assessment of its leadership structure to determine that the leadership structure is the most appropriate for the Company at the time. The 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the Company, may serve on the Board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charter, the Nominating and Corporate Governance Committee periodically reviews this matter and makes recommendations to the Board. The Nominating and Corporate Governance Committee has recommended, and the Board has determined, that the roles of Chief Executive Officer and Chairperson of the Board should be separate. The role of Chairperson is currently held by Michael Raab, an independent, non-employee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litigation and risk exposures (including with respect to financial cybersecurity, data privacy and other information technology risks) and the steps taken by management to monitor and control these exposures. Our Compensation Committee assesses and monitors whether any of our compensation policies and programs has the potential to encourage excessive risk-taking, including risks related to our practices and policies of employee compensation as they relate to risk management and risk-taking incentives, to determine whether such compensation policies and practices are reasonably likely to have a material adverse effect on us, including whether our incentive compensation plans encourage excessive or inappropriate risk 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met seven times during the last fiscal year. Each Board member attended 75% or more of the aggregate number of meetings of the Board on which she or he served, held during the portion of the last fiscal year for which she or he was a director. In addition, we encourage each of our directors to attend our Annual Meetings of Stockholders. All of the directors serving at the time attended the 2023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REGARDING 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three standing committees: Audit, Compensation, and Nominating and Corporate Governance. Our Board has also established a Science &amp; Technology Committee. Our Board may establish other committees to facilitate the management of our business. Our Board has adopted a written charter for each of the standing committees, which are available to stockholders on our investor relations website at ir.tempesttx.com.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membership and meeting information for the fiscal year ended December 31, 2023 for each committee. Each Board member attended 75% or more of the aggregate number of meetings of each standing committee on which she or he served, held during the portion of the last fiscal year for which she or he was a committee member.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57"/>
        <w:gridCol w:w="419"/>
        <w:gridCol w:w="259"/>
        <w:gridCol w:w="880"/>
        <w:gridCol w:w="60"/>
        <w:gridCol w:w="419"/>
        <w:gridCol w:w="342"/>
        <w:gridCol w:w="1152"/>
        <w:gridCol w:w="350"/>
        <w:gridCol w:w="333"/>
        <w:gridCol w:w="287"/>
        <w:gridCol w:w="971"/>
        <w:gridCol w:w="60"/>
        <w:gridCol w:w="418"/>
        <w:gridCol w:w="277"/>
        <w:gridCol w:w="936"/>
        <w:gridCol w:w="68"/>
      </w:tblGrid>
      <w:tr>
        <w:trPr/>
        <w:tc>
          <w:tcPr>
            <w:tcW w:w="2157"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1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419"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Audit</w:t>
              <w:br/>
              <w:t>Committee</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Compensation</w:t>
              <w:br/>
              <w:t>Committee</w:t>
            </w:r>
          </w:p>
        </w:tc>
        <w:tc>
          <w:tcPr>
            <w:tcW w:w="35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Nominating</w:t>
              <w:br/>
              <w:t>and</w:t>
              <w:br/>
              <w:t>Corporate</w:t>
              <w:br/>
              <w:t>Governance</w:t>
              <w:br/>
              <w:t>Committee</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Science &amp;</w:t>
              <w:br/>
              <w:t>Technology</w:t>
              <w:br/>
              <w:t>Committee</w:t>
            </w:r>
          </w:p>
        </w:tc>
        <w:tc>
          <w:tcPr>
            <w:tcW w:w="68" w:type="dxa"/>
            <w:tcBorders/>
            <w:vAlign w:val="bottom"/>
          </w:tcPr>
          <w:p>
            <w:pPr>
              <w:pStyle w:val="TableContents"/>
              <w:bidi w:val="0"/>
              <w:spacing w:before="0" w:after="283"/>
              <w:jc w:val="left"/>
              <w:rPr/>
            </w:pPr>
            <w:r>
              <w:rPr/>
              <w:t> </w:t>
            </w:r>
          </w:p>
        </w:tc>
      </w:tr>
      <w:tr>
        <w:trPr/>
        <w:tc>
          <w:tcPr>
            <w:tcW w:w="2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41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drawing>
                <wp:inline distT="0" distB="0" distL="0" distR="0">
                  <wp:extent cx="89535" cy="1498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535" cy="149860"/>
                          </a:xfrm>
                          <a:prstGeom prst="rect">
                            <a:avLst/>
                          </a:prstGeom>
                        </pic:spPr>
                      </pic:pic>
                    </a:graphicData>
                  </a:graphic>
                </wp:inline>
              </w:drawing>
            </w:r>
            <w:r>
              <w:rPr/>
              <w:t xml:space="preserve"> </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drawing>
                <wp:inline distT="0" distB="0" distL="0" distR="0">
                  <wp:extent cx="89535" cy="1498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9535" cy="149860"/>
                          </a:xfrm>
                          <a:prstGeom prst="rect">
                            <a:avLst/>
                          </a:prstGeom>
                        </pic:spPr>
                      </pic:pic>
                    </a:graphicData>
                  </a:graphic>
                </wp:inline>
              </w:drawing>
            </w:r>
            <w:r>
              <w:rPr/>
              <w:t xml:space="preserve">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drawing>
                <wp:inline distT="0" distB="0" distL="0" distR="0">
                  <wp:extent cx="89535" cy="1498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9535" cy="149860"/>
                          </a:xfrm>
                          <a:prstGeom prst="rect">
                            <a:avLst/>
                          </a:prstGeom>
                        </pic:spPr>
                      </pic:pic>
                    </a:graphicData>
                  </a:graphic>
                </wp:inline>
              </w:drawing>
            </w:r>
            <w:r>
              <w:rPr/>
              <w:t xml:space="preserve"> </w:t>
            </w:r>
          </w:p>
        </w:tc>
        <w:tc>
          <w:tcPr>
            <w:tcW w:w="68" w:type="dxa"/>
            <w:tcBorders/>
            <w:shd w:fill="CCEEFF" w:val="clear"/>
            <w:vAlign w:val="bottom"/>
          </w:tcPr>
          <w:p>
            <w:pPr>
              <w:pStyle w:val="TableContents"/>
              <w:bidi w:val="0"/>
              <w:spacing w:before="0" w:after="283"/>
              <w:jc w:val="left"/>
              <w:rPr/>
            </w:pPr>
            <w:r>
              <w:rPr/>
              <w:t> </w:t>
            </w:r>
          </w:p>
        </w:tc>
      </w:tr>
      <w:tr>
        <w:trPr/>
        <w:tc>
          <w:tcPr>
            <w:tcW w:w="21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Christine Pellizzari </w:t>
            </w:r>
            <w:r>
              <w:rPr>
                <w:rFonts w:ascii="Times New Roman" w:hAnsi="Times New Roman"/>
                <w:sz w:val="20"/>
              </w:rPr>
              <w:drawing>
                <wp:inline distT="0" distB="0" distL="0" distR="0">
                  <wp:extent cx="86995"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6995" cy="104775"/>
                          </a:xfrm>
                          <a:prstGeom prst="rect">
                            <a:avLst/>
                          </a:prstGeom>
                        </pic:spPr>
                      </pic:pic>
                    </a:graphicData>
                  </a:graphic>
                </wp:inline>
              </w:drawing>
            </w:r>
            <w:r>
              <w:rPr>
                <w:rFonts w:ascii="Times New Roman" w:hAnsi="Times New Roman"/>
                <w:sz w:val="20"/>
              </w:rPr>
              <w:t xml:space="preserve"> </w:t>
            </w:r>
          </w:p>
        </w:tc>
        <w:tc>
          <w:tcPr>
            <w:tcW w:w="41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drawing>
                <wp:inline distT="0" distB="0" distL="0" distR="0">
                  <wp:extent cx="88900" cy="149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8900" cy="149225"/>
                          </a:xfrm>
                          <a:prstGeom prst="rect">
                            <a:avLst/>
                          </a:prstGeom>
                        </pic:spPr>
                      </pic:pic>
                    </a:graphicData>
                  </a:graphic>
                </wp:inline>
              </w:drawing>
            </w:r>
            <w:r>
              <w:rPr/>
              <w:t xml:space="preserve"> </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drawing>
                <wp:inline distT="0" distB="0" distL="0" distR="0">
                  <wp:extent cx="89535" cy="1498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9535" cy="149860"/>
                          </a:xfrm>
                          <a:prstGeom prst="rect">
                            <a:avLst/>
                          </a:prstGeom>
                        </pic:spPr>
                      </pic:pic>
                    </a:graphicData>
                  </a:graphic>
                </wp:inline>
              </w:drawing>
            </w:r>
            <w:r>
              <w:rPr/>
              <w:t xml:space="preserve"> </w:t>
            </w:r>
          </w:p>
        </w:tc>
        <w:tc>
          <w:tcPr>
            <w:tcW w:w="350" w:type="dxa"/>
            <w:tcBorders/>
            <w:vAlign w:val="bottom"/>
          </w:tcPr>
          <w:p>
            <w:pPr>
              <w:pStyle w:val="TableContents"/>
              <w:bidi w:val="0"/>
              <w:spacing w:before="0" w:after="283"/>
              <w:jc w:val="left"/>
              <w:rPr/>
            </w:pPr>
            <w:r>
              <w:rPr/>
              <w:t>(1) </w:t>
            </w:r>
          </w:p>
        </w:tc>
        <w:tc>
          <w:tcPr>
            <w:tcW w:w="33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41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drawing>
                <wp:inline distT="0" distB="0" distL="0" distR="0">
                  <wp:extent cx="89535" cy="1498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9535" cy="149860"/>
                          </a:xfrm>
                          <a:prstGeom prst="rect">
                            <a:avLst/>
                          </a:prstGeom>
                        </pic:spPr>
                      </pic:pic>
                    </a:graphicData>
                  </a:graphic>
                </wp:inline>
              </w:drawing>
            </w:r>
            <w:r>
              <w:rPr/>
              <w:t xml:space="preserve"> </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drawing>
                <wp:inline distT="0" distB="0" distL="0" distR="0">
                  <wp:extent cx="88900" cy="149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8900" cy="149225"/>
                          </a:xfrm>
                          <a:prstGeom prst="rect">
                            <a:avLst/>
                          </a:prstGeom>
                        </pic:spPr>
                      </pic:pic>
                    </a:graphicData>
                  </a:graphic>
                </wp:inline>
              </w:drawing>
            </w:r>
            <w:r>
              <w:rPr/>
              <w:t xml:space="preserve"> </w:t>
            </w:r>
          </w:p>
        </w:tc>
        <w:tc>
          <w:tcPr>
            <w:tcW w:w="350" w:type="dxa"/>
            <w:tcBorders/>
            <w:shd w:fill="CCEEFF" w:val="clear"/>
            <w:vAlign w:val="bottom"/>
          </w:tcPr>
          <w:p>
            <w:pPr>
              <w:pStyle w:val="TableContents"/>
              <w:bidi w:val="0"/>
              <w:spacing w:before="0" w:after="283"/>
              <w:jc w:val="left"/>
              <w:rPr/>
            </w:pPr>
            <w:r>
              <w:rPr/>
              <w:t>(1) </w:t>
            </w:r>
          </w:p>
        </w:tc>
        <w:tc>
          <w:tcPr>
            <w:tcW w:w="33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drawing>
                <wp:inline distT="0" distB="0" distL="0" distR="0">
                  <wp:extent cx="88900" cy="149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8900" cy="149225"/>
                          </a:xfrm>
                          <a:prstGeom prst="rect">
                            <a:avLst/>
                          </a:prstGeom>
                        </pic:spPr>
                      </pic:pic>
                    </a:graphicData>
                  </a:graphic>
                </wp:inline>
              </w:drawing>
            </w:r>
            <w:r>
              <w:rPr/>
              <w:t xml:space="preserve">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157" w:type="dxa"/>
            <w:tcBorders/>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419"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8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drawing>
                <wp:inline distT="0" distB="0" distL="0" distR="0">
                  <wp:extent cx="88900" cy="149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8900" cy="149225"/>
                          </a:xfrm>
                          <a:prstGeom prst="rect">
                            <a:avLst/>
                          </a:prstGeom>
                        </pic:spPr>
                      </pic:pic>
                    </a:graphicData>
                  </a:graphic>
                </wp:inline>
              </w:drawing>
            </w:r>
            <w:r>
              <w:rPr/>
              <w:t xml:space="preserve"> </w:t>
            </w:r>
          </w:p>
        </w:tc>
        <w:tc>
          <w:tcPr>
            <w:tcW w:w="68" w:type="dxa"/>
            <w:tcBorders/>
            <w:vAlign w:val="bottom"/>
          </w:tcPr>
          <w:p>
            <w:pPr>
              <w:pStyle w:val="TableContents"/>
              <w:bidi w:val="0"/>
              <w:spacing w:before="0" w:after="283"/>
              <w:jc w:val="left"/>
              <w:rPr/>
            </w:pPr>
            <w:r>
              <w:rPr/>
              <w:t> </w:t>
            </w:r>
          </w:p>
        </w:tc>
      </w:tr>
      <w:tr>
        <w:trPr/>
        <w:tc>
          <w:tcPr>
            <w:tcW w:w="21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meetings in 2023</w:t>
            </w:r>
          </w:p>
        </w:tc>
        <w:tc>
          <w:tcPr>
            <w:tcW w:w="419"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drawing>
                <wp:inline distT="0" distB="0" distL="0" distR="0">
                  <wp:extent cx="88900" cy="149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8900" cy="149225"/>
                          </a:xfrm>
                          <a:prstGeom prst="rect">
                            <a:avLst/>
                          </a:prstGeom>
                        </pic:spPr>
                      </pic:pic>
                    </a:graphicData>
                  </a:graphic>
                </wp:inline>
              </w:drawing>
            </w:r>
            <w:r>
              <w:rPr/>
              <w:t xml:space="preserve">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Committee Chair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drawing>
                <wp:inline distT="0" distB="0" distL="0" distR="0">
                  <wp:extent cx="89535" cy="1498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9535" cy="149860"/>
                          </a:xfrm>
                          <a:prstGeom prst="rect">
                            <a:avLst/>
                          </a:prstGeom>
                        </pic:spPr>
                      </pic:pic>
                    </a:graphicData>
                  </a:graphic>
                </wp:inline>
              </w:drawing>
            </w:r>
            <w:r>
              <w:rPr/>
              <w:t xml:space="preserve">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Committee Member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drawing>
                <wp:inline distT="0" distB="0" distL="0" distR="0">
                  <wp:extent cx="86995"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6995" cy="104775"/>
                          </a:xfrm>
                          <a:prstGeom prst="rect">
                            <a:avLst/>
                          </a:prstGeom>
                        </pic:spPr>
                      </pic:pic>
                    </a:graphicData>
                  </a:graphic>
                </wp:inline>
              </w:drawing>
            </w:r>
            <w:r>
              <w:rPr/>
              <w:t xml:space="preserve">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Expert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Chair of the Board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Pellizzari was appointed as a member and Mr. Raab was appointed as the chair of the Compensation Committee in March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standing committees has authority to engage legal counsel or other experts or consultants, as it deems appropriate to carry out its responsibilities. Our Board has determined that each member of our standing committees meets the Nasdaq and SEC rules and regulations regarding independence, as applicable, and each member is free of any relationship that would impair his or her individual exercise of independent judgment with regard to the company. The Nominating and Corporate Governance Committee periodically reviews the performance of the Board, including Board committees, and management, and makes recommendations to the Board and management, as applicable, for areas of improvement as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each committee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Geoff Nichol, Christine Pellizzari and Michael Raab, served as members of the Audit Committee during 2023 with Ms. Pellizzaris serving as Chair. The Board determined that each member of the Audit Committee satisfies the independence requirements under Nasdaq listing standards and Rule 10A-3(b)(1) of the Exchange Act.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discharge the responsibilities of the Board with respect to the corporate accounting and financial reporting processes, systems of internal control and financial statement audits, and to oversee the independent registered public accounting firm. Specific responsibilities of the Audit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helping the Board oversee corporate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selection, engagement, qualifications, independence and performance of a qualified firm to serve as the independent registered public accounting firm to audit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the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policies on risk assessment and risk management, including with respect to cybersecurity, data privacy and other information technology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 report by the independent registered public accounting firm at least annually that describes internal quality control procedures, any material issues with such procedures and any steps taken to deal with such issues when required by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the independent registered public accounting firm.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 of the Audit Committee of the Board of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 </w:t>
      </w:r>
    </w:p>
    <w:p>
      <w:pPr>
        <w:pStyle w:val="TextBody"/>
        <w:bidi w:val="0"/>
        <w:spacing w:before="240" w:after="0"/>
        <w:jc w:val="left"/>
        <w:rPr>
          <w:rFonts w:ascii="Times New Roman" w:hAnsi="Times New Roman"/>
          <w:sz w:val="20"/>
        </w:rPr>
      </w:pPr>
      <w:r>
        <w:rPr>
          <w:rFonts w:ascii="Times New Roman" w:hAnsi="Times New Roman"/>
          <w:sz w:val="20"/>
        </w:rPr>
        <w:t>The Audit Committee has reviewed and discussed the audited financial statements for the fiscal year ended December 31, 2023 with management of the Company. The Audit Committee has discussed with the independent registered public accounting firm the matters required to be discussed by the applicable requirements of the Public Company Accounting Oversight Board (</w:t>
      </w:r>
      <w:r>
        <w:rPr>
          <w:rFonts w:ascii="Times New Roman" w:hAnsi="Times New Roman"/>
          <w:b/>
          <w:i/>
          <w:sz w:val="20"/>
        </w:rPr>
        <w:t>PCAOB</w:t>
      </w:r>
      <w:r>
        <w:rPr>
          <w:rFonts w:ascii="Times New Roman" w:hAnsi="Times New Roman"/>
          <w:sz w:val="20"/>
        </w:rPr>
        <w:t xml:space="preserve">)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of Directors that the audited consolidated financial statements be included in the Companys Annual Report on Form 10-K for the fiscal year ended December 31, 2023. </w:t>
      </w:r>
    </w:p>
    <w:p>
      <w:pPr>
        <w:pStyle w:val="TextBody"/>
        <w:bidi w:val="0"/>
        <w:spacing w:before="240" w:after="0"/>
        <w:jc w:val="left"/>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Christine Pellizzari (Chair) </w:t>
      </w:r>
    </w:p>
    <w:p>
      <w:pPr>
        <w:pStyle w:val="TextBody"/>
        <w:bidi w:val="0"/>
        <w:spacing w:before="0" w:after="0"/>
        <w:jc w:val="left"/>
        <w:rPr>
          <w:rFonts w:ascii="Times New Roman" w:hAnsi="Times New Roman"/>
          <w:sz w:val="20"/>
        </w:rPr>
      </w:pPr>
      <w:r>
        <w:rPr>
          <w:rFonts w:ascii="Times New Roman" w:hAnsi="Times New Roman"/>
          <w:sz w:val="20"/>
        </w:rPr>
        <w:t xml:space="preserve">Michael Raab </w:t>
      </w:r>
    </w:p>
    <w:p>
      <w:pPr>
        <w:pStyle w:val="TextBody"/>
        <w:bidi w:val="0"/>
        <w:spacing w:before="0" w:after="0"/>
        <w:jc w:val="left"/>
        <w:rPr>
          <w:rFonts w:ascii="Times New Roman" w:hAnsi="Times New Roman"/>
          <w:sz w:val="20"/>
        </w:rPr>
      </w:pPr>
      <w:r>
        <w:rPr>
          <w:rFonts w:ascii="Times New Roman" w:hAnsi="Times New Roman"/>
          <w:sz w:val="20"/>
        </w:rPr>
        <w:t xml:space="preserve">Geoff Nichol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Michael Raab and Christine Pellizzari served as members of the Compensation Committee during 2023, with Mr. Raabs as Chair. Ms. Pellizzari was appointed as a member and Mr. Raab was appointed as Chair of the Compensation Committee in March 2023, each in connection with the resignation of our former director, Dr. Thomas Woiwode, from our Board. The Board determined that each member of the Compensation Committee is independent under the Nasdaq listing standards and a non-employee director as defined in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of our chief executive officer, other executive officers and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recommend to the Board for its approval the compensation to be paid to non-employee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of our equity compensation plans and other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adopting, amending and terminating incentive compensation and equity plans, severance agreements, profit sharing plans, bonus plans, change-of-control protections and any other compensatory arrangements for the executive officers and other senior management;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the employees, including the overall compensation philosophy.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Processes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Times New Roman" w:hAnsi="Times New Roman"/>
          <w:i/>
          <w:sz w:val="20"/>
        </w:rPr>
        <w:t>however</w:t>
      </w:r>
      <w:r>
        <w:rPr>
          <w:rFonts w:ascii="Times New Roman" w:hAnsi="Times New Roman"/>
          <w:sz w:val="20"/>
        </w:rPr>
        <w:t xml:space="preserve">, there is no requirement that any adviser be independent. </w:t>
      </w:r>
    </w:p>
    <w:p>
      <w:pPr>
        <w:pStyle w:val="TextBody"/>
        <w:bidi w:val="0"/>
        <w:spacing w:before="240" w:after="0"/>
        <w:jc w:val="left"/>
        <w:rPr>
          <w:rFonts w:ascii="Times New Roman" w:hAnsi="Times New Roman"/>
          <w:sz w:val="20"/>
        </w:rPr>
      </w:pPr>
      <w:r>
        <w:rPr>
          <w:rFonts w:ascii="Times New Roman" w:hAnsi="Times New Roman"/>
          <w:sz w:val="20"/>
        </w:rPr>
        <w:t>During the past fiscal year, after taking into consideration the six factors prescribed by the SEC and Nasdaq described above, the Compensation Committee engaged Alpine Rewards LLC and Pearl Meyer &amp; Partners, LLC as compensation consultants (together, the </w:t>
      </w:r>
      <w:r>
        <w:rPr>
          <w:rFonts w:ascii="Times New Roman" w:hAnsi="Times New Roman"/>
          <w:b/>
          <w:i/>
          <w:sz w:val="20"/>
        </w:rPr>
        <w:t>Compensation Consultants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part of its engagement, the Compensation Consultants were asked to develop a comparative group of companies and to perform analyses of competitive performance and compensation levels for that group. The Compensation Consultants ultimately developed recommendations that were presented to the Compensation Committee for its consideration.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bidi w:val="0"/>
        <w:spacing w:before="360" w:after="0"/>
        <w:jc w:val="left"/>
        <w:rPr>
          <w:rFonts w:ascii="Times New Roman" w:hAnsi="Times New Roman"/>
          <w:b/>
          <w:sz w:val="20"/>
        </w:rPr>
      </w:pPr>
      <w:r>
        <w:rPr>
          <w:rFonts w:ascii="Times New Roman" w:hAnsi="Times New Roman"/>
          <w:b/>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Geoff Nichol and Michael Raab served as members of the Nominating and Corporate Governance Committee during 2023, with Mr. Raab severing as Chair. The Board has determined that each member of the Nominating and Corporate Governance Committee is independent under the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the Nominating and Corporate Governance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candidates, including the nomination of incumbent directors for reelection and nominees recommended by stockholders, to serve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the Board regarding the composition and chairmanship of the committees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environmental, sustainability and governance efforts, progress and disclosures;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making recommendations to the Board regarding corporate governance guidelines and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evaluations of the performance of the board of directors, including its individual directors and committees.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believes that candidates for director should have certain minimum qualifications, including possessing relevant expertise upon which to be able to offer advice and guidance to management, having sufficient time to devote to the affairs of the Company, demonstrated excellence in his or her field, having the ability to exercise sound business judgment, be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by providing timely notice in writing to our Secretary. See Other Information for StockholdersStockholder Proposals for the 2025 Annual Meeting of Stockholders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Science &amp;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Geoff Nichol and Ronit Simantov served as members of the Science &amp; Technology Committee during 2023, with Dr. Simantovs serving as Chair. Specific responsibilities of the Science &amp; Technology Committee include reviewing our overall scientific, research and development strategies as well as our research and development programs.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wish to communicate with the Board may do so by sending written communications addressed to our Secretary at 2000 Sierra Point Parkway, Suite 400, Brisbane, California, 94005.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communications will be reviewed by the Secretary, who will determine whether the communication should be presented to the Board.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Business Conduct that applies to all officers, directors and employees. The Code of Business Conduct is available on our website at https://ir.tempesttx.com.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https://ir.tempesttx.com. </w:t>
      </w:r>
    </w:p>
    <w:p>
      <w:pPr>
        <w:pStyle w:val="TextBody"/>
        <w:bidi w:val="0"/>
        <w:spacing w:before="360" w:after="0"/>
        <w:jc w:val="left"/>
        <w:rPr>
          <w:rFonts w:ascii="Times New Roman" w:hAnsi="Times New Roman"/>
          <w:b/>
          <w:sz w:val="20"/>
        </w:rPr>
      </w:pPr>
      <w:r>
        <w:rPr>
          <w:rFonts w:ascii="Times New Roman" w:hAnsi="Times New Roman"/>
          <w:b/>
          <w:sz w:val="20"/>
        </w:rPr>
        <w:t xml:space="preserve">POLICY ON HEDGING AND PLEDGING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240250_5"/>
      <w:bookmarkEnd w:id="7"/>
      <w:r>
        <w:rPr>
          <w:rFonts w:ascii="Times New Roman" w:hAnsi="Times New Roman"/>
          <w:b/>
          <w:sz w:val="20"/>
        </w:rPr>
        <w:t xml:space="preserve">PROPOSAL 2 </w:t>
      </w:r>
    </w:p>
    <w:p>
      <w:pPr>
        <w:pStyle w:val="TextBody"/>
        <w:bidi w:val="0"/>
        <w:spacing w:before="0" w:after="0"/>
        <w:jc w:val="center"/>
        <w:rPr>
          <w:rFonts w:ascii="Times New Roman" w:hAnsi="Times New Roman"/>
          <w:b/>
          <w:sz w:val="20"/>
        </w:rPr>
      </w:pPr>
      <w:r>
        <w:rPr>
          <w:rFonts w:ascii="Times New Roman" w:hAnsi="Times New Roman"/>
          <w:b/>
          <w:sz w:val="20"/>
        </w:rPr>
        <w:t xml:space="preserve">ADVISORY VOTE ON NAMED EXECUTIVE OFFICER COMPENSATION </w:t>
      </w:r>
    </w:p>
    <w:p>
      <w:pPr>
        <w:pStyle w:val="TextBody"/>
        <w:bidi w:val="0"/>
        <w:spacing w:before="240" w:after="0"/>
        <w:jc w:val="left"/>
        <w:rPr>
          <w:rFonts w:ascii="Times New Roman" w:hAnsi="Times New Roman"/>
          <w:sz w:val="20"/>
        </w:rPr>
      </w:pPr>
      <w:r>
        <w:rPr>
          <w:rFonts w:ascii="Times New Roman" w:hAnsi="Times New Roman"/>
          <w:sz w:val="20"/>
        </w:rPr>
        <w:t>At the 2022 Annual Meeting of Stockholders, the stockholders indicated their preference that we solicit a non-binding advisory vote on the compensation of the named executive officers (each a </w:t>
      </w:r>
      <w:r>
        <w:rPr>
          <w:rFonts w:ascii="Times New Roman" w:hAnsi="Times New Roman"/>
          <w:b/>
          <w:i/>
          <w:sz w:val="20"/>
        </w:rPr>
        <w:t>Named Executive Officer</w:t>
      </w:r>
      <w:r>
        <w:rPr>
          <w:rFonts w:ascii="Times New Roman" w:hAnsi="Times New Roman"/>
          <w:sz w:val="20"/>
        </w:rPr>
        <w:t> and collectively, the </w:t>
      </w:r>
      <w:r>
        <w:rPr>
          <w:rFonts w:ascii="Times New Roman" w:hAnsi="Times New Roman"/>
          <w:b/>
          <w:i/>
          <w:sz w:val="20"/>
        </w:rPr>
        <w:t>Named Executive Officers</w:t>
      </w:r>
      <w:r>
        <w:rPr>
          <w:rFonts w:ascii="Times New Roman" w:hAnsi="Times New Roman"/>
          <w:sz w:val="20"/>
        </w:rPr>
        <w:t xml:space="preserve">), commonly referred to as a say-on-pay vote, every year. The Board has adopted a policy that is consistent with that preference. In accordance with that policy, this year, we are asking the stockholders to approve, on an advisory basis, the compensation of our named executive officers as disclosed in this proxy statement in accordance with SEC rules. </w:t>
      </w:r>
    </w:p>
    <w:p>
      <w:pPr>
        <w:pStyle w:val="TextBody"/>
        <w:bidi w:val="0"/>
        <w:spacing w:before="240" w:after="0"/>
        <w:jc w:val="left"/>
        <w:rPr>
          <w:rFonts w:ascii="Times New Roman" w:hAnsi="Times New Roman"/>
          <w:sz w:val="20"/>
        </w:rPr>
      </w:pPr>
      <w:r>
        <w:rPr>
          <w:rFonts w:ascii="Times New Roman" w:hAnsi="Times New Roman"/>
          <w:sz w:val="20"/>
        </w:rPr>
        <w:t xml:space="preserve">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We believe that our compensation policies and decisions are strongly aligned with our stockholders interests and consistent with current market practices. Compensation of our Named Executive Officers is designed to attract and retain talented and experienced executives to lead the Company successfully in a competitive environment. </w:t>
      </w:r>
    </w:p>
    <w:p>
      <w:pPr>
        <w:pStyle w:val="TextBody"/>
        <w:bidi w:val="0"/>
        <w:spacing w:before="240" w:after="0"/>
        <w:jc w:val="left"/>
        <w:rPr>
          <w:rFonts w:ascii="Times New Roman" w:hAnsi="Times New Roman"/>
          <w:sz w:val="20"/>
        </w:rPr>
      </w:pPr>
      <w:r>
        <w:rPr>
          <w:rFonts w:ascii="Times New Roman" w:hAnsi="Times New Roman"/>
          <w:sz w:val="20"/>
        </w:rPr>
        <w:t>Accordingly, the Board is asking the stockholders to indicate their support for the compensation of the Companys Named Executive Officers as described in this proxy statement by casting a non-binding advisory vote </w:t>
      </w:r>
      <w:r>
        <w:rPr>
          <w:rFonts w:ascii="Times New Roman" w:hAnsi="Times New Roman"/>
          <w:b/>
          <w:i/>
          <w:sz w:val="20"/>
        </w:rPr>
        <w:t>For</w:t>
      </w:r>
      <w:r>
        <w:rPr>
          <w:rFonts w:ascii="Times New Roman" w:hAnsi="Times New Roman"/>
          <w:sz w:val="20"/>
        </w:rPr>
        <w:t xml:space="preserve"> the following resolution: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that the compensation paid to the Companys named executive officers, as disclosed pursuant to Item 402 of Regulation S-K, including the compensation tables and narrative discussion, is hereby APPROVED. </w:t>
      </w:r>
    </w:p>
    <w:p>
      <w:pPr>
        <w:pStyle w:val="TextBody"/>
        <w:bidi w:val="0"/>
        <w:spacing w:before="240" w:after="0"/>
        <w:jc w:val="left"/>
        <w:rPr>
          <w:rFonts w:ascii="Times New Roman" w:hAnsi="Times New Roman"/>
          <w:sz w:val="20"/>
        </w:rPr>
      </w:pPr>
      <w:r>
        <w:rPr>
          <w:rFonts w:ascii="Times New Roman" w:hAnsi="Times New Roman"/>
          <w:sz w:val="20"/>
        </w:rPr>
        <w:t xml:space="preserve">The vote is advisory and therefore not binding on the Board or the Company.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Unless the Board decides to modify its policy regarding the frequency of soliciting say-on-pay votes on the compensation of our named executive officers, the next scheduled say-on-pay vote will be at the 2025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Advisory (non-binding) approval of our executive compensation requires the affirmative vote of the majority of the voting power of the votes cast by the holders of all the shares present or represented by proxy at the Annual Meeting and voting on such matter. Abstentions will be counted towards the vote total and will have the same effect as Against votes. Broker non-votes have no effect and will not be counted towards the vote total. </w:t>
      </w:r>
    </w:p>
    <w:p>
      <w:pPr>
        <w:pStyle w:val="TextBody"/>
        <w:bidi w:val="0"/>
        <w:spacing w:before="360" w:after="0"/>
        <w:jc w:val="left"/>
        <w:rPr>
          <w:rFonts w:ascii="Times New Roman" w:hAnsi="Times New Roman"/>
          <w:b/>
          <w:sz w:val="20"/>
        </w:rPr>
      </w:pPr>
      <w:r>
        <w:rPr>
          <w:rFonts w:ascii="Times New Roman" w:hAnsi="Times New Roman"/>
          <w:b/>
          <w:sz w:val="20"/>
        </w:rPr>
        <w:t xml:space="preserve">Our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PROPOSAL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240250_6"/>
      <w:bookmarkEnd w:id="8"/>
      <w:r>
        <w:rPr>
          <w:rFonts w:ascii="Times New Roman" w:hAnsi="Times New Roman"/>
          <w:b/>
          <w:sz w:val="20"/>
        </w:rPr>
        <w:t xml:space="preserve">PROPOSAL 3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The Audit Committee has selected Ernst &amp; Young LLP (</w:t>
      </w:r>
      <w:r>
        <w:rPr>
          <w:rFonts w:ascii="Times New Roman" w:hAnsi="Times New Roman"/>
          <w:b/>
          <w:i/>
          <w:sz w:val="20"/>
        </w:rPr>
        <w:t>Ernst</w:t>
      </w:r>
      <w:r>
        <w:rPr>
          <w:rFonts w:ascii="Times New Roman" w:hAnsi="Times New Roman"/>
          <w:sz w:val="20"/>
        </w:rPr>
        <w:t> </w:t>
      </w:r>
      <w:r>
        <w:rPr>
          <w:rFonts w:ascii="Times New Roman" w:hAnsi="Times New Roman"/>
          <w:b/>
          <w:i/>
          <w:sz w:val="20"/>
        </w:rPr>
        <w:t>&amp; Young</w:t>
      </w:r>
      <w:r>
        <w:rPr>
          <w:rFonts w:ascii="Times New Roman" w:hAnsi="Times New Roman"/>
          <w:sz w:val="20"/>
        </w:rPr>
        <w:t xml:space="preserve">) as our independent registered public accounting firm for the fiscal year ending December 31, 2024 and has further directed that management submit the selection of its independent registered public accounting firm for ratification by the stockholders at the Annual Meeting. Ernst &amp; Young has audited the financial statements of Tempest since 2021 and was the independent registered public accounting firm for our legacy company since 2016. Representatives of Ernst &amp; Young are expected to be present at the Annual Meeting. They will have an opportunity to make a statement if they so desire and will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Neither our third amended and restated bylaws (</w:t>
      </w:r>
      <w:r>
        <w:rPr>
          <w:rFonts w:ascii="Times New Roman" w:hAnsi="Times New Roman"/>
          <w:b/>
          <w:i/>
          <w:sz w:val="20"/>
        </w:rPr>
        <w:t>Bylaws</w:t>
      </w:r>
      <w:r>
        <w:rPr>
          <w:rFonts w:ascii="Times New Roman" w:hAnsi="Times New Roman"/>
          <w:sz w:val="20"/>
        </w:rPr>
        <w:t xml:space="preserve">)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Tempest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the Company for the fiscal years ended December 31, 2023 and 2022 by Ernst &amp; Young, the Companys independent registered public accountant. All fees described below were pre-approved by the Audit Committee.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50"/>
        <w:gridCol w:w="363"/>
        <w:gridCol w:w="142"/>
        <w:gridCol w:w="886"/>
        <w:gridCol w:w="60"/>
        <w:gridCol w:w="363"/>
        <w:gridCol w:w="142"/>
        <w:gridCol w:w="886"/>
        <w:gridCol w:w="63"/>
      </w:tblGrid>
      <w:tr>
        <w:trPr/>
        <w:tc>
          <w:tcPr>
            <w:tcW w:w="485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Year Ended</w:t>
            </w:r>
          </w:p>
        </w:tc>
        <w:tc>
          <w:tcPr>
            <w:tcW w:w="63"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2022(3)</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805,000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965,000</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Fees(2)</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805,000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965,000</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relate to the audit of our annual financial statements, review of interim financial statements and assistance with registration statements filed with the SEC.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fees represent services related to tax compliance and tax advisory services.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fees billed to the Company for the fiscal year ended December 31, 2022 have been updated to exclude fees that were pre-approved by the Audit Committee but were not ultimately billed.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voting power of the votes cast by the holders of all the shares present or represented by proxy at the Annual Meeting and voting on such matter will be required to ratify the selection of Ernst &amp; Young. Abstentions will be counted towards the vote total and will have the same effect as Against votes. </w:t>
      </w:r>
    </w:p>
    <w:p>
      <w:pPr>
        <w:pStyle w:val="TextBody"/>
        <w:bidi w:val="0"/>
        <w:spacing w:before="360" w:after="0"/>
        <w:jc w:val="left"/>
        <w:rPr>
          <w:rFonts w:ascii="Times New Roman" w:hAnsi="Times New Roman"/>
          <w:b/>
          <w:sz w:val="20"/>
        </w:rPr>
      </w:pPr>
      <w:r>
        <w:rPr>
          <w:rFonts w:ascii="Times New Roman" w:hAnsi="Times New Roman"/>
          <w:b/>
          <w:sz w:val="20"/>
        </w:rPr>
        <w:t xml:space="preserve">OUR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bidi w:val="0"/>
        <w:spacing w:before="0" w:after="0"/>
        <w:jc w:val="center"/>
        <w:rPr>
          <w:rFonts w:ascii="Times New Roman" w:hAnsi="Times New Roman"/>
          <w:b/>
          <w:sz w:val="20"/>
        </w:rPr>
      </w:pPr>
      <w:r>
        <w:rPr>
          <w:rFonts w:ascii="Times New Roman" w:hAnsi="Times New Roman"/>
          <w:b/>
          <w:sz w:val="20"/>
        </w:rPr>
        <w:t xml:space="preserve">A VOTE IN FAVOR OF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240250_7"/>
      <w:bookmarkEnd w:id="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our executive officers as of the date of this proxy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10"/>
        <w:gridCol w:w="178"/>
        <w:gridCol w:w="79"/>
        <w:gridCol w:w="354"/>
        <w:gridCol w:w="131"/>
        <w:gridCol w:w="432"/>
        <w:gridCol w:w="5321"/>
      </w:tblGrid>
      <w:tr>
        <w:trPr/>
        <w:tc>
          <w:tcPr>
            <w:tcW w:w="371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5321"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8" w:type="dxa"/>
            <w:tcBorders/>
            <w:vAlign w:val="bottom"/>
          </w:tcPr>
          <w:p>
            <w:pPr>
              <w:pStyle w:val="TableContents"/>
              <w:bidi w:val="0"/>
              <w:spacing w:before="0" w:after="283"/>
              <w:jc w:val="left"/>
              <w:rPr/>
            </w:pPr>
            <w:r>
              <w:rPr/>
              <w:t>  </w:t>
            </w:r>
          </w:p>
        </w:tc>
        <w:tc>
          <w:tcPr>
            <w:tcW w:w="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3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53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7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right"/>
              <w:rPr/>
            </w:pPr>
            <w:r>
              <w:rPr/>
              <w:t>54</w:t>
            </w:r>
          </w:p>
        </w:tc>
        <w:tc>
          <w:tcPr>
            <w:tcW w:w="131"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w:t>
            </w:r>
          </w:p>
        </w:tc>
      </w:tr>
      <w:tr>
        <w:trPr/>
        <w:tc>
          <w:tcPr>
            <w:tcW w:w="3710" w:type="dxa"/>
            <w:tcBorders/>
          </w:tcPr>
          <w:p>
            <w:pPr>
              <w:pStyle w:val="TableContents"/>
              <w:bidi w:val="0"/>
              <w:spacing w:before="0" w:after="0"/>
              <w:jc w:val="left"/>
              <w:rPr>
                <w:rFonts w:ascii="Times New Roman" w:hAnsi="Times New Roman"/>
                <w:sz w:val="20"/>
              </w:rPr>
            </w:pPr>
            <w:r>
              <w:rPr>
                <w:rFonts w:ascii="Times New Roman" w:hAnsi="Times New Roman"/>
                <w:sz w:val="20"/>
              </w:rPr>
              <w:t>Samuel Whiting</w:t>
            </w:r>
          </w:p>
        </w:tc>
        <w:tc>
          <w:tcPr>
            <w:tcW w:w="17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right"/>
              <w:rPr/>
            </w:pPr>
            <w:r>
              <w:rPr/>
              <w:t>58</w:t>
            </w:r>
          </w:p>
        </w:tc>
        <w:tc>
          <w:tcPr>
            <w:tcW w:w="13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5321"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Medical Officer</w:t>
            </w:r>
          </w:p>
        </w:tc>
      </w:tr>
      <w:tr>
        <w:trPr/>
        <w:tc>
          <w:tcPr>
            <w:tcW w:w="3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Nicholas Maestas</w:t>
            </w:r>
          </w:p>
        </w:tc>
        <w:tc>
          <w:tcPr>
            <w:tcW w:w="17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right"/>
              <w:rPr/>
            </w:pPr>
            <w:r>
              <w:rPr/>
              <w:t>44</w:t>
            </w:r>
          </w:p>
        </w:tc>
        <w:tc>
          <w:tcPr>
            <w:tcW w:w="131"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5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Vice President, Strategy and Finance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for Mr. Brady is included above with the director biographies under the caption Information Regarding Director Nominees and Continuing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SAMUEL WHITING, M.D., PH.D. </w:t>
      </w:r>
    </w:p>
    <w:p>
      <w:pPr>
        <w:pStyle w:val="TextBody"/>
        <w:bidi w:val="0"/>
        <w:spacing w:before="120" w:after="0"/>
        <w:jc w:val="left"/>
        <w:rPr>
          <w:rFonts w:ascii="Times New Roman" w:hAnsi="Times New Roman"/>
          <w:sz w:val="20"/>
        </w:rPr>
      </w:pPr>
      <w:r>
        <w:rPr>
          <w:rFonts w:ascii="Times New Roman" w:hAnsi="Times New Roman"/>
          <w:sz w:val="20"/>
        </w:rPr>
        <w:t xml:space="preserve">Dr. Whiting has served as our Executive Vice President and Chief Medical Officer since November 2020. Prior to joining us, Dr. Whiting served as Senior Vice President of Clinical Development at Calithera Biosciences, a clinical-stage biotech company focused on developing treatments for cancer and other life-threatening diseases, from January 2019 to November 2020, and as Vice President, Clinical Development, from May 2016 to December 2018. Before Calithera, Dr. Whiting served as Vice President of Research and Clinical Development at Gradalis and worked in development of small molecule targeted and immuno-oncology agents at VentiRx Pharmaceuticals and Oncothyreon. Prior to joining industry, Dr. Whiting served as Assistant Professor of Medical Oncology at the University of Washington, Assistant Member of Clinical Research at the Fred Hutchinson Cancer Research Center, and Clinical Head of Gastrointestinal Oncology at the Seattle Cancer Care Alliance. Dr. Whiting completed fellowship training in medical oncology at the Fred Hutchinson Cancer Research Center. His training in internal medicine was through the ABIM Research Pathway at the University of Washington. Dr. Whiting received his B.S. with Honors in Chemistry from Lewis and Clark College and his M.D. and Ph.D. in the Medical Scientist Training Program at the University of Washington. </w:t>
      </w:r>
    </w:p>
    <w:p>
      <w:pPr>
        <w:pStyle w:val="TextBody"/>
        <w:bidi w:val="0"/>
        <w:spacing w:before="360" w:after="0"/>
        <w:jc w:val="left"/>
        <w:rPr>
          <w:rFonts w:ascii="Times New Roman" w:hAnsi="Times New Roman"/>
          <w:b/>
          <w:sz w:val="20"/>
        </w:rPr>
      </w:pPr>
      <w:r>
        <w:rPr>
          <w:rFonts w:ascii="Times New Roman" w:hAnsi="Times New Roman"/>
          <w:b/>
          <w:sz w:val="20"/>
        </w:rPr>
        <w:t xml:space="preserve">NICHOLAS MAESTAS </w:t>
      </w:r>
    </w:p>
    <w:p>
      <w:pPr>
        <w:pStyle w:val="TextBody"/>
        <w:bidi w:val="0"/>
        <w:spacing w:before="120" w:after="0"/>
        <w:jc w:val="left"/>
        <w:rPr>
          <w:rFonts w:ascii="Times New Roman" w:hAnsi="Times New Roman"/>
          <w:sz w:val="20"/>
        </w:rPr>
      </w:pPr>
      <w:r>
        <w:rPr>
          <w:rFonts w:ascii="Times New Roman" w:hAnsi="Times New Roman"/>
          <w:sz w:val="20"/>
        </w:rPr>
        <w:t xml:space="preserve">Mr. Maestas has served as our Vice President, Strategy and Finance since July 2021 and as our Corporate Secretary since September 2022. Prior to joining us, Mr. Maestas served as the head of FP&amp;A and strategic finance at Alector, a biopharmaceutical company that develops therapies for the treatment of neurodegeneration diseases, from July 2019 to July 2021. Prior to joining Alector, from November 2014 to July 2019, Mr. Maestas served in a variety of roles at Immune Design, an oncology immunotherapy company that was acquired by Merck &amp; Co in 2019, including as Senior Director, Corporate Development &amp; Operations from January to July 2019 and Director, Corporate Development &amp; Operations from January 2017 to December 2018. Mr. Maestas received a B.A. in Molecular and Cell Biology from the University of California, Berkeley and an M.B.A from The Wharton School, University of Pennsylvania.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240250_8"/>
      <w:bookmarkEnd w:id="10"/>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each of the last two completed fiscal years regarding compensation awarded to or earned by the Named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1"/>
        <w:gridCol w:w="135"/>
        <w:gridCol w:w="60"/>
        <w:gridCol w:w="505"/>
        <w:gridCol w:w="60"/>
        <w:gridCol w:w="135"/>
        <w:gridCol w:w="60"/>
        <w:gridCol w:w="800"/>
        <w:gridCol w:w="60"/>
        <w:gridCol w:w="135"/>
        <w:gridCol w:w="60"/>
        <w:gridCol w:w="992"/>
        <w:gridCol w:w="60"/>
        <w:gridCol w:w="134"/>
        <w:gridCol w:w="103"/>
        <w:gridCol w:w="1399"/>
        <w:gridCol w:w="60"/>
        <w:gridCol w:w="135"/>
        <w:gridCol w:w="120"/>
        <w:gridCol w:w="1383"/>
        <w:gridCol w:w="60"/>
        <w:gridCol w:w="135"/>
        <w:gridCol w:w="60"/>
        <w:gridCol w:w="992"/>
        <w:gridCol w:w="71"/>
      </w:tblGrid>
      <w:tr>
        <w:trPr/>
        <w:tc>
          <w:tcPr>
            <w:tcW w:w="2491"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35" w:type="dxa"/>
            <w:tcBorders/>
            <w:vAlign w:val="bottom"/>
          </w:tcPr>
          <w:p>
            <w:pPr>
              <w:pStyle w:val="TableContents"/>
              <w:bidi w:val="0"/>
              <w:spacing w:before="0" w:after="283"/>
              <w:jc w:val="left"/>
              <w:rPr/>
            </w:pPr>
            <w:r>
              <w:rPr/>
              <w:t>  </w:t>
            </w:r>
          </w:p>
        </w:tc>
        <w:tc>
          <w:tcPr>
            <w:tcW w:w="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71"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567,000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6,084,172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343,035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13,200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7,007,407</w:t>
            </w:r>
          </w:p>
        </w:tc>
        <w:tc>
          <w:tcPr>
            <w:tcW w:w="71" w:type="dxa"/>
            <w:tcBorders/>
            <w:shd w:fill="CCEEFF" w:val="clear"/>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President</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530,000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773,416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198,750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12,200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1,514,366</w:t>
            </w:r>
          </w:p>
        </w:tc>
        <w:tc>
          <w:tcPr>
            <w:tcW w:w="71"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Samuel Whiting</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454,480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2,717,298</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199,971</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13,200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3,384,949</w:t>
            </w:r>
          </w:p>
        </w:tc>
        <w:tc>
          <w:tcPr>
            <w:tcW w:w="71" w:type="dxa"/>
            <w:tcBorders/>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437,000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242,173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142,025</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3" w:type="dxa"/>
            <w:tcBorders/>
            <w:vAlign w:val="bottom"/>
          </w:tcPr>
          <w:p>
            <w:pPr>
              <w:pStyle w:val="TableContents"/>
              <w:bidi w:val="0"/>
              <w:spacing w:before="0" w:after="283"/>
              <w:jc w:val="right"/>
              <w:rPr/>
            </w:pPr>
            <w:r>
              <w:rPr/>
              <w:t>12,200</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833,398</w:t>
            </w:r>
          </w:p>
        </w:tc>
        <w:tc>
          <w:tcPr>
            <w:tcW w:w="71"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Nicholas Maestas(4)</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351,488</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853,609</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113,355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83" w:type="dxa"/>
            <w:tcBorders/>
            <w:shd w:fill="CCEEFF" w:val="clear"/>
            <w:vAlign w:val="bottom"/>
          </w:tcPr>
          <w:p>
            <w:pPr>
              <w:pStyle w:val="TableContents"/>
              <w:bidi w:val="0"/>
              <w:spacing w:before="0" w:after="283"/>
              <w:jc w:val="right"/>
              <w:rPr/>
            </w:pPr>
            <w:r>
              <w:rPr/>
              <w:t>586</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1,319,038</w:t>
            </w:r>
          </w:p>
        </w:tc>
        <w:tc>
          <w:tcPr>
            <w:tcW w:w="71" w:type="dxa"/>
            <w:tcBorders/>
            <w:shd w:fill="CCEEFF" w:val="clear"/>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VP, Strategy and Finance</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3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r>
              <w:rPr>
                <w:rFonts w:ascii="Times New Roman" w:hAnsi="Times New Roman"/>
                <w:b/>
                <w:i/>
                <w:sz w:val="20"/>
              </w:rPr>
              <w:t>ASC 718</w:t>
            </w:r>
            <w:r>
              <w:rPr>
                <w:rFonts w:ascii="Times New Roman" w:hAnsi="Times New Roman"/>
                <w:sz w:val="20"/>
              </w:rPr>
              <w:t xml:space="preserve">). The assumptions used in calculating the grant date fair value of the options are set forth in the notes to our audited consolidated financial statements included in our Annual Report on Form 10-K for the fiscal year ended December 31, 2023. These amounts do not reflect the actual economic value that may be realized by the Named Executive Officers.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Narrative Disclosure to Summary Compensation TableEquity-Based Incentive Awards below for a description of the material terms of the program pursuant to which this compensation was awarded.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annual performance-based bonuses earned based on the achievement of company and individual performance goals and other factors deemed relevant by our Board and Compensation Committee. For additional information, see Narrative Disclosure to Summary Compensation TableAnnual Performance-Based Cash Compensation.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Maestas was not a Named Executive Officer for fiscal year 2022 and, as a result, his compensation for that year has been omitted pursuant to applicable to SEC rules and regulations.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Company matching contributions made by us to the Named Executive Officers 401(k) plan account.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the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None of our Named Executive Officers is currently party to an employment agreement or other agreement or arrangement that provides for automatic or scheduled increases in base salary. See Employment Arrangements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 award program is the primary vehicle for offering long-term incentives to our executives. We believe that equity awards provide our executives with a strong link to our long-term performance, create an ownership culture and help to align the interests of our executives and our stockholders. The use of options also can provide tax and other advantages relative to other forms of equity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award equity grants broadly to our employees, including to our non-executive employees. Grants to our executives, including the Named Executive Officers, and other employees are made at the discretion of the Board and are generally made upon commencement of employment, promotion or annually during the first quarter of each year. We believe that our equity awards are an important retention tool for our Named Executive Officers, as well as for our other employees. </w:t>
      </w:r>
    </w:p>
    <w:p>
      <w:pPr>
        <w:pStyle w:val="TextBody"/>
        <w:bidi w:val="0"/>
        <w:spacing w:before="240" w:after="0"/>
        <w:jc w:val="left"/>
        <w:rPr>
          <w:rFonts w:ascii="Times New Roman" w:hAnsi="Times New Roman"/>
          <w:sz w:val="20"/>
        </w:rPr>
      </w:pPr>
      <w:r>
        <w:rPr>
          <w:rFonts w:ascii="Times New Roman" w:hAnsi="Times New Roman"/>
          <w:sz w:val="20"/>
        </w:rPr>
        <w:t>In connection with our annual grant process, on January 3, 2023, our Compensation Committee approved the grant to each of Mr. Brady, Dr. Whiting and Mr. Maestas of an option to purchase 177,300, 69,700 and 38,425 shares of our common stock, respectively, at an exercise price of $1.23 per share, under our Amended and Restated 2019 Equity Incentive Plan (the </w:t>
      </w:r>
      <w:r>
        <w:rPr>
          <w:rFonts w:ascii="Times New Roman" w:hAnsi="Times New Roman"/>
          <w:b/>
          <w:i/>
          <w:sz w:val="20"/>
        </w:rPr>
        <w:t>2019 EIP</w:t>
      </w:r>
      <w:r>
        <w:rPr>
          <w:rFonts w:ascii="Times New Roman" w:hAnsi="Times New Roman"/>
          <w:sz w:val="20"/>
        </w:rPr>
        <w:t xml:space="preserve">). Each option vests in equal monthly installments over a four-year period, subject to the executives continuous service to us through each vesting date. See Outstanding Equity Awards at Fiscal Year End for further information. </w:t>
      </w:r>
    </w:p>
    <w:p>
      <w:pPr>
        <w:pStyle w:val="TextBody"/>
        <w:bidi w:val="0"/>
        <w:spacing w:before="240" w:after="0"/>
        <w:jc w:val="left"/>
        <w:rPr>
          <w:rFonts w:ascii="Times New Roman" w:hAnsi="Times New Roman"/>
          <w:sz w:val="20"/>
        </w:rPr>
      </w:pPr>
      <w:r>
        <w:rPr>
          <w:rFonts w:ascii="Times New Roman" w:hAnsi="Times New Roman"/>
          <w:sz w:val="20"/>
        </w:rPr>
        <w:t>In October 2023, to enhance motivation and address retention concerns as a result of the general economic pressures and stock volatility and to align our strategic priorities, the Compensation Committee granted retention awards to our employees, including the Named Executive Officers, in the form of stock option awards. Each of Mr. Brady, Dr. Whiting and Mr. Maestas received an option to purchase 725,000, 325,000 and 100,000 shares of our common stock, respectively, at an exercise price of $9.77 per share, under our Amended and Restated 2023 Equity Incentive Plan (the </w:t>
      </w:r>
      <w:r>
        <w:rPr>
          <w:rFonts w:ascii="Times New Roman" w:hAnsi="Times New Roman"/>
          <w:b/>
          <w:i/>
          <w:sz w:val="20"/>
        </w:rPr>
        <w:t>2023 EIP</w:t>
      </w:r>
      <w:r>
        <w:rPr>
          <w:rFonts w:ascii="Times New Roman" w:hAnsi="Times New Roman"/>
          <w:sz w:val="20"/>
        </w:rPr>
        <w:t xml:space="preserve">). One-fourth (1/4th) of each option vests on the first anniversary of the date of grant with the remainder of the award vesting in 36 equal monthly installments thereafter, subject to the executives continuous service to the Company through each vesting date. See Outstanding Equity Awards at Fiscal Year End for further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Performance-Based 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develop a performance-based bonus program annually. Under the 2023 annual performance-based bonus program, each Named Executive Officer was eligible for an annual performance bonus based on (1) the individuals target bonus, as a percentage of annual base salary, and (2) the percentage attainment of our 2023 corporate goals established by our Board in its sole discretion and communicated to each officer. </w:t>
      </w:r>
    </w:p>
    <w:p>
      <w:pPr>
        <w:pStyle w:val="TextBody"/>
        <w:bidi w:val="0"/>
        <w:spacing w:before="240" w:after="0"/>
        <w:jc w:val="left"/>
        <w:rPr>
          <w:rFonts w:ascii="Times New Roman" w:hAnsi="Times New Roman"/>
          <w:sz w:val="20"/>
        </w:rPr>
      </w:pPr>
      <w:r>
        <w:rPr>
          <w:rFonts w:ascii="Times New Roman" w:hAnsi="Times New Roman"/>
          <w:sz w:val="20"/>
        </w:rPr>
        <w:t xml:space="preserve">Each Named Executive Officer is assigned a target performance bonus expressed as a percentage of their annual base salary, which for 2023 was 50% for Mr. Brady, 40% for Dr. Whiting and 30% for Mr. Maestas. For 2023, the Compensation Committee recommended and the Board approved a 2023 annual performance-based bonus for each of Mr. Brady, Dr. Whiting and Mr. Maestas equal to approximately 55%, 44% and 33%, respectively, of their 2023 annual base salary, which represented achievement of 110% of their respective target bonuses of 50%, 40% and 30%, respectively. These performance-based bonuses are reflected above in the column of the Summary Compensation Table above entitled Non-Equity Incentive Plan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our Compensation Committee reviewed and evaluated the target bonus percentages of our Named Executive Officers and approved the 2024 target bonus percentages for each of Mr. Brady, Dr. Whiting and Mr. Maestas of 55%, 40% and 30%,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for the fiscal year ended December 31, 2023, certain information regarding outstanding equity awards for the Named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9"/>
        <w:gridCol w:w="137"/>
        <w:gridCol w:w="60"/>
        <w:gridCol w:w="860"/>
        <w:gridCol w:w="60"/>
        <w:gridCol w:w="137"/>
        <w:gridCol w:w="108"/>
        <w:gridCol w:w="1572"/>
        <w:gridCol w:w="621"/>
        <w:gridCol w:w="80"/>
        <w:gridCol w:w="72"/>
        <w:gridCol w:w="1044"/>
        <w:gridCol w:w="60"/>
        <w:gridCol w:w="137"/>
        <w:gridCol w:w="88"/>
        <w:gridCol w:w="1184"/>
        <w:gridCol w:w="60"/>
        <w:gridCol w:w="137"/>
        <w:gridCol w:w="100"/>
        <w:gridCol w:w="1355"/>
        <w:gridCol w:w="60"/>
        <w:gridCol w:w="137"/>
        <w:gridCol w:w="84"/>
        <w:gridCol w:w="795"/>
        <w:gridCol w:w="68"/>
      </w:tblGrid>
      <w:tr>
        <w:trPr/>
        <w:tc>
          <w:tcPr>
            <w:tcW w:w="118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7"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2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w:t>
              <w:br/>
              <w:t>Exercisable</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w:t>
              <w:br/>
              <w:t>Unexercisable</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Brady</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10/11/23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10/11/23</w:t>
            </w:r>
          </w:p>
        </w:tc>
        <w:tc>
          <w:tcPr>
            <w:tcW w:w="621" w:type="dxa"/>
            <w:tcBorders/>
            <w:shd w:fill="CCEEFF" w:val="clear"/>
            <w:vAlign w:val="bottom"/>
          </w:tcPr>
          <w:p>
            <w:pPr>
              <w:pStyle w:val="TableContents"/>
              <w:bidi w:val="0"/>
              <w:spacing w:before="0" w:after="283"/>
              <w:jc w:val="left"/>
              <w:rPr/>
            </w:pPr>
            <w:r>
              <w:rPr/>
              <w:t>(2)(3)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10/10/33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725,000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9.77</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1/3/23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1/3/23</w:t>
            </w:r>
          </w:p>
        </w:tc>
        <w:tc>
          <w:tcPr>
            <w:tcW w:w="621" w:type="dxa"/>
            <w:tcBorders/>
            <w:vAlign w:val="bottom"/>
          </w:tcPr>
          <w:p>
            <w:pPr>
              <w:pStyle w:val="TableContents"/>
              <w:bidi w:val="0"/>
              <w:spacing w:before="0" w:after="283"/>
              <w:jc w:val="left"/>
              <w:rPr/>
            </w:pPr>
            <w:r>
              <w:rPr/>
              <w:t>(1)(3)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1/2/33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40,631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136,669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1.23</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6/21/22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6/21/22</w:t>
            </w:r>
          </w:p>
        </w:tc>
        <w:tc>
          <w:tcPr>
            <w:tcW w:w="621" w:type="dxa"/>
            <w:tcBorders/>
            <w:shd w:fill="CCEEFF" w:val="clear"/>
            <w:vAlign w:val="bottom"/>
          </w:tcPr>
          <w:p>
            <w:pPr>
              <w:pStyle w:val="TableContents"/>
              <w:bidi w:val="0"/>
              <w:spacing w:before="0" w:after="283"/>
              <w:jc w:val="left"/>
              <w:rPr/>
            </w:pPr>
            <w:r>
              <w:rPr/>
              <w:t>(2)(3)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6/20/32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65,075</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108,458</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2.35</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1/4/22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1/4/22</w:t>
            </w:r>
          </w:p>
        </w:tc>
        <w:tc>
          <w:tcPr>
            <w:tcW w:w="621" w:type="dxa"/>
            <w:tcBorders/>
            <w:vAlign w:val="bottom"/>
          </w:tcPr>
          <w:p>
            <w:pPr>
              <w:pStyle w:val="TableContents"/>
              <w:bidi w:val="0"/>
              <w:spacing w:before="0" w:after="283"/>
              <w:jc w:val="left"/>
              <w:rPr/>
            </w:pPr>
            <w:r>
              <w:rPr/>
              <w:t>(1)(3)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1/3/32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45,281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49,219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5.45</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4/29/21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6/25/21</w:t>
            </w:r>
          </w:p>
        </w:tc>
        <w:tc>
          <w:tcPr>
            <w:tcW w:w="621" w:type="dxa"/>
            <w:tcBorders/>
            <w:shd w:fill="CCEEFF" w:val="clear"/>
            <w:vAlign w:val="bottom"/>
          </w:tcPr>
          <w:p>
            <w:pPr>
              <w:pStyle w:val="TableContents"/>
              <w:bidi w:val="0"/>
              <w:spacing w:before="0" w:after="283"/>
              <w:jc w:val="left"/>
              <w:rPr/>
            </w:pPr>
            <w:r>
              <w:rPr/>
              <w:t>(1)(3)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4/28/31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39,892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23,936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26.40</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3/10/21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3/5/21</w:t>
            </w:r>
          </w:p>
        </w:tc>
        <w:tc>
          <w:tcPr>
            <w:tcW w:w="621" w:type="dxa"/>
            <w:tcBorders/>
            <w:vAlign w:val="bottom"/>
          </w:tcPr>
          <w:p>
            <w:pPr>
              <w:pStyle w:val="TableContents"/>
              <w:bidi w:val="0"/>
              <w:spacing w:before="0" w:after="283"/>
              <w:jc w:val="left"/>
              <w:rPr/>
            </w:pPr>
            <w:r>
              <w:rPr/>
              <w:t>(1)(3)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3/9/31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5,534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2,516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10.25</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3/30/20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2/20/20</w:t>
            </w:r>
          </w:p>
        </w:tc>
        <w:tc>
          <w:tcPr>
            <w:tcW w:w="621" w:type="dxa"/>
            <w:tcBorders/>
            <w:shd w:fill="CCEEFF" w:val="clear"/>
            <w:vAlign w:val="bottom"/>
          </w:tcPr>
          <w:p>
            <w:pPr>
              <w:pStyle w:val="TableContents"/>
              <w:bidi w:val="0"/>
              <w:spacing w:before="0" w:after="283"/>
              <w:jc w:val="left"/>
              <w:rPr/>
            </w:pPr>
            <w:r>
              <w:rPr/>
              <w:t>(1)(3)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3/29/30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67,328</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2,928</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5.90</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9/16/19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9/9/19</w:t>
            </w:r>
          </w:p>
        </w:tc>
        <w:tc>
          <w:tcPr>
            <w:tcW w:w="621" w:type="dxa"/>
            <w:tcBorders/>
            <w:vAlign w:val="bottom"/>
          </w:tcPr>
          <w:p>
            <w:pPr>
              <w:pStyle w:val="TableContents"/>
              <w:bidi w:val="0"/>
              <w:spacing w:before="0" w:after="283"/>
              <w:jc w:val="left"/>
              <w:rPr/>
            </w:pPr>
            <w:r>
              <w:rPr/>
              <w:t>(3)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9/15/29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110,432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4.97</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Whiting</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10/11/23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10/11/23</w:t>
            </w:r>
          </w:p>
        </w:tc>
        <w:tc>
          <w:tcPr>
            <w:tcW w:w="621" w:type="dxa"/>
            <w:tcBorders/>
            <w:shd w:fill="CCEEFF" w:val="clear"/>
            <w:vAlign w:val="bottom"/>
          </w:tcPr>
          <w:p>
            <w:pPr>
              <w:pStyle w:val="TableContents"/>
              <w:bidi w:val="0"/>
              <w:spacing w:before="0" w:after="283"/>
              <w:jc w:val="left"/>
              <w:rPr/>
            </w:pPr>
            <w:r>
              <w:rPr/>
              <w:t>(2)(3)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10/10/33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325,000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9.77</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1/3/23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1/3/23</w:t>
            </w:r>
          </w:p>
        </w:tc>
        <w:tc>
          <w:tcPr>
            <w:tcW w:w="621" w:type="dxa"/>
            <w:tcBorders/>
            <w:vAlign w:val="bottom"/>
          </w:tcPr>
          <w:p>
            <w:pPr>
              <w:pStyle w:val="TableContents"/>
              <w:bidi w:val="0"/>
              <w:spacing w:before="0" w:after="283"/>
              <w:jc w:val="left"/>
              <w:rPr/>
            </w:pPr>
            <w:r>
              <w:rPr/>
              <w:t>(1)(3)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1/2/33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15,973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53,727</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1.23</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6/21/22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6/21/22</w:t>
            </w:r>
          </w:p>
        </w:tc>
        <w:tc>
          <w:tcPr>
            <w:tcW w:w="621" w:type="dxa"/>
            <w:tcBorders/>
            <w:shd w:fill="CCEEFF" w:val="clear"/>
            <w:vAlign w:val="bottom"/>
          </w:tcPr>
          <w:p>
            <w:pPr>
              <w:pStyle w:val="TableContents"/>
              <w:bidi w:val="0"/>
              <w:spacing w:before="0" w:after="283"/>
              <w:jc w:val="left"/>
              <w:rPr/>
            </w:pPr>
            <w:r>
              <w:rPr/>
              <w:t>(2)(3)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6/20/32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20,880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34,800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2.35</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1/4/22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1/4/22</w:t>
            </w:r>
          </w:p>
        </w:tc>
        <w:tc>
          <w:tcPr>
            <w:tcW w:w="621" w:type="dxa"/>
            <w:tcBorders/>
            <w:vAlign w:val="bottom"/>
          </w:tcPr>
          <w:p>
            <w:pPr>
              <w:pStyle w:val="TableContents"/>
              <w:bidi w:val="0"/>
              <w:spacing w:before="0" w:after="283"/>
              <w:jc w:val="left"/>
              <w:rPr/>
            </w:pPr>
            <w:r>
              <w:rPr/>
              <w:t>(1)(3)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1/3/32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13,896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15,104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5.45</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4/29/21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6/25/21</w:t>
            </w:r>
          </w:p>
        </w:tc>
        <w:tc>
          <w:tcPr>
            <w:tcW w:w="621" w:type="dxa"/>
            <w:tcBorders/>
            <w:shd w:fill="CCEEFF" w:val="clear"/>
            <w:vAlign w:val="bottom"/>
          </w:tcPr>
          <w:p>
            <w:pPr>
              <w:pStyle w:val="TableContents"/>
              <w:bidi w:val="0"/>
              <w:spacing w:before="0" w:after="283"/>
              <w:jc w:val="left"/>
              <w:rPr/>
            </w:pPr>
            <w:r>
              <w:rPr/>
              <w:t>(1)(3)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4/28/31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10,871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6,524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26.40</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3/10/21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3/5/21</w:t>
            </w:r>
          </w:p>
        </w:tc>
        <w:tc>
          <w:tcPr>
            <w:tcW w:w="621" w:type="dxa"/>
            <w:tcBorders/>
            <w:vAlign w:val="bottom"/>
          </w:tcPr>
          <w:p>
            <w:pPr>
              <w:pStyle w:val="TableContents"/>
              <w:bidi w:val="0"/>
              <w:spacing w:before="0" w:after="283"/>
              <w:jc w:val="left"/>
              <w:rPr/>
            </w:pPr>
            <w:r>
              <w:rPr/>
              <w:t>(1)(3)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3/9/31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2,012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1,007</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10.25</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11/16/20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11/16/20</w:t>
            </w:r>
          </w:p>
        </w:tc>
        <w:tc>
          <w:tcPr>
            <w:tcW w:w="621" w:type="dxa"/>
            <w:tcBorders/>
            <w:shd w:fill="CCEEFF" w:val="clear"/>
            <w:vAlign w:val="bottom"/>
          </w:tcPr>
          <w:p>
            <w:pPr>
              <w:pStyle w:val="TableContents"/>
              <w:bidi w:val="0"/>
              <w:spacing w:before="0" w:after="283"/>
              <w:jc w:val="left"/>
              <w:rPr/>
            </w:pPr>
            <w:r>
              <w:rPr/>
              <w:t>(2)(3)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11/15/30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47,749</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14,196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5.90</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0"/>
              <w:jc w:val="left"/>
              <w:rPr>
                <w:rFonts w:ascii="Times New Roman" w:hAnsi="Times New Roman"/>
                <w:sz w:val="20"/>
              </w:rPr>
            </w:pPr>
            <w:r>
              <w:rPr>
                <w:rFonts w:ascii="Times New Roman" w:hAnsi="Times New Roman"/>
                <w:sz w:val="20"/>
              </w:rPr>
              <w:t>Nicholas Maestas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10/11/23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10/11/23</w:t>
            </w:r>
          </w:p>
        </w:tc>
        <w:tc>
          <w:tcPr>
            <w:tcW w:w="621" w:type="dxa"/>
            <w:tcBorders/>
            <w:vAlign w:val="bottom"/>
          </w:tcPr>
          <w:p>
            <w:pPr>
              <w:pStyle w:val="TableContents"/>
              <w:bidi w:val="0"/>
              <w:spacing w:before="0" w:after="283"/>
              <w:jc w:val="left"/>
              <w:rPr/>
            </w:pPr>
            <w:r>
              <w:rPr/>
              <w:t>(2)(3)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10/10/33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9.77</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1/3/23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1/3/23</w:t>
            </w:r>
          </w:p>
        </w:tc>
        <w:tc>
          <w:tcPr>
            <w:tcW w:w="621" w:type="dxa"/>
            <w:tcBorders/>
            <w:shd w:fill="CCEEFF" w:val="clear"/>
            <w:vAlign w:val="bottom"/>
          </w:tcPr>
          <w:p>
            <w:pPr>
              <w:pStyle w:val="TableContents"/>
              <w:bidi w:val="0"/>
              <w:spacing w:before="0" w:after="283"/>
              <w:jc w:val="left"/>
              <w:rPr/>
            </w:pPr>
            <w:r>
              <w:rPr/>
              <w:t>(1)(3)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1/2/33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8,806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29,619</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1.23</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6/21/22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6/21/22</w:t>
            </w:r>
          </w:p>
        </w:tc>
        <w:tc>
          <w:tcPr>
            <w:tcW w:w="621" w:type="dxa"/>
            <w:tcBorders/>
            <w:vAlign w:val="bottom"/>
          </w:tcPr>
          <w:p>
            <w:pPr>
              <w:pStyle w:val="TableContents"/>
              <w:bidi w:val="0"/>
              <w:spacing w:before="0" w:after="283"/>
              <w:jc w:val="left"/>
              <w:rPr/>
            </w:pPr>
            <w:r>
              <w:rPr/>
              <w:t>(2)(3)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6/20/32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19,226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32,044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2.35</w:t>
            </w:r>
          </w:p>
        </w:tc>
        <w:tc>
          <w:tcPr>
            <w:tcW w:w="68" w:type="dxa"/>
            <w:tcBorders/>
            <w:vAlign w:val="bottom"/>
          </w:tcPr>
          <w:p>
            <w:pPr>
              <w:pStyle w:val="TableContents"/>
              <w:bidi w:val="0"/>
              <w:spacing w:before="0" w:after="283"/>
              <w:jc w:val="left"/>
              <w:rPr/>
            </w:pPr>
            <w:r>
              <w:rPr/>
              <w:t> </w:t>
            </w:r>
          </w:p>
        </w:tc>
      </w:tr>
      <w:tr>
        <w:trPr/>
        <w:tc>
          <w:tcPr>
            <w:tcW w:w="1189" w:type="dxa"/>
            <w:tcBorders/>
            <w:shd w:fill="CCEEFF" w:val="clear"/>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1/4/22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1/4/22</w:t>
            </w:r>
          </w:p>
        </w:tc>
        <w:tc>
          <w:tcPr>
            <w:tcW w:w="621" w:type="dxa"/>
            <w:tcBorders/>
            <w:shd w:fill="CCEEFF" w:val="clear"/>
            <w:vAlign w:val="bottom"/>
          </w:tcPr>
          <w:p>
            <w:pPr>
              <w:pStyle w:val="TableContents"/>
              <w:bidi w:val="0"/>
              <w:spacing w:before="0" w:after="283"/>
              <w:jc w:val="left"/>
              <w:rPr/>
            </w:pPr>
            <w:r>
              <w:rPr/>
              <w:t>(1)(3) </w:t>
            </w:r>
          </w:p>
        </w:tc>
        <w:tc>
          <w:tcPr>
            <w:tcW w:w="8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1/3/32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9,344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10,156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5.45</w:t>
            </w:r>
          </w:p>
        </w:tc>
        <w:tc>
          <w:tcPr>
            <w:tcW w:w="68" w:type="dxa"/>
            <w:tcBorders/>
            <w:shd w:fill="CCEEFF" w:val="clear"/>
            <w:vAlign w:val="bottom"/>
          </w:tcPr>
          <w:p>
            <w:pPr>
              <w:pStyle w:val="TableContents"/>
              <w:bidi w:val="0"/>
              <w:spacing w:before="0" w:after="283"/>
              <w:jc w:val="left"/>
              <w:rPr/>
            </w:pPr>
            <w:r>
              <w:rPr/>
              <w:t> </w:t>
            </w:r>
          </w:p>
        </w:tc>
      </w:tr>
      <w:tr>
        <w:trPr/>
        <w:tc>
          <w:tcPr>
            <w:tcW w:w="1189"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7/12/21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7/12/21</w:t>
            </w:r>
          </w:p>
        </w:tc>
        <w:tc>
          <w:tcPr>
            <w:tcW w:w="621" w:type="dxa"/>
            <w:tcBorders/>
            <w:vAlign w:val="bottom"/>
          </w:tcPr>
          <w:p>
            <w:pPr>
              <w:pStyle w:val="TableContents"/>
              <w:bidi w:val="0"/>
              <w:spacing w:before="0" w:after="283"/>
              <w:jc w:val="left"/>
              <w:rPr/>
            </w:pPr>
            <w:r>
              <w:rPr/>
              <w:t>(2)(4) </w:t>
            </w:r>
          </w:p>
        </w:tc>
        <w:tc>
          <w:tcPr>
            <w:tcW w:w="8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7/11/31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14,032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9,193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24.19</w:t>
            </w:r>
          </w:p>
        </w:tc>
        <w:tc>
          <w:tcPr>
            <w:tcW w:w="68"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underlying the options vest in a series of 48 equal monthly installments measured from the vesting commencement date, subject to the executives continued service.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One-fourth (1/4th) of the shares of common stock underlying this option vested on the one-year anniversary of the Vesting Commencement Date, and the remaining shares vest in a series of 36 equal monthly installments thereafter, subject to the executives continued service.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consummate a change in control, then the vesting of all of the shares of common stock subject to this option will be immediately accelerated such that all shares will be deemed fully vested and exercisable as of the date immediately prior to the effective date of the change in control, subject to the Named Executive Officers continuous service to us through each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Each of our Named Executive Officers employment is at will and may be terminated at any time. Below is a description of our employment arrangements with each of our Named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Stephen Brady </w:t>
      </w:r>
    </w:p>
    <w:p>
      <w:pPr>
        <w:pStyle w:val="TextBody"/>
        <w:bidi w:val="0"/>
        <w:spacing w:before="120" w:after="0"/>
        <w:jc w:val="left"/>
        <w:rPr>
          <w:rFonts w:ascii="Times New Roman" w:hAnsi="Times New Roman"/>
          <w:sz w:val="20"/>
        </w:rPr>
      </w:pPr>
      <w:r>
        <w:rPr>
          <w:rFonts w:ascii="Times New Roman" w:hAnsi="Times New Roman"/>
          <w:sz w:val="20"/>
        </w:rPr>
        <w:t xml:space="preserve">Mr. Brady entered into an employment agreement dated January 12, 2022 that superseded, amended and restated all prior agreements. Under the terms of the agreement, we agreed to Mr. Bradys initial annual base salary, which for 2024, was increased to $600,000, effective January 1, 2024. Mr. Brady is eligible to receive an annual bonus equal to 50% of his base salary, as determined by the Board in its sole discretion, and certain change in control and severance benefits as discussed below in Change in Control and Severance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Sam Whiting </w:t>
      </w:r>
    </w:p>
    <w:p>
      <w:pPr>
        <w:pStyle w:val="TextBody"/>
        <w:bidi w:val="0"/>
        <w:spacing w:before="120" w:after="0"/>
        <w:jc w:val="left"/>
        <w:rPr>
          <w:rFonts w:ascii="Times New Roman" w:hAnsi="Times New Roman"/>
          <w:sz w:val="20"/>
        </w:rPr>
      </w:pPr>
      <w:r>
        <w:rPr>
          <w:rFonts w:ascii="Times New Roman" w:hAnsi="Times New Roman"/>
          <w:sz w:val="20"/>
        </w:rPr>
        <w:t xml:space="preserve">Dr. Whiting entered into an employment agreement dated January 12, 2022 that superseded, amended and restated all prior agreements. Under the terms of the agreement, we agreed to Dr. Whitings initial annual base salary ,which for 2024, was increased to $481,749, effective January 1, 2024. Dr. Whiting is eligible to receive an annual bonus equal to 40% of his base salary, as determined by the Board in its sole discretion, and to certain change in control and severance benefits as discussed below in Change in Control and Severance Arrangements.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Nicholas Maestas </w:t>
      </w:r>
    </w:p>
    <w:p>
      <w:pPr>
        <w:pStyle w:val="TextBody"/>
        <w:bidi w:val="0"/>
        <w:spacing w:before="120" w:after="0"/>
        <w:jc w:val="left"/>
        <w:rPr>
          <w:rFonts w:ascii="Times New Roman" w:hAnsi="Times New Roman"/>
          <w:sz w:val="20"/>
        </w:rPr>
      </w:pPr>
      <w:r>
        <w:rPr>
          <w:rFonts w:ascii="Times New Roman" w:hAnsi="Times New Roman"/>
          <w:sz w:val="20"/>
        </w:rPr>
        <w:t xml:space="preserve">Mr. Maestas entered into an employment agreement dated January 12, 2022 that superseded, amended and restated all prior agreements. Under the terms of the agreement, we agreed to Mr. Maestas initial annual base salary, which for 2024, was increased to $365,547, effective January 1, 2024. Mr. Maestas is eligible for an annual bonus equal to 30% of his base salary, as determined by the Board in its sole discretion, and to certain change in control and severance benefits as discussed below in Change in Control and Severance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Change in Control and 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employment agreements with our Named Executive Officers, if a Named Executive Officers employment is terminated by us without Cause or if a Named Executive Officer resigns for Good Reason (each as defined below), they will be entitled to receive (i) bi-weekly payments equal to the sum of 12 months of the executives base salary for Mr. Brady, 9 months for Dr. Whiting and 3 months for Mr. Maestas, plus a prorated portion of the executives target annual bonus for the calendar year in which termination occurs and (ii) if the executive elects to continue health insurance coverage under COBRA, the payment of the monthly premium under COBRA until the earlier of 12 months for Mr. Brady, 9 months for Dr. Whiting and 3 months for Mr. Maestas following termination date or the date on which the executive commences full-time employment or employment that provides eligibility for healthcare benefits substantially comparable to those provided by us. </w:t>
      </w:r>
    </w:p>
    <w:p>
      <w:pPr>
        <w:pStyle w:val="TextBody"/>
        <w:bidi w:val="0"/>
        <w:spacing w:before="240" w:after="0"/>
        <w:jc w:val="left"/>
        <w:rPr>
          <w:rFonts w:ascii="Times New Roman" w:hAnsi="Times New Roman"/>
          <w:sz w:val="20"/>
        </w:rPr>
      </w:pPr>
      <w:r>
        <w:rPr>
          <w:rFonts w:ascii="Times New Roman" w:hAnsi="Times New Roman"/>
          <w:sz w:val="20"/>
        </w:rPr>
        <w:t xml:space="preserve">Moreover, if a Named Executive Officers employment is terminated by us without Cause or a Named Executive Officer resigns for Good Reason within three months prior to or 12 months following a Change in Control (as defined below), then in lieu of the severance benefits described above the Named Executive Officer will be entitled to receive (i) a lump-sum amount equal to the sum of 18 months for Mr. Brady, 12 months for Dr. Whiting and 6 months for Mr. Maestas of the executives base salary plus the executives annual target bonus at 150% for Mr. Brady, 100% for Dr. Whiting and 50% for Mr. Maestas and (ii) payment of COBRA premiums as described above for up to 18 months (12 months for Dr. Whiting and 6 months for Mr. Maestas.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receipt of any severance benefits is subject to the execution and non-revocation of a separation agreement containing, among other things a general release of claims in favor of us and our related persons and entities, confidentiality, return of property and non-solicitation and non-disparagement covenants. </w:t>
      </w:r>
    </w:p>
    <w:p>
      <w:pPr>
        <w:pStyle w:val="TextBody"/>
        <w:bidi w:val="0"/>
        <w:spacing w:before="240" w:after="0"/>
        <w:jc w:val="left"/>
        <w:rPr>
          <w:rFonts w:ascii="Times New Roman" w:hAnsi="Times New Roman"/>
          <w:sz w:val="20"/>
        </w:rPr>
      </w:pPr>
      <w:r>
        <w:rPr>
          <w:rFonts w:ascii="Times New Roman" w:hAnsi="Times New Roman"/>
          <w:sz w:val="20"/>
        </w:rPr>
        <w:t xml:space="preserve">Further, if we are subject to a Change in Control prior to the termination of a Named Executive Officers service, then 100% of any unvested shares subject to any stock options then held by the Named Executive Officer shall vest and become exercisable in full.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each Named Executive Officers employment agreements, each of the following terms has the meaning ascribed to such term in the applicable offer letter agreement but are summarized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means conduct involving one or more of the following by the Named Executive Officer: (i) (1) with respect to Mr. Brady, his willful and continued failure or refusal to perform material, lawful duties required by him as an employee of the Company and (2) with respect to Dr. Whiting and Mr. Maestas, their failure to perform a substantial portion of their duties and responsibilities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accordance with the terms or requirements of the employment agreement and their position with Company, in each case of (1) and (2), which such failure continues for (or is not permanently cured within), a period of 30 days after written notice is given to the Named Executive Officer by the Company (except in the case of physical or mental illness); (ii) (1) with respect to Mr. Brady, his gross negligence, willful misconduct or international misrepresentation in connection with the performance of his duties and (2) with respect to Dr. Whiting and Mr. Maestas, their disloyalty, gross negligence, willful misconduct or dishonesty that materially injures Tempest or their breach of fiduciary duty to Tempest; (iii) conviction of a felony, or a misdemeanor involving moral turpitude or fraud; (iv) commission of an act of embezzlement or fraud; or (v) material breach of any agreement with us. A termination of employment by reason of Disability shall not be treated as an involuntary termination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Change in Control has the meaning ascribed to such term in our 2017 Equity Incentive Plan (</w:t>
            </w:r>
            <w:r>
              <w:rPr>
                <w:rFonts w:ascii="Times New Roman" w:hAnsi="Times New Roman"/>
                <w:b/>
                <w:i/>
                <w:sz w:val="20"/>
              </w:rPr>
              <w:t>2017 EIP</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Disability means the inability to materially engage in duties and responsibilities by reason of any medically determinable physical or mental impairment for a period of not less than 120 consecutive days or not less than 180 days during any one-year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Reason means, without the Named Executive Officers express written consent: (i) any reduction in annual base salary other than a reduction that is proportional to general reductions affecting other senior executive officers generally; (ii) (1) with respect to Mr. Brady, a material diminution in responsibilities, authority or duties and (2) with respect to Dr. Whiting and Mr. Maestas, a material diminution in title or scope of responsibilities (but excluding removal from our Board); and (iii) with respect only to Mr. Brady: (w) a material change in the geographic location at which he provides services to us; (x) a material breach of the Brady Agreement by us; (y) appointing an officer of the Company whose responsibilities, function, title, reports and reporting would indicate that he is subordinate to such officer; or (z) no longer serving as an officer with a similar title or responsibilities at the top level corporate entity following our Change in Control.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Our Named Executive Officers are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2023.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$13,200 per year.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In October 2023, the Compensation Committee of our Board adopted our Incentive Compensation Recoupment Policy (the </w:t>
      </w:r>
      <w:r>
        <w:rPr>
          <w:rFonts w:ascii="Times New Roman" w:hAnsi="Times New Roman"/>
          <w:b/>
          <w:i/>
          <w:sz w:val="20"/>
        </w:rPr>
        <w:t>Clawback Policy</w:t>
      </w:r>
      <w:r>
        <w:rPr>
          <w:rFonts w:ascii="Times New Roman" w:hAnsi="Times New Roman"/>
          <w:sz w:val="20"/>
        </w:rPr>
        <w:t xml:space="preserve">),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402(v) Pay Versus Performance </w:t>
      </w:r>
    </w:p>
    <w:p>
      <w:pPr>
        <w:pStyle w:val="TextBody"/>
        <w:bidi w:val="0"/>
        <w:spacing w:before="120" w:after="0"/>
        <w:jc w:val="left"/>
        <w:rPr>
          <w:rFonts w:ascii="Times New Roman" w:hAnsi="Times New Roman"/>
          <w:sz w:val="20"/>
        </w:rPr>
      </w:pPr>
      <w:r>
        <w:rPr>
          <w:rFonts w:ascii="Times New Roman" w:hAnsi="Times New Roman"/>
          <w:sz w:val="20"/>
        </w:rPr>
        <w:t>In accordance with Item 402(v) of Regulation S-K, we are providing the following disclosure regarding executive compensation for each principal executive officer (</w:t>
      </w:r>
      <w:r>
        <w:rPr>
          <w:rFonts w:ascii="Times New Roman" w:hAnsi="Times New Roman"/>
          <w:b/>
          <w:i/>
          <w:sz w:val="20"/>
        </w:rPr>
        <w:t>PEO</w:t>
      </w:r>
      <w:r>
        <w:rPr>
          <w:rFonts w:ascii="Times New Roman" w:hAnsi="Times New Roman"/>
          <w:sz w:val="20"/>
        </w:rPr>
        <w:t>), and non-PEO Named Executive Officers (</w:t>
      </w:r>
      <w:r>
        <w:rPr>
          <w:rFonts w:ascii="Times New Roman" w:hAnsi="Times New Roman"/>
          <w:b/>
          <w:i/>
          <w:sz w:val="20"/>
        </w:rPr>
        <w:t>Non-PEO NEOs</w:t>
      </w:r>
      <w:r>
        <w:rPr>
          <w:rFonts w:ascii="Times New Roman" w:hAnsi="Times New Roman"/>
          <w:sz w:val="20"/>
        </w:rPr>
        <w:t xml:space="preserve">) and Company performance for the fiscal years listed below. The Compensation Committee did not consider the pay versus performance disclosure below in making its pay decisions for any of the years shown. For further information regarding our compensation philosophy and how we seek to align executive compensation with the Companys performance, refer to Executive and Director Compensation. </w:t>
      </w:r>
    </w:p>
    <w:p>
      <w:pPr>
        <w:pStyle w:val="TextBody"/>
        <w:bidi w:val="0"/>
        <w:spacing w:before="240" w:after="0"/>
        <w:jc w:val="left"/>
        <w:rPr>
          <w:rFonts w:ascii="Times New Roman" w:hAnsi="Times New Roman"/>
          <w:sz w:val="20"/>
        </w:rPr>
      </w:pPr>
      <w:r>
        <w:rPr>
          <w:rFonts w:ascii="Times New Roman" w:hAnsi="Times New Roman"/>
          <w:sz w:val="20"/>
        </w:rPr>
        <w:t>The amounts set forth below under the headings Compensation Actually Paid to PEO for each PEO and Average Compensation Actually Paid to Non-PEO NEOs have been calculated in a manner consistent with Item 402(v) of Regulation S-K. Use of the term compensation actually paid (</w:t>
      </w:r>
      <w:r>
        <w:rPr>
          <w:rFonts w:ascii="Times New Roman" w:hAnsi="Times New Roman"/>
          <w:b/>
          <w:i/>
          <w:sz w:val="20"/>
        </w:rPr>
        <w:t>CAP</w:t>
      </w:r>
      <w:r>
        <w:rPr>
          <w:rFonts w:ascii="Times New Roman" w:hAnsi="Times New Roman"/>
          <w:sz w:val="20"/>
        </w:rPr>
        <w:t xml:space="preserve">) is required by the SECs rules, and as a result of the calculation methodology required by the SEC, such amounts differ from compensation actually received by the individuals for the fiscal years listed below. </w:t>
      </w:r>
    </w:p>
    <w:p>
      <w:pPr>
        <w:pStyle w:val="TextBody"/>
        <w:bidi w:val="0"/>
        <w:spacing w:before="0" w:after="0"/>
        <w:jc w:val="left"/>
        <w:rPr/>
      </w:pPr>
      <w:r>
        <w:rPr/>
        <w:t> </w:t>
      </w:r>
    </w:p>
    <w:tbl>
      <w:tblPr>
        <w:tblW w:w="15075" w:type="dxa"/>
        <w:jc w:val="center"/>
        <w:tblInd w:w="0" w:type="dxa"/>
        <w:tblLayout w:type="fixed"/>
        <w:tblCellMar>
          <w:top w:w="0" w:type="dxa"/>
          <w:left w:w="0" w:type="dxa"/>
          <w:bottom w:w="0" w:type="dxa"/>
          <w:right w:w="0" w:type="dxa"/>
        </w:tblCellMar>
      </w:tblPr>
      <w:tblGrid>
        <w:gridCol w:w="470"/>
        <w:gridCol w:w="60"/>
        <w:gridCol w:w="186"/>
        <w:gridCol w:w="1304"/>
        <w:gridCol w:w="60"/>
        <w:gridCol w:w="60"/>
        <w:gridCol w:w="140"/>
        <w:gridCol w:w="980"/>
        <w:gridCol w:w="60"/>
        <w:gridCol w:w="60"/>
        <w:gridCol w:w="186"/>
        <w:gridCol w:w="1304"/>
        <w:gridCol w:w="60"/>
        <w:gridCol w:w="60"/>
        <w:gridCol w:w="183"/>
        <w:gridCol w:w="1052"/>
        <w:gridCol w:w="60"/>
        <w:gridCol w:w="60"/>
        <w:gridCol w:w="186"/>
        <w:gridCol w:w="1304"/>
        <w:gridCol w:w="60"/>
        <w:gridCol w:w="60"/>
        <w:gridCol w:w="140"/>
        <w:gridCol w:w="980"/>
        <w:gridCol w:w="60"/>
        <w:gridCol w:w="60"/>
        <w:gridCol w:w="186"/>
        <w:gridCol w:w="1304"/>
        <w:gridCol w:w="60"/>
        <w:gridCol w:w="60"/>
        <w:gridCol w:w="140"/>
        <w:gridCol w:w="980"/>
        <w:gridCol w:w="60"/>
        <w:gridCol w:w="60"/>
        <w:gridCol w:w="256"/>
        <w:gridCol w:w="1024"/>
        <w:gridCol w:w="60"/>
        <w:gridCol w:w="60"/>
        <w:gridCol w:w="230"/>
        <w:gridCol w:w="1245"/>
        <w:gridCol w:w="155"/>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Year(1)</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Summary</w:t>
            </w:r>
            <w:r>
              <w:rPr/>
              <w:br/>
            </w:r>
            <w:r>
              <w:rPr>
                <w:b/>
              </w:rPr>
              <w:t>Compensation</w:t>
            </w:r>
            <w:r>
              <w:rPr/>
              <w:br/>
            </w:r>
            <w:r>
              <w:rPr>
                <w:b/>
              </w:rPr>
              <w:t>Table Total</w:t>
            </w:r>
            <w:r>
              <w:rPr/>
              <w:br/>
            </w:r>
            <w:r>
              <w:rPr>
                <w:b/>
              </w:rPr>
              <w:t>for PEO 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 to</w:t>
              <w:br/>
              <w:t>PEO 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Summary</w:t>
            </w:r>
            <w:r>
              <w:rPr/>
              <w:br/>
            </w:r>
            <w:r>
              <w:rPr>
                <w:b/>
              </w:rPr>
              <w:t>Compensation</w:t>
            </w:r>
            <w:r>
              <w:rPr/>
              <w:br/>
            </w:r>
            <w:r>
              <w:rPr>
                <w:b/>
              </w:rPr>
              <w:t>Table Total</w:t>
            </w:r>
            <w:r>
              <w:rPr/>
              <w:br/>
            </w:r>
            <w:r>
              <w:rPr>
                <w:b/>
              </w:rPr>
              <w:t>for PEO 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b/>
              </w:rPr>
              <w:t>CAP to</w:t>
            </w:r>
            <w:r>
              <w:rPr/>
              <w:br/>
            </w:r>
            <w:r>
              <w:rPr>
                <w:b/>
              </w:rPr>
              <w:t>PEO 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Summary</w:t>
            </w:r>
            <w:r>
              <w:rPr/>
              <w:br/>
            </w:r>
            <w:r>
              <w:rPr>
                <w:b/>
              </w:rPr>
              <w:t>Compensation</w:t>
            </w:r>
            <w:r>
              <w:rPr/>
              <w:br/>
            </w:r>
            <w:r>
              <w:rPr>
                <w:b/>
              </w:rPr>
              <w:t>Table Total</w:t>
            </w:r>
            <w:r>
              <w:rPr/>
              <w:br/>
            </w:r>
            <w:r>
              <w:rPr>
                <w:b/>
              </w:rPr>
              <w:t>for PEO 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 to</w:t>
              <w:br/>
              <w:t>PEO 3(2)(3)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r>
            <w:r>
              <w:rPr/>
              <w:br/>
            </w:r>
            <w:r>
              <w:rPr>
                <w:b/>
              </w:rPr>
              <w:t>Summary</w:t>
            </w:r>
            <w:r>
              <w:rPr/>
              <w:br/>
            </w:r>
            <w:r>
              <w:rPr>
                <w:b/>
              </w:rPr>
              <w:t>Compensation</w:t>
            </w:r>
            <w:r>
              <w:rPr/>
              <w:br/>
            </w:r>
            <w:r>
              <w:rPr>
                <w:b/>
              </w:rPr>
              <w:t>Table</w:t>
            </w:r>
            <w:r>
              <w:rPr/>
              <w:br/>
            </w:r>
            <w:r>
              <w:rPr>
                <w:b/>
              </w:rPr>
              <w:t>Total for</w:t>
            </w:r>
            <w:r>
              <w:rPr/>
              <w:br/>
            </w:r>
            <w:r>
              <w:rPr>
                <w:b/>
              </w:rPr>
              <w:t>Non-PEO</w:t>
            </w:r>
            <w:r>
              <w:rPr/>
              <w:br/>
            </w:r>
            <w:r>
              <w:rPr>
                <w:b/>
              </w:rPr>
              <w:t>NEOs(4)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r>
            <w:r>
              <w:rPr/>
              <w:br/>
            </w:r>
            <w:r>
              <w:rPr>
                <w:b/>
              </w:rPr>
              <w:t>CAP to</w:t>
              <w:br/>
              <w:t>Non-</w:t>
            </w:r>
            <w:r>
              <w:rPr/>
              <w:br/>
            </w:r>
            <w:r>
              <w:rPr>
                <w:b/>
              </w:rPr>
              <w:t>PEO</w:t>
            </w:r>
            <w:r>
              <w:rPr/>
              <w:br/>
            </w:r>
            <w:r>
              <w:rPr>
                <w:b/>
              </w:rPr>
              <w:t>NEOs(3)(4)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r>
            <w:r>
              <w:rPr/>
              <w:br/>
            </w:r>
            <w:r>
              <w:rPr>
                <w:b/>
              </w:rPr>
              <w:t>Initial</w:t>
            </w:r>
            <w:r>
              <w:rPr/>
              <w:br/>
            </w:r>
            <w:r>
              <w:rPr>
                <w:b/>
              </w:rPr>
              <w:t>Fixed $100</w:t>
            </w:r>
            <w:r>
              <w:rPr/>
              <w:br/>
            </w:r>
            <w:r>
              <w:rPr>
                <w:b/>
              </w:rPr>
              <w:t>Investment</w:t>
            </w:r>
            <w:r>
              <w:rPr/>
              <w:br/>
            </w:r>
            <w:r>
              <w:rPr>
                <w:b/>
              </w:rPr>
              <w:t>Based on</w:t>
            </w:r>
            <w:r>
              <w:rPr/>
              <w:br/>
            </w:r>
            <w:r>
              <w:rPr>
                <w:b/>
              </w:rPr>
              <w:t>Total</w:t>
            </w:r>
            <w:r>
              <w:rPr/>
              <w:br/>
            </w:r>
            <w:r>
              <w:rPr>
                <w:b/>
              </w:rPr>
              <w:t>Shareholder</w:t>
            </w:r>
            <w:r>
              <w:rPr/>
              <w:br/>
            </w:r>
            <w:r>
              <w:rPr>
                <w:b/>
              </w:rPr>
              <w:t>Return(5)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Net</w:t>
            </w:r>
            <w:r>
              <w:rPr/>
              <w:br/>
            </w:r>
            <w:r>
              <w:rPr>
                <w:b/>
              </w:rPr>
              <w:t>Income</w:t>
            </w:r>
            <w:r>
              <w:rPr/>
              <w:br/>
            </w:r>
            <w:r>
              <w:rPr>
                <w:b/>
              </w:rPr>
              <w:t>(Loss)</w:t>
            </w:r>
            <w:r>
              <w:rPr/>
              <w:br/>
            </w:r>
            <w:r>
              <w:rPr>
                <w:b/>
              </w:rPr>
              <w:t>(in millions)(6)</w:t>
            </w:r>
          </w:p>
        </w:tc>
        <w:tc>
          <w:tcPr>
            <w:tcW w:w="155" w:type="dxa"/>
            <w:tcBorders/>
            <w:vAlign w:val="bottom"/>
          </w:tcPr>
          <w:p>
            <w:pPr>
              <w:pStyle w:val="TableContents"/>
              <w:bidi w:val="0"/>
              <w:spacing w:before="0" w:after="283"/>
              <w:jc w:val="left"/>
              <w:rPr/>
            </w:pPr>
            <w:r>
              <w:rPr/>
              <w:t> </w:t>
            </w:r>
          </w:p>
        </w:tc>
      </w:tr>
      <w:tr>
        <w:trPr/>
        <w:tc>
          <w:tcPr>
            <w:tcW w:w="4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7,007,407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4,378,493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2,351,994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1,605,958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32.93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(24,491</w:t>
            </w:r>
          </w:p>
        </w:tc>
        <w:tc>
          <w:tcPr>
            <w:tcW w:w="155" w:type="dxa"/>
            <w:tcBorders/>
            <w:shd w:fill="CCEEFF" w:val="clear"/>
            <w:vAlign w:val="bottom"/>
          </w:tcPr>
          <w:p>
            <w:pPr>
              <w:pStyle w:val="TableContents"/>
              <w:bidi w:val="0"/>
              <w:spacing w:before="0" w:after="283"/>
              <w:jc w:val="left"/>
              <w:rPr/>
            </w:pPr>
            <w:r>
              <w:rPr/>
              <w:t>) </w:t>
            </w:r>
          </w:p>
        </w:tc>
      </w:tr>
      <w:tr>
        <w:trPr/>
        <w:tc>
          <w:tcPr>
            <w:tcW w:w="470" w:type="dxa"/>
            <w:tcBorders/>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1,514,366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596,713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966,992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573,978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8.61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(35,709</w:t>
            </w:r>
          </w:p>
        </w:tc>
        <w:tc>
          <w:tcPr>
            <w:tcW w:w="155" w:type="dxa"/>
            <w:tcBorders/>
            <w:vAlign w:val="bottom"/>
          </w:tcPr>
          <w:p>
            <w:pPr>
              <w:pStyle w:val="TableContents"/>
              <w:bidi w:val="0"/>
              <w:spacing w:before="0" w:after="283"/>
              <w:jc w:val="left"/>
              <w:rPr/>
            </w:pPr>
            <w:r>
              <w:rPr/>
              <w:t>) </w:t>
            </w:r>
          </w:p>
        </w:tc>
      </w:tr>
      <w:tr>
        <w:trPr/>
        <w:tc>
          <w:tcPr>
            <w:tcW w:w="47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2021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714,721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727,317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1,339,793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743,582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1,632,690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1,288,323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1,168,452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980,666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39.52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(28,302</w:t>
            </w:r>
          </w:p>
        </w:tc>
        <w:tc>
          <w:tcPr>
            <w:tcW w:w="15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We are a smaller reporting company pursuant to Rule 405 of the Securities Act of 1933, and as such, we are only required to include information for the past three fiscal years.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Our PEO 1 reflected in these columns and for each of the applicable fiscal years is Mr. Brady. Our PEO 2 reflected in these columns for each of the applicable fiscal years is Julia C. Owens, who was the Chief Executive Officer and President of our legacy company until her resignation on January 31, 2021. Our PEO 3 reflected in these columns and for each of the applicable fiscal years is Louis Arcudi III, who was the Chief Executive Officer and President of our legacy company from February 1, 2021 until his resignation in June 2021.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calculating the CAP amounts reflected in these columns, the fair value or change in fair value, as applicable, of the equity award adjustments included in such calculations was computed in accordance with FASB ASC Topic 718 and did not materially differ from those disclosed at the time of grant.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Our Non-PEO NEOs reflected in these columns are (a) for fiscal year 2023, Dr. Whiting and Mr. Maestas, (b) for fiscal year 2022, Dr. Thomas Dubensky, our former President, and Dr. Whiting, and (c) for fiscal year 2021, Dr. Dubensky and Dr. Whiting.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The Total Shareholder Return (</w:t>
            </w:r>
            <w:r>
              <w:rPr>
                <w:rFonts w:ascii="Times New Roman" w:hAnsi="Times New Roman"/>
                <w:b/>
                <w:i/>
                <w:sz w:val="16"/>
              </w:rPr>
              <w:t>TSR</w:t>
            </w:r>
            <w:r>
              <w:rPr>
                <w:rFonts w:ascii="Times New Roman" w:hAnsi="Times New Roman"/>
                <w:sz w:val="16"/>
              </w:rPr>
              <w:t xml:space="preserve">) reflected in this column for each applicable fiscal year is calculated based on a fixed investment of $100 through the end of the applicable fiscal year on the same cumulative basis as is used in Item 201 of Regulation S-K.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amounts reflected in this column represent the net income (loss) reflected in our audited financial statements for each applicable fiscal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fiscal year 2023, calculation of our PEO 1s CAP reflects the adjustments made to the total compensation amounts reported in the Summary Compensation Table (</w:t>
            </w:r>
            <w:r>
              <w:rPr>
                <w:rFonts w:ascii="Times New Roman" w:hAnsi="Times New Roman"/>
                <w:b/>
                <w:i/>
                <w:sz w:val="20"/>
              </w:rPr>
              <w:t>SCT</w:t>
            </w:r>
            <w:r>
              <w:rPr>
                <w:rFonts w:ascii="Times New Roman" w:hAnsi="Times New Roman"/>
                <w:sz w:val="20"/>
              </w:rPr>
              <w:t xml:space="preserve">), computed in accordance with Item 402(v) of Regulation S-K reflected below: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621"/>
        <w:gridCol w:w="387"/>
        <w:gridCol w:w="147"/>
        <w:gridCol w:w="1074"/>
        <w:gridCol w:w="159"/>
      </w:tblGrid>
      <w:tr>
        <w:trPr/>
        <w:tc>
          <w:tcPr>
            <w:tcW w:w="7621"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387"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6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PEO SCT Total</w:t>
            </w:r>
          </w:p>
        </w:tc>
        <w:tc>
          <w:tcPr>
            <w:tcW w:w="3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7,007,407</w:t>
            </w:r>
          </w:p>
        </w:tc>
        <w:tc>
          <w:tcPr>
            <w:tcW w:w="159" w:type="dxa"/>
            <w:tcBorders/>
            <w:shd w:fill="CCEEFF" w:val="clear"/>
            <w:vAlign w:val="bottom"/>
          </w:tcPr>
          <w:p>
            <w:pPr>
              <w:pStyle w:val="TableContents"/>
              <w:bidi w:val="0"/>
              <w:spacing w:before="0" w:after="283"/>
              <w:jc w:val="left"/>
              <w:rPr/>
            </w:pPr>
            <w:r>
              <w:rPr/>
              <w:t> </w:t>
            </w:r>
          </w:p>
        </w:tc>
      </w:tr>
      <w:tr>
        <w:trPr/>
        <w:tc>
          <w:tcPr>
            <w:tcW w:w="7621" w:type="dxa"/>
            <w:tcBorders/>
          </w:tcPr>
          <w:p>
            <w:pPr>
              <w:pStyle w:val="TableContents"/>
              <w:bidi w:val="0"/>
              <w:spacing w:before="0" w:after="0"/>
              <w:jc w:val="left"/>
              <w:rPr>
                <w:rFonts w:ascii="Times New Roman" w:hAnsi="Times New Roman"/>
                <w:sz w:val="20"/>
              </w:rPr>
            </w:pPr>
            <w:r>
              <w:rPr>
                <w:rFonts w:ascii="Times New Roman" w:hAnsi="Times New Roman"/>
                <w:sz w:val="20"/>
              </w:rPr>
              <w:t>- Grant Date Fair Value of Option Awards and Stock Awards Granted in 2023</w:t>
            </w:r>
          </w:p>
        </w:tc>
        <w:tc>
          <w:tcPr>
            <w:tcW w:w="3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(6,084,172</w:t>
            </w:r>
          </w:p>
        </w:tc>
        <w:tc>
          <w:tcPr>
            <w:tcW w:w="159" w:type="dxa"/>
            <w:tcBorders/>
            <w:vAlign w:val="bottom"/>
          </w:tcPr>
          <w:p>
            <w:pPr>
              <w:pStyle w:val="TableContents"/>
              <w:bidi w:val="0"/>
              <w:spacing w:before="0" w:after="283"/>
              <w:jc w:val="left"/>
              <w:rPr/>
            </w:pPr>
            <w:r>
              <w:rPr/>
              <w:t>) </w:t>
            </w:r>
          </w:p>
        </w:tc>
      </w:tr>
      <w:tr>
        <w:trPr/>
        <w:tc>
          <w:tcPr>
            <w:tcW w:w="7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Fair Value at Fiscal Year-End of Outstanding and Unvested Option Awards and Stock Awards Granted in 2023</w:t>
            </w:r>
          </w:p>
        </w:tc>
        <w:tc>
          <w:tcPr>
            <w:tcW w:w="3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2,843,694</w:t>
            </w:r>
          </w:p>
        </w:tc>
        <w:tc>
          <w:tcPr>
            <w:tcW w:w="159" w:type="dxa"/>
            <w:tcBorders/>
            <w:shd w:fill="CCEEFF" w:val="clear"/>
            <w:vAlign w:val="bottom"/>
          </w:tcPr>
          <w:p>
            <w:pPr>
              <w:pStyle w:val="TableContents"/>
              <w:bidi w:val="0"/>
              <w:spacing w:before="0" w:after="283"/>
              <w:jc w:val="left"/>
              <w:rPr/>
            </w:pPr>
            <w:r>
              <w:rPr/>
              <w:t> </w:t>
            </w:r>
          </w:p>
        </w:tc>
      </w:tr>
      <w:tr>
        <w:trPr/>
        <w:tc>
          <w:tcPr>
            <w:tcW w:w="7621"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from the End of 2022 to the End of 2023 of Option Awards and Stock Awards Granted in Prior Fiscal Years that were Outstanding and Unvested at the End of 2023</w:t>
            </w:r>
          </w:p>
        </w:tc>
        <w:tc>
          <w:tcPr>
            <w:tcW w:w="3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493,029</w:t>
            </w:r>
          </w:p>
        </w:tc>
        <w:tc>
          <w:tcPr>
            <w:tcW w:w="159" w:type="dxa"/>
            <w:tcBorders/>
            <w:vAlign w:val="bottom"/>
          </w:tcPr>
          <w:p>
            <w:pPr>
              <w:pStyle w:val="TableContents"/>
              <w:bidi w:val="0"/>
              <w:spacing w:before="0" w:after="283"/>
              <w:jc w:val="left"/>
              <w:rPr/>
            </w:pPr>
            <w:r>
              <w:rPr/>
              <w:t> </w:t>
            </w:r>
          </w:p>
        </w:tc>
      </w:tr>
      <w:tr>
        <w:trPr/>
        <w:tc>
          <w:tcPr>
            <w:tcW w:w="7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Fair Value at Vesting of Option Awards and Stock Awards Granted in 2023 that Vested During 2023</w:t>
            </w:r>
          </w:p>
        </w:tc>
        <w:tc>
          <w:tcPr>
            <w:tcW w:w="3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61,512</w:t>
            </w:r>
          </w:p>
        </w:tc>
        <w:tc>
          <w:tcPr>
            <w:tcW w:w="159" w:type="dxa"/>
            <w:tcBorders/>
            <w:shd w:fill="CCEEFF" w:val="clear"/>
            <w:vAlign w:val="bottom"/>
          </w:tcPr>
          <w:p>
            <w:pPr>
              <w:pStyle w:val="TableContents"/>
              <w:bidi w:val="0"/>
              <w:spacing w:before="0" w:after="283"/>
              <w:jc w:val="left"/>
              <w:rPr/>
            </w:pPr>
            <w:r>
              <w:rPr/>
              <w:t> </w:t>
            </w:r>
          </w:p>
        </w:tc>
      </w:tr>
      <w:tr>
        <w:trPr/>
        <w:tc>
          <w:tcPr>
            <w:tcW w:w="7621"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from the End of 2022 to the Vesting Date of Option Awards and Stock Awards Granted in Prior Fiscal Years For Which Applicable Vesting Conditions Were Satisfied During 2023</w:t>
            </w:r>
          </w:p>
        </w:tc>
        <w:tc>
          <w:tcPr>
            <w:tcW w:w="38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57,023</w:t>
            </w:r>
          </w:p>
        </w:tc>
        <w:tc>
          <w:tcPr>
            <w:tcW w:w="159" w:type="dxa"/>
            <w:tcBorders/>
            <w:vAlign w:val="bottom"/>
          </w:tcPr>
          <w:p>
            <w:pPr>
              <w:pStyle w:val="TableContents"/>
              <w:bidi w:val="0"/>
              <w:spacing w:before="0" w:after="283"/>
              <w:jc w:val="left"/>
              <w:rPr/>
            </w:pPr>
            <w:r>
              <w:rPr/>
              <w:t> </w:t>
            </w:r>
          </w:p>
        </w:tc>
      </w:tr>
      <w:tr>
        <w:trPr/>
        <w:tc>
          <w:tcPr>
            <w:tcW w:w="76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 to PEO 1</w:t>
            </w:r>
          </w:p>
        </w:tc>
        <w:tc>
          <w:tcPr>
            <w:tcW w:w="38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4,378,493</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fiscal year 2023, calculation of the average CAP for Non-PEO NEOs reflects the following adjustments made to the total compensation amounts reported for the applicable Non-PEO NEOs in the SCT , computed in accordance with Item 402(v) of Regulation S-K: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611"/>
        <w:gridCol w:w="384"/>
        <w:gridCol w:w="149"/>
        <w:gridCol w:w="1084"/>
        <w:gridCol w:w="160"/>
      </w:tblGrid>
      <w:tr>
        <w:trPr/>
        <w:tc>
          <w:tcPr>
            <w:tcW w:w="7611"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384"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76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Non-PEO NEO Average SCT Total</w:t>
            </w:r>
          </w:p>
        </w:tc>
        <w:tc>
          <w:tcPr>
            <w:tcW w:w="38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2,351,994</w:t>
            </w:r>
          </w:p>
        </w:tc>
        <w:tc>
          <w:tcPr>
            <w:tcW w:w="160" w:type="dxa"/>
            <w:tcBorders/>
            <w:shd w:fill="CCEEFF" w:val="clear"/>
            <w:vAlign w:val="bottom"/>
          </w:tcPr>
          <w:p>
            <w:pPr>
              <w:pStyle w:val="TableContents"/>
              <w:bidi w:val="0"/>
              <w:spacing w:before="0" w:after="283"/>
              <w:jc w:val="left"/>
              <w:rPr/>
            </w:pPr>
            <w:r>
              <w:rPr/>
              <w:t> </w:t>
            </w:r>
          </w:p>
        </w:tc>
      </w:tr>
      <w:tr>
        <w:trPr/>
        <w:tc>
          <w:tcPr>
            <w:tcW w:w="7611" w:type="dxa"/>
            <w:tcBorders/>
          </w:tcPr>
          <w:p>
            <w:pPr>
              <w:pStyle w:val="TableContents"/>
              <w:bidi w:val="0"/>
              <w:spacing w:before="0" w:after="0"/>
              <w:jc w:val="left"/>
              <w:rPr>
                <w:rFonts w:ascii="Times New Roman" w:hAnsi="Times New Roman"/>
                <w:sz w:val="20"/>
              </w:rPr>
            </w:pPr>
            <w:r>
              <w:rPr>
                <w:rFonts w:ascii="Times New Roman" w:hAnsi="Times New Roman"/>
                <w:sz w:val="20"/>
              </w:rPr>
              <w:t>- Average Grant Date Fair Value of Option Awards and Stock Awards Granted in 2023</w:t>
            </w:r>
          </w:p>
        </w:tc>
        <w:tc>
          <w:tcPr>
            <w:tcW w:w="38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(1,785,454</w:t>
            </w:r>
          </w:p>
        </w:tc>
        <w:tc>
          <w:tcPr>
            <w:tcW w:w="160" w:type="dxa"/>
            <w:tcBorders/>
            <w:vAlign w:val="bottom"/>
          </w:tcPr>
          <w:p>
            <w:pPr>
              <w:pStyle w:val="TableContents"/>
              <w:bidi w:val="0"/>
              <w:spacing w:before="0" w:after="283"/>
              <w:jc w:val="left"/>
              <w:rPr/>
            </w:pPr>
            <w:r>
              <w:rPr/>
              <w:t>) </w:t>
            </w:r>
          </w:p>
        </w:tc>
      </w:tr>
      <w:tr>
        <w:trPr/>
        <w:tc>
          <w:tcPr>
            <w:tcW w:w="7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Average Fair Value at Fiscal Year-End of Outstanding and Unvested Option Awards and Stock Awards Granted in 2023</w:t>
            </w:r>
          </w:p>
        </w:tc>
        <w:tc>
          <w:tcPr>
            <w:tcW w:w="38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839,904</w:t>
            </w:r>
          </w:p>
        </w:tc>
        <w:tc>
          <w:tcPr>
            <w:tcW w:w="160" w:type="dxa"/>
            <w:tcBorders/>
            <w:shd w:fill="CCEEFF" w:val="clear"/>
            <w:vAlign w:val="bottom"/>
          </w:tcPr>
          <w:p>
            <w:pPr>
              <w:pStyle w:val="TableContents"/>
              <w:bidi w:val="0"/>
              <w:spacing w:before="0" w:after="283"/>
              <w:jc w:val="left"/>
              <w:rPr/>
            </w:pPr>
            <w:r>
              <w:rPr/>
              <w:t> </w:t>
            </w:r>
          </w:p>
        </w:tc>
      </w:tr>
      <w:tr>
        <w:trPr/>
        <w:tc>
          <w:tcPr>
            <w:tcW w:w="7611" w:type="dxa"/>
            <w:tcBorders/>
          </w:tcPr>
          <w:p>
            <w:pPr>
              <w:pStyle w:val="TableContents"/>
              <w:bidi w:val="0"/>
              <w:spacing w:before="0" w:after="0"/>
              <w:jc w:val="left"/>
              <w:rPr>
                <w:rFonts w:ascii="Times New Roman" w:hAnsi="Times New Roman"/>
                <w:sz w:val="20"/>
              </w:rPr>
            </w:pPr>
            <w:r>
              <w:rPr>
                <w:rFonts w:ascii="Times New Roman" w:hAnsi="Times New Roman"/>
                <w:sz w:val="20"/>
              </w:rPr>
              <w:t>+ Average Change in Fair Value from the End of 2022 to the End of 2023 of Option Awards and Stock Awards Granted in Prior Fiscal Years that were Outstanding and Unvested at the End of 2023</w:t>
            </w:r>
          </w:p>
        </w:tc>
        <w:tc>
          <w:tcPr>
            <w:tcW w:w="38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161,261</w:t>
            </w:r>
          </w:p>
        </w:tc>
        <w:tc>
          <w:tcPr>
            <w:tcW w:w="160" w:type="dxa"/>
            <w:tcBorders/>
            <w:vAlign w:val="bottom"/>
          </w:tcPr>
          <w:p>
            <w:pPr>
              <w:pStyle w:val="TableContents"/>
              <w:bidi w:val="0"/>
              <w:spacing w:before="0" w:after="283"/>
              <w:jc w:val="left"/>
              <w:rPr/>
            </w:pPr>
            <w:r>
              <w:rPr/>
              <w:t> </w:t>
            </w:r>
          </w:p>
        </w:tc>
      </w:tr>
      <w:tr>
        <w:trPr/>
        <w:tc>
          <w:tcPr>
            <w:tcW w:w="7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Average Fair Value at Vesting of Option Awards and Stock Awards Granted in 2023 that Vested During 2023</w:t>
            </w:r>
          </w:p>
        </w:tc>
        <w:tc>
          <w:tcPr>
            <w:tcW w:w="38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18,757</w:t>
            </w:r>
          </w:p>
        </w:tc>
        <w:tc>
          <w:tcPr>
            <w:tcW w:w="160" w:type="dxa"/>
            <w:tcBorders/>
            <w:shd w:fill="CCEEFF" w:val="clear"/>
            <w:vAlign w:val="bottom"/>
          </w:tcPr>
          <w:p>
            <w:pPr>
              <w:pStyle w:val="TableContents"/>
              <w:bidi w:val="0"/>
              <w:spacing w:before="0" w:after="283"/>
              <w:jc w:val="left"/>
              <w:rPr/>
            </w:pPr>
            <w:r>
              <w:rPr/>
              <w:t> </w:t>
            </w:r>
          </w:p>
        </w:tc>
      </w:tr>
      <w:tr>
        <w:trPr/>
        <w:tc>
          <w:tcPr>
            <w:tcW w:w="7611" w:type="dxa"/>
            <w:tcBorders/>
          </w:tcPr>
          <w:p>
            <w:pPr>
              <w:pStyle w:val="TableContents"/>
              <w:bidi w:val="0"/>
              <w:spacing w:before="0" w:after="0"/>
              <w:jc w:val="left"/>
              <w:rPr>
                <w:rFonts w:ascii="Times New Roman" w:hAnsi="Times New Roman"/>
                <w:sz w:val="20"/>
              </w:rPr>
            </w:pPr>
            <w:r>
              <w:rPr>
                <w:rFonts w:ascii="Times New Roman" w:hAnsi="Times New Roman"/>
                <w:sz w:val="20"/>
              </w:rPr>
              <w:t>+ Average Change in Fair Value from the End of 2022 to the Vesting Date of Option Awards and Stock Awards Granted in Prior Fiscal Years for Which Applicable Vesting Conditions Were Satisfied During 2023</w:t>
            </w:r>
          </w:p>
        </w:tc>
        <w:tc>
          <w:tcPr>
            <w:tcW w:w="38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19,496</w:t>
            </w:r>
          </w:p>
        </w:tc>
        <w:tc>
          <w:tcPr>
            <w:tcW w:w="160" w:type="dxa"/>
            <w:tcBorders/>
            <w:vAlign w:val="bottom"/>
          </w:tcPr>
          <w:p>
            <w:pPr>
              <w:pStyle w:val="TableContents"/>
              <w:bidi w:val="0"/>
              <w:spacing w:before="0" w:after="283"/>
              <w:jc w:val="left"/>
              <w:rPr/>
            </w:pPr>
            <w:r>
              <w:rPr/>
              <w:t> </w:t>
            </w:r>
          </w:p>
        </w:tc>
      </w:tr>
      <w:tr>
        <w:trPr/>
        <w:tc>
          <w:tcPr>
            <w:tcW w:w="76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Average Compensation Actually Paid</w:t>
            </w:r>
          </w:p>
        </w:tc>
        <w:tc>
          <w:tcPr>
            <w:tcW w:w="38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1,605,958</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Pay versus Performance Comparative Disclosure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S-K, we are providing the following descriptions of the relationships between the information presented in the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CAP and Company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CAP for our PEOs, the average of CAP for our Non-PEO 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3705" cy="2838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33705" cy="2838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CAP and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CAP for our PEOs, the average of CAP for our Non-PEO NEOs, and the Companys net income (loss) over the three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3705" cy="31496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33705" cy="3149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All information provided above under the Item 402(v) Pay Versus Performance heading will not be deemed to be incorporated by reference into any filing of the Company under the Securities Act of 1933, as amended, or the Exchange Act, whether made before or after the date hereof and irrespective of any general incorporation language in any such filing, except to the extent the Company specifically incorporates such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Non-Employee Director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standard compensation arrangements under which our non-employee directors are compensated for their service as directors, including as members of the various committees of our Board. </w:t>
      </w:r>
    </w:p>
    <w:p>
      <w:pPr>
        <w:pStyle w:val="TextBody"/>
        <w:bidi w:val="0"/>
        <w:spacing w:before="240" w:after="0"/>
        <w:jc w:val="left"/>
        <w:rPr>
          <w:rFonts w:ascii="Times New Roman" w:hAnsi="Times New Roman"/>
          <w:sz w:val="20"/>
        </w:rPr>
      </w:pPr>
      <w:r>
        <w:rPr>
          <w:rFonts w:ascii="Times New Roman" w:hAnsi="Times New Roman"/>
          <w:sz w:val="20"/>
        </w:rPr>
        <w:t xml:space="preserve">Each non-employee director receives an annual base retainer of $40,000 with the non-executive Board Chair receiving an additional annual base retainer of $35,000. In addition, our non-employee directors receive the following cash compensation for committee services,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chair of our Audit, Compensation, Nominating and Corporate Governance and Science &amp; Technology committees receives an additional annual retainer of $15,000, $10,000, $8,000 and $8,000,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other non-chair member of our Audit, Compensation, Nominating and Corporate Governance and Science &amp; Technology committees receives an additional annual retainer of $7,500, $5,000, $4,000 and $4,000, respectively.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retainers are payable in arrears in four equal quarterly installments on the last day of each quarter, provided that the amount of such payment will be prorated for any partial months of service. We also reimburse each of our directors for their travel expenses incurred in connection with their attendance at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non-employee directors first appointed to the Board are eligible to receive an initial option to purchase 16,400 shares of our common stock, which, following the Annual Meeting, will be increased to 25,000 shares. The shares subject to each such stock option will vest over a three-year period, subject to the directors continued service as a director, with one-third of the award vesting on the first anniversary of the grant date and the remainder of the award vesting in equal monthly installments thereafter. Further, on the date of each annual meeting of stockholders, each non-employee director that continues to serve as a non-employee member on our Board will receive an option to purchase 8,200 shares of our common stock, which was increased to 16,000 shares effective as of the Annual Meeting. The shares subject to each such stock option will vest on the earlier to occur of the first anniversary of the grant date and the date of the first annual meeting of stockholders following the grant date, subject to the directors continued service as a director. The exercise price of these options will equal the fair market value of our common stock on the date of grant. Vested stock options will be exercisable during any period of service to the Company and for one-year thereafter; provided, that no stock option shall be exercisable more than ten years after the date of the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This policy is intended to provide a total compensation package that enables us to attract and retain qualified and experienced individuals to serve as directors and to align our directors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All directors are entitled to reimbursement of ordinary expenses incurred in connection with attendance at meetings of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Non-Employee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for the year ended December 31, 2023 regarding the compensation awarded to or earned by our non-employee directors. Mr. Brady is not included in the table below, as he was an employee and received no additional compensation for his service as director. As a Named Executive Officer, the compensation received by Mr. Brady is shown above in Executive CompensationSummary Compensation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6"/>
        <w:gridCol w:w="350"/>
        <w:gridCol w:w="128"/>
        <w:gridCol w:w="1532"/>
        <w:gridCol w:w="60"/>
        <w:gridCol w:w="350"/>
        <w:gridCol w:w="80"/>
        <w:gridCol w:w="757"/>
        <w:gridCol w:w="60"/>
        <w:gridCol w:w="350"/>
        <w:gridCol w:w="60"/>
        <w:gridCol w:w="845"/>
        <w:gridCol w:w="64"/>
      </w:tblGrid>
      <w:tr>
        <w:trPr/>
        <w:tc>
          <w:tcPr>
            <w:tcW w:w="3936"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5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Case</w:t>
              <w:br/>
              <w:t>($)</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($)(1)(3)</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4" w:type="dxa"/>
            <w:tcBorders/>
            <w:vAlign w:val="bottom"/>
          </w:tcPr>
          <w:p>
            <w:pPr>
              <w:pStyle w:val="TableContents"/>
              <w:bidi w:val="0"/>
              <w:spacing w:before="0" w:after="283"/>
              <w:jc w:val="left"/>
              <w:rPr/>
            </w:pPr>
            <w:r>
              <w:rPr/>
              <w:t> </w:t>
            </w:r>
          </w:p>
        </w:tc>
      </w:tr>
      <w:tr>
        <w:trPr/>
        <w:tc>
          <w:tcPr>
            <w:tcW w:w="3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35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55,500</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9,616</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65,116</w:t>
            </w:r>
          </w:p>
        </w:tc>
        <w:tc>
          <w:tcPr>
            <w:tcW w:w="64" w:type="dxa"/>
            <w:tcBorders/>
            <w:shd w:fill="CCEEFF" w:val="clear"/>
            <w:vAlign w:val="bottom"/>
          </w:tcPr>
          <w:p>
            <w:pPr>
              <w:pStyle w:val="TableContents"/>
              <w:bidi w:val="0"/>
              <w:spacing w:before="0" w:after="283"/>
              <w:jc w:val="left"/>
              <w:rPr/>
            </w:pPr>
            <w:r>
              <w:rPr/>
              <w:t> </w:t>
            </w:r>
          </w:p>
        </w:tc>
      </w:tr>
      <w:tr>
        <w:trPr/>
        <w:tc>
          <w:tcPr>
            <w:tcW w:w="3936" w:type="dxa"/>
            <w:tcBorders/>
          </w:tcPr>
          <w:p>
            <w:pPr>
              <w:pStyle w:val="TableContents"/>
              <w:bidi w:val="0"/>
              <w:spacing w:before="0" w:after="0"/>
              <w:jc w:val="left"/>
              <w:rPr>
                <w:rFonts w:ascii="Times New Roman" w:hAnsi="Times New Roman"/>
                <w:sz w:val="20"/>
              </w:rPr>
            </w:pPr>
            <w:r>
              <w:rPr>
                <w:rFonts w:ascii="Times New Roman" w:hAnsi="Times New Roman"/>
                <w:sz w:val="20"/>
              </w:rPr>
              <w:t>Christine Pellizzari</w:t>
            </w:r>
          </w:p>
        </w:tc>
        <w:tc>
          <w:tcPr>
            <w:tcW w:w="35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57,722</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9,616</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67,338</w:t>
            </w:r>
          </w:p>
        </w:tc>
        <w:tc>
          <w:tcPr>
            <w:tcW w:w="64" w:type="dxa"/>
            <w:tcBorders/>
            <w:vAlign w:val="bottom"/>
          </w:tcPr>
          <w:p>
            <w:pPr>
              <w:pStyle w:val="TableContents"/>
              <w:bidi w:val="0"/>
              <w:spacing w:before="0" w:after="283"/>
              <w:jc w:val="left"/>
              <w:rPr/>
            </w:pPr>
            <w:r>
              <w:rPr/>
              <w:t> </w:t>
            </w:r>
          </w:p>
        </w:tc>
      </w:tr>
      <w:tr>
        <w:trPr/>
        <w:tc>
          <w:tcPr>
            <w:tcW w:w="3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35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98,222</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9,616</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107,838</w:t>
            </w:r>
          </w:p>
        </w:tc>
        <w:tc>
          <w:tcPr>
            <w:tcW w:w="64" w:type="dxa"/>
            <w:tcBorders/>
            <w:shd w:fill="CCEEFF" w:val="clear"/>
            <w:vAlign w:val="bottom"/>
          </w:tcPr>
          <w:p>
            <w:pPr>
              <w:pStyle w:val="TableContents"/>
              <w:bidi w:val="0"/>
              <w:spacing w:before="0" w:after="283"/>
              <w:jc w:val="left"/>
              <w:rPr/>
            </w:pPr>
            <w:r>
              <w:rPr/>
              <w:t> </w:t>
            </w:r>
          </w:p>
        </w:tc>
      </w:tr>
      <w:tr>
        <w:trPr/>
        <w:tc>
          <w:tcPr>
            <w:tcW w:w="3936" w:type="dxa"/>
            <w:tcBorders/>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35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48,000</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9,616</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57,616</w:t>
            </w:r>
          </w:p>
        </w:tc>
        <w:tc>
          <w:tcPr>
            <w:tcW w:w="64" w:type="dxa"/>
            <w:tcBorders/>
            <w:vAlign w:val="bottom"/>
          </w:tcPr>
          <w:p>
            <w:pPr>
              <w:pStyle w:val="TableContents"/>
              <w:bidi w:val="0"/>
              <w:spacing w:before="0" w:after="283"/>
              <w:jc w:val="left"/>
              <w:rPr/>
            </w:pPr>
            <w:r>
              <w:rPr/>
              <w:t> </w:t>
            </w:r>
          </w:p>
        </w:tc>
      </w:tr>
      <w:tr>
        <w:trPr/>
        <w:tc>
          <w:tcPr>
            <w:tcW w:w="3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Woiwode(2)</w:t>
            </w:r>
          </w:p>
        </w:tc>
        <w:tc>
          <w:tcPr>
            <w:tcW w:w="35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24,750</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24,750</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the option awards granted during 2023 computed in accordance with ASC 718. These amounts do not reflect the actual economic value that will be realized by the director.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fees earned or paid in cash for Dr. Woiwode, whose term on the Board ended June 15, 2023, reflects committee fees, prorated for Dr. Woiwodes partial year of service as a director and a member of the Compensation Committee and Science &amp; Technology Committee during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aggregate number of equity awards granted to our non-employee directors that were outstanding as of December 31, 2023: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29"/>
        <w:gridCol w:w="744"/>
        <w:gridCol w:w="129"/>
        <w:gridCol w:w="1474"/>
        <w:gridCol w:w="63"/>
      </w:tblGrid>
      <w:tr>
        <w:trPr/>
        <w:tc>
          <w:tcPr>
            <w:tcW w:w="4529" w:type="dxa"/>
            <w:tcBorders/>
            <w:vAlign w:val="center"/>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744"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pPr>
            <w:r>
              <w:rPr>
                <w:b/>
              </w:rPr>
              <w:t>Option Awards</w:t>
              <w:br/>
              <w:t>Outstanding at</w:t>
            </w:r>
            <w:r>
              <w:rPr/>
              <w:br/>
            </w:r>
            <w:r>
              <w:rPr>
                <w:b/>
              </w:rPr>
              <w:t>Year End</w:t>
            </w:r>
          </w:p>
        </w:tc>
        <w:tc>
          <w:tcPr>
            <w:tcW w:w="63"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Geoff Nichol</w:t>
            </w:r>
          </w:p>
        </w:tc>
        <w:tc>
          <w:tcPr>
            <w:tcW w:w="74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20,735</w:t>
            </w:r>
          </w:p>
        </w:tc>
        <w:tc>
          <w:tcPr>
            <w:tcW w:w="63"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Christine Pellizzari</w:t>
            </w:r>
          </w:p>
        </w:tc>
        <w:tc>
          <w:tcPr>
            <w:tcW w:w="74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18,335</w:t>
            </w:r>
          </w:p>
        </w:tc>
        <w:tc>
          <w:tcPr>
            <w:tcW w:w="63"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Raab</w:t>
            </w:r>
          </w:p>
        </w:tc>
        <w:tc>
          <w:tcPr>
            <w:tcW w:w="74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49,609</w:t>
            </w:r>
          </w:p>
        </w:tc>
        <w:tc>
          <w:tcPr>
            <w:tcW w:w="63"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Ronit Simantov</w:t>
            </w:r>
          </w:p>
        </w:tc>
        <w:tc>
          <w:tcPr>
            <w:tcW w:w="74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18,335</w:t>
            </w:r>
          </w:p>
        </w:tc>
        <w:tc>
          <w:tcPr>
            <w:tcW w:w="63"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Woiwode</w:t>
            </w:r>
          </w:p>
        </w:tc>
        <w:tc>
          <w:tcPr>
            <w:tcW w:w="74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4,237</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240250_9"/>
      <w:bookmarkEnd w:id="11"/>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equity compensation plan information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6"/>
        <w:gridCol w:w="307"/>
        <w:gridCol w:w="134"/>
        <w:gridCol w:w="2214"/>
        <w:gridCol w:w="353"/>
        <w:gridCol w:w="250"/>
        <w:gridCol w:w="180"/>
        <w:gridCol w:w="1686"/>
        <w:gridCol w:w="60"/>
        <w:gridCol w:w="307"/>
        <w:gridCol w:w="122"/>
        <w:gridCol w:w="2018"/>
        <w:gridCol w:w="358"/>
      </w:tblGrid>
      <w:tr>
        <w:trPr/>
        <w:tc>
          <w:tcPr>
            <w:tcW w:w="2216"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307" w:type="dxa"/>
            <w:tcBorders/>
            <w:vAlign w:val="bottom"/>
          </w:tcPr>
          <w:p>
            <w:pPr>
              <w:pStyle w:val="TableContents"/>
              <w:bidi w:val="0"/>
              <w:spacing w:before="0" w:after="283"/>
              <w:jc w:val="left"/>
              <w:rPr/>
            </w:pPr>
            <w:r>
              <w:rPr/>
              <w:t>  </w:t>
            </w:r>
          </w:p>
        </w:tc>
        <w:tc>
          <w:tcPr>
            <w:tcW w:w="2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to be issued upon</w:t>
              <w:br/>
              <w:t>exercise of outstanding</w:t>
              <w:br/>
              <w:t>options, warrants and</w:t>
              <w:br/>
              <w:t>rights</w:t>
              <w:br/>
              <w:t>(a)(#)</w:t>
            </w:r>
          </w:p>
        </w:tc>
        <w:tc>
          <w:tcPr>
            <w:tcW w:w="35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 of</w:t>
              <w:br/>
              <w:t>outstanding</w:t>
              <w:br/>
              <w:t>options, warrants</w:t>
              <w:br/>
              <w:t>and rights</w:t>
              <w:br/>
              <w:t>(b)($) (1)</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w:t>
              <w:br/>
              <w:t>for issuance under</w:t>
              <w:br/>
              <w:t>equity compensation</w:t>
              <w:br/>
              <w:t>plans (excluding</w:t>
              <w:br/>
              <w:t>securities reflected in</w:t>
              <w:br/>
              <w:t>column (a))</w:t>
              <w:br/>
              <w:t>(c)(#)</w:t>
            </w:r>
          </w:p>
        </w:tc>
        <w:tc>
          <w:tcPr>
            <w:tcW w:w="358"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30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sz w:val="4"/>
                <w:szCs w:val="4"/>
              </w:rPr>
            </w:pPr>
            <w:r>
              <w:rPr>
                <w:sz w:val="4"/>
                <w:szCs w:val="4"/>
              </w:rPr>
            </w:r>
          </w:p>
        </w:tc>
        <w:tc>
          <w:tcPr>
            <w:tcW w:w="2214"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201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2216" w:type="dxa"/>
            <w:tcBorders/>
          </w:tcPr>
          <w:p>
            <w:pPr>
              <w:pStyle w:val="TableContents"/>
              <w:bidi w:val="0"/>
              <w:spacing w:before="0" w:after="0"/>
              <w:jc w:val="left"/>
              <w:rPr>
                <w:rFonts w:ascii="Times New Roman" w:hAnsi="Times New Roman"/>
                <w:sz w:val="20"/>
              </w:rPr>
            </w:pPr>
            <w:r>
              <w:rPr>
                <w:rFonts w:ascii="Times New Roman" w:hAnsi="Times New Roman"/>
                <w:sz w:val="20"/>
              </w:rPr>
              <w:t>2017 EIP</w:t>
            </w:r>
          </w:p>
        </w:tc>
        <w:tc>
          <w:tcPr>
            <w:tcW w:w="30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right"/>
              <w:rPr/>
            </w:pPr>
            <w:r>
              <w:rPr/>
              <w:t>629,502</w:t>
            </w:r>
          </w:p>
        </w:tc>
        <w:tc>
          <w:tcPr>
            <w:tcW w:w="35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10.54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8" w:type="dxa"/>
            <w:tcBorders/>
            <w:vAlign w:val="bottom"/>
          </w:tcPr>
          <w:p>
            <w:pPr>
              <w:pStyle w:val="TableContents"/>
              <w:bidi w:val="0"/>
              <w:spacing w:before="0" w:after="283"/>
              <w:jc w:val="right"/>
              <w:rPr/>
            </w:pPr>
            <w:r>
              <w:rPr/>
              <w:t> </w:t>
            </w:r>
          </w:p>
        </w:tc>
        <w:tc>
          <w:tcPr>
            <w:tcW w:w="358" w:type="dxa"/>
            <w:tcBorders/>
            <w:vAlign w:val="bottom"/>
          </w:tcPr>
          <w:p>
            <w:pPr>
              <w:pStyle w:val="TableContents"/>
              <w:bidi w:val="0"/>
              <w:spacing w:before="0" w:after="283"/>
              <w:jc w:val="left"/>
              <w:rPr/>
            </w:pPr>
            <w:r>
              <w:rPr/>
              <w:t> </w:t>
            </w:r>
          </w:p>
        </w:tc>
      </w:tr>
      <w:tr>
        <w:trPr/>
        <w:tc>
          <w:tcPr>
            <w:tcW w:w="2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2019 EIP</w:t>
            </w:r>
          </w:p>
        </w:tc>
        <w:tc>
          <w:tcPr>
            <w:tcW w:w="30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right"/>
              <w:rPr/>
            </w:pPr>
            <w:r>
              <w:rPr/>
              <w:t>1,249,560</w:t>
            </w:r>
          </w:p>
        </w:tc>
        <w:tc>
          <w:tcPr>
            <w:tcW w:w="35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2.64</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8" w:type="dxa"/>
            <w:tcBorders/>
            <w:shd w:fill="CCEEFF" w:val="clear"/>
            <w:vAlign w:val="bottom"/>
          </w:tcPr>
          <w:p>
            <w:pPr>
              <w:pStyle w:val="TableContents"/>
              <w:bidi w:val="0"/>
              <w:spacing w:before="0" w:after="283"/>
              <w:jc w:val="right"/>
              <w:rPr/>
            </w:pPr>
            <w:r>
              <w:rPr/>
              <w:t> </w:t>
            </w:r>
          </w:p>
        </w:tc>
        <w:tc>
          <w:tcPr>
            <w:tcW w:w="358" w:type="dxa"/>
            <w:tcBorders/>
            <w:shd w:fill="CCEEFF" w:val="clear"/>
            <w:vAlign w:val="bottom"/>
          </w:tcPr>
          <w:p>
            <w:pPr>
              <w:pStyle w:val="TableContents"/>
              <w:bidi w:val="0"/>
              <w:spacing w:before="0" w:after="283"/>
              <w:jc w:val="left"/>
              <w:rPr/>
            </w:pPr>
            <w:r>
              <w:rPr/>
              <w:t> </w:t>
            </w:r>
          </w:p>
        </w:tc>
      </w:tr>
      <w:tr>
        <w:trPr/>
        <w:tc>
          <w:tcPr>
            <w:tcW w:w="2216" w:type="dxa"/>
            <w:tcBorders/>
          </w:tcPr>
          <w:p>
            <w:pPr>
              <w:pStyle w:val="TableContents"/>
              <w:bidi w:val="0"/>
              <w:spacing w:before="0" w:after="0"/>
              <w:jc w:val="left"/>
              <w:rPr>
                <w:rFonts w:ascii="Times New Roman" w:hAnsi="Times New Roman"/>
                <w:sz w:val="20"/>
              </w:rPr>
            </w:pPr>
            <w:r>
              <w:rPr>
                <w:rFonts w:ascii="Times New Roman" w:hAnsi="Times New Roman"/>
                <w:sz w:val="20"/>
              </w:rPr>
              <w:t>2019 Employee Stock Purchase Plan</w:t>
            </w:r>
          </w:p>
        </w:tc>
        <w:tc>
          <w:tcPr>
            <w:tcW w:w="30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right"/>
              <w:rPr/>
            </w:pPr>
            <w:r>
              <w:rPr/>
              <w:t> </w:t>
            </w:r>
          </w:p>
        </w:tc>
        <w:tc>
          <w:tcPr>
            <w:tcW w:w="35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8" w:type="dxa"/>
            <w:tcBorders/>
            <w:vAlign w:val="bottom"/>
          </w:tcPr>
          <w:p>
            <w:pPr>
              <w:pStyle w:val="TableContents"/>
              <w:bidi w:val="0"/>
              <w:spacing w:before="0" w:after="283"/>
              <w:jc w:val="right"/>
              <w:rPr/>
            </w:pPr>
            <w:r>
              <w:rPr/>
              <w:t>232,136</w:t>
            </w:r>
          </w:p>
        </w:tc>
        <w:tc>
          <w:tcPr>
            <w:tcW w:w="358" w:type="dxa"/>
            <w:tcBorders/>
            <w:vAlign w:val="bottom"/>
          </w:tcPr>
          <w:p>
            <w:pPr>
              <w:pStyle w:val="TableContents"/>
              <w:bidi w:val="0"/>
              <w:spacing w:before="0" w:after="283"/>
              <w:jc w:val="left"/>
              <w:rPr/>
            </w:pPr>
            <w:r>
              <w:rPr/>
              <w:t>(2) </w:t>
            </w:r>
          </w:p>
        </w:tc>
      </w:tr>
      <w:tr>
        <w:trPr/>
        <w:tc>
          <w:tcPr>
            <w:tcW w:w="2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 EIP</w:t>
            </w:r>
          </w:p>
        </w:tc>
        <w:tc>
          <w:tcPr>
            <w:tcW w:w="30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right"/>
              <w:rPr/>
            </w:pPr>
            <w:r>
              <w:rPr/>
              <w:t>1,779,600</w:t>
            </w:r>
          </w:p>
        </w:tc>
        <w:tc>
          <w:tcPr>
            <w:tcW w:w="353" w:type="dxa"/>
            <w:tcBorders/>
            <w:shd w:fill="CCEEFF" w:val="clear"/>
            <w:vAlign w:val="bottom"/>
          </w:tcPr>
          <w:p>
            <w:pPr>
              <w:pStyle w:val="TableContents"/>
              <w:bidi w:val="0"/>
              <w:spacing w:before="0" w:after="283"/>
              <w:jc w:val="left"/>
              <w:rPr/>
            </w:pPr>
            <w:r>
              <w:rPr/>
              <w:t>(3) </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3.43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8" w:type="dxa"/>
            <w:tcBorders/>
            <w:shd w:fill="CCEEFF" w:val="clear"/>
            <w:vAlign w:val="bottom"/>
          </w:tcPr>
          <w:p>
            <w:pPr>
              <w:pStyle w:val="TableContents"/>
              <w:bidi w:val="0"/>
              <w:spacing w:before="0" w:after="283"/>
              <w:jc w:val="right"/>
              <w:rPr/>
            </w:pPr>
            <w:r>
              <w:rPr/>
              <w:t>233,708</w:t>
            </w:r>
          </w:p>
        </w:tc>
        <w:tc>
          <w:tcPr>
            <w:tcW w:w="358" w:type="dxa"/>
            <w:tcBorders/>
            <w:shd w:fill="CCEEFF" w:val="clear"/>
            <w:vAlign w:val="bottom"/>
          </w:tcPr>
          <w:p>
            <w:pPr>
              <w:pStyle w:val="TableContents"/>
              <w:bidi w:val="0"/>
              <w:spacing w:before="0" w:after="283"/>
              <w:jc w:val="left"/>
              <w:rPr/>
            </w:pPr>
            <w:r>
              <w:rPr/>
              <w:t>(4) </w:t>
            </w:r>
          </w:p>
        </w:tc>
      </w:tr>
      <w:tr>
        <w:trPr/>
        <w:tc>
          <w:tcPr>
            <w:tcW w:w="2216"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30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sz w:val="4"/>
                <w:szCs w:val="4"/>
              </w:rPr>
            </w:pPr>
            <w:r>
              <w:rPr>
                <w:sz w:val="4"/>
                <w:szCs w:val="4"/>
              </w:rPr>
            </w:r>
          </w:p>
        </w:tc>
        <w:tc>
          <w:tcPr>
            <w:tcW w:w="2214"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2018"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22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 Inducement Plan(5)</w:t>
            </w:r>
          </w:p>
        </w:tc>
        <w:tc>
          <w:tcPr>
            <w:tcW w:w="307"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right"/>
              <w:rPr/>
            </w:pPr>
            <w:r>
              <w:rPr/>
              <w:t>7,650</w:t>
            </w:r>
          </w:p>
        </w:tc>
        <w:tc>
          <w:tcPr>
            <w:tcW w:w="35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3.43</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8" w:type="dxa"/>
            <w:tcBorders/>
            <w:shd w:fill="CCEEFF" w:val="clear"/>
            <w:vAlign w:val="bottom"/>
          </w:tcPr>
          <w:p>
            <w:pPr>
              <w:pStyle w:val="TableContents"/>
              <w:bidi w:val="0"/>
              <w:spacing w:before="0" w:after="283"/>
              <w:jc w:val="right"/>
              <w:rPr/>
            </w:pPr>
            <w:r>
              <w:rPr/>
              <w:t>1,142,350</w:t>
            </w:r>
          </w:p>
        </w:tc>
        <w:tc>
          <w:tcPr>
            <w:tcW w:w="358" w:type="dxa"/>
            <w:tcBorders/>
            <w:shd w:fill="CCEEFF" w:val="clear"/>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2214"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2018"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r>
        <w:trPr/>
        <w:tc>
          <w:tcPr>
            <w:tcW w:w="221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right"/>
              <w:rPr/>
            </w:pPr>
            <w:r>
              <w:rPr/>
              <w:t>3,666,312</w:t>
            </w:r>
          </w:p>
        </w:tc>
        <w:tc>
          <w:tcPr>
            <w:tcW w:w="35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8" w:type="dxa"/>
            <w:tcBorders/>
            <w:vAlign w:val="bottom"/>
          </w:tcPr>
          <w:p>
            <w:pPr>
              <w:pStyle w:val="TableContents"/>
              <w:bidi w:val="0"/>
              <w:spacing w:before="0" w:after="283"/>
              <w:jc w:val="right"/>
              <w:rPr/>
            </w:pPr>
            <w:r>
              <w:rPr/>
              <w:t>1,608,194</w:t>
            </w:r>
          </w:p>
        </w:tc>
        <w:tc>
          <w:tcPr>
            <w:tcW w:w="358" w:type="dxa"/>
            <w:tcBorders/>
            <w:vAlign w:val="bottom"/>
          </w:tcPr>
          <w:p>
            <w:pPr>
              <w:pStyle w:val="TableContents"/>
              <w:bidi w:val="0"/>
              <w:spacing w:before="0" w:after="283"/>
              <w:jc w:val="left"/>
              <w:rPr/>
            </w:pPr>
            <w:r>
              <w:rPr/>
              <w:t> </w:t>
            </w:r>
          </w:p>
        </w:tc>
      </w:tr>
      <w:tr>
        <w:trPr/>
        <w:tc>
          <w:tcPr>
            <w:tcW w:w="2216"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double" w:sz="6" w:space="1" w:color="000000"/>
              </w:pBdr>
              <w:bidi w:val="0"/>
              <w:spacing w:before="0" w:after="0"/>
              <w:jc w:val="left"/>
              <w:rPr/>
            </w:pPr>
            <w:r>
              <w:rPr/>
              <w:t> </w:t>
            </w:r>
          </w:p>
        </w:tc>
        <w:tc>
          <w:tcPr>
            <w:tcW w:w="2214" w:type="dxa"/>
            <w:tcBorders/>
            <w:vAlign w:val="bottom"/>
          </w:tcPr>
          <w:p>
            <w:pPr>
              <w:pStyle w:val="TableContents"/>
              <w:pBdr>
                <w:top w:val="double" w:sz="6"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double" w:sz="6" w:space="1" w:color="000000"/>
              </w:pBdr>
              <w:bidi w:val="0"/>
              <w:spacing w:before="0" w:after="0"/>
              <w:jc w:val="left"/>
              <w:rPr/>
            </w:pPr>
            <w:r>
              <w:rPr/>
              <w:t> </w:t>
            </w:r>
          </w:p>
        </w:tc>
        <w:tc>
          <w:tcPr>
            <w:tcW w:w="2018"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weighted-average exercise price excludes any outstanding RSU awards, which have no exercise price.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500,000 shares of our common stock, or (c) a lesser number determined by our Board prior to the applicable January 1st. Accordingly, on January 1, 2024, the number of shares of common stock available for issuance under our 2019 ESPP increased by 330,678 shares. This increase is not reflected in the table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125,000 shares of common stock underlying an RSU award.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 lesser number of shares determined by our Board prior to January 1st of a given fiscal year. Accordingly, on January 1, 2024, the number of shares of common stock available for issuance under our 2023 EIP increased by 881,810 shares. This increase is not reflected in the table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underlying options granted to employees as inducement awards material to the grantees entering into employment with us pursuant to Nasdaq Rule 5635(c)(4). Does not reflect 12,600 shares of common stock granted pursuant to inducement grants made outside of the 2023 Inducement Plan at a weighted average exercise-price of $2.18.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240250_10"/>
      <w:bookmarkEnd w:id="12"/>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beneficial ownership of our common stock as of March 29, 2024, the most recent practicable date for computing beneficial ownership,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director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is based on 22,217,265 shares of our common stock issued and outstanding as of March 29, 2024.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29, 2024. However, we did not deem these shares outstanding for the purpose of computing the percentage ownership of any other person.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51"/>
        <w:gridCol w:w="323"/>
        <w:gridCol w:w="60"/>
        <w:gridCol w:w="1108"/>
        <w:gridCol w:w="60"/>
        <w:gridCol w:w="323"/>
        <w:gridCol w:w="102"/>
        <w:gridCol w:w="1048"/>
        <w:gridCol w:w="280"/>
      </w:tblGrid>
      <w:tr>
        <w:trPr/>
        <w:tc>
          <w:tcPr>
            <w:tcW w:w="4451"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Owner(1)</w:t>
            </w:r>
          </w:p>
        </w:tc>
        <w:tc>
          <w:tcPr>
            <w:tcW w:w="323"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Total</w:t>
            </w:r>
          </w:p>
        </w:tc>
        <w:tc>
          <w:tcPr>
            <w:tcW w:w="280"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Stockholders Owning Greater than 5%:</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Versant Venture Capital(2)</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4,295,055</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19.33</w:t>
            </w:r>
          </w:p>
        </w:tc>
        <w:tc>
          <w:tcPr>
            <w:tcW w:w="280"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Stephen Brady(3)</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457,810</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2.02</w:t>
            </w:r>
          </w:p>
        </w:tc>
        <w:tc>
          <w:tcPr>
            <w:tcW w:w="280"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Whiting(4)</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149,296</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Michael Raab(5)</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39,987</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Nicholas Maestas(6)</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71,534</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Geoff Nichol(7)</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12,166</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Christine Pellizzari(8)</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9,766</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Ronit Simantov(9)</w:t>
            </w:r>
          </w:p>
        </w:tc>
        <w:tc>
          <w:tcPr>
            <w:tcW w:w="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9,581</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All current directors and executive officers as a group (7 persons)</w:t>
            </w:r>
          </w:p>
        </w:tc>
        <w:tc>
          <w:tcPr>
            <w:tcW w:w="3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750,140</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3.27</w:t>
            </w:r>
          </w:p>
        </w:tc>
        <w:tc>
          <w:tcPr>
            <w:tcW w:w="28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each director and executive officer is c/o Tempest Therapeutics, Inc., 2000 Sierra Point Parkway, Suite 400, Brisbane, California, 94005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indicated ownership is based solely on a Schedule 13D/A filed with the SEC by Versant Venture Capital IV, L.P. (</w:t>
            </w:r>
            <w:r>
              <w:rPr>
                <w:rFonts w:ascii="Times New Roman" w:hAnsi="Times New Roman"/>
                <w:b/>
                <w:i/>
                <w:sz w:val="20"/>
              </w:rPr>
              <w:t>Versant IV</w:t>
            </w:r>
            <w:r>
              <w:rPr>
                <w:rFonts w:ascii="Times New Roman" w:hAnsi="Times New Roman"/>
                <w:sz w:val="20"/>
              </w:rPr>
              <w:t>), Versant Side Fund IV, L.P. (</w:t>
            </w:r>
            <w:r>
              <w:rPr>
                <w:rFonts w:ascii="Times New Roman" w:hAnsi="Times New Roman"/>
                <w:b/>
                <w:i/>
                <w:sz w:val="20"/>
              </w:rPr>
              <w:t>Side Fund IV</w:t>
            </w:r>
            <w:r>
              <w:rPr>
                <w:rFonts w:ascii="Times New Roman" w:hAnsi="Times New Roman"/>
                <w:sz w:val="20"/>
              </w:rPr>
              <w:t>), Versant Ventures IV, LLC (</w:t>
            </w:r>
            <w:r>
              <w:rPr>
                <w:rFonts w:ascii="Times New Roman" w:hAnsi="Times New Roman"/>
                <w:b/>
                <w:i/>
                <w:sz w:val="20"/>
              </w:rPr>
              <w:t>LLC IV</w:t>
            </w:r>
            <w:r>
              <w:rPr>
                <w:rFonts w:ascii="Times New Roman" w:hAnsi="Times New Roman"/>
                <w:sz w:val="20"/>
              </w:rPr>
              <w:t>), Versant Venture Capital VI, L.P. (</w:t>
            </w:r>
            <w:r>
              <w:rPr>
                <w:rFonts w:ascii="Times New Roman" w:hAnsi="Times New Roman"/>
                <w:b/>
                <w:i/>
                <w:sz w:val="20"/>
              </w:rPr>
              <w:t>Versant VI</w:t>
            </w:r>
            <w:r>
              <w:rPr>
                <w:rFonts w:ascii="Times New Roman" w:hAnsi="Times New Roman"/>
                <w:sz w:val="20"/>
              </w:rPr>
              <w:t>), Versant Ventures VI GP, L.P. (</w:t>
            </w:r>
            <w:r>
              <w:rPr>
                <w:rFonts w:ascii="Times New Roman" w:hAnsi="Times New Roman"/>
                <w:b/>
                <w:i/>
                <w:sz w:val="20"/>
              </w:rPr>
              <w:t>GP VI</w:t>
            </w:r>
            <w:r>
              <w:rPr>
                <w:rFonts w:ascii="Times New Roman" w:hAnsi="Times New Roman"/>
                <w:sz w:val="20"/>
              </w:rPr>
              <w:t>), Versant Ventures VI GP-GP, LLC (</w:t>
            </w:r>
            <w:r>
              <w:rPr>
                <w:rFonts w:ascii="Times New Roman" w:hAnsi="Times New Roman"/>
                <w:b/>
                <w:i/>
                <w:sz w:val="20"/>
              </w:rPr>
              <w:t>LLC VI</w:t>
            </w:r>
            <w:r>
              <w:rPr>
                <w:rFonts w:ascii="Times New Roman" w:hAnsi="Times New Roman"/>
                <w:sz w:val="20"/>
              </w:rPr>
              <w:t>), Versant Vantage II, L.P. (</w:t>
            </w:r>
            <w:r>
              <w:rPr>
                <w:rFonts w:ascii="Times New Roman" w:hAnsi="Times New Roman"/>
                <w:b/>
                <w:i/>
                <w:sz w:val="20"/>
              </w:rPr>
              <w:t>Vantage II LP</w:t>
            </w:r>
            <w:r>
              <w:rPr>
                <w:rFonts w:ascii="Times New Roman" w:hAnsi="Times New Roman"/>
                <w:sz w:val="20"/>
              </w:rPr>
              <w:t>), Versant Vantage II GP, L.P. (</w:t>
            </w:r>
            <w:r>
              <w:rPr>
                <w:rFonts w:ascii="Times New Roman" w:hAnsi="Times New Roman"/>
                <w:b/>
                <w:i/>
                <w:sz w:val="20"/>
              </w:rPr>
              <w:t>Vantage II GP</w:t>
            </w:r>
            <w:r>
              <w:rPr>
                <w:rFonts w:ascii="Times New Roman" w:hAnsi="Times New Roman"/>
                <w:sz w:val="20"/>
              </w:rPr>
              <w:t>), Versant Vantage II GP-GP, LLC (</w:t>
            </w:r>
            <w:r>
              <w:rPr>
                <w:rFonts w:ascii="Times New Roman" w:hAnsi="Times New Roman"/>
                <w:b/>
                <w:i/>
                <w:sz w:val="20"/>
              </w:rPr>
              <w:t>Vantage II LLC</w:t>
            </w:r>
            <w:r>
              <w:rPr>
                <w:rFonts w:ascii="Times New Roman" w:hAnsi="Times New Roman"/>
                <w:sz w:val="20"/>
              </w:rPr>
              <w:t> and, with Versant IV, Side Fund IV, LLC IV, Versant VI, GP VI, LLC VI, Vantage II LP and Vantage II GP, collectively, the </w:t>
            </w:r>
            <w:r>
              <w:rPr>
                <w:rFonts w:ascii="Times New Roman" w:hAnsi="Times New Roman"/>
                <w:b/>
                <w:i/>
                <w:sz w:val="20"/>
              </w:rPr>
              <w:t>Versant Reporting Persons</w:t>
            </w:r>
            <w:r>
              <w:rPr>
                <w:rFonts w:ascii="Times New Roman" w:hAnsi="Times New Roman"/>
                <w:sz w:val="20"/>
              </w:rPr>
              <w:t xml:space="preserve">).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partner of Vantage II GP, which is the general partner of Vantage II LP. Each of Vantage II LLC and Vantage II GP share voting and dispositive power over the shares held by Vantage II LP. Represents (i) 997,940 shares of common stock held by Versant VI, (ii) 2,118,644 shares of common stock held by Vantage II LP, (iii) 1,171,094 shares of common stock held by Versant IV, and (iv) 7,377 shares of common stock held by Side Fund IV, as reported on Schedule 13D filed with the SEC on May 9, 2022, as amended by Schedule 13D/A filed with the SEC on November 9, 2023 and Schedule 13D/A filed with the SEC on February 8, 2024. Thomas Woiwode, Kirk Nielsen, Bradley Bolzon, Robin Praeger, William Link, Samuel Colella, Rebecca Robertson, Brian Atwood, Ross Jaffe and Charles Warden, the managing members of LLC IV, may be deemed to possess voting and dispositive control over the shares held by Versant IV and Side Fund IV, and may be deemed to have indirect beneficial ownership of the shares held by such entities but disclaims beneficial ownership of such securities, except to the extent of their respective pecuniary interest therein, if any. Thomas Woiwode, Bradley Bolzon, Jerel Davis, Kirk Nielsen, Clare Ozawa and Robin Praeger, the managing directors of LLC VI, may be deemed to possess voting and dispositive control over the shares held by Versant VI and may be deemed to have indirect beneficial ownership of the shares held by such entity but disclaims beneficial ownership of such securities, except to the extent of their respective pecuniary interest therein, if any. The address of each of these persons and entities is One Sansome, Suite 1650, San Francisco, CA 94104.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6,000 shares of common stock and (ii) 451,810 shares of common stock subject to options that are exercisable within 60 days of March 29,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4,901 shares of common stock and (ii) 144,395 shares of common stock subject to options that are exercisable within 60 days of March 29,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39,987shares of common stock subject to options that are exercisable within 60 days of March 29,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3,000 shares of common stock and (ii) 68,534 shares of common stock subject to options that are exercisable within 60 days of March 29,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12,166 shares of common stock subject to options that are exercisable within 60 days of March 29,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9,766 shares of common stock subject to options that are exercisable within 60 days of March 29,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9,581 shares of common stock subject to options that are exercisable within 60 days of March 29,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240250_11"/>
      <w:bookmarkEnd w:id="13"/>
      <w:r>
        <w:rPr>
          <w:rFonts w:ascii="Times New Roman" w:hAnsi="Times New Roman"/>
          <w:b/>
          <w:sz w:val="20"/>
        </w:rPr>
        <w:t xml:space="preserve">TRANSACTIONS WITH RELATED PERSONS AND INDEMNIFICATION </w:t>
      </w:r>
    </w:p>
    <w:p>
      <w:pPr>
        <w:pStyle w:val="TextBody"/>
        <w:bidi w:val="0"/>
        <w:spacing w:before="240" w:after="0"/>
        <w:jc w:val="left"/>
        <w:rPr>
          <w:rFonts w:ascii="Times New Roman" w:hAnsi="Times New Roman"/>
          <w:b/>
          <w:sz w:val="20"/>
        </w:rPr>
      </w:pPr>
      <w:r>
        <w:rPr>
          <w:rFonts w:ascii="Times New Roman" w:hAnsi="Times New Roman"/>
          <w:b/>
          <w:sz w:val="20"/>
        </w:rPr>
        <w:t xml:space="preserve">RELATED PERSON TRANSACTIONS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 (1) $120,000 or (2) 1% of the 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compensation arrangements for our directors and executive officers, which are described in the section titled Executive and Director Compensation, the following is a description of our related person transactions since January 1, 2022 to which we were a party or will be a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PIPE </w:t>
      </w:r>
    </w:p>
    <w:p>
      <w:pPr>
        <w:pStyle w:val="TextBody"/>
        <w:bidi w:val="0"/>
        <w:spacing w:before="120" w:after="0"/>
        <w:jc w:val="left"/>
        <w:rPr>
          <w:rFonts w:ascii="Times New Roman" w:hAnsi="Times New Roman"/>
          <w:sz w:val="20"/>
        </w:rPr>
      </w:pPr>
      <w:r>
        <w:rPr>
          <w:rFonts w:ascii="Times New Roman" w:hAnsi="Times New Roman"/>
          <w:sz w:val="20"/>
        </w:rPr>
        <w:t>On April 29, 2022, we completed a private investment in public equity (</w:t>
      </w:r>
      <w:r>
        <w:rPr>
          <w:rFonts w:ascii="Times New Roman" w:hAnsi="Times New Roman"/>
          <w:b/>
          <w:i/>
          <w:sz w:val="20"/>
        </w:rPr>
        <w:t>PIPE</w:t>
      </w:r>
      <w:r>
        <w:rPr>
          <w:rFonts w:ascii="Times New Roman" w:hAnsi="Times New Roman"/>
          <w:sz w:val="20"/>
        </w:rPr>
        <w:t>)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w:t>
      </w:r>
      <w:r>
        <w:rPr>
          <w:rFonts w:ascii="Times New Roman" w:hAnsi="Times New Roman"/>
          <w:b/>
          <w:i/>
          <w:sz w:val="20"/>
        </w:rPr>
        <w:t>PIPE Investors</w:t>
      </w:r>
      <w:r>
        <w:rPr>
          <w:rFonts w:ascii="Times New Roman" w:hAnsi="Times New Roman"/>
          <w:sz w:val="20"/>
        </w:rPr>
        <w:t>). Net proceeds from the PIPE financings totaled approximately $14.5 million, after deducting offering expenses. We entered into a registration rights agreement (the </w:t>
      </w:r>
      <w:r>
        <w:rPr>
          <w:rFonts w:ascii="Times New Roman" w:hAnsi="Times New Roman"/>
          <w:b/>
          <w:i/>
          <w:sz w:val="20"/>
        </w:rPr>
        <w:t>Registration Rights Agreement</w:t>
      </w:r>
      <w:r>
        <w:rPr>
          <w:rFonts w:ascii="Times New Roman" w:hAnsi="Times New Roman"/>
          <w:sz w:val="20"/>
        </w:rPr>
        <w:t xml:space="preserve">) with the PIPE Investors pursuant to which we filed a registration statement with the SEC registering the resale of the 3,149,912 shares common stock and the 3,206,020 shares of common stock underlying the pre-funded warrants issued in the PIPE financing. </w:t>
      </w:r>
    </w:p>
    <w:p>
      <w:pPr>
        <w:pStyle w:val="TextBody"/>
        <w:bidi w:val="0"/>
        <w:spacing w:before="240" w:after="0"/>
        <w:jc w:val="left"/>
        <w:rPr>
          <w:rFonts w:ascii="Times New Roman" w:hAnsi="Times New Roman"/>
          <w:sz w:val="20"/>
        </w:rPr>
      </w:pPr>
      <w:r>
        <w:rPr>
          <w:rFonts w:ascii="Times New Roman" w:hAnsi="Times New Roman"/>
          <w:sz w:val="20"/>
        </w:rPr>
        <w:t>Versant Vantage II, L.P., an affiliated fund of Versant Venture Capital (together with its affiliated funds, </w:t>
      </w:r>
      <w:r>
        <w:rPr>
          <w:rFonts w:ascii="Times New Roman" w:hAnsi="Times New Roman"/>
          <w:b/>
          <w:i/>
          <w:sz w:val="20"/>
        </w:rPr>
        <w:t>Versant</w:t>
      </w:r>
      <w:r>
        <w:rPr>
          <w:rFonts w:ascii="Times New Roman" w:hAnsi="Times New Roman"/>
          <w:sz w:val="20"/>
        </w:rPr>
        <w:t xml:space="preserve">), an existing holder of more than 5% of our capital stock, purchased 2,118,644 shares of common stock in the PIPE financing. Thomas Woiwode, Ph.D., a former member of the Companys Board of Directors at the time of the PIPE, is also an affiliate of Versant.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240250_12"/>
      <w:bookmarkEnd w:id="14"/>
      <w:r>
        <w:rPr>
          <w:rFonts w:ascii="Times New Roman" w:hAnsi="Times New Roman"/>
          <w:b/>
          <w:sz w:val="20"/>
        </w:rPr>
        <w:t xml:space="preserve">OTHER INFORMATION FOR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for the 2025 Annual Meeting of Stockholders </w:t>
      </w:r>
    </w:p>
    <w:p>
      <w:pPr>
        <w:pStyle w:val="TextBody"/>
        <w:bidi w:val="0"/>
        <w:spacing w:before="120" w:after="0"/>
        <w:jc w:val="left"/>
        <w:rPr>
          <w:rFonts w:ascii="Times New Roman" w:hAnsi="Times New Roman"/>
          <w:i/>
          <w:sz w:val="20"/>
        </w:rPr>
      </w:pPr>
      <w:r>
        <w:rPr>
          <w:rFonts w:ascii="Times New Roman" w:hAnsi="Times New Roman"/>
          <w:i/>
          <w:sz w:val="20"/>
        </w:rPr>
        <w:t xml:space="preserve">Requirements for stockholder proposals to be brought before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2025 Annual Meeting of Stockholders, a stockholders notice must be delivered to or mailed and received by our Secretary at our principal executive offices between February 13, 2025 and March 15, 2025; </w:t>
      </w:r>
      <w:r>
        <w:rPr>
          <w:rFonts w:ascii="Times New Roman" w:hAnsi="Times New Roman"/>
          <w:i/>
          <w:sz w:val="20"/>
        </w:rPr>
        <w:t>provided, however</w:t>
      </w:r>
      <w:r>
        <w:rPr>
          <w:rFonts w:ascii="Times New Roman" w:hAnsi="Times New Roman"/>
          <w:sz w:val="20"/>
        </w:rPr>
        <w:t xml:space="preserve">,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stockholder proposals to be considered for inclusion in our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Stockholder proposals submitted pursuant to Rule 14a-8 under the Exchange Act, and intended to be presented at the 2025 Annual Meeting of Stockholders must be received by us not later than December 24, 2024 in order to be considered for inclusion in our proxy materials for that meeting. In addition, stockholders who intend to solicit proxies in support of director nominees other than our nominees must also comply with the additional requirements of Rule 14a-19.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Tempest Therapeutics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Tempest Therapeutics. Direct your written request to Corporate Secretary, Tempest Therapeutics, Inc., at 2000 Sierra Point Parkway, Suite 400, Brisbane, California, 94005.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240250_13"/>
      <w:bookmarkEnd w:id="15"/>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Nicholas Maestas</w:t>
            </w:r>
          </w:p>
        </w:tc>
      </w:tr>
      <w:tr>
        <w:trPr/>
        <w:tc>
          <w:tcPr>
            <w:tcW w:w="4082" w:type="dxa"/>
            <w:tcBorders/>
          </w:tcPr>
          <w:p>
            <w:pPr>
              <w:pStyle w:val="TableContents"/>
              <w:bidi w:val="0"/>
              <w:spacing w:before="0" w:after="283"/>
              <w:jc w:val="left"/>
              <w:rPr/>
            </w:pPr>
            <w:r>
              <w:rPr/>
              <w:t>Nicholas Maestas</w:t>
            </w:r>
          </w:p>
        </w:tc>
      </w:tr>
      <w:tr>
        <w:trPr/>
        <w:tc>
          <w:tcPr>
            <w:tcW w:w="4082" w:type="dxa"/>
            <w:tcBorders/>
          </w:tcPr>
          <w:p>
            <w:pPr>
              <w:pStyle w:val="TableContents"/>
              <w:bidi w:val="0"/>
              <w:spacing w:before="0" w:after="283"/>
              <w:jc w:val="left"/>
              <w:rPr/>
            </w:pPr>
            <w:r>
              <w:rPr/>
              <w:t>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23, 2024 </w:t>
      </w:r>
    </w:p>
    <w:p>
      <w:pPr>
        <w:pStyle w:val="TextBody"/>
        <w:bidi w:val="0"/>
        <w:spacing w:before="240" w:after="0"/>
        <w:jc w:val="left"/>
        <w:rPr>
          <w:rFonts w:ascii="Times New Roman" w:hAnsi="Times New Roman"/>
          <w:b/>
          <w:sz w:val="20"/>
        </w:rPr>
      </w:pPr>
      <w:r>
        <w:rPr>
          <w:rFonts w:ascii="Times New Roman" w:hAnsi="Times New Roman"/>
          <w:b/>
          <w:sz w:val="20"/>
        </w:rPr>
        <w:t xml:space="preserve">A copy of our Annual Report to the Securities and Exchange Commission on Form 10-K for the fiscal year ended December 31, 2023 is available without charge upon written request to: Corporate Secretary, Tempest Therapeutics, Inc., 2000 Sierra Point Parkway, Suite 400, Brisbane, California, 94005.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3652520"/>
                <wp:effectExtent l="0" t="0" r="0" b="0"/>
                <wp:wrapSquare wrapText="right"/>
                <wp:docPr id="17" name="Frame2"/>
                <a:graphic xmlns:a="http://schemas.openxmlformats.org/drawingml/2006/main">
                  <a:graphicData uri="http://schemas.microsoft.com/office/word/2010/wordprocessingShape">
                    <wps:wsp>
                      <wps:cNvSpPr txBox="1"/>
                      <wps:spPr>
                        <a:xfrm>
                          <a:off x="0" y="0"/>
                          <a:ext cx="3175000" cy="365252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both"/>
                              <w:rPr/>
                            </w:pPr>
                            <w:r>
                              <w:rPr/>
                              <w:t xml:space="preserve">  </w:t>
                            </w:r>
                            <w:r>
                              <w:rPr/>
                              <w:drawing>
                                <wp:inline distT="0" distB="0" distL="0" distR="0">
                                  <wp:extent cx="2162175" cy="533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2162175" cy="533400"/>
                                          </a:xfrm>
                                          <a:prstGeom prst="rect">
                                            <a:avLst/>
                                          </a:prstGeom>
                                        </pic:spPr>
                                      </pic:pic>
                                    </a:graphicData>
                                  </a:graphic>
                                </wp:inline>
                              </w:drawing>
                            </w:r>
                            <w:r>
                              <w:rPr/>
                              <w:t xml:space="preserve"> </w:t>
                            </w:r>
                          </w:p>
                          <w:p>
                            <w:pPr>
                              <w:pStyle w:val="TextBody"/>
                              <w:bidi w:val="0"/>
                              <w:spacing w:before="120" w:after="0"/>
                              <w:jc w:val="both"/>
                              <w:rPr>
                                <w:rFonts w:ascii="ARIAL" w:hAnsi="ARIAL"/>
                                <w:b/>
                                <w:sz w:val="16"/>
                              </w:rPr>
                            </w:pPr>
                            <w:r>
                              <w:rPr>
                                <w:rFonts w:ascii="ARIAL" w:hAnsi="ARIAL"/>
                                <w:b/>
                                <w:sz w:val="16"/>
                              </w:rPr>
                              <w:t xml:space="preserve">VOTE BY INTERNET </w:t>
                            </w:r>
                          </w:p>
                          <w:p>
                            <w:pPr>
                              <w:pStyle w:val="TextBody"/>
                              <w:bidi w:val="0"/>
                              <w:spacing w:before="0" w:after="0"/>
                              <w:jc w:val="both"/>
                              <w:rPr>
                                <w:rFonts w:ascii="ARIAL" w:hAnsi="ARIAL"/>
                                <w:sz w:val="16"/>
                              </w:rPr>
                            </w:pPr>
                            <w:r>
                              <w:rPr>
                                <w:rFonts w:ascii="ARIAL" w:hAnsi="ARIAL"/>
                                <w:i/>
                                <w:sz w:val="16"/>
                              </w:rPr>
                              <w:t xml:space="preserve">Before The Meeting </w:t>
                            </w:r>
                            <w:r>
                              <w:rPr>
                                <w:rFonts w:ascii="ARIAL" w:hAnsi="ARIAL"/>
                                <w:sz w:val="16"/>
                              </w:rPr>
                              <w:t xml:space="preserve">- Go to </w:t>
                            </w:r>
                            <w:r>
                              <w:rPr>
                                <w:rFonts w:ascii="ARIAL" w:hAnsi="ARIAL"/>
                                <w:b/>
                                <w:sz w:val="16"/>
                                <w:u w:val="single"/>
                              </w:rPr>
                              <w:t>www.proxyvote.com</w:t>
                            </w:r>
                            <w:r>
                              <w:rPr>
                                <w:rFonts w:ascii="ARIAL" w:hAnsi="ARIAL"/>
                                <w:sz w:val="16"/>
                              </w:rPr>
                              <w:t xml:space="preserve"> </w:t>
                            </w:r>
                            <w:r>
                              <w:rPr>
                                <w:rFonts w:ascii="ARIAL" w:hAnsi="ARIAL"/>
                                <w:b/>
                                <w:sz w:val="16"/>
                              </w:rPr>
                              <w:t>or scan the QR Barcode above</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Use the Internet to transmit your voting instructions and for electronic delivery of information Vote by 11:59 p.m. Eastern Time on June 12, 2024.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6"/>
                              </w:rPr>
                            </w:pPr>
                            <w:r>
                              <w:rPr>
                                <w:rFonts w:ascii="ARIAL" w:hAnsi="ARIAL"/>
                                <w:i/>
                                <w:sz w:val="16"/>
                              </w:rPr>
                              <w:t xml:space="preserve">During The Meeting </w:t>
                            </w:r>
                            <w:r>
                              <w:rPr>
                                <w:rFonts w:ascii="ARIAL" w:hAnsi="ARIAL"/>
                                <w:sz w:val="16"/>
                              </w:rPr>
                              <w:t xml:space="preserve">- Go to </w:t>
                            </w:r>
                            <w:r>
                              <w:rPr>
                                <w:rFonts w:ascii="ARIAL" w:hAnsi="ARIAL"/>
                                <w:b/>
                                <w:sz w:val="16"/>
                                <w:u w:val="single"/>
                              </w:rPr>
                              <w:t>www.virtualshareholdermeeting.com/TPST2024</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both"/>
                              <w:rPr>
                                <w:rFonts w:ascii="ARIAL" w:hAnsi="ARIAL"/>
                                <w:b/>
                                <w:sz w:val="16"/>
                              </w:rPr>
                            </w:pPr>
                            <w:r>
                              <w:rPr>
                                <w:rFonts w:ascii="ARIAL" w:hAnsi="ARIAL"/>
                                <w:b/>
                                <w:sz w:val="16"/>
                              </w:rPr>
                              <w:t xml:space="preserve">VOTE BY PHONE - 1-800-690-6903 </w:t>
                            </w:r>
                          </w:p>
                          <w:p>
                            <w:pPr>
                              <w:pStyle w:val="TextBody"/>
                              <w:bidi w:val="0"/>
                              <w:spacing w:before="0" w:after="0"/>
                              <w:jc w:val="both"/>
                              <w:rPr>
                                <w:rFonts w:ascii="ARIAL" w:hAnsi="ARIAL"/>
                                <w:sz w:val="16"/>
                              </w:rPr>
                            </w:pPr>
                            <w:r>
                              <w:rPr>
                                <w:rFonts w:ascii="ARIAL" w:hAnsi="ARIAL"/>
                                <w:sz w:val="16"/>
                              </w:rPr>
                              <w:t xml:space="preserve">Use any touch-tone telephone to transmit your voting instructions. Vote by 11:59 p.m. Eastern Time on June 12, 2024. Have your proxy card in hand when you call and then follow the instructions. </w:t>
                            </w:r>
                          </w:p>
                          <w:p>
                            <w:pPr>
                              <w:pStyle w:val="TextBody"/>
                              <w:bidi w:val="0"/>
                              <w:spacing w:before="120" w:after="0"/>
                              <w:jc w:val="both"/>
                              <w:rPr>
                                <w:rFonts w:ascii="ARIAL" w:hAnsi="ARIAL"/>
                                <w:b/>
                                <w:sz w:val="16"/>
                              </w:rPr>
                            </w:pPr>
                            <w:r>
                              <w:rPr>
                                <w:rFonts w:ascii="ARIAL" w:hAnsi="ARIAL"/>
                                <w:b/>
                                <w:sz w:val="16"/>
                              </w:rPr>
                              <w:t xml:space="preserve">VOTE BY MAIL </w:t>
                            </w:r>
                          </w:p>
                          <w:p>
                            <w:pPr>
                              <w:pStyle w:val="TextBody"/>
                              <w:bidi w:val="0"/>
                              <w:spacing w:before="0" w:after="0"/>
                              <w:jc w:val="both"/>
                              <w:rPr>
                                <w:rFonts w:ascii="ARIAL" w:hAnsi="ARIAL"/>
                                <w:sz w:val="16"/>
                              </w:rPr>
                            </w:pPr>
                            <w:r>
                              <w:rPr>
                                <w:rFonts w:ascii="ARIAL" w:hAnsi="ARIAL"/>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both"/>
                        <w:rPr/>
                      </w:pPr>
                      <w:r>
                        <w:rPr/>
                        <w:t xml:space="preserve">  </w:t>
                      </w:r>
                      <w:r>
                        <w:rPr/>
                        <w:drawing>
                          <wp:inline distT="0" distB="0" distL="0" distR="0">
                            <wp:extent cx="2162175" cy="5334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9"/>
                                    <a:stretch>
                                      <a:fillRect/>
                                    </a:stretch>
                                  </pic:blipFill>
                                  <pic:spPr bwMode="auto">
                                    <a:xfrm>
                                      <a:off x="0" y="0"/>
                                      <a:ext cx="2162175" cy="533400"/>
                                    </a:xfrm>
                                    <a:prstGeom prst="rect">
                                      <a:avLst/>
                                    </a:prstGeom>
                                  </pic:spPr>
                                </pic:pic>
                              </a:graphicData>
                            </a:graphic>
                          </wp:inline>
                        </w:drawing>
                      </w:r>
                      <w:r>
                        <w:rPr/>
                        <w:t xml:space="preserve"> </w:t>
                      </w:r>
                    </w:p>
                    <w:p>
                      <w:pPr>
                        <w:pStyle w:val="TextBody"/>
                        <w:bidi w:val="0"/>
                        <w:spacing w:before="120" w:after="0"/>
                        <w:jc w:val="both"/>
                        <w:rPr>
                          <w:rFonts w:ascii="ARIAL" w:hAnsi="ARIAL"/>
                          <w:b/>
                          <w:sz w:val="16"/>
                        </w:rPr>
                      </w:pPr>
                      <w:r>
                        <w:rPr>
                          <w:rFonts w:ascii="ARIAL" w:hAnsi="ARIAL"/>
                          <w:b/>
                          <w:sz w:val="16"/>
                        </w:rPr>
                        <w:t xml:space="preserve">VOTE BY INTERNET </w:t>
                      </w:r>
                    </w:p>
                    <w:p>
                      <w:pPr>
                        <w:pStyle w:val="TextBody"/>
                        <w:bidi w:val="0"/>
                        <w:spacing w:before="0" w:after="0"/>
                        <w:jc w:val="both"/>
                        <w:rPr>
                          <w:rFonts w:ascii="ARIAL" w:hAnsi="ARIAL"/>
                          <w:sz w:val="16"/>
                        </w:rPr>
                      </w:pPr>
                      <w:r>
                        <w:rPr>
                          <w:rFonts w:ascii="ARIAL" w:hAnsi="ARIAL"/>
                          <w:i/>
                          <w:sz w:val="16"/>
                        </w:rPr>
                        <w:t xml:space="preserve">Before The Meeting </w:t>
                      </w:r>
                      <w:r>
                        <w:rPr>
                          <w:rFonts w:ascii="ARIAL" w:hAnsi="ARIAL"/>
                          <w:sz w:val="16"/>
                        </w:rPr>
                        <w:t xml:space="preserve">- Go to </w:t>
                      </w:r>
                      <w:r>
                        <w:rPr>
                          <w:rFonts w:ascii="ARIAL" w:hAnsi="ARIAL"/>
                          <w:b/>
                          <w:sz w:val="16"/>
                          <w:u w:val="single"/>
                        </w:rPr>
                        <w:t>www.proxyvote.com</w:t>
                      </w:r>
                      <w:r>
                        <w:rPr>
                          <w:rFonts w:ascii="ARIAL" w:hAnsi="ARIAL"/>
                          <w:sz w:val="16"/>
                        </w:rPr>
                        <w:t xml:space="preserve"> </w:t>
                      </w:r>
                      <w:r>
                        <w:rPr>
                          <w:rFonts w:ascii="ARIAL" w:hAnsi="ARIAL"/>
                          <w:b/>
                          <w:sz w:val="16"/>
                        </w:rPr>
                        <w:t>or scan the QR Barcode above</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Use the Internet to transmit your voting instructions and for electronic delivery of information Vote by 11:59 p.m. Eastern Time on June 12, 2024. Have your proxy card in hand when you access the web site and follow the instructions to obtain your records and to create an electronic voting instruction form. </w:t>
                      </w:r>
                    </w:p>
                    <w:p>
                      <w:pPr>
                        <w:pStyle w:val="TextBody"/>
                        <w:bidi w:val="0"/>
                        <w:spacing w:before="120" w:after="0"/>
                        <w:jc w:val="both"/>
                        <w:rPr>
                          <w:rFonts w:ascii="ARIAL" w:hAnsi="ARIAL"/>
                          <w:sz w:val="16"/>
                        </w:rPr>
                      </w:pPr>
                      <w:r>
                        <w:rPr>
                          <w:rFonts w:ascii="ARIAL" w:hAnsi="ARIAL"/>
                          <w:i/>
                          <w:sz w:val="16"/>
                        </w:rPr>
                        <w:t xml:space="preserve">During The Meeting </w:t>
                      </w:r>
                      <w:r>
                        <w:rPr>
                          <w:rFonts w:ascii="ARIAL" w:hAnsi="ARIAL"/>
                          <w:sz w:val="16"/>
                        </w:rPr>
                        <w:t xml:space="preserve">- Go to </w:t>
                      </w:r>
                      <w:r>
                        <w:rPr>
                          <w:rFonts w:ascii="ARIAL" w:hAnsi="ARIAL"/>
                          <w:b/>
                          <w:sz w:val="16"/>
                          <w:u w:val="single"/>
                        </w:rPr>
                        <w:t>www.virtualshareholdermeeting.com/TPST2024</w:t>
                      </w:r>
                      <w:r>
                        <w:rPr>
                          <w:rFonts w:ascii="ARIAL" w:hAnsi="ARIAL"/>
                          <w:sz w:val="16"/>
                        </w:rPr>
                        <w:t xml:space="preserve"> </w:t>
                      </w:r>
                    </w:p>
                    <w:p>
                      <w:pPr>
                        <w:pStyle w:val="TextBody"/>
                        <w:bidi w:val="0"/>
                        <w:spacing w:before="120" w:after="0"/>
                        <w:jc w:val="both"/>
                        <w:rPr>
                          <w:rFonts w:ascii="ARIAL" w:hAnsi="ARIAL"/>
                          <w:sz w:val="16"/>
                        </w:rPr>
                      </w:pPr>
                      <w:r>
                        <w:rPr>
                          <w:rFonts w:ascii="ARIAL" w:hAnsi="ARIAL"/>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jc w:val="both"/>
                        <w:rPr>
                          <w:rFonts w:ascii="ARIAL" w:hAnsi="ARIAL"/>
                          <w:b/>
                          <w:sz w:val="16"/>
                        </w:rPr>
                      </w:pPr>
                      <w:r>
                        <w:rPr>
                          <w:rFonts w:ascii="ARIAL" w:hAnsi="ARIAL"/>
                          <w:b/>
                          <w:sz w:val="16"/>
                        </w:rPr>
                        <w:t xml:space="preserve">VOTE BY PHONE - 1-800-690-6903 </w:t>
                      </w:r>
                    </w:p>
                    <w:p>
                      <w:pPr>
                        <w:pStyle w:val="TextBody"/>
                        <w:bidi w:val="0"/>
                        <w:spacing w:before="0" w:after="0"/>
                        <w:jc w:val="both"/>
                        <w:rPr>
                          <w:rFonts w:ascii="ARIAL" w:hAnsi="ARIAL"/>
                          <w:sz w:val="16"/>
                        </w:rPr>
                      </w:pPr>
                      <w:r>
                        <w:rPr>
                          <w:rFonts w:ascii="ARIAL" w:hAnsi="ARIAL"/>
                          <w:sz w:val="16"/>
                        </w:rPr>
                        <w:t xml:space="preserve">Use any touch-tone telephone to transmit your voting instructions. Vote by 11:59 p.m. Eastern Time on June 12, 2024. Have your proxy card in hand when you call and then follow the instructions. </w:t>
                      </w:r>
                    </w:p>
                    <w:p>
                      <w:pPr>
                        <w:pStyle w:val="TextBody"/>
                        <w:bidi w:val="0"/>
                        <w:spacing w:before="120" w:after="0"/>
                        <w:jc w:val="both"/>
                        <w:rPr>
                          <w:rFonts w:ascii="ARIAL" w:hAnsi="ARIAL"/>
                          <w:b/>
                          <w:sz w:val="16"/>
                        </w:rPr>
                      </w:pPr>
                      <w:r>
                        <w:rPr>
                          <w:rFonts w:ascii="ARIAL" w:hAnsi="ARIAL"/>
                          <w:b/>
                          <w:sz w:val="16"/>
                        </w:rPr>
                        <w:t xml:space="preserve">VOTE BY MAIL </w:t>
                      </w:r>
                    </w:p>
                    <w:p>
                      <w:pPr>
                        <w:pStyle w:val="TextBody"/>
                        <w:bidi w:val="0"/>
                        <w:spacing w:before="0" w:after="0"/>
                        <w:jc w:val="both"/>
                        <w:rPr>
                          <w:rFonts w:ascii="ARIAL" w:hAnsi="ARIAL"/>
                          <w:sz w:val="16"/>
                        </w:rPr>
                      </w:pPr>
                      <w:r>
                        <w:rPr>
                          <w:rFonts w:ascii="ARIAL" w:hAnsi="ARIAL"/>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10230" cy="1076960"/>
                <wp:effectExtent l="0" t="0" r="0" b="0"/>
                <wp:wrapSquare wrapText="right"/>
                <wp:docPr id="20" name="Frame1"/>
                <a:graphic xmlns:a="http://schemas.openxmlformats.org/drawingml/2006/main">
                  <a:graphicData uri="http://schemas.microsoft.com/office/word/2010/wordprocessingShape">
                    <wps:wsp>
                      <wps:cNvSpPr txBox="1"/>
                      <wps:spPr>
                        <a:xfrm>
                          <a:off x="0" y="0"/>
                          <a:ext cx="3110230" cy="1076960"/>
                        </a:xfrm>
                        <a:prstGeom prst="rect"/>
                        <a:solidFill>
                          <a:srgbClr val="FFFFFF"/>
                        </a:solidFill>
                      </wps:spPr>
                      <wps:txbx>
                        <w:txbxContent>
                          <w:p>
                            <w:pPr>
                              <w:pStyle w:val="TextBody"/>
                              <w:bidi w:val="0"/>
                              <w:spacing w:before="960" w:after="0"/>
                              <w:jc w:val="left"/>
                              <w:rPr>
                                <w:rFonts w:ascii="ARIAL" w:hAnsi="ARIAL"/>
                                <w:i/>
                                <w:sz w:val="16"/>
                              </w:rPr>
                            </w:pPr>
                            <w:r>
                              <w:rPr>
                                <w:rFonts w:ascii="ARIAL" w:hAnsi="ARIAL"/>
                                <w:i/>
                                <w:sz w:val="16"/>
                              </w:rPr>
                              <w:t xml:space="preserve">TEMPEST THERAPEUTICS, INC. </w:t>
                            </w:r>
                          </w:p>
                          <w:p>
                            <w:pPr>
                              <w:pStyle w:val="TextBody"/>
                              <w:bidi w:val="0"/>
                              <w:spacing w:before="0" w:after="0"/>
                              <w:jc w:val="left"/>
                              <w:rPr>
                                <w:rFonts w:ascii="ARIAL" w:hAnsi="ARIAL"/>
                                <w:i/>
                                <w:sz w:val="16"/>
                              </w:rPr>
                            </w:pPr>
                            <w:r>
                              <w:rPr>
                                <w:rFonts w:ascii="ARIAL" w:hAnsi="ARIAL"/>
                                <w:i/>
                                <w:sz w:val="16"/>
                              </w:rPr>
                              <w:t xml:space="preserve">2000 SIERRA POINT PARKWAY </w:t>
                            </w:r>
                          </w:p>
                          <w:p>
                            <w:pPr>
                              <w:pStyle w:val="TextBody"/>
                              <w:bidi w:val="0"/>
                              <w:spacing w:before="0" w:after="0"/>
                              <w:jc w:val="left"/>
                              <w:rPr>
                                <w:rFonts w:ascii="ARIAL" w:hAnsi="ARIAL"/>
                                <w:i/>
                                <w:sz w:val="16"/>
                              </w:rPr>
                            </w:pPr>
                            <w:r>
                              <w:rPr>
                                <w:rFonts w:ascii="ARIAL" w:hAnsi="ARIAL"/>
                                <w:i/>
                                <w:sz w:val="16"/>
                              </w:rPr>
                              <w:t xml:space="preserve">SUITE 400 </w:t>
                            </w:r>
                          </w:p>
                          <w:p>
                            <w:pPr>
                              <w:pStyle w:val="TextBody"/>
                              <w:bidi w:val="0"/>
                              <w:spacing w:before="0" w:after="0"/>
                              <w:jc w:val="left"/>
                              <w:rPr>
                                <w:rFonts w:ascii="ARIAL" w:hAnsi="ARIAL"/>
                                <w:i/>
                                <w:sz w:val="16"/>
                              </w:rPr>
                            </w:pPr>
                            <w:r>
                              <w:rPr>
                                <w:rFonts w:ascii="ARIAL" w:hAnsi="ARIAL"/>
                                <w:i/>
                                <w:sz w:val="16"/>
                              </w:rPr>
                              <w:t xml:space="preserve">BRISBANE, CALIFORNIA 94080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4.8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960" w:after="0"/>
                        <w:jc w:val="left"/>
                        <w:rPr>
                          <w:rFonts w:ascii="ARIAL" w:hAnsi="ARIAL"/>
                          <w:i/>
                          <w:sz w:val="16"/>
                        </w:rPr>
                      </w:pPr>
                      <w:r>
                        <w:rPr>
                          <w:rFonts w:ascii="ARIAL" w:hAnsi="ARIAL"/>
                          <w:i/>
                          <w:sz w:val="16"/>
                        </w:rPr>
                        <w:t xml:space="preserve">TEMPEST THERAPEUTICS, INC. </w:t>
                      </w:r>
                    </w:p>
                    <w:p>
                      <w:pPr>
                        <w:pStyle w:val="TextBody"/>
                        <w:bidi w:val="0"/>
                        <w:spacing w:before="0" w:after="0"/>
                        <w:jc w:val="left"/>
                        <w:rPr>
                          <w:rFonts w:ascii="ARIAL" w:hAnsi="ARIAL"/>
                          <w:i/>
                          <w:sz w:val="16"/>
                        </w:rPr>
                      </w:pPr>
                      <w:r>
                        <w:rPr>
                          <w:rFonts w:ascii="ARIAL" w:hAnsi="ARIAL"/>
                          <w:i/>
                          <w:sz w:val="16"/>
                        </w:rPr>
                        <w:t xml:space="preserve">2000 SIERRA POINT PARKWAY </w:t>
                      </w:r>
                    </w:p>
                    <w:p>
                      <w:pPr>
                        <w:pStyle w:val="TextBody"/>
                        <w:bidi w:val="0"/>
                        <w:spacing w:before="0" w:after="0"/>
                        <w:jc w:val="left"/>
                        <w:rPr>
                          <w:rFonts w:ascii="ARIAL" w:hAnsi="ARIAL"/>
                          <w:i/>
                          <w:sz w:val="16"/>
                        </w:rPr>
                      </w:pPr>
                      <w:r>
                        <w:rPr>
                          <w:rFonts w:ascii="ARIAL" w:hAnsi="ARIAL"/>
                          <w:i/>
                          <w:sz w:val="16"/>
                        </w:rPr>
                        <w:t xml:space="preserve">SUITE 400 </w:t>
                      </w:r>
                    </w:p>
                    <w:p>
                      <w:pPr>
                        <w:pStyle w:val="TextBody"/>
                        <w:bidi w:val="0"/>
                        <w:spacing w:before="0" w:after="0"/>
                        <w:jc w:val="left"/>
                        <w:rPr>
                          <w:rFonts w:ascii="ARIAL" w:hAnsi="ARIAL"/>
                          <w:i/>
                          <w:sz w:val="16"/>
                        </w:rPr>
                      </w:pPr>
                      <w:r>
                        <w:rPr>
                          <w:rFonts w:ascii="ARIAL" w:hAnsi="ARIAL"/>
                          <w:i/>
                          <w:sz w:val="16"/>
                        </w:rPr>
                        <w:t xml:space="preserve">BRISBANE, CALIFORNIA 94080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r>
        <w:rPr>
          <w:rFonts w:ascii="ARIAL" w:hAnsi="ARIAL"/>
          <w:sz w:val="16"/>
        </w:rPr>
        <w:t xml:space="preserve">TO VOTE, MARK BLOCKS BELOW IN BLUE OR BLACK INK AS FOLLOWS: </w:t>
      </w:r>
    </w:p>
    <w:p>
      <w:pPr>
        <w:pStyle w:val="TextBody"/>
        <w:bidi w:val="0"/>
        <w:spacing w:before="0" w:after="0"/>
        <w:jc w:val="right"/>
        <w:rPr>
          <w:rFonts w:ascii="ARIAL" w:hAnsi="ARIAL"/>
          <w:sz w:val="14"/>
        </w:rPr>
      </w:pPr>
      <w:r>
        <w:rPr>
          <w:rFonts w:ascii="ARIAL" w:hAnsi="ARIAL"/>
          <w:sz w:val="14"/>
        </w:rPr>
        <w:t xml:space="preserve">V42459-P08778        KEEP THIS PORTION FOR YOUR RECORDS </w:t>
      </w:r>
    </w:p>
    <w:p>
      <w:pPr>
        <w:pStyle w:val="TextBody"/>
        <w:bidi w:val="0"/>
        <w:spacing w:before="0" w:after="0"/>
        <w:jc w:val="left"/>
        <w:rPr/>
      </w:pPr>
      <w:r>
        <w:rPr/>
        <w:t> </w:t>
      </w:r>
      <w:r>
        <w:rPr>
          <w:rFonts w:ascii="ARIAL" w:hAnsi="ARIAL"/>
          <w:sz w:val="20"/>
        </w:rPr>
        <w:t xml:space="preserve">                                                  </w:t>
      </w:r>
    </w:p>
    <w:p>
      <w:pPr>
        <w:pStyle w:val="TextBody"/>
        <w:bidi w:val="0"/>
        <w:spacing w:before="0" w:after="0"/>
        <w:jc w:val="right"/>
        <w:rPr>
          <w:rFonts w:ascii="ARIAL" w:hAnsi="ARIAL"/>
          <w:sz w:val="16"/>
        </w:rPr>
      </w:pPr>
      <w:r>
        <w:rPr>
          <w:rFonts w:ascii="ARIAL" w:hAnsi="ARIAL"/>
          <w:sz w:val="16"/>
        </w:rPr>
        <w:t xml:space="preserve">DETACH AND RETURN THIS PORTION ONLY </w:t>
      </w:r>
    </w:p>
    <w:p>
      <w:pPr>
        <w:pStyle w:val="TextBody"/>
        <w:bidi w:val="0"/>
        <w:spacing w:before="0" w:after="0"/>
        <w:jc w:val="center"/>
        <w:rPr>
          <w:rFonts w:ascii="ARIAL" w:hAnsi="ARIAL"/>
          <w:b/>
          <w:sz w:val="20"/>
        </w:rPr>
      </w:pPr>
      <w:r>
        <w:rPr>
          <w:rFonts w:ascii="ARIAL" w:hAnsi="ARIAL"/>
          <w:b/>
          <w:sz w:val="20"/>
        </w:rPr>
        <w:t xml:space="preserve">THIS PROXY CARD IS VALID ONLY WHEN SIGNED AND DATED.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
        <w:gridCol w:w="122"/>
        <w:gridCol w:w="1335"/>
        <w:gridCol w:w="505"/>
        <w:gridCol w:w="505"/>
        <w:gridCol w:w="505"/>
        <w:gridCol w:w="590"/>
        <w:gridCol w:w="62"/>
        <w:gridCol w:w="398"/>
        <w:gridCol w:w="62"/>
        <w:gridCol w:w="991"/>
        <w:gridCol w:w="62"/>
        <w:gridCol w:w="121"/>
        <w:gridCol w:w="244"/>
        <w:gridCol w:w="202"/>
        <w:gridCol w:w="121"/>
        <w:gridCol w:w="533"/>
        <w:gridCol w:w="123"/>
        <w:gridCol w:w="802"/>
        <w:gridCol w:w="123"/>
        <w:gridCol w:w="278"/>
        <w:gridCol w:w="252"/>
        <w:gridCol w:w="1109"/>
        <w:gridCol w:w="62"/>
        <w:gridCol w:w="558"/>
        <w:gridCol w:w="129"/>
        <w:gridCol w:w="148"/>
      </w:tblGrid>
      <w:tr>
        <w:trPr/>
        <w:tc>
          <w:tcPr>
            <w:tcW w:w="263" w:type="dxa"/>
            <w:tcBorders/>
            <w:vAlign w:val="center"/>
          </w:tcPr>
          <w:p>
            <w:pPr>
              <w:pStyle w:val="TableContents"/>
              <w:bidi w:val="0"/>
              <w:spacing w:before="0" w:after="283"/>
              <w:jc w:val="left"/>
              <w:rPr>
                <w:sz w:val="4"/>
                <w:szCs w:val="4"/>
              </w:rPr>
            </w:pPr>
            <w:r>
              <w:rPr>
                <w:sz w:val="4"/>
                <w:szCs w:val="4"/>
              </w:rPr>
            </w:r>
          </w:p>
        </w:tc>
        <w:tc>
          <w:tcPr>
            <w:tcW w:w="12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50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bottom"/>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r>
      <w:tr>
        <w:trPr/>
        <w:tc>
          <w:tcPr>
            <w:tcW w:w="263" w:type="dxa"/>
            <w:vMerge w:val="restart"/>
            <w:tcBorders/>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2" w:type="dxa"/>
            <w:tcBorders>
              <w:top w:val="single" w:sz="16" w:space="0" w:color="000000"/>
              <w:left w:val="single" w:sz="16" w:space="0" w:color="000000"/>
            </w:tcBorders>
            <w:tcMar>
              <w:top w:w="28" w:type="dxa"/>
              <w:left w:w="28" w:type="dxa"/>
            </w:tcMar>
            <w:vAlign w:val="bottom"/>
          </w:tcPr>
          <w:p>
            <w:pPr>
              <w:pStyle w:val="TableContents"/>
              <w:bidi w:val="0"/>
              <w:spacing w:before="0" w:after="283"/>
              <w:jc w:val="left"/>
              <w:rPr/>
            </w:pPr>
            <w:r>
              <w:rPr/>
              <w:t>  </w:t>
            </w:r>
          </w:p>
        </w:tc>
        <w:tc>
          <w:tcPr>
            <w:tcW w:w="3440" w:type="dxa"/>
            <w:gridSpan w:val="5"/>
            <w:tcBorders>
              <w:top w:val="single" w:sz="16" w:space="0" w:color="000000"/>
            </w:tcBorders>
            <w:tcMar>
              <w:top w:w="28" w:type="dxa"/>
            </w:tcMar>
          </w:tcPr>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TEMPEST THERAPEUTICS, INC.</w:t>
            </w:r>
          </w:p>
          <w:p>
            <w:pPr>
              <w:pStyle w:val="TableContents"/>
              <w:bidi w:val="0"/>
              <w:spacing w:before="0" w:after="20"/>
              <w:jc w:val="left"/>
              <w:rPr/>
            </w:pPr>
            <w:r>
              <w:rPr/>
              <w:t> </w:t>
            </w:r>
          </w:p>
        </w:tc>
        <w:tc>
          <w:tcPr>
            <w:tcW w:w="62" w:type="dxa"/>
            <w:tcBorders>
              <w:top w:val="single" w:sz="16" w:space="0" w:color="000000"/>
            </w:tcBorders>
            <w:tcMar>
              <w:top w:w="28" w:type="dxa"/>
            </w:tcMar>
            <w:vAlign w:val="bottom"/>
          </w:tcPr>
          <w:p>
            <w:pPr>
              <w:pStyle w:val="TableContents"/>
              <w:bidi w:val="0"/>
              <w:spacing w:before="0" w:after="283"/>
              <w:jc w:val="left"/>
              <w:rPr/>
            </w:pPr>
            <w:r>
              <w:rPr/>
              <w:t> </w:t>
            </w:r>
          </w:p>
        </w:tc>
        <w:tc>
          <w:tcPr>
            <w:tcW w:w="398" w:type="dxa"/>
            <w:tcBorders>
              <w:top w:val="single" w:sz="16" w:space="0" w:color="000000"/>
            </w:tcBorders>
            <w:tcMar>
              <w:top w:w="28" w:type="dxa"/>
            </w:tcMar>
          </w:tcPr>
          <w:p>
            <w:pPr>
              <w:pStyle w:val="TableContents"/>
              <w:bidi w:val="0"/>
              <w:spacing w:before="0" w:after="283"/>
              <w:jc w:val="left"/>
              <w:rPr/>
            </w:pPr>
            <w:r>
              <w:rPr/>
              <w:t> </w:t>
            </w:r>
          </w:p>
        </w:tc>
        <w:tc>
          <w:tcPr>
            <w:tcW w:w="62" w:type="dxa"/>
            <w:tcBorders>
              <w:top w:val="single" w:sz="16" w:space="0" w:color="000000"/>
            </w:tcBorders>
            <w:tcMar>
              <w:top w:w="28" w:type="dxa"/>
            </w:tcMar>
            <w:vAlign w:val="bottom"/>
          </w:tcPr>
          <w:p>
            <w:pPr>
              <w:pStyle w:val="TableContents"/>
              <w:bidi w:val="0"/>
              <w:spacing w:before="0" w:after="283"/>
              <w:jc w:val="left"/>
              <w:rPr/>
            </w:pPr>
            <w:r>
              <w:rPr/>
              <w:t> </w:t>
            </w:r>
          </w:p>
        </w:tc>
        <w:tc>
          <w:tcPr>
            <w:tcW w:w="991" w:type="dxa"/>
            <w:tcBorders>
              <w:top w:val="single" w:sz="16" w:space="0" w:color="000000"/>
            </w:tcBorders>
            <w:tcMar>
              <w:top w:w="28" w:type="dxa"/>
            </w:tcMar>
          </w:tcPr>
          <w:p>
            <w:pPr>
              <w:pStyle w:val="TableContents"/>
              <w:bidi w:val="0"/>
              <w:spacing w:before="0" w:after="283"/>
              <w:jc w:val="left"/>
              <w:rPr/>
            </w:pPr>
            <w:r>
              <w:rPr/>
              <w:t> </w:t>
            </w:r>
          </w:p>
        </w:tc>
        <w:tc>
          <w:tcPr>
            <w:tcW w:w="62" w:type="dxa"/>
            <w:tcBorders>
              <w:top w:val="single" w:sz="16" w:space="0" w:color="000000"/>
            </w:tcBorders>
            <w:tcMar>
              <w:top w:w="28" w:type="dxa"/>
            </w:tcMar>
            <w:vAlign w:val="bottom"/>
          </w:tcPr>
          <w:p>
            <w:pPr>
              <w:pStyle w:val="TableContents"/>
              <w:bidi w:val="0"/>
              <w:spacing w:before="0" w:after="283"/>
              <w:jc w:val="left"/>
              <w:rPr/>
            </w:pPr>
            <w:r>
              <w:rPr/>
              <w:t> </w:t>
            </w:r>
          </w:p>
        </w:tc>
        <w:tc>
          <w:tcPr>
            <w:tcW w:w="121" w:type="dxa"/>
            <w:tcBorders>
              <w:top w:val="single" w:sz="16" w:space="0" w:color="000000"/>
            </w:tcBorders>
            <w:tcMar>
              <w:top w:w="28" w:type="dxa"/>
            </w:tcMar>
          </w:tcPr>
          <w:p>
            <w:pPr>
              <w:pStyle w:val="TableContents"/>
              <w:bidi w:val="0"/>
              <w:spacing w:before="0" w:after="283"/>
              <w:jc w:val="left"/>
              <w:rPr/>
            </w:pPr>
            <w:r>
              <w:rPr/>
              <w:t> </w:t>
            </w:r>
          </w:p>
        </w:tc>
        <w:tc>
          <w:tcPr>
            <w:tcW w:w="244" w:type="dxa"/>
            <w:tcBorders>
              <w:top w:val="single" w:sz="16" w:space="0" w:color="000000"/>
            </w:tcBorders>
            <w:tcMar>
              <w:top w:w="28" w:type="dxa"/>
            </w:tcMar>
            <w:vAlign w:val="bottom"/>
          </w:tcPr>
          <w:p>
            <w:pPr>
              <w:pStyle w:val="TableContents"/>
              <w:bidi w:val="0"/>
              <w:spacing w:before="0" w:after="283"/>
              <w:jc w:val="left"/>
              <w:rPr/>
            </w:pPr>
            <w:r>
              <w:rPr/>
              <w:t>  </w:t>
            </w:r>
          </w:p>
        </w:tc>
        <w:tc>
          <w:tcPr>
            <w:tcW w:w="202" w:type="dxa"/>
            <w:tcBorders>
              <w:top w:val="single" w:sz="16" w:space="0" w:color="000000"/>
            </w:tcBorders>
            <w:tcMar>
              <w:top w:w="28" w:type="dxa"/>
            </w:tcMar>
          </w:tcPr>
          <w:p>
            <w:pPr>
              <w:pStyle w:val="TableContents"/>
              <w:bidi w:val="0"/>
              <w:spacing w:before="0" w:after="283"/>
              <w:jc w:val="left"/>
              <w:rPr/>
            </w:pPr>
            <w:r>
              <w:rPr/>
              <w:t> </w:t>
            </w:r>
          </w:p>
        </w:tc>
        <w:tc>
          <w:tcPr>
            <w:tcW w:w="121" w:type="dxa"/>
            <w:vMerge w:val="restart"/>
            <w:tcBorders>
              <w:top w:val="single" w:sz="16" w:space="0" w:color="000000"/>
            </w:tcBorders>
            <w:tcMar>
              <w:top w:w="28" w:type="dxa"/>
            </w:tcMar>
            <w:vAlign w:val="bottom"/>
          </w:tcPr>
          <w:p>
            <w:pPr>
              <w:pStyle w:val="TableContents"/>
              <w:bidi w:val="0"/>
              <w:spacing w:before="0" w:after="283"/>
              <w:jc w:val="left"/>
              <w:rPr/>
            </w:pPr>
            <w:r>
              <w:rPr/>
              <w:t> </w:t>
            </w:r>
          </w:p>
        </w:tc>
        <w:tc>
          <w:tcPr>
            <w:tcW w:w="533" w:type="dxa"/>
            <w:vMerge w:val="restart"/>
            <w:tcBorders>
              <w:top w:val="single" w:sz="16" w:space="0" w:color="000000"/>
            </w:tcBorders>
            <w:tcMar>
              <w:top w:w="28" w:type="dxa"/>
            </w:tcMar>
          </w:tcPr>
          <w:p>
            <w:pPr>
              <w:pStyle w:val="TableContents"/>
              <w:bidi w:val="0"/>
              <w:spacing w:before="0" w:after="283"/>
              <w:jc w:val="left"/>
              <w:rPr/>
            </w:pPr>
            <w:r>
              <w:rPr/>
              <w:t> </w:t>
            </w:r>
          </w:p>
        </w:tc>
        <w:tc>
          <w:tcPr>
            <w:tcW w:w="123" w:type="dxa"/>
            <w:tcBorders>
              <w:top w:val="single" w:sz="16" w:space="0" w:color="000000"/>
            </w:tcBorders>
            <w:tcMar>
              <w:top w:w="28" w:type="dxa"/>
            </w:tcMar>
            <w:vAlign w:val="bottom"/>
          </w:tcPr>
          <w:p>
            <w:pPr>
              <w:pStyle w:val="TableContents"/>
              <w:bidi w:val="0"/>
              <w:spacing w:before="0" w:after="283"/>
              <w:jc w:val="left"/>
              <w:rPr/>
            </w:pPr>
            <w:r>
              <w:rPr/>
              <w:t> </w:t>
            </w:r>
          </w:p>
        </w:tc>
        <w:tc>
          <w:tcPr>
            <w:tcW w:w="802" w:type="dxa"/>
            <w:tcBorders>
              <w:top w:val="single" w:sz="16" w:space="0" w:color="000000"/>
            </w:tcBorders>
            <w:tcMar>
              <w:top w:w="28" w:type="dxa"/>
            </w:tcMar>
            <w:vAlign w:val="bottom"/>
          </w:tcPr>
          <w:p>
            <w:pPr>
              <w:pStyle w:val="TableContents"/>
              <w:bidi w:val="0"/>
              <w:spacing w:before="0" w:after="283"/>
              <w:jc w:val="left"/>
              <w:rPr/>
            </w:pPr>
            <w:r>
              <w:rPr/>
              <w:t> </w:t>
            </w:r>
          </w:p>
        </w:tc>
        <w:tc>
          <w:tcPr>
            <w:tcW w:w="123" w:type="dxa"/>
            <w:tcBorders>
              <w:top w:val="single" w:sz="16" w:space="0" w:color="000000"/>
            </w:tcBorders>
            <w:tcMar>
              <w:top w:w="28" w:type="dxa"/>
            </w:tcMar>
            <w:vAlign w:val="bottom"/>
          </w:tcPr>
          <w:p>
            <w:pPr>
              <w:pStyle w:val="TableContents"/>
              <w:bidi w:val="0"/>
              <w:spacing w:before="0" w:after="283"/>
              <w:jc w:val="left"/>
              <w:rPr/>
            </w:pPr>
            <w:r>
              <w:rPr/>
              <w:t> </w:t>
            </w:r>
          </w:p>
        </w:tc>
        <w:tc>
          <w:tcPr>
            <w:tcW w:w="278" w:type="dxa"/>
            <w:tcBorders>
              <w:top w:val="single" w:sz="16" w:space="0" w:color="000000"/>
            </w:tcBorders>
            <w:tcMar>
              <w:top w:w="28" w:type="dxa"/>
            </w:tcMar>
            <w:vAlign w:val="bottom"/>
          </w:tcPr>
          <w:p>
            <w:pPr>
              <w:pStyle w:val="TableContents"/>
              <w:bidi w:val="0"/>
              <w:spacing w:before="0" w:after="283"/>
              <w:jc w:val="left"/>
              <w:rPr/>
            </w:pPr>
            <w:r>
              <w:rPr/>
              <w:t> </w:t>
            </w:r>
          </w:p>
        </w:tc>
        <w:tc>
          <w:tcPr>
            <w:tcW w:w="252" w:type="dxa"/>
            <w:tcBorders>
              <w:top w:val="single" w:sz="16" w:space="0" w:color="000000"/>
            </w:tcBorders>
            <w:tcMar>
              <w:top w:w="28" w:type="dxa"/>
            </w:tcMar>
            <w:vAlign w:val="bottom"/>
          </w:tcPr>
          <w:p>
            <w:pPr>
              <w:pStyle w:val="TableContents"/>
              <w:bidi w:val="0"/>
              <w:spacing w:before="0" w:after="283"/>
              <w:jc w:val="left"/>
              <w:rPr/>
            </w:pPr>
            <w:r>
              <w:rPr/>
              <w:t> </w:t>
            </w:r>
          </w:p>
        </w:tc>
        <w:tc>
          <w:tcPr>
            <w:tcW w:w="1109" w:type="dxa"/>
            <w:tcBorders>
              <w:top w:val="single" w:sz="16" w:space="0" w:color="000000"/>
            </w:tcBorders>
            <w:tcMar>
              <w:top w:w="28" w:type="dxa"/>
            </w:tcMar>
            <w:vAlign w:val="bottom"/>
          </w:tcPr>
          <w:p>
            <w:pPr>
              <w:pStyle w:val="TableContents"/>
              <w:bidi w:val="0"/>
              <w:spacing w:before="0" w:after="283"/>
              <w:jc w:val="left"/>
              <w:rPr/>
            </w:pPr>
            <w:r>
              <w:rPr/>
              <w:t> </w:t>
            </w:r>
          </w:p>
        </w:tc>
        <w:tc>
          <w:tcPr>
            <w:tcW w:w="62" w:type="dxa"/>
            <w:tcBorders>
              <w:top w:val="single" w:sz="16" w:space="0" w:color="000000"/>
            </w:tcBorders>
            <w:tcMar>
              <w:top w:w="28" w:type="dxa"/>
            </w:tcMar>
            <w:vAlign w:val="bottom"/>
          </w:tcPr>
          <w:p>
            <w:pPr>
              <w:pStyle w:val="TableContents"/>
              <w:bidi w:val="0"/>
              <w:spacing w:before="0" w:after="283"/>
              <w:jc w:val="left"/>
              <w:rPr/>
            </w:pPr>
            <w:r>
              <w:rPr/>
              <w:t> </w:t>
            </w:r>
          </w:p>
        </w:tc>
        <w:tc>
          <w:tcPr>
            <w:tcW w:w="558" w:type="dxa"/>
            <w:tcBorders>
              <w:top w:val="single" w:sz="16" w:space="0" w:color="000000"/>
            </w:tcBorders>
            <w:tcMar>
              <w:top w:w="28" w:type="dxa"/>
            </w:tcMar>
            <w:vAlign w:val="bottom"/>
          </w:tcPr>
          <w:p>
            <w:pPr>
              <w:pStyle w:val="TableContents"/>
              <w:bidi w:val="0"/>
              <w:spacing w:before="0" w:after="283"/>
              <w:jc w:val="left"/>
              <w:rPr/>
            </w:pPr>
            <w:r>
              <w:rPr/>
              <w:t> </w:t>
            </w:r>
          </w:p>
        </w:tc>
        <w:tc>
          <w:tcPr>
            <w:tcW w:w="129" w:type="dxa"/>
            <w:tcBorders>
              <w:top w:val="single" w:sz="16" w:space="0" w:color="000000"/>
            </w:tcBorders>
            <w:tcMar>
              <w:top w:w="28" w:type="dxa"/>
            </w:tcMar>
            <w:vAlign w:val="bottom"/>
          </w:tcPr>
          <w:p>
            <w:pPr>
              <w:pStyle w:val="TableContents"/>
              <w:bidi w:val="0"/>
              <w:spacing w:before="0" w:after="283"/>
              <w:jc w:val="left"/>
              <w:rPr/>
            </w:pPr>
            <w:r>
              <w:rPr/>
              <w:t> </w:t>
            </w:r>
          </w:p>
        </w:tc>
        <w:tc>
          <w:tcPr>
            <w:tcW w:w="148" w:type="dxa"/>
            <w:tcBorders>
              <w:top w:val="single" w:sz="16" w:space="0" w:color="000000"/>
              <w:right w:val="single" w:sz="16" w:space="0" w:color="000000"/>
            </w:tcBorders>
            <w:tcMar>
              <w:top w:w="28" w:type="dxa"/>
              <w:right w:w="40" w:type="dxa"/>
            </w:tcMar>
            <w:vAlign w:val="bottom"/>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3440" w:type="dxa"/>
            <w:gridSpan w:val="5"/>
            <w:tcBorders/>
          </w:tcPr>
          <w:p>
            <w:pPr>
              <w:pStyle w:val="TableContents"/>
              <w:bidi w:val="0"/>
              <w:spacing w:before="0" w:after="0"/>
              <w:jc w:val="left"/>
              <w:rPr>
                <w:rFonts w:ascii="ARIAL" w:hAnsi="ARIAL"/>
                <w:b/>
                <w:sz w:val="16"/>
              </w:rPr>
            </w:pPr>
            <w:r>
              <w:rPr>
                <w:rFonts w:ascii="ARIAL" w:hAnsi="ARIAL"/>
                <w:b/>
                <w:sz w:val="16"/>
              </w:rPr>
              <w:t>The Board of Directors recommends you vote FOR all nominees:</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1.  Election of Directors</w:t>
            </w:r>
          </w:p>
        </w:tc>
        <w:tc>
          <w:tcPr>
            <w:tcW w:w="62"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tcPr>
          <w:p>
            <w:pPr>
              <w:pStyle w:val="TableContents"/>
              <w:bidi w:val="0"/>
              <w:spacing w:before="0" w:after="283"/>
              <w:jc w:val="left"/>
              <w:rPr>
                <w:sz w:val="4"/>
                <w:szCs w:val="4"/>
              </w:rPr>
            </w:pPr>
            <w:r>
              <w:rPr>
                <w:sz w:val="4"/>
                <w:szCs w:val="4"/>
              </w:rPr>
            </w:r>
          </w:p>
        </w:tc>
        <w:tc>
          <w:tcPr>
            <w:tcW w:w="121" w:type="dxa"/>
            <w:vMerge w:val="continue"/>
            <w:tcBorders>
              <w:top w:val="single" w:sz="16" w:space="0" w:color="000000"/>
            </w:tcBorders>
            <w:tcMar>
              <w:top w:w="28" w:type="dxa"/>
            </w:tcMar>
            <w:vAlign w:val="bottom"/>
          </w:tcPr>
          <w:p>
            <w:pPr>
              <w:pStyle w:val="Normal"/>
              <w:bidi w:val="0"/>
              <w:jc w:val="left"/>
              <w:rPr/>
            </w:pPr>
            <w:r>
              <w:rPr/>
            </w:r>
          </w:p>
        </w:tc>
        <w:tc>
          <w:tcPr>
            <w:tcW w:w="533" w:type="dxa"/>
            <w:vMerge w:val="continue"/>
            <w:tcBorders>
              <w:top w:val="single" w:sz="16" w:space="0" w:color="000000"/>
            </w:tcBorders>
            <w:tcMar>
              <w:top w:w="28" w:type="dxa"/>
            </w:tcMar>
          </w:tcPr>
          <w:p>
            <w:pPr>
              <w:pStyle w:val="Normal"/>
              <w:bidi w:val="0"/>
              <w:jc w:val="left"/>
              <w:rPr/>
            </w:pPr>
            <w:r>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top w:val="single" w:sz="16" w:space="0" w:color="000000"/>
            </w:tcBorders>
            <w:tcMar>
              <w:top w:w="28" w:type="dxa"/>
            </w:tcMar>
            <w:vAlign w:val="bottom"/>
          </w:tcPr>
          <w:p>
            <w:pPr>
              <w:pStyle w:val="TableContents"/>
              <w:bidi w:val="0"/>
              <w:spacing w:before="0" w:after="283"/>
              <w:jc w:val="left"/>
              <w:rPr/>
            </w:pPr>
            <w:r>
              <w:rPr/>
              <w:t> </w:t>
            </w:r>
          </w:p>
        </w:tc>
        <w:tc>
          <w:tcPr>
            <w:tcW w:w="1109" w:type="dxa"/>
            <w:tcBorders>
              <w:top w:val="single" w:sz="16" w:space="0" w:color="000000"/>
            </w:tcBorders>
            <w:tcMar>
              <w:top w:w="28" w:type="dxa"/>
            </w:tcMar>
            <w:vAlign w:val="bottom"/>
          </w:tcPr>
          <w:p>
            <w:pPr>
              <w:pStyle w:val="TableContents"/>
              <w:bidi w:val="0"/>
              <w:spacing w:before="0" w:after="283"/>
              <w:jc w:val="left"/>
              <w:rPr/>
            </w:pPr>
            <w:r>
              <w:rPr/>
              <w:t> </w:t>
            </w:r>
          </w:p>
        </w:tc>
        <w:tc>
          <w:tcPr>
            <w:tcW w:w="62" w:type="dxa"/>
            <w:tcBorders>
              <w:top w:val="single" w:sz="16" w:space="0" w:color="000000"/>
            </w:tcBorders>
            <w:tcMar>
              <w:top w:w="28" w:type="dxa"/>
            </w:tcMar>
            <w:vAlign w:val="bottom"/>
          </w:tcPr>
          <w:p>
            <w:pPr>
              <w:pStyle w:val="TableContents"/>
              <w:bidi w:val="0"/>
              <w:spacing w:before="0" w:after="283"/>
              <w:jc w:val="left"/>
              <w:rPr/>
            </w:pPr>
            <w:r>
              <w:rPr/>
              <w:t> </w:t>
            </w:r>
          </w:p>
        </w:tc>
        <w:tc>
          <w:tcPr>
            <w:tcW w:w="558" w:type="dxa"/>
            <w:tcBorders>
              <w:top w:val="single" w:sz="16" w:space="0" w:color="000000"/>
              <w:right w:val="single" w:sz="16" w:space="0" w:color="000000"/>
            </w:tcBorders>
            <w:tcMar>
              <w:top w:w="28" w:type="dxa"/>
              <w:right w:w="28" w:type="dxa"/>
            </w:tcMar>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0"/>
              <w:jc w:val="both"/>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3440" w:type="dxa"/>
            <w:gridSpan w:val="5"/>
            <w:tcBorders/>
            <w:vAlign w:val="bottom"/>
          </w:tcPr>
          <w:p>
            <w:pPr>
              <w:pStyle w:val="TableContents"/>
              <w:bidi w:val="0"/>
              <w:spacing w:before="0" w:after="0"/>
              <w:jc w:val="left"/>
              <w:rPr/>
            </w:pPr>
            <w:r>
              <w:rPr/>
              <w:t>    </w:t>
            </w:r>
          </w:p>
        </w:tc>
        <w:tc>
          <w:tcPr>
            <w:tcW w:w="6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0"/>
              <w:jc w:val="both"/>
              <w:rPr/>
            </w:pPr>
            <w:r>
              <w:rPr/>
              <w:t>   </w:t>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3440" w:type="dxa"/>
            <w:gridSpan w:val="5"/>
            <w:tcBorders/>
            <w:vAlign w:val="bottom"/>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Nominees:</w:t>
            </w:r>
          </w:p>
        </w:tc>
        <w:tc>
          <w:tcPr>
            <w:tcW w:w="6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b/>
              </w:rPr>
            </w:pPr>
            <w:r>
              <w:rPr>
                <w:b/>
              </w:rPr>
              <w:t>For</w:t>
            </w:r>
          </w:p>
        </w:tc>
        <w:tc>
          <w:tcPr>
            <w:tcW w:w="6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b/>
              </w:rPr>
            </w:pPr>
            <w:r>
              <w:rPr>
                <w:b/>
              </w:rPr>
              <w:t>Withhold</w:t>
            </w:r>
          </w:p>
        </w:tc>
        <w:tc>
          <w:tcPr>
            <w:tcW w:w="6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0"/>
              <w:jc w:val="both"/>
              <w:rPr/>
            </w:pPr>
            <w:r>
              <w:rPr/>
              <w:t> </w:t>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3440" w:type="dxa"/>
            <w:gridSpan w:val="5"/>
            <w:tcBorders/>
            <w:vAlign w:val="bottom"/>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1a.  Stephen Brady</w:t>
            </w:r>
          </w:p>
        </w:tc>
        <w:tc>
          <w:tcPr>
            <w:tcW w:w="6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0"/>
              <w:jc w:val="both"/>
              <w:rPr/>
            </w:pPr>
            <w:r>
              <w:rPr/>
              <w:t>  </w:t>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0"/>
              <w:jc w:val="both"/>
              <w:rPr/>
            </w:pPr>
            <w:r>
              <w:rPr/>
              <w:t> </w:t>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3440" w:type="dxa"/>
            <w:gridSpan w:val="5"/>
            <w:tcBorders/>
            <w:vAlign w:val="bottom"/>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1b.  Michael Raab</w:t>
            </w:r>
          </w:p>
        </w:tc>
        <w:tc>
          <w:tcPr>
            <w:tcW w:w="6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3440" w:type="dxa"/>
            <w:gridSpan w:val="5"/>
            <w:tcBorders/>
            <w:vAlign w:val="bottom"/>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1c.  Ronit Simantov</w:t>
            </w:r>
          </w:p>
        </w:tc>
        <w:tc>
          <w:tcPr>
            <w:tcW w:w="6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center"/>
              <w:rPr/>
            </w:pPr>
            <w:r>
              <w:rPr/>
              <w:t>☐</w:t>
            </w:r>
          </w:p>
        </w:tc>
        <w:tc>
          <w:tcPr>
            <w:tcW w:w="6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5582" w:type="dxa"/>
            <w:gridSpan w:val="13"/>
            <w:tcBorders/>
            <w:vAlign w:val="bottom"/>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The Board of Directors recommends you vote FOR the following proposals:</w:t>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center"/>
              <w:rPr>
                <w:b/>
              </w:rPr>
            </w:pPr>
            <w:r>
              <w:rPr>
                <w:b/>
              </w:rPr>
              <w:t>For</w:t>
            </w:r>
          </w:p>
        </w:tc>
        <w:tc>
          <w:tcPr>
            <w:tcW w:w="123" w:type="dxa"/>
            <w:tcBorders/>
            <w:vAlign w:val="bottom"/>
          </w:tcPr>
          <w:p>
            <w:pPr>
              <w:pStyle w:val="TableContents"/>
              <w:bidi w:val="0"/>
              <w:spacing w:before="0" w:after="283"/>
              <w:jc w:val="left"/>
              <w:rPr/>
            </w:pPr>
            <w:r>
              <w:rPr/>
              <w:t> </w:t>
            </w:r>
          </w:p>
        </w:tc>
        <w:tc>
          <w:tcPr>
            <w:tcW w:w="1639" w:type="dxa"/>
            <w:gridSpan w:val="3"/>
            <w:tcBorders/>
            <w:vAlign w:val="bottom"/>
          </w:tcPr>
          <w:p>
            <w:pPr>
              <w:pStyle w:val="TableContents"/>
              <w:bidi w:val="0"/>
              <w:spacing w:before="0" w:after="283"/>
              <w:jc w:val="center"/>
              <w:rPr>
                <w:b/>
              </w:rPr>
            </w:pPr>
            <w:r>
              <w:rPr>
                <w:b/>
              </w:rPr>
              <w:t>Against</w:t>
            </w:r>
          </w:p>
        </w:tc>
        <w:tc>
          <w:tcPr>
            <w:tcW w:w="62" w:type="dxa"/>
            <w:tcBorders/>
            <w:vAlign w:val="bottom"/>
          </w:tcPr>
          <w:p>
            <w:pPr>
              <w:pStyle w:val="TableContents"/>
              <w:bidi w:val="0"/>
              <w:spacing w:before="0" w:after="283"/>
              <w:jc w:val="left"/>
              <w:rPr/>
            </w:pPr>
            <w:r>
              <w:rPr/>
              <w:t> </w:t>
            </w:r>
          </w:p>
        </w:tc>
        <w:tc>
          <w:tcPr>
            <w:tcW w:w="835" w:type="dxa"/>
            <w:gridSpan w:val="3"/>
            <w:tcBorders>
              <w:right w:val="single" w:sz="12" w:space="0" w:color="000000"/>
            </w:tcBorders>
            <w:tcMar>
              <w:right w:w="40" w:type="dxa"/>
            </w:tcMar>
            <w:vAlign w:val="bottom"/>
          </w:tcPr>
          <w:p>
            <w:pPr>
              <w:pStyle w:val="TableContents"/>
              <w:bidi w:val="0"/>
              <w:spacing w:before="0" w:after="283"/>
              <w:jc w:val="center"/>
              <w:rPr>
                <w:b/>
              </w:rPr>
            </w:pPr>
            <w:r>
              <w:rPr>
                <w:b/>
              </w:rPr>
              <w:t>Abstain</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5582" w:type="dxa"/>
            <w:gridSpan w:val="13"/>
            <w:tcBorders/>
            <w:vAlign w:val="bottom"/>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2.  To approve, on an advisory basis, the compensation of the Companys named executive officers.</w:t>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tcPr>
          <w:p>
            <w:pPr>
              <w:pStyle w:val="TableContents"/>
              <w:bidi w:val="0"/>
              <w:spacing w:before="0" w:after="0"/>
              <w:jc w:val="left"/>
              <w:rPr/>
            </w:pPr>
            <w:r>
              <w:rPr/>
              <w:t> </w:t>
            </w:r>
          </w:p>
          <w:p>
            <w:pPr>
              <w:pStyle w:val="TableContents"/>
              <w:bidi w:val="0"/>
              <w:spacing w:before="0" w:after="20"/>
              <w:jc w:val="center"/>
              <w:rPr/>
            </w:pPr>
            <w:r>
              <w:rPr/>
              <w:t>☐</w:t>
            </w:r>
          </w:p>
        </w:tc>
        <w:tc>
          <w:tcPr>
            <w:tcW w:w="123" w:type="dxa"/>
            <w:tcBorders/>
            <w:vAlign w:val="bottom"/>
          </w:tcPr>
          <w:p>
            <w:pPr>
              <w:pStyle w:val="TableContents"/>
              <w:bidi w:val="0"/>
              <w:spacing w:before="0" w:after="283"/>
              <w:jc w:val="left"/>
              <w:rPr/>
            </w:pPr>
            <w:r>
              <w:rPr/>
              <w:t> </w:t>
            </w:r>
          </w:p>
        </w:tc>
        <w:tc>
          <w:tcPr>
            <w:tcW w:w="1639" w:type="dxa"/>
            <w:gridSpan w:val="3"/>
            <w:tcBorders/>
          </w:tcPr>
          <w:p>
            <w:pPr>
              <w:pStyle w:val="TableContents"/>
              <w:bidi w:val="0"/>
              <w:spacing w:before="0" w:after="0"/>
              <w:jc w:val="left"/>
              <w:rPr/>
            </w:pPr>
            <w:r>
              <w:rPr/>
              <w:t> </w:t>
            </w:r>
          </w:p>
          <w:p>
            <w:pPr>
              <w:pStyle w:val="TableContents"/>
              <w:bidi w:val="0"/>
              <w:spacing w:before="0" w:after="20"/>
              <w:jc w:val="center"/>
              <w:rPr/>
            </w:pPr>
            <w:r>
              <w:rPr/>
              <w:t>☐</w:t>
            </w:r>
          </w:p>
        </w:tc>
        <w:tc>
          <w:tcPr>
            <w:tcW w:w="62" w:type="dxa"/>
            <w:tcBorders/>
            <w:vAlign w:val="bottom"/>
          </w:tcPr>
          <w:p>
            <w:pPr>
              <w:pStyle w:val="TableContents"/>
              <w:bidi w:val="0"/>
              <w:spacing w:before="0" w:after="283"/>
              <w:jc w:val="left"/>
              <w:rPr/>
            </w:pPr>
            <w:r>
              <w:rPr/>
              <w:t> </w:t>
            </w:r>
          </w:p>
        </w:tc>
        <w:tc>
          <w:tcPr>
            <w:tcW w:w="835" w:type="dxa"/>
            <w:gridSpan w:val="3"/>
            <w:tcBorders>
              <w:right w:val="single" w:sz="16" w:space="0" w:color="000000"/>
            </w:tcBorders>
            <w:tcMar>
              <w:right w:w="40" w:type="dxa"/>
            </w:tcMar>
          </w:tcPr>
          <w:p>
            <w:pPr>
              <w:pStyle w:val="TableContents"/>
              <w:bidi w:val="0"/>
              <w:spacing w:before="0" w:after="0"/>
              <w:jc w:val="left"/>
              <w:rPr/>
            </w:pPr>
            <w:r>
              <w:rPr/>
              <w:t> </w:t>
            </w:r>
          </w:p>
          <w:p>
            <w:pPr>
              <w:pStyle w:val="TableContents"/>
              <w:bidi w:val="0"/>
              <w:spacing w:before="0" w:after="20"/>
              <w:jc w:val="center"/>
              <w:rPr/>
            </w:pPr>
            <w:r>
              <w:rPr/>
              <w:t>☐</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5582" w:type="dxa"/>
            <w:gridSpan w:val="13"/>
            <w:tcBorders/>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3.  To ratify the selection of Ernst &amp; Young LLP as the Companys independent registered public accounting firm for the fiscal year ending December 31, 2024.</w:t>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tcPr>
          <w:p>
            <w:pPr>
              <w:pStyle w:val="TableContents"/>
              <w:bidi w:val="0"/>
              <w:spacing w:before="0" w:after="0"/>
              <w:jc w:val="left"/>
              <w:rPr/>
            </w:pPr>
            <w:r>
              <w:rPr/>
              <w:t> </w:t>
            </w:r>
          </w:p>
          <w:p>
            <w:pPr>
              <w:pStyle w:val="TableContents"/>
              <w:bidi w:val="0"/>
              <w:spacing w:before="0" w:after="20"/>
              <w:jc w:val="center"/>
              <w:rPr/>
            </w:pPr>
            <w:r>
              <w:rPr/>
              <w:t>☐</w:t>
            </w:r>
          </w:p>
        </w:tc>
        <w:tc>
          <w:tcPr>
            <w:tcW w:w="123" w:type="dxa"/>
            <w:tcBorders/>
            <w:vAlign w:val="bottom"/>
          </w:tcPr>
          <w:p>
            <w:pPr>
              <w:pStyle w:val="TableContents"/>
              <w:bidi w:val="0"/>
              <w:spacing w:before="0" w:after="283"/>
              <w:jc w:val="left"/>
              <w:rPr/>
            </w:pPr>
            <w:r>
              <w:rPr/>
              <w:t> </w:t>
            </w:r>
          </w:p>
        </w:tc>
        <w:tc>
          <w:tcPr>
            <w:tcW w:w="1639" w:type="dxa"/>
            <w:gridSpan w:val="3"/>
            <w:tcBorders/>
          </w:tcPr>
          <w:p>
            <w:pPr>
              <w:pStyle w:val="TableContents"/>
              <w:bidi w:val="0"/>
              <w:spacing w:before="0" w:after="0"/>
              <w:jc w:val="left"/>
              <w:rPr/>
            </w:pPr>
            <w:r>
              <w:rPr/>
              <w:t> </w:t>
            </w:r>
          </w:p>
          <w:p>
            <w:pPr>
              <w:pStyle w:val="TableContents"/>
              <w:bidi w:val="0"/>
              <w:spacing w:before="0" w:after="20"/>
              <w:jc w:val="center"/>
              <w:rPr/>
            </w:pPr>
            <w:r>
              <w:rPr/>
              <w:t>☐</w:t>
            </w:r>
          </w:p>
        </w:tc>
        <w:tc>
          <w:tcPr>
            <w:tcW w:w="62" w:type="dxa"/>
            <w:tcBorders/>
            <w:vAlign w:val="bottom"/>
          </w:tcPr>
          <w:p>
            <w:pPr>
              <w:pStyle w:val="TableContents"/>
              <w:bidi w:val="0"/>
              <w:spacing w:before="0" w:after="283"/>
              <w:jc w:val="left"/>
              <w:rPr/>
            </w:pPr>
            <w:r>
              <w:rPr/>
              <w:t> </w:t>
            </w:r>
          </w:p>
        </w:tc>
        <w:tc>
          <w:tcPr>
            <w:tcW w:w="835" w:type="dxa"/>
            <w:gridSpan w:val="3"/>
            <w:tcBorders>
              <w:right w:val="single" w:sz="16" w:space="0" w:color="000000"/>
            </w:tcBorders>
            <w:tcMar>
              <w:right w:w="40" w:type="dxa"/>
            </w:tcMar>
          </w:tcPr>
          <w:p>
            <w:pPr>
              <w:pStyle w:val="TableContents"/>
              <w:bidi w:val="0"/>
              <w:spacing w:before="0" w:after="0"/>
              <w:jc w:val="left"/>
              <w:rPr/>
            </w:pPr>
            <w:r>
              <w:rPr/>
              <w:t> </w:t>
            </w:r>
          </w:p>
          <w:p>
            <w:pPr>
              <w:pStyle w:val="TableContents"/>
              <w:bidi w:val="0"/>
              <w:spacing w:before="0" w:after="20"/>
              <w:jc w:val="center"/>
              <w:rPr/>
            </w:pPr>
            <w:r>
              <w:rPr/>
              <w:t>☐</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5582" w:type="dxa"/>
            <w:gridSpan w:val="13"/>
            <w:tcBorders/>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b/>
                <w:sz w:val="16"/>
              </w:rPr>
              <w:t>NOTE:</w:t>
            </w:r>
            <w:r>
              <w:rPr>
                <w:rFonts w:ascii="ARIAL" w:hAnsi="ARIAL"/>
                <w:sz w:val="16"/>
              </w:rPr>
              <w:t xml:space="preserve"> Such other business as may properly come before the meeting or any adjournment thereof.</w:t>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39" w:type="dxa"/>
            <w:gridSpan w:val="3"/>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835" w:type="dxa"/>
            <w:gridSpan w:val="3"/>
            <w:tcBorders>
              <w:right w:val="single" w:sz="16" w:space="0" w:color="000000"/>
            </w:tcBorders>
            <w:tcMar>
              <w:right w:w="40" w:type="dxa"/>
            </w:tcMar>
          </w:tcPr>
          <w:p>
            <w:pPr>
              <w:pStyle w:val="TableContents"/>
              <w:bidi w:val="0"/>
              <w:spacing w:before="0" w:after="283"/>
              <w:jc w:val="left"/>
              <w:rPr/>
            </w:pPr>
            <w:r>
              <w:rPr/>
              <w:t> </w:t>
            </w:r>
          </w:p>
        </w:tc>
      </w:tr>
      <w:tr>
        <w:trPr/>
        <w:tc>
          <w:tcPr>
            <w:tcW w:w="263" w:type="dxa"/>
            <w:vMerge w:val="continue"/>
            <w:tcBorders/>
            <w:vAlign w:val="bottom"/>
          </w:tcPr>
          <w:p>
            <w:pPr>
              <w:pStyle w:val="Normal"/>
              <w:bidi w:val="0"/>
              <w:jc w:val="left"/>
              <w:rPr/>
            </w:pPr>
            <w:r>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5582" w:type="dxa"/>
            <w:gridSpan w:val="13"/>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tcBorders/>
            <w:vAlign w:val="bottom"/>
          </w:tcPr>
          <w:p>
            <w:pPr>
              <w:pStyle w:val="TableContents"/>
              <w:bidi w:val="0"/>
              <w:spacing w:before="0" w:after="283"/>
              <w:jc w:val="left"/>
              <w:rPr>
                <w:sz w:val="4"/>
                <w:szCs w:val="4"/>
              </w:rPr>
            </w:pPr>
            <w:r>
              <w:rPr>
                <w:sz w:val="4"/>
                <w:szCs w:val="4"/>
              </w:rPr>
            </w:r>
          </w:p>
        </w:tc>
        <w:tc>
          <w:tcPr>
            <w:tcW w:w="122" w:type="dxa"/>
            <w:tcBorders>
              <w:left w:val="single" w:sz="16" w:space="0" w:color="000000"/>
            </w:tcBorders>
            <w:tcMar>
              <w:left w:w="28" w:type="dxa"/>
            </w:tcMar>
            <w:vAlign w:val="bottom"/>
          </w:tcPr>
          <w:p>
            <w:pPr>
              <w:pStyle w:val="TableContents"/>
              <w:bidi w:val="0"/>
              <w:spacing w:before="0" w:after="283"/>
              <w:jc w:val="left"/>
              <w:rPr/>
            </w:pPr>
            <w:r>
              <w:rPr/>
              <w:t>  </w:t>
            </w:r>
          </w:p>
        </w:tc>
        <w:tc>
          <w:tcPr>
            <w:tcW w:w="4953" w:type="dxa"/>
            <w:gridSpan w:val="9"/>
            <w:tcBorders/>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ARIAL" w:hAnsi="ARIAL"/>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bidi w:val="0"/>
              <w:spacing w:before="0" w:after="20"/>
              <w:jc w:val="left"/>
              <w:rPr/>
            </w:pPr>
            <w:r>
              <w:rPr/>
              <w:t> </w:t>
            </w:r>
          </w:p>
        </w:tc>
        <w:tc>
          <w:tcPr>
            <w:tcW w:w="6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8" w:type="dxa"/>
            <w:tcBorders>
              <w:right w:val="single" w:sz="16" w:space="0" w:color="000000"/>
            </w:tcBorders>
            <w:tcMar>
              <w:right w:w="40" w:type="dxa"/>
            </w:tcMar>
            <w:vAlign w:val="bottom"/>
          </w:tcPr>
          <w:p>
            <w:pPr>
              <w:pStyle w:val="TableContents"/>
              <w:bidi w:val="0"/>
              <w:spacing w:before="0" w:after="283"/>
              <w:jc w:val="left"/>
              <w:rPr/>
            </w:pPr>
            <w:r>
              <w:rPr/>
              <w:t> </w:t>
            </w:r>
          </w:p>
        </w:tc>
      </w:tr>
      <w:tr>
        <w:trPr/>
        <w:tc>
          <w:tcPr>
            <w:tcW w:w="263" w:type="dxa"/>
            <w:tcBorders/>
            <w:vAlign w:val="bottom"/>
          </w:tcPr>
          <w:p>
            <w:pPr>
              <w:pStyle w:val="TableContents"/>
              <w:bidi w:val="0"/>
              <w:spacing w:before="0" w:after="283"/>
              <w:jc w:val="left"/>
              <w:rPr>
                <w:sz w:val="4"/>
                <w:szCs w:val="4"/>
              </w:rPr>
            </w:pPr>
            <w:r>
              <w:rPr>
                <w:sz w:val="4"/>
                <w:szCs w:val="4"/>
              </w:rPr>
            </w:r>
          </w:p>
        </w:tc>
        <w:tc>
          <w:tcPr>
            <w:tcW w:w="122" w:type="dxa"/>
            <w:tcBorders>
              <w:left w:val="single" w:sz="16" w:space="0" w:color="000000"/>
              <w:bottom w:val="single" w:sz="16" w:space="0" w:color="000000"/>
            </w:tcBorders>
            <w:tcMar>
              <w:left w:w="28" w:type="dxa"/>
              <w:bottom w:w="28" w:type="dxa"/>
            </w:tcMar>
            <w:vAlign w:val="bottom"/>
          </w:tcPr>
          <w:p>
            <w:pPr>
              <w:pStyle w:val="TableContents"/>
              <w:bidi w:val="0"/>
              <w:spacing w:before="0" w:after="283"/>
              <w:jc w:val="left"/>
              <w:rPr/>
            </w:pPr>
            <w:r>
              <w:rPr/>
              <w:t>  </w:t>
            </w:r>
          </w:p>
        </w:tc>
        <w:tc>
          <w:tcPr>
            <w:tcW w:w="3900" w:type="dxa"/>
            <w:gridSpan w:val="7"/>
            <w:tcBorders>
              <w:bottom w:val="single" w:sz="16" w:space="0" w:color="000000"/>
            </w:tcBorders>
            <w:tcMar>
              <w:bottom w:w="28" w:type="dxa"/>
            </w:tcMar>
            <w:vAlign w:val="bottom"/>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2419350" cy="3143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0"/>
                          <a:stretch>
                            <a:fillRect/>
                          </a:stretch>
                        </pic:blipFill>
                        <pic:spPr bwMode="auto">
                          <a:xfrm>
                            <a:off x="0" y="0"/>
                            <a:ext cx="2419350" cy="314325"/>
                          </a:xfrm>
                          <a:prstGeom prst="rect">
                            <a:avLst/>
                          </a:prstGeom>
                        </pic:spPr>
                      </pic:pic>
                    </a:graphicData>
                  </a:graphic>
                </wp:inline>
              </w:drawing>
            </w:r>
            <w:r>
              <w:rPr/>
              <w:t xml:space="preserve"> </w:t>
            </w:r>
          </w:p>
          <w:p>
            <w:pPr>
              <w:pStyle w:val="TableContents"/>
              <w:bidi w:val="0"/>
              <w:spacing w:before="0" w:after="20"/>
              <w:jc w:val="left"/>
              <w:rPr>
                <w:rFonts w:ascii="ARIAL" w:hAnsi="ARIAL"/>
                <w:sz w:val="16"/>
              </w:rPr>
            </w:pPr>
            <w:r>
              <w:rPr>
                <w:rFonts w:ascii="ARIAL" w:hAnsi="ARIAL"/>
                <w:sz w:val="16"/>
              </w:rPr>
              <w:t>Signature [PLEASE SIGN WITHIN BOX]   Date</w:t>
            </w:r>
          </w:p>
        </w:tc>
        <w:tc>
          <w:tcPr>
            <w:tcW w:w="62" w:type="dxa"/>
            <w:tcBorders>
              <w:bottom w:val="single" w:sz="16" w:space="0" w:color="000000"/>
            </w:tcBorders>
            <w:tcMar>
              <w:bottom w:w="28" w:type="dxa"/>
            </w:tcMar>
            <w:vAlign w:val="bottom"/>
          </w:tcPr>
          <w:p>
            <w:pPr>
              <w:pStyle w:val="TableContents"/>
              <w:bidi w:val="0"/>
              <w:spacing w:before="0" w:after="283"/>
              <w:jc w:val="left"/>
              <w:rPr/>
            </w:pPr>
            <w:r>
              <w:rPr/>
              <w:t> </w:t>
            </w:r>
          </w:p>
        </w:tc>
        <w:tc>
          <w:tcPr>
            <w:tcW w:w="991" w:type="dxa"/>
            <w:tcBorders>
              <w:bottom w:val="single" w:sz="16" w:space="0" w:color="000000"/>
            </w:tcBorders>
            <w:tcMar>
              <w:bottom w:w="28" w:type="dxa"/>
            </w:tcMar>
            <w:vAlign w:val="bottom"/>
          </w:tcPr>
          <w:p>
            <w:pPr>
              <w:pStyle w:val="TableContents"/>
              <w:bidi w:val="0"/>
              <w:spacing w:before="0" w:after="283"/>
              <w:jc w:val="left"/>
              <w:rPr/>
            </w:pPr>
            <w:r>
              <w:rPr/>
              <w:t> </w:t>
            </w:r>
          </w:p>
        </w:tc>
        <w:tc>
          <w:tcPr>
            <w:tcW w:w="62" w:type="dxa"/>
            <w:tcBorders>
              <w:bottom w:val="single" w:sz="16" w:space="0" w:color="000000"/>
            </w:tcBorders>
            <w:tcMar>
              <w:bottom w:w="28" w:type="dxa"/>
            </w:tcMar>
            <w:vAlign w:val="bottom"/>
          </w:tcPr>
          <w:p>
            <w:pPr>
              <w:pStyle w:val="TableContents"/>
              <w:bidi w:val="0"/>
              <w:spacing w:before="0" w:after="283"/>
              <w:jc w:val="left"/>
              <w:rPr/>
            </w:pPr>
            <w:r>
              <w:rPr/>
              <w:t> </w:t>
            </w:r>
          </w:p>
        </w:tc>
        <w:tc>
          <w:tcPr>
            <w:tcW w:w="3908" w:type="dxa"/>
            <w:gridSpan w:val="11"/>
            <w:tcBorders>
              <w:bottom w:val="single" w:sz="16" w:space="0" w:color="000000"/>
            </w:tcBorders>
            <w:tcMar>
              <w:bottom w:w="28" w:type="dxa"/>
            </w:tcMar>
            <w:vAlign w:val="bottom"/>
          </w:tcPr>
          <w:p>
            <w:pPr>
              <w:pStyle w:val="TableContents"/>
              <w:bidi w:val="0"/>
              <w:spacing w:before="0" w:after="0"/>
              <w:jc w:val="left"/>
              <w:rPr/>
            </w:pPr>
            <w:r>
              <w:rPr/>
              <w:drawing>
                <wp:inline distT="0" distB="0" distL="0" distR="0">
                  <wp:extent cx="2419350" cy="3143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1"/>
                          <a:stretch>
                            <a:fillRect/>
                          </a:stretch>
                        </pic:blipFill>
                        <pic:spPr bwMode="auto">
                          <a:xfrm>
                            <a:off x="0" y="0"/>
                            <a:ext cx="2419350" cy="314325"/>
                          </a:xfrm>
                          <a:prstGeom prst="rect">
                            <a:avLst/>
                          </a:prstGeom>
                        </pic:spPr>
                      </pic:pic>
                    </a:graphicData>
                  </a:graphic>
                </wp:inline>
              </w:drawing>
            </w:r>
            <w:r>
              <w:rPr/>
              <w:t xml:space="preserve"> </w:t>
            </w:r>
          </w:p>
          <w:p>
            <w:pPr>
              <w:pStyle w:val="TableContents"/>
              <w:bidi w:val="0"/>
              <w:spacing w:before="0" w:after="20"/>
              <w:jc w:val="left"/>
              <w:rPr>
                <w:rFonts w:ascii="ARIAL" w:hAnsi="ARIAL"/>
                <w:sz w:val="16"/>
              </w:rPr>
            </w:pPr>
            <w:r>
              <w:rPr>
                <w:rFonts w:ascii="ARIAL" w:hAnsi="ARIAL"/>
                <w:sz w:val="16"/>
              </w:rPr>
              <w:t>Signature (Joint Owners)           Date</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5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 w:type="dxa"/>
            <w:tcBorders>
              <w:bottom w:val="single" w:sz="16" w:space="0" w:color="000000"/>
            </w:tcBorders>
            <w:tcMar>
              <w:bottom w:w="28" w:type="dxa"/>
            </w:tcMar>
            <w:vAlign w:val="bottom"/>
          </w:tcPr>
          <w:p>
            <w:pPr>
              <w:pStyle w:val="TableContents"/>
              <w:bidi w:val="0"/>
              <w:spacing w:before="0" w:after="283"/>
              <w:jc w:val="left"/>
              <w:rPr/>
            </w:pPr>
            <w:r>
              <w:rPr/>
              <w:t> </w:t>
            </w:r>
          </w:p>
        </w:tc>
        <w:tc>
          <w:tcPr>
            <w:tcW w:w="148" w:type="dxa"/>
            <w:tcBorders>
              <w:bottom w:val="single" w:sz="16" w:space="0" w:color="000000"/>
              <w:right w:val="single" w:sz="16" w:space="0" w:color="000000"/>
            </w:tcBorders>
            <w:tcMar>
              <w:bottom w:w="28" w:type="dxa"/>
              <w:right w:w="40"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22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20"/>
        </w:rPr>
      </w:pPr>
      <w:r>
        <w:rPr>
          <w:rFonts w:ascii="ARIAL" w:hAnsi="ARIAL"/>
          <w:sz w:val="20"/>
        </w:rPr>
        <w:t xml:space="preserve">The Notice and Proxy Statement and Form 10-K are available at </w:t>
      </w:r>
      <w:r>
        <w:rPr>
          <w:rFonts w:ascii="ARIAL" w:hAnsi="ARIAL"/>
          <w:sz w:val="20"/>
          <w:u w:val="single"/>
        </w:rPr>
        <w:t>www.proxyvote.com.</w:t>
      </w:r>
      <w:r>
        <w:rPr>
          <w:rFonts w:ascii="ARIAL" w:hAnsi="ARIAL"/>
          <w:sz w:val="20"/>
        </w:rPr>
        <w:t xml:space="preserve"> </w:t>
      </w:r>
    </w:p>
    <w:p>
      <w:pPr>
        <w:pStyle w:val="TextBody"/>
        <w:bidi w:val="0"/>
        <w:spacing w:before="2400" w:after="0"/>
        <w:jc w:val="left"/>
        <w:rPr/>
      </w:pPr>
      <w:r>
        <w:rPr/>
        <w:t> </w:t>
      </w:r>
      <w:r>
        <w:rPr>
          <w:rFonts w:ascii="ARIAL" w:hAnsi="ARIAL"/>
          <w:sz w:val="20"/>
        </w:rPr>
        <w:t xml:space="preserve">                                                  </w:t>
      </w:r>
    </w:p>
    <w:p>
      <w:pPr>
        <w:pStyle w:val="TextBody"/>
        <w:bidi w:val="0"/>
        <w:spacing w:before="0" w:after="0"/>
        <w:jc w:val="right"/>
        <w:rPr>
          <w:rFonts w:ascii="ARIAL" w:hAnsi="ARIAL"/>
          <w:sz w:val="14"/>
        </w:rPr>
      </w:pPr>
      <w:r>
        <w:rPr>
          <w:rFonts w:ascii="ARIAL" w:hAnsi="ARIAL"/>
          <w:sz w:val="14"/>
        </w:rPr>
        <w:t xml:space="preserve">V42460-P08778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TEMPEST THERAPEUTICS, INC.</w:t>
            </w:r>
          </w:p>
          <w:p>
            <w:pPr>
              <w:pStyle w:val="TableContents"/>
              <w:bidi w:val="0"/>
              <w:spacing w:before="0" w:after="0"/>
              <w:jc w:val="center"/>
              <w:rPr>
                <w:rFonts w:ascii="ARIAL" w:hAnsi="ARIAL"/>
                <w:b/>
                <w:sz w:val="20"/>
              </w:rPr>
            </w:pPr>
            <w:r>
              <w:rPr>
                <w:rFonts w:ascii="ARIAL" w:hAnsi="ARIAL"/>
                <w:b/>
                <w:sz w:val="20"/>
              </w:rPr>
              <w:t>Annual Meeting of Stockholders</w:t>
            </w:r>
          </w:p>
          <w:p>
            <w:pPr>
              <w:pStyle w:val="TableContents"/>
              <w:bidi w:val="0"/>
              <w:spacing w:before="0" w:after="0"/>
              <w:jc w:val="center"/>
              <w:rPr>
                <w:rFonts w:ascii="ARIAL" w:hAnsi="ARIAL"/>
                <w:b/>
                <w:sz w:val="20"/>
              </w:rPr>
            </w:pPr>
            <w:r>
              <w:rPr>
                <w:rFonts w:ascii="ARIAL" w:hAnsi="ARIAL"/>
                <w:b/>
                <w:sz w:val="20"/>
              </w:rPr>
              <w:t>June 13, 2024 1:00 P.M. Pacific Time</w:t>
            </w:r>
          </w:p>
          <w:p>
            <w:pPr>
              <w:pStyle w:val="TableContents"/>
              <w:bidi w:val="0"/>
              <w:spacing w:before="0" w:after="0"/>
              <w:jc w:val="center"/>
              <w:rPr>
                <w:rFonts w:ascii="ARIAL" w:hAnsi="ARIAL"/>
                <w:b/>
                <w:sz w:val="20"/>
              </w:rPr>
            </w:pPr>
            <w:r>
              <w:rPr>
                <w:rFonts w:ascii="ARIAL" w:hAnsi="ARIAL"/>
                <w:b/>
                <w:sz w:val="20"/>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 xml:space="preserve">The stockholder(s) hereby appoint(s) Stephen Brady and Michael Raab, or either of them, as proxies, each with the power to appoint his substitute, and hereby authorize(s) them to represent and to vote, as designated on the reverse side of this ballot, all of the shares of common stock of TEMPEST THERAPEUTICS, INC. that the stockholder(s) is/are entitled to vote at the Annual Meeting of Stockholders to be held live via webcast at </w:t>
            </w:r>
            <w:r>
              <w:rPr>
                <w:rFonts w:ascii="ARIAL" w:hAnsi="ARIAL"/>
                <w:sz w:val="20"/>
                <w:u w:val="single"/>
              </w:rPr>
              <w:t>www.virtualshareholdermeeting.com/TPST2024</w:t>
            </w:r>
            <w:r>
              <w:rPr>
                <w:rFonts w:ascii="ARIAL" w:hAnsi="ARIAL"/>
                <w:sz w:val="20"/>
              </w:rPr>
              <w:t xml:space="preserve"> at 1:00 P.M., Pacific Time, on June 13, 2024, and any adjournment or postponement thereof.</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This proxy, when properly executed, will be voted in the manner directed herein. If no such direction is made, this proxy will be voted in accordance with the Board of Directors recommendations.</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Continued and to be signed on reverse side</w:t>
            </w:r>
          </w:p>
          <w:p>
            <w:pPr>
              <w:pStyle w:val="TableContents"/>
              <w:bidi w:val="0"/>
              <w:spacing w:before="0" w:after="20"/>
              <w:jc w:val="left"/>
              <w:rPr/>
            </w:pPr>
            <w:r>
              <w:rPr/>
              <w:t> </w:t>
            </w:r>
          </w:p>
        </w:tc>
      </w:tr>
    </w:tbl>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8.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20158</Words>
  <Characters>105272</Characters>
  <CharactersWithSpaces>126245</CharactersWithSpaces>
  <Paragraphs>2791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