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86207d8k.htm"/>
      <w:bookmarkStart w:id="1" w:name="ksd186207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2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2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20" w:after="0"/>
        <w:jc w:val="center"/>
        <w:rPr>
          <w:rFonts w:ascii="Times New Roman" w:hAnsi="Times New Roman"/>
          <w:b/>
          <w:sz w:val="24"/>
        </w:rPr>
      </w:pPr>
      <w:r>
        <w:rPr>
          <w:rFonts w:ascii="Times New Roman" w:hAnsi="Times New Roman"/>
          <w:b/>
          <w:sz w:val="24"/>
        </w:rPr>
        <w:t>Date of Report (Date of earliest event reported): August 12,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20" w:after="0"/>
        <w:jc w:val="center"/>
        <w:rPr>
          <w:rFonts w:ascii="Times New Roman" w:hAnsi="Times New Roman"/>
          <w:b/>
          <w:sz w:val="48"/>
        </w:rPr>
      </w:pPr>
      <w:r>
        <w:rPr>
          <w:rFonts w:ascii="Times New Roman" w:hAnsi="Times New Roman"/>
          <w:b/>
          <w:sz w:val="48"/>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6105" w:type="dxa"/>
        <w:jc w:val="left"/>
        <w:tblInd w:w="0" w:type="dxa"/>
        <w:tblCellMar>
          <w:top w:w="0" w:type="dxa"/>
          <w:left w:w="0" w:type="dxa"/>
          <w:bottom w:w="0" w:type="dxa"/>
          <w:right w:w="0" w:type="dxa"/>
        </w:tblCellMar>
      </w:tblPr>
      <w:tblGrid>
        <w:gridCol w:w="2720"/>
        <w:gridCol w:w="60"/>
        <w:gridCol w:w="1385"/>
        <w:gridCol w:w="60"/>
        <w:gridCol w:w="1880"/>
      </w:tblGrid>
      <w:tr>
        <w:trPr/>
        <w:tc>
          <w:tcPr>
            <w:tcW w:w="2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center"/>
              <w:rPr>
                <w:b/>
              </w:rPr>
            </w:pPr>
            <w:r>
              <w:rPr>
                <w:b/>
              </w:rPr>
              <w:t>001-35890</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45-1472564</w:t>
            </w:r>
          </w:p>
        </w:tc>
      </w:tr>
      <w:tr>
        <w:trPr/>
        <w:tc>
          <w:tcPr>
            <w:tcW w:w="2720" w:type="dxa"/>
            <w:tcBorders/>
            <w:shd w:fill="auto" w:val="clear"/>
            <w:vAlign w:val="center"/>
          </w:tcPr>
          <w:p>
            <w:pPr>
              <w:pStyle w:val="TableContents"/>
              <w:spacing w:before="0" w:after="283"/>
              <w:jc w:val="center"/>
              <w:rPr>
                <w:b/>
              </w:rPr>
            </w:pPr>
            <w:r>
              <w:rPr>
                <w:b/>
              </w:rPr>
              <w:t>(State or other jurisdiction</w:t>
              <w:br/>
              <w:t>of incorporation)</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jc w:val="center"/>
              <w:rPr>
                <w:b/>
              </w:rPr>
            </w:pPr>
            <w:r>
              <w:rPr>
                <w:b/>
              </w:rPr>
              <w:t>(Commission</w:t>
              <w:br/>
              <w:t>File Number)</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(IRS Employer</w:t>
              <w:br/>
              <w:t>Identification No.)</w:t>
            </w:r>
          </w:p>
        </w:tc>
      </w:tr>
    </w:tbl>
    <w:p>
      <w:pPr>
        <w:pStyle w:val="TextBody"/>
        <w:spacing w:before="220" w:after="0"/>
        <w:jc w:val="center"/>
        <w:rPr>
          <w:rFonts w:ascii="Times New Roman" w:hAnsi="Times New Roman"/>
          <w:b/>
          <w:sz w:val="20"/>
        </w:rPr>
      </w:pPr>
      <w:r>
        <w:rPr>
          <w:rFonts w:ascii="Times New Roman" w:hAnsi="Times New Roman"/>
          <w:b/>
          <w:sz w:val="20"/>
        </w:rPr>
        <w:t>7000 Shoreline Court, Suite 275</w:t>
      </w:r>
    </w:p>
    <w:p>
      <w:pPr>
        <w:pStyle w:val="TextBody"/>
        <w:spacing w:before="0" w:after="0"/>
        <w:jc w:val="center"/>
        <w:rPr>
          <w:rFonts w:ascii="Times New Roman" w:hAnsi="Times New Roman"/>
          <w:b/>
          <w:sz w:val="20"/>
        </w:rPr>
      </w:pPr>
      <w:r>
        <w:rPr>
          <w:rFonts w:ascii="Times New Roman" w:hAnsi="Times New Roman"/>
          <w:b/>
          <w:sz w:val="20"/>
        </w:rPr>
        <w:t>South San Francisco, CA 94080</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spacing w:before="22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spacing w:before="220" w:after="0"/>
        <w:jc w:val="center"/>
        <w:rPr>
          <w:rFonts w:ascii="Times New Roman" w:hAnsi="Times New Roman"/>
          <w:b/>
          <w:sz w:val="20"/>
        </w:rPr>
      </w:pPr>
      <w:r>
        <w:rPr>
          <w:rFonts w:ascii="Times New Roman" w:hAnsi="Times New Roman"/>
          <w:b/>
          <w:sz w:val="20"/>
        </w:rPr>
        <w:t>N/A</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2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265" w:type="dxa"/>
        <w:jc w:val="left"/>
        <w:tblInd w:w="0" w:type="dxa"/>
        <w:tblCellMar>
          <w:top w:w="0" w:type="dxa"/>
          <w:left w:w="0" w:type="dxa"/>
          <w:bottom w:w="0" w:type="dxa"/>
          <w:right w:w="0" w:type="dxa"/>
        </w:tblCellMar>
      </w:tblPr>
      <w:tblGrid>
        <w:gridCol w:w="4430"/>
        <w:gridCol w:w="60"/>
        <w:gridCol w:w="740"/>
        <w:gridCol w:w="60"/>
        <w:gridCol w:w="2975"/>
      </w:tblGrid>
      <w:tr>
        <w:trPr/>
        <w:tc>
          <w:tcPr>
            <w:tcW w:w="4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44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97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30" w:type="dxa"/>
            <w:tcBorders/>
            <w:shd w:fill="auto" w:val="clear"/>
            <w:vAlign w:val="center"/>
          </w:tcPr>
          <w:p>
            <w:pPr>
              <w:pStyle w:val="TableContents"/>
              <w:spacing w:before="0" w:after="283"/>
              <w:jc w:val="center"/>
              <w:rPr>
                <w:b/>
              </w:rPr>
            </w:pPr>
            <w:r>
              <w:rPr>
                <w:b/>
              </w:rPr>
              <w:t>Common Stock, par value $0.001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TPST</w:t>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283"/>
              <w:jc w:val="center"/>
              <w:rPr>
                <w:b/>
              </w:rPr>
            </w:pPr>
            <w:r>
              <w:rPr>
                <w:b/>
              </w:rPr>
              <w:t xml:space="preserve">The Nasdaq Capital Market </w:t>
            </w:r>
          </w:p>
        </w:tc>
      </w:tr>
    </w:tbl>
    <w:p>
      <w:pPr>
        <w:pStyle w:val="TextBody"/>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20" w:after="0"/>
        <w:jc w:val="left"/>
        <w:rPr>
          <w:rFonts w:ascii="Times New Roman" w:hAnsi="Times New Roman"/>
          <w:sz w:val="20"/>
        </w:rPr>
      </w:pPr>
      <w:r>
        <w:rPr>
          <w:rFonts w:ascii="Times New Roman" w:hAnsi="Times New Roman"/>
          <w:sz w:val="20"/>
        </w:rPr>
        <w:t>Emerging growth company ☐</w:t>
      </w:r>
    </w:p>
    <w:p>
      <w:pPr>
        <w:pStyle w:val="TextBody"/>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On August 12, 2021, Tempest Therapeutics, Inc. (the “Company”) issued a press release announcing its financial results for the second fiscal quarter ended June 30, 2021. A copy of the Company’s press release dated August 12, 2021, titled “Tempest Reports Second Quarter 2021 Financial Results and Provides Corporate Highlights” is attached hereto as Exhibit 99.1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TextBody"/>
        <w:spacing w:before="360" w:after="0"/>
        <w:jc w:val="left"/>
        <w:rPr>
          <w:rFonts w:ascii="Times New Roman" w:hAnsi="Times New Roman"/>
          <w:b/>
          <w:sz w:val="20"/>
        </w:rPr>
      </w:pPr>
      <w:r>
        <w:rPr>
          <w:rFonts w:ascii="Times New Roman" w:hAnsi="Times New Roman"/>
          <w:b/>
          <w:sz w:val="20"/>
        </w:rPr>
        <w:t xml:space="preserve">Item 5.02 Departure of Directors or Principal Officers; Election of Directors; Appointment of Principal Officers </w:t>
      </w:r>
    </w:p>
    <w:p>
      <w:pPr>
        <w:pStyle w:val="TextBody"/>
        <w:spacing w:before="120" w:after="0"/>
        <w:jc w:val="left"/>
        <w:rPr>
          <w:rFonts w:ascii="Times New Roman" w:hAnsi="Times New Roman"/>
          <w:b/>
          <w:i/>
          <w:sz w:val="20"/>
        </w:rPr>
      </w:pPr>
      <w:r>
        <w:rPr>
          <w:rFonts w:ascii="Times New Roman" w:hAnsi="Times New Roman"/>
          <w:b/>
          <w:i/>
          <w:sz w:val="20"/>
        </w:rPr>
        <w:t xml:space="preserve">Appointment of Directors </w:t>
      </w:r>
    </w:p>
    <w:p>
      <w:pPr>
        <w:pStyle w:val="TextBody"/>
        <w:spacing w:before="120" w:after="0"/>
        <w:jc w:val="left"/>
        <w:rPr>
          <w:rFonts w:ascii="Times New Roman" w:hAnsi="Times New Roman"/>
          <w:sz w:val="20"/>
        </w:rPr>
      </w:pPr>
      <w:r>
        <w:rPr>
          <w:rFonts w:ascii="Times New Roman" w:hAnsi="Times New Roman"/>
          <w:sz w:val="20"/>
        </w:rPr>
        <w:t xml:space="preserve">Effective as of August 6, 2021, the Company’s Board of Directors (the “Board”) appointed Ronit Simantov, M.D. to serve as Class III director of the Board. Class III directors serve until the 2024 annual meeting of stockholders. There is no arrangement or understanding between Dr. Simantov and us, or any other person, pursuant to which she was appointed as a director. </w:t>
      </w:r>
    </w:p>
    <w:p>
      <w:pPr>
        <w:pStyle w:val="TextBody"/>
        <w:spacing w:before="240" w:after="0"/>
        <w:jc w:val="left"/>
        <w:rPr>
          <w:rFonts w:ascii="Times New Roman" w:hAnsi="Times New Roman"/>
          <w:sz w:val="20"/>
        </w:rPr>
      </w:pPr>
      <w:r>
        <w:rPr>
          <w:rFonts w:ascii="Times New Roman" w:hAnsi="Times New Roman"/>
          <w:sz w:val="20"/>
        </w:rPr>
        <w:t xml:space="preserve">Dr. Simantov will receive compensation consistent with the Company’s Non-Employee Director Compensation Policy (the “Non-Employee Director Compensation Policy”), which provides for annual cash compensation of $40,000 for service on the Board. In addition, pursuant to the Non-Employee Director Compensation Policy, Dr. Simantov (a) was granted an option to purchase 6,635 shares of the Company’s common stock, pursuant to which one third of the shares subject to the option will vest on the one-year anniversary of the date of grant and the remaining two thirds will vest in equal monthly installments over the 24 months thereafter, and (b) will be granted an option to purchase 3,318 shares of the Company’s common stock following each annual meeting of stockholders commencing with the 2022 annual meeting of stockholders, pursuant to which 100% of the shares subject to the option will vest on the earlier of (i) one-year anniversary of the date of grant or (ii) the date of the Company’s annual meeting of stockholders for the year subsequent to the year such grant is made. Further, Dr. Simantov will enter into the Company’s standard form of indemnification agreement providing for indemnification, subject to certain limitations, by the Company in connection with her service as a director of the Company. </w:t>
      </w:r>
    </w:p>
    <w:p>
      <w:pPr>
        <w:pStyle w:val="TextBody"/>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860"/>
        <w:gridCol w:w="120"/>
        <w:gridCol w:w="7625"/>
      </w:tblGrid>
      <w:tr>
        <w:trPr/>
        <w:tc>
          <w:tcPr>
            <w:tcW w:w="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 No.</w:t>
            </w:r>
          </w:p>
        </w:tc>
        <w:tc>
          <w:tcPr>
            <w:tcW w:w="120" w:type="dxa"/>
            <w:tcBorders/>
            <w:shd w:fill="auto" w:val="clear"/>
            <w:vAlign w:val="center"/>
          </w:tcPr>
          <w:p>
            <w:pPr>
              <w:pStyle w:val="TableContents"/>
              <w:spacing w:before="0" w:after="283"/>
              <w:rPr/>
            </w:pPr>
            <w:r>
              <w:rPr/>
              <w:t>  </w:t>
            </w:r>
          </w:p>
        </w:tc>
        <w:tc>
          <w:tcPr>
            <w:tcW w:w="762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Description</w:t>
            </w:r>
          </w:p>
        </w:tc>
      </w:tr>
      <w:tr>
        <w:trPr/>
        <w:tc>
          <w:tcPr>
            <w:tcW w:w="860"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hyperlink w:anchor="d186207dex991.htm">
              <w:r>
                <w:rPr>
                  <w:rStyle w:val="InternetLink"/>
                </w:rPr>
                <w:t xml:space="preserve">Press release dated August 12, 2021 </w:t>
              </w:r>
            </w:hyperlink>
          </w:p>
        </w:tc>
      </w:tr>
      <w:tr>
        <w:trPr/>
        <w:tc>
          <w:tcPr>
            <w:tcW w:w="860"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jc w:val="left"/>
        <w:rPr/>
      </w:pPr>
      <w:r>
        <w:rPr/>
        <w:t> </w:t>
      </w:r>
    </w:p>
    <w:tbl>
      <w:tblPr>
        <w:tblW w:w="6167" w:type="dxa"/>
        <w:jc w:val="left"/>
        <w:tblInd w:w="0" w:type="dxa"/>
        <w:tblCellMar>
          <w:top w:w="0" w:type="dxa"/>
          <w:left w:w="0" w:type="dxa"/>
          <w:bottom w:w="0" w:type="dxa"/>
          <w:right w:w="0" w:type="dxa"/>
        </w:tblCellMar>
      </w:tblPr>
      <w:tblGrid>
        <w:gridCol w:w="2195"/>
        <w:gridCol w:w="60"/>
        <w:gridCol w:w="23"/>
        <w:gridCol w:w="60"/>
        <w:gridCol w:w="795"/>
        <w:gridCol w:w="73"/>
        <w:gridCol w:w="2961"/>
      </w:tblGrid>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2961"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29" w:type="dxa"/>
            <w:gridSpan w:val="3"/>
            <w:tcBorders/>
            <w:shd w:fill="auto" w:val="clear"/>
            <w:vAlign w:val="center"/>
          </w:tcPr>
          <w:p>
            <w:pPr>
              <w:pStyle w:val="TableContents"/>
              <w:spacing w:before="0" w:after="283"/>
              <w:rPr>
                <w:b/>
              </w:rPr>
            </w:pPr>
            <w:r>
              <w:rPr>
                <w:b/>
              </w:rPr>
              <w:t>TEMPEST THERAPEUTICS, INC.</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855" w:type="dxa"/>
            <w:gridSpan w:val="2"/>
            <w:tcBorders/>
            <w:shd w:fill="auto" w:val="clear"/>
            <w:vAlign w:val="center"/>
          </w:tcPr>
          <w:p>
            <w:pPr>
              <w:pStyle w:val="TableContents"/>
              <w:spacing w:before="0" w:after="283"/>
              <w:rPr>
                <w:sz w:val="4"/>
                <w:szCs w:val="4"/>
              </w:rPr>
            </w:pPr>
            <w:r>
              <w:rPr>
                <w:sz w:val="4"/>
                <w:szCs w:val="4"/>
              </w:rPr>
            </w:r>
          </w:p>
        </w:tc>
        <w:tc>
          <w:tcPr>
            <w:tcW w:w="3034"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Date: August 12,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By:</w:t>
            </w:r>
          </w:p>
        </w:tc>
        <w:tc>
          <w:tcPr>
            <w:tcW w:w="73" w:type="dxa"/>
            <w:tcBorders/>
            <w:shd w:fill="auto" w:val="clear"/>
            <w:vAlign w:val="center"/>
          </w:tcPr>
          <w:p>
            <w:pPr>
              <w:pStyle w:val="TableContents"/>
              <w:spacing w:before="0" w:after="283"/>
              <w:rPr/>
            </w:pPr>
            <w:r>
              <w:rPr/>
              <w:t> </w:t>
            </w:r>
          </w:p>
        </w:tc>
        <w:tc>
          <w:tcPr>
            <w:tcW w:w="2961" w:type="dxa"/>
            <w:tcBorders/>
            <w:shd w:fill="auto" w:val="clear"/>
            <w:vAlign w:val="center"/>
          </w:tcPr>
          <w:p>
            <w:pPr>
              <w:pStyle w:val="TableContents"/>
              <w:pBdr>
                <w:bottom w:val="single" w:sz="2" w:space="1" w:color="000000"/>
              </w:pBdr>
              <w:spacing w:before="0" w:after="20"/>
              <w:rPr/>
            </w:pPr>
            <w:r>
              <w:rPr/>
              <w:t>  </w:t>
            </w:r>
            <w:r>
              <w:rPr>
                <w:rFonts w:ascii="Times New Roman" w:hAnsi="Times New Roman"/>
                <w:sz w:val="20"/>
              </w:rPr>
              <w:t>/s/ Stephen Brady</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Name:</w:t>
            </w:r>
          </w:p>
        </w:tc>
        <w:tc>
          <w:tcPr>
            <w:tcW w:w="73" w:type="dxa"/>
            <w:tcBorders/>
            <w:shd w:fill="auto" w:val="clear"/>
            <w:vAlign w:val="center"/>
          </w:tcPr>
          <w:p>
            <w:pPr>
              <w:pStyle w:val="TableContents"/>
              <w:spacing w:before="0" w:after="283"/>
              <w:rPr/>
            </w:pPr>
            <w:r>
              <w:rPr/>
              <w:t> </w:t>
            </w:r>
          </w:p>
        </w:tc>
        <w:tc>
          <w:tcPr>
            <w:tcW w:w="2961" w:type="dxa"/>
            <w:tcBorders/>
            <w:shd w:fill="auto" w:val="clear"/>
            <w:vAlign w:val="center"/>
          </w:tcPr>
          <w:p>
            <w:pPr>
              <w:pStyle w:val="TableContents"/>
              <w:spacing w:before="0" w:after="283"/>
              <w:rPr/>
            </w:pPr>
            <w:r>
              <w:rPr/>
              <w:t>  </w:t>
            </w:r>
            <w:r>
              <w:rPr/>
              <w:t>Stephen Brady</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Title:</w:t>
            </w:r>
          </w:p>
        </w:tc>
        <w:tc>
          <w:tcPr>
            <w:tcW w:w="73" w:type="dxa"/>
            <w:tcBorders/>
            <w:shd w:fill="auto" w:val="clear"/>
            <w:vAlign w:val="center"/>
          </w:tcPr>
          <w:p>
            <w:pPr>
              <w:pStyle w:val="TableContents"/>
              <w:spacing w:before="0" w:after="283"/>
              <w:rPr/>
            </w:pPr>
            <w:r>
              <w:rPr/>
              <w:t> </w:t>
            </w:r>
          </w:p>
        </w:tc>
        <w:tc>
          <w:tcPr>
            <w:tcW w:w="2961" w:type="dxa"/>
            <w:tcBorders/>
            <w:shd w:fill="auto" w:val="clear"/>
            <w:vAlign w:val="center"/>
          </w:tcPr>
          <w:p>
            <w:pPr>
              <w:pStyle w:val="TableContents"/>
              <w:spacing w:before="0" w:after="283"/>
              <w:rPr/>
            </w:pPr>
            <w:r>
              <w:rPr/>
              <w:t>  </w:t>
            </w:r>
            <w:r>
              <w:rPr/>
              <w:t>Chief Executive Officer</w:t>
            </w:r>
          </w:p>
        </w:tc>
      </w:tr>
    </w:tbl>
    <w:p>
      <w:pPr>
        <w:pStyle w:val="TextBody"/>
        <w:spacing w:before="0" w:after="0"/>
        <w:jc w:val="right"/>
        <w:rPr>
          <w:rFonts w:ascii="Times New Roman" w:hAnsi="Times New Roman"/>
          <w:b/>
          <w:sz w:val="20"/>
        </w:rPr>
      </w:pPr>
      <w:r>
        <w:br w:type="page"/>
      </w:r>
      <w:bookmarkStart w:id="2" w:name="d186207dex991.htm"/>
      <w:bookmarkStart w:id="3" w:name="ksd186207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35242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9525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Tempest Reports Second Quarter 2021 Financial Results and </w:t>
      </w:r>
    </w:p>
    <w:p>
      <w:pPr>
        <w:pStyle w:val="TextBody"/>
        <w:spacing w:before="0" w:after="0"/>
        <w:jc w:val="center"/>
        <w:rPr>
          <w:rFonts w:ascii="Times New Roman" w:hAnsi="Times New Roman"/>
          <w:b/>
          <w:sz w:val="20"/>
        </w:rPr>
      </w:pPr>
      <w:r>
        <w:rPr>
          <w:rFonts w:ascii="Times New Roman" w:hAnsi="Times New Roman"/>
          <w:b/>
          <w:sz w:val="20"/>
        </w:rPr>
        <w:t xml:space="preserve">Provides Corporate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Closed merger transaction resulting in public listing (TPST)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1"/>
        <w:gridCol w:w="104"/>
        <w:gridCol w:w="9787"/>
      </w:tblGrid>
      <w:tr>
        <w:trPr/>
        <w:tc>
          <w:tcPr>
            <w:tcW w:w="103"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Closed $30M PIPE, extending runway into Q123</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Advancing TPST-1495 and TPST-1120 into targeted patient populations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Advanced TREX-1 program to potent lead series with in vivo efficacy </w:t>
            </w:r>
          </w:p>
        </w:tc>
      </w:tr>
    </w:tbl>
    <w:p>
      <w:pPr>
        <w:pStyle w:val="TextBody"/>
        <w:spacing w:before="240" w:after="0"/>
        <w:jc w:val="left"/>
        <w:rPr>
          <w:rFonts w:ascii="Times New Roman" w:hAnsi="Times New Roman"/>
          <w:sz w:val="20"/>
        </w:rPr>
      </w:pPr>
      <w:r>
        <w:rPr>
          <w:rFonts w:ascii="Times New Roman" w:hAnsi="Times New Roman"/>
          <w:b/>
          <w:sz w:val="20"/>
        </w:rPr>
        <w:t>South San Francisco, CA</w:t>
      </w:r>
      <w:r>
        <w:rPr>
          <w:rFonts w:ascii="Times New Roman" w:hAnsi="Times New Roman"/>
          <w:sz w:val="20"/>
        </w:rPr>
        <w:t xml:space="preserve">, August 12, 2021 </w:t>
      </w:r>
      <w:r>
        <w:rPr>
          <w:rFonts w:ascii="Times New Roman" w:hAnsi="Times New Roman"/>
          <w:b/>
          <w:sz w:val="20"/>
        </w:rPr>
        <w:t xml:space="preserve"> </w:t>
      </w:r>
      <w:r>
        <w:rPr>
          <w:rFonts w:ascii="Times New Roman" w:hAnsi="Times New Roman"/>
          <w:sz w:val="20"/>
        </w:rPr>
        <w:t xml:space="preserve">Tempest Therapeutics, Inc. (Nasdaq: TPST), a clinical-stage oncology company developing potentially first-in-class therapeutics that combine both targeted and immune-mediated mechanisms, today reported financial results and provided a corporate update for the second quarter ended June 30, 2021. </w:t>
      </w:r>
    </w:p>
    <w:p>
      <w:pPr>
        <w:pStyle w:val="TextBody"/>
        <w:spacing w:before="240" w:after="0"/>
        <w:jc w:val="left"/>
        <w:rPr>
          <w:rFonts w:ascii="Times New Roman" w:hAnsi="Times New Roman"/>
          <w:sz w:val="20"/>
        </w:rPr>
      </w:pPr>
      <w:r>
        <w:rPr>
          <w:rFonts w:ascii="Times New Roman" w:hAnsi="Times New Roman"/>
          <w:sz w:val="20"/>
        </w:rPr>
        <w:t xml:space="preserve">The second quarter of 2021 was an exciting period as Tempest became a public company and the team drove progress in all three of our novel programs, said Steve Brady, chief executive officer of Tempest. We look forward to the planned opening of the TPST-1120 randomized study in first line hepatocellular carcinoma in collaboration with Roche and the first combination study of TPST-1495, and remain focused on delivering potentially value-creating milestones over the next year and beyond. </w:t>
      </w:r>
    </w:p>
    <w:p>
      <w:pPr>
        <w:pStyle w:val="TextBody"/>
        <w:spacing w:before="360" w:after="0"/>
        <w:jc w:val="left"/>
        <w:rPr>
          <w:rFonts w:ascii="Times New Roman" w:hAnsi="Times New Roman"/>
          <w:b/>
          <w:sz w:val="20"/>
        </w:rPr>
      </w:pPr>
      <w:r>
        <w:rPr>
          <w:rFonts w:ascii="Times New Roman" w:hAnsi="Times New Roman"/>
          <w:b/>
          <w:sz w:val="20"/>
        </w:rPr>
        <w:t xml:space="preserve">Recent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Public Company Transition</w:t>
            </w:r>
            <w:r>
              <w:rPr>
                <w:rFonts w:ascii="Times New Roman" w:hAnsi="Times New Roman"/>
                <w:sz w:val="20"/>
              </w:rPr>
              <w:t xml:space="preserve">: successfully closed merger and concurrent PIPE financing, allowing Tempest to become a public company listed on the Nasdaq Capital Market, and extending runway into 2023 through multiple potential catalysts.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TPST-1495</w:t>
            </w:r>
            <w:r>
              <w:rPr>
                <w:rFonts w:ascii="Times New Roman" w:hAnsi="Times New Roman"/>
                <w:sz w:val="20"/>
              </w:rPr>
              <w:t xml:space="preserve"> (clinical dual EP2/4 prostaglandin receptor antagonist): continued enrollment in monotherapy dose optimization towards recommended Phase 2 dose (RP2D).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TPST-1120</w:t>
            </w:r>
            <w:r>
              <w:rPr>
                <w:rFonts w:ascii="Times New Roman" w:hAnsi="Times New Roman"/>
                <w:sz w:val="20"/>
              </w:rPr>
              <w:t xml:space="preserve"> (clinical PPARÎ± antagonist): (i) completed monotherapy dose escalation and selected 600mg BID as RP2D; (ii) observed stable disease (SD) in 50% of the monotherapy-treated patients, including prolonged SD in patients with refractory cholangiocarcinoma; and (iii) observed a deep, confirmed partial response in a patient with checkpoint inhibitor-refractory fourth line renal cell carcinoma in the combination study with nivolumab (-&gt;60% by RECIST 1.1, durable through 4 scans and ongoing).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TREX-</w:t>
            </w:r>
            <w:r>
              <w:rPr>
                <w:rFonts w:ascii="Times New Roman" w:hAnsi="Times New Roman"/>
                <w:sz w:val="20"/>
              </w:rPr>
              <w:t xml:space="preserve">1 </w:t>
            </w:r>
            <w:r>
              <w:rPr>
                <w:rFonts w:ascii="Times New Roman" w:hAnsi="Times New Roman"/>
                <w:b/>
                <w:sz w:val="20"/>
              </w:rPr>
              <w:t>Inhibitor</w:t>
            </w:r>
            <w:r>
              <w:rPr>
                <w:rFonts w:ascii="Times New Roman" w:hAnsi="Times New Roman"/>
                <w:sz w:val="20"/>
              </w:rPr>
              <w:t xml:space="preserve"> (preclinical, tumor-selective STING pathway activator): (i) progressed lead series to picomolar IC50 potency in biochemical assays; and (ii) demonstrated significant proof of concept in a mouse tumor model with systemic delivery of a lead series molecule.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Board of Directors</w:t>
            </w:r>
            <w:r>
              <w:rPr>
                <w:rFonts w:ascii="Times New Roman" w:hAnsi="Times New Roman"/>
                <w:sz w:val="20"/>
              </w:rPr>
              <w:t xml:space="preserve">: Christine Pellizzari, J.D., Geoff Nichol, M.B., Ch.B., M.B.A., and Ronit Simantov, M.D., joined the Board of Directors, bringing deeper financial, legal, and clinical development expertise to Tempest. </w:t>
            </w:r>
          </w:p>
        </w:tc>
      </w:tr>
    </w:tbl>
    <w:p>
      <w:pPr>
        <w:pStyle w:val="TextBody"/>
        <w:spacing w:before="360" w:after="0"/>
        <w:jc w:val="left"/>
        <w:rPr>
          <w:rFonts w:ascii="Times New Roman" w:hAnsi="Times New Roman"/>
          <w:b/>
          <w:sz w:val="20"/>
        </w:rPr>
      </w:pPr>
      <w:r>
        <w:rPr>
          <w:rFonts w:ascii="Times New Roman" w:hAnsi="Times New Roman"/>
          <w:b/>
          <w:sz w:val="20"/>
        </w:rPr>
        <w:t xml:space="preserve">Planned Near-Term Milestones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5"/>
        <w:gridCol w:w="102"/>
        <w:gridCol w:w="9290"/>
      </w:tblGrid>
      <w:tr>
        <w:trPr/>
        <w:tc>
          <w:tcPr>
            <w:tcW w:w="5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TPST-1495</w:t>
            </w:r>
            <w:r>
              <w:rPr>
                <w:rFonts w:ascii="Times New Roman" w:hAnsi="Times New Roman"/>
                <w:sz w:val="20"/>
              </w:rPr>
              <w:t xml:space="preserve"> (clinical dual EP2/4 prostaglandin receptor antagonist): (i) selection of monotherapy RP2D expected in the first half of 2022; (ii) commencement of a combination study with an anti-PD-1 checkpoint inhibitor expected prior to the end of 2021; and (iii) commencement of monotherapy expansion in targeted indications and biomarker-selected patient populations expected in the first half of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TPST-1120</w:t>
            </w:r>
            <w:r>
              <w:rPr>
                <w:rFonts w:ascii="Times New Roman" w:hAnsi="Times New Roman"/>
                <w:sz w:val="20"/>
              </w:rPr>
              <w:t xml:space="preserve"> (clinical PPARÎ± antagonist): (i) identification of RP2D of TPST-1120 in combination with nivolumab expected prior to the end of 2021; and (ii) commencement of first line randomized Phase 1b/2 study in hepatocellular carcinoma patients, under a collaboration with F. Hoffman La Roche, expected within the third quarter.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TREX-1 Inhibitor</w:t>
            </w:r>
            <w:r>
              <w:rPr>
                <w:rFonts w:ascii="Times New Roman" w:hAnsi="Times New Roman"/>
                <w:sz w:val="20"/>
              </w:rPr>
              <w:t xml:space="preserve"> (preclinical tumor-selective STING pathway activator): planned selection of development candidate in the first half of 2022. </w:t>
            </w:r>
          </w:p>
        </w:tc>
      </w:tr>
    </w:tbl>
    <w:p>
      <w:pPr>
        <w:pStyle w:val="TextBody"/>
        <w:spacing w:before="360" w:after="0"/>
        <w:jc w:val="left"/>
        <w:rPr>
          <w:rFonts w:ascii="Times New Roman" w:hAnsi="Times New Roman"/>
          <w:b/>
          <w:sz w:val="20"/>
        </w:rPr>
      </w:pPr>
      <w:r>
        <w:rPr>
          <w:rFonts w:ascii="Times New Roman" w:hAnsi="Times New Roman"/>
          <w:b/>
          <w:sz w:val="20"/>
        </w:rPr>
        <w:t xml:space="preserve">Financial Results </w:t>
      </w:r>
    </w:p>
    <w:p>
      <w:pPr>
        <w:pStyle w:val="TextBody"/>
        <w:spacing w:before="120" w:after="0"/>
        <w:jc w:val="left"/>
        <w:rPr>
          <w:rFonts w:ascii="Times New Roman" w:hAnsi="Times New Roman"/>
          <w:sz w:val="20"/>
          <w:u w:val="single"/>
        </w:rPr>
      </w:pPr>
      <w:r>
        <w:rPr>
          <w:rFonts w:ascii="Times New Roman" w:hAnsi="Times New Roman"/>
          <w:sz w:val="20"/>
          <w:u w:val="single"/>
        </w:rPr>
        <w:t xml:space="preserve">Second Quarter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Tempest ended the second quarter of 2021 with $68.5 million in cash and cash equivalents and short-term restricted cash, compared to $18.8 million in December 31, 2020. The increase was primarily due to the merger and concurrent PIPE, which closed in June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loss and net loss per share for the second quarter of 2021 were $7.1 million and $7.63, respectively, compared to $5.2 million and $11.42, respectively, for the second quarter of 2020. The increase was primarily due to an increase in compensation expense and professional fees associated with the merger.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Research and development expenses for the second quarter of 2021 were $4.2 million, compared to $4.1 million for the same period in 2020. The $0.1 million increase was primarily attributable to increased compensation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three months ended June 30, 2021, general and administrative expenses were $2.6 million compared to $1.1 million for the same period in 2020. The increase was primarily due to growth in compensation expense and professional fees associated with the merger. </w:t>
            </w:r>
          </w:p>
        </w:tc>
      </w:tr>
    </w:tbl>
    <w:p>
      <w:pPr>
        <w:pStyle w:val="TextBody"/>
        <w:spacing w:before="360" w:after="0"/>
        <w:jc w:val="left"/>
        <w:rPr>
          <w:rFonts w:ascii="Times New Roman" w:hAnsi="Times New Roman"/>
          <w:sz w:val="20"/>
          <w:u w:val="single"/>
        </w:rPr>
      </w:pPr>
      <w:r>
        <w:rPr>
          <w:rFonts w:ascii="Times New Roman" w:hAnsi="Times New Roman"/>
          <w:sz w:val="20"/>
          <w:u w:val="single"/>
        </w:rPr>
        <w:t xml:space="preserve">Year-to-Date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cash used in operations for the six months ended June 30, 2021 was $6.2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loss and net loss per share for the six months ended June 30, 2021 were $12.4 million and $17.30, respectively, compared to $9.5 million and $21.28, respectively, for the same period in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Research and development expenses for the six months ended June 30, 2021 were $7.8 million compared to $7.1 million for the same period in 2020. The $0.7 million increase was primarily due to increased compensation expenses and consulting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six months ended June 30, 2021, general and administrative expenses were $4.1 million compared to $2.4 million for the same period in 2020. </w:t>
            </w:r>
          </w:p>
        </w:tc>
      </w:tr>
    </w:tbl>
    <w:p>
      <w:pPr>
        <w:pStyle w:val="TextBody"/>
        <w:spacing w:before="360" w:after="0"/>
        <w:jc w:val="left"/>
        <w:rPr>
          <w:rFonts w:ascii="Times New Roman" w:hAnsi="Times New Roman"/>
          <w:b/>
          <w:sz w:val="20"/>
        </w:rPr>
      </w:pPr>
      <w:r>
        <w:rPr>
          <w:rFonts w:ascii="Times New Roman" w:hAnsi="Times New Roman"/>
          <w:b/>
          <w:sz w:val="20"/>
        </w:rPr>
        <w:t xml:space="preserve">About Tempest Therapeutics </w:t>
      </w:r>
    </w:p>
    <w:p>
      <w:pPr>
        <w:pStyle w:val="TextBody"/>
        <w:spacing w:before="120" w:after="0"/>
        <w:jc w:val="left"/>
        <w:rPr>
          <w:rFonts w:ascii="Times New Roman" w:hAnsi="Times New Roman"/>
          <w:sz w:val="20"/>
        </w:rPr>
      </w:pPr>
      <w:r>
        <w:rPr>
          <w:rFonts w:ascii="Times New Roman" w:hAnsi="Times New Roman"/>
          <w:sz w:val="20"/>
        </w:rPr>
        <w:t xml:space="preserve">Tempest Therapeutics is a clinical-stage oncology company advancing small molecules that combine both targeted and immune-mediated mechanisms with the potential to treat a wide range of tumors. The companys two novel clinical programs are TPST-1495 and TPST-1120, antagonists of EP2/EP4 and PPARÎ±, respectively. Both TPST-1495 and TPST-1120 are advancing through Phase 1 studies designed to study both agents as monotherapies and in combination with other approved agents. Tempest is also developing an orally-available inhibitor of TREX-1 designed to activate selectively the cGAS/STING pathway, an innate immune response pathway important for the development of anti-tumor immunity. Tempest is headquartered in South San Francisco. More information about Tempest can be found on the companys website at </w:t>
      </w:r>
      <w:r>
        <w:rPr>
          <w:rFonts w:ascii="Times New Roman" w:hAnsi="Times New Roman"/>
          <w:sz w:val="20"/>
          <w:u w:val="single"/>
        </w:rPr>
        <w:t>www.tempesttx.com</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August 12, 2021.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 </w:t>
      </w:r>
    </w:p>
    <w:p>
      <w:pPr>
        <w:pStyle w:val="TextBody"/>
        <w:spacing w:before="480" w:after="0"/>
        <w:jc w:val="center"/>
        <w:rPr>
          <w:rFonts w:ascii="Times New Roman" w:hAnsi="Times New Roman"/>
          <w:b/>
          <w:sz w:val="20"/>
        </w:rPr>
      </w:pPr>
      <w:r>
        <w:rPr>
          <w:rFonts w:ascii="Times New Roman" w:hAnsi="Times New Roman"/>
          <w:b/>
          <w:sz w:val="20"/>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700"/>
        <w:gridCol w:w="398"/>
        <w:gridCol w:w="210"/>
        <w:gridCol w:w="1215"/>
        <w:gridCol w:w="155"/>
        <w:gridCol w:w="347"/>
        <w:gridCol w:w="305"/>
        <w:gridCol w:w="1717"/>
        <w:gridCol w:w="158"/>
      </w:tblGrid>
      <w:tr>
        <w:trPr/>
        <w:tc>
          <w:tcPr>
            <w:tcW w:w="570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 2021</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2020</w:t>
            </w:r>
          </w:p>
        </w:tc>
        <w:tc>
          <w:tcPr>
            <w:tcW w:w="158"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4"/>
                <w:szCs w:val="4"/>
              </w:rPr>
            </w:pPr>
            <w:r>
              <w:rPr>
                <w:sz w:val="4"/>
                <w:szCs w:val="4"/>
              </w:rPr>
            </w:r>
          </w:p>
        </w:tc>
        <w:tc>
          <w:tcPr>
            <w:tcW w:w="171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sz w:val="4"/>
                <w:szCs w:val="4"/>
              </w:rPr>
            </w:pPr>
            <w:r>
              <w:rPr>
                <w:sz w:val="4"/>
                <w:szCs w:val="4"/>
              </w:rPr>
            </w:r>
          </w:p>
        </w:tc>
        <w:tc>
          <w:tcPr>
            <w:tcW w:w="171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215" w:type="dxa"/>
            <w:tcBorders/>
            <w:shd w:fill="CCEEFF" w:val="clear"/>
            <w:vAlign w:val="bottom"/>
          </w:tcPr>
          <w:p>
            <w:pPr>
              <w:pStyle w:val="TableContents"/>
              <w:spacing w:before="0" w:after="283"/>
              <w:jc w:val="right"/>
              <w:rPr/>
            </w:pPr>
            <w:r>
              <w:rPr/>
              <w:t>68,458</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1717" w:type="dxa"/>
            <w:tcBorders/>
            <w:shd w:fill="CCEEFF" w:val="clear"/>
            <w:vAlign w:val="bottom"/>
          </w:tcPr>
          <w:p>
            <w:pPr>
              <w:pStyle w:val="TableContents"/>
              <w:spacing w:before="0" w:after="283"/>
              <w:jc w:val="right"/>
              <w:rPr/>
            </w:pPr>
            <w:r>
              <w:rPr/>
              <w:t>18,820</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2,036</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1,005</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70,494</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19,825</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700" w:type="dxa"/>
            <w:tcBorders/>
            <w:shd w:fill="auto" w:val="clear"/>
            <w:vAlign w:val="center"/>
          </w:tcPr>
          <w:p>
            <w:pPr>
              <w:pStyle w:val="TableContents"/>
              <w:spacing w:before="0" w:after="283"/>
              <w:rPr>
                <w:sz w:val="4"/>
                <w:szCs w:val="4"/>
              </w:rPr>
            </w:pPr>
            <w:r>
              <w:rPr>
                <w:sz w:val="4"/>
                <w:szCs w:val="4"/>
              </w:rPr>
            </w:r>
          </w:p>
        </w:tc>
        <w:tc>
          <w:tcPr>
            <w:tcW w:w="1978" w:type="dxa"/>
            <w:gridSpan w:val="4"/>
            <w:tcBorders/>
            <w:shd w:fill="auto" w:val="clear"/>
            <w:vAlign w:val="center"/>
          </w:tcPr>
          <w:p>
            <w:pPr>
              <w:pStyle w:val="TableContents"/>
              <w:spacing w:before="0" w:after="283"/>
              <w:rPr>
                <w:sz w:val="4"/>
                <w:szCs w:val="4"/>
              </w:rPr>
            </w:pPr>
            <w:r>
              <w:rPr>
                <w:sz w:val="4"/>
                <w:szCs w:val="4"/>
              </w:rPr>
            </w:r>
          </w:p>
        </w:tc>
        <w:tc>
          <w:tcPr>
            <w:tcW w:w="2527" w:type="dxa"/>
            <w:gridSpan w:val="4"/>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1,218</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1,110</w:t>
            </w:r>
          </w:p>
        </w:tc>
        <w:tc>
          <w:tcPr>
            <w:tcW w:w="158"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3,673</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1,877</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112</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51</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215" w:type="dxa"/>
            <w:tcBorders/>
            <w:shd w:fill="CCEEFF" w:val="clear"/>
            <w:vAlign w:val="bottom"/>
          </w:tcPr>
          <w:p>
            <w:pPr>
              <w:pStyle w:val="TableContents"/>
              <w:spacing w:before="0" w:after="283"/>
              <w:jc w:val="right"/>
              <w:rPr/>
            </w:pPr>
            <w:r>
              <w:rPr/>
              <w:t>75,497</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1717" w:type="dxa"/>
            <w:tcBorders/>
            <w:shd w:fill="CCEEFF" w:val="clear"/>
            <w:vAlign w:val="bottom"/>
          </w:tcPr>
          <w:p>
            <w:pPr>
              <w:pStyle w:val="TableContents"/>
              <w:spacing w:before="0" w:after="283"/>
              <w:jc w:val="right"/>
              <w:rPr/>
            </w:pPr>
            <w:r>
              <w:rPr/>
              <w:t>22,863</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1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1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700" w:type="dxa"/>
            <w:tcBorders/>
            <w:shd w:fill="auto" w:val="clear"/>
            <w:vAlign w:val="center"/>
          </w:tcPr>
          <w:p>
            <w:pPr>
              <w:pStyle w:val="TableContents"/>
              <w:spacing w:before="0" w:after="283"/>
              <w:rPr>
                <w:sz w:val="4"/>
                <w:szCs w:val="4"/>
              </w:rPr>
            </w:pPr>
            <w:r>
              <w:rPr>
                <w:sz w:val="4"/>
                <w:szCs w:val="4"/>
              </w:rPr>
            </w:r>
          </w:p>
        </w:tc>
        <w:tc>
          <w:tcPr>
            <w:tcW w:w="1978" w:type="dxa"/>
            <w:gridSpan w:val="4"/>
            <w:tcBorders/>
            <w:shd w:fill="auto" w:val="clear"/>
            <w:vAlign w:val="center"/>
          </w:tcPr>
          <w:p>
            <w:pPr>
              <w:pStyle w:val="TableContents"/>
              <w:spacing w:before="0" w:after="283"/>
              <w:rPr>
                <w:sz w:val="4"/>
                <w:szCs w:val="4"/>
              </w:rPr>
            </w:pPr>
            <w:r>
              <w:rPr>
                <w:sz w:val="4"/>
                <w:szCs w:val="4"/>
              </w:rPr>
            </w:r>
          </w:p>
        </w:tc>
        <w:tc>
          <w:tcPr>
            <w:tcW w:w="2527" w:type="dxa"/>
            <w:gridSpan w:val="4"/>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b/>
                <w:sz w:val="20"/>
              </w:rPr>
            </w:pPr>
            <w:r>
              <w:rPr>
                <w:rFonts w:ascii="Times New Roman" w:hAnsi="Times New Roman"/>
                <w:b/>
                <w:sz w:val="20"/>
              </w:rPr>
              <w:t>Liabilities and Stockholders Equity</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sz w:val="4"/>
                <w:szCs w:val="4"/>
              </w:rPr>
            </w:pPr>
            <w:r>
              <w:rPr>
                <w:sz w:val="4"/>
                <w:szCs w:val="4"/>
              </w:rPr>
            </w:r>
          </w:p>
        </w:tc>
        <w:tc>
          <w:tcPr>
            <w:tcW w:w="171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4"/>
                <w:szCs w:val="4"/>
              </w:rPr>
            </w:pPr>
            <w:r>
              <w:rPr>
                <w:sz w:val="4"/>
                <w:szCs w:val="4"/>
              </w:rPr>
            </w:r>
          </w:p>
        </w:tc>
        <w:tc>
          <w:tcPr>
            <w:tcW w:w="171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215" w:type="dxa"/>
            <w:tcBorders/>
            <w:shd w:fill="auto" w:val="clear"/>
            <w:vAlign w:val="bottom"/>
          </w:tcPr>
          <w:p>
            <w:pPr>
              <w:pStyle w:val="TableContents"/>
              <w:spacing w:before="0" w:after="283"/>
              <w:jc w:val="right"/>
              <w:rPr/>
            </w:pPr>
            <w:r>
              <w:rPr/>
              <w:t>6,695</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w:t>
            </w:r>
          </w:p>
        </w:tc>
        <w:tc>
          <w:tcPr>
            <w:tcW w:w="1717" w:type="dxa"/>
            <w:tcBorders/>
            <w:shd w:fill="auto" w:val="clear"/>
            <w:vAlign w:val="bottom"/>
          </w:tcPr>
          <w:p>
            <w:pPr>
              <w:pStyle w:val="TableContents"/>
              <w:spacing w:before="0" w:after="283"/>
              <w:jc w:val="right"/>
              <w:rPr/>
            </w:pPr>
            <w:r>
              <w:rPr/>
              <w:t>1,071</w:t>
            </w:r>
          </w:p>
        </w:tc>
        <w:tc>
          <w:tcPr>
            <w:tcW w:w="158"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other</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1,526</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1,439</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Current operating lease liabilities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1,484</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712</w:t>
            </w:r>
          </w:p>
        </w:tc>
        <w:tc>
          <w:tcPr>
            <w:tcW w:w="158"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Interest payable</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89</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9,794</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3,222</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1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1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700" w:type="dxa"/>
            <w:tcBorders/>
            <w:shd w:fill="auto" w:val="clear"/>
            <w:vAlign w:val="center"/>
          </w:tcPr>
          <w:p>
            <w:pPr>
              <w:pStyle w:val="TableContents"/>
              <w:spacing w:before="0" w:after="283"/>
              <w:rPr>
                <w:sz w:val="4"/>
                <w:szCs w:val="4"/>
              </w:rPr>
            </w:pPr>
            <w:r>
              <w:rPr>
                <w:sz w:val="4"/>
                <w:szCs w:val="4"/>
              </w:rPr>
            </w:r>
          </w:p>
        </w:tc>
        <w:tc>
          <w:tcPr>
            <w:tcW w:w="1978" w:type="dxa"/>
            <w:gridSpan w:val="4"/>
            <w:tcBorders/>
            <w:shd w:fill="auto" w:val="clear"/>
            <w:vAlign w:val="center"/>
          </w:tcPr>
          <w:p>
            <w:pPr>
              <w:pStyle w:val="TableContents"/>
              <w:spacing w:before="0" w:after="283"/>
              <w:rPr>
                <w:sz w:val="4"/>
                <w:szCs w:val="4"/>
              </w:rPr>
            </w:pPr>
            <w:r>
              <w:rPr>
                <w:sz w:val="4"/>
                <w:szCs w:val="4"/>
              </w:rPr>
            </w:r>
          </w:p>
        </w:tc>
        <w:tc>
          <w:tcPr>
            <w:tcW w:w="2527" w:type="dxa"/>
            <w:gridSpan w:val="4"/>
            <w:tcBorders/>
            <w:shd w:fill="auto" w:val="clear"/>
            <w:vAlign w:val="center"/>
          </w:tcPr>
          <w:p>
            <w:pPr>
              <w:pStyle w:val="TableContents"/>
              <w:spacing w:before="0" w:after="283"/>
              <w:rPr>
                <w:sz w:val="4"/>
                <w:szCs w:val="4"/>
              </w:rPr>
            </w:pPr>
            <w:r>
              <w:rPr>
                <w:sz w:val="4"/>
                <w:szCs w:val="4"/>
              </w:rPr>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Loan payable, net</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14,915</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liabilities</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2,674</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1,727</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1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1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27,383</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4,949</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1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1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700" w:type="dxa"/>
            <w:tcBorders/>
            <w:shd w:fill="auto" w:val="clear"/>
            <w:vAlign w:val="center"/>
          </w:tcPr>
          <w:p>
            <w:pPr>
              <w:pStyle w:val="TableContents"/>
              <w:spacing w:before="0" w:after="283"/>
              <w:rPr>
                <w:sz w:val="4"/>
                <w:szCs w:val="4"/>
              </w:rPr>
            </w:pPr>
            <w:r>
              <w:rPr>
                <w:sz w:val="4"/>
                <w:szCs w:val="4"/>
              </w:rPr>
            </w:r>
          </w:p>
        </w:tc>
        <w:tc>
          <w:tcPr>
            <w:tcW w:w="1978" w:type="dxa"/>
            <w:gridSpan w:val="4"/>
            <w:tcBorders/>
            <w:shd w:fill="auto" w:val="clear"/>
            <w:vAlign w:val="center"/>
          </w:tcPr>
          <w:p>
            <w:pPr>
              <w:pStyle w:val="TableContents"/>
              <w:spacing w:before="0" w:after="283"/>
              <w:rPr>
                <w:sz w:val="4"/>
                <w:szCs w:val="4"/>
              </w:rPr>
            </w:pPr>
            <w:r>
              <w:rPr>
                <w:sz w:val="4"/>
                <w:szCs w:val="4"/>
              </w:rPr>
            </w:r>
          </w:p>
        </w:tc>
        <w:tc>
          <w:tcPr>
            <w:tcW w:w="2527" w:type="dxa"/>
            <w:gridSpan w:val="4"/>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preferred stock</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86,707</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700" w:type="dxa"/>
            <w:tcBorders/>
            <w:shd w:fill="auto" w:val="clear"/>
            <w:vAlign w:val="center"/>
          </w:tcPr>
          <w:p>
            <w:pPr>
              <w:pStyle w:val="TableContents"/>
              <w:spacing w:before="0" w:after="283"/>
              <w:rPr>
                <w:sz w:val="4"/>
                <w:szCs w:val="4"/>
              </w:rPr>
            </w:pPr>
            <w:r>
              <w:rPr>
                <w:sz w:val="4"/>
                <w:szCs w:val="4"/>
              </w:rPr>
            </w:r>
          </w:p>
        </w:tc>
        <w:tc>
          <w:tcPr>
            <w:tcW w:w="1978" w:type="dxa"/>
            <w:gridSpan w:val="4"/>
            <w:tcBorders/>
            <w:shd w:fill="auto" w:val="clear"/>
            <w:vAlign w:val="center"/>
          </w:tcPr>
          <w:p>
            <w:pPr>
              <w:pStyle w:val="TableContents"/>
              <w:spacing w:before="0" w:after="283"/>
              <w:rPr>
                <w:sz w:val="4"/>
                <w:szCs w:val="4"/>
              </w:rPr>
            </w:pPr>
            <w:r>
              <w:rPr>
                <w:sz w:val="4"/>
                <w:szCs w:val="4"/>
              </w:rPr>
            </w:r>
          </w:p>
        </w:tc>
        <w:tc>
          <w:tcPr>
            <w:tcW w:w="2527" w:type="dxa"/>
            <w:gridSpan w:val="4"/>
            <w:tcBorders/>
            <w:shd w:fill="auto" w:val="clear"/>
            <w:vAlign w:val="center"/>
          </w:tcPr>
          <w:p>
            <w:pPr>
              <w:pStyle w:val="TableContents"/>
              <w:spacing w:before="0" w:after="283"/>
              <w:rPr>
                <w:sz w:val="4"/>
                <w:szCs w:val="4"/>
              </w:rPr>
            </w:pPr>
            <w:r>
              <w:rPr>
                <w:sz w:val="4"/>
                <w:szCs w:val="4"/>
              </w:rPr>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Stockholders equity</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4"/>
                <w:szCs w:val="4"/>
              </w:rPr>
            </w:pPr>
            <w:r>
              <w:rPr>
                <w:sz w:val="4"/>
                <w:szCs w:val="4"/>
              </w:rPr>
            </w:r>
          </w:p>
        </w:tc>
        <w:tc>
          <w:tcPr>
            <w:tcW w:w="171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15</w:t>
            </w:r>
          </w:p>
        </w:tc>
        <w:tc>
          <w:tcPr>
            <w:tcW w:w="158"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398"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pPr>
            <w:r>
              <w:rPr/>
              <w:t>132,281</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717" w:type="dxa"/>
            <w:tcBorders/>
            <w:shd w:fill="CCEEFF" w:val="clear"/>
            <w:vAlign w:val="bottom"/>
          </w:tcPr>
          <w:p>
            <w:pPr>
              <w:pStyle w:val="TableContents"/>
              <w:spacing w:before="0" w:after="283"/>
              <w:jc w:val="right"/>
              <w:rPr/>
            </w:pPr>
            <w:r>
              <w:rPr/>
              <w:t>2,953</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15" w:type="dxa"/>
            <w:tcBorders/>
            <w:shd w:fill="auto" w:val="clear"/>
            <w:vAlign w:val="bottom"/>
          </w:tcPr>
          <w:p>
            <w:pPr>
              <w:pStyle w:val="TableContents"/>
              <w:spacing w:before="0" w:after="283"/>
              <w:jc w:val="right"/>
              <w:rPr/>
            </w:pPr>
            <w:r>
              <w:rPr/>
              <w:t>(84,174</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17" w:type="dxa"/>
            <w:tcBorders/>
            <w:shd w:fill="auto" w:val="clear"/>
            <w:vAlign w:val="bottom"/>
          </w:tcPr>
          <w:p>
            <w:pPr>
              <w:pStyle w:val="TableContents"/>
              <w:spacing w:before="0" w:after="283"/>
              <w:jc w:val="right"/>
              <w:rPr/>
            </w:pPr>
            <w:r>
              <w:rPr/>
              <w:t>(71,761</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Total stockholders equity</w:t>
            </w:r>
          </w:p>
        </w:tc>
        <w:tc>
          <w:tcPr>
            <w:tcW w:w="398" w:type="dxa"/>
            <w:tcBorders/>
            <w:shd w:fill="CCEEFF" w:val="clear"/>
            <w:vAlign w:val="bottom"/>
          </w:tcPr>
          <w:p>
            <w:pPr>
              <w:pStyle w:val="TableContents"/>
              <w:spacing w:before="0" w:after="283"/>
              <w:rPr/>
            </w:pPr>
            <w:r>
              <w:rPr/>
              <w:t>  </w:t>
            </w:r>
          </w:p>
        </w:tc>
        <w:tc>
          <w:tcPr>
            <w:tcW w:w="210" w:type="dxa"/>
            <w:tcBorders>
              <w:bottom w:val="double" w:sz="6" w:space="0" w:color="000000"/>
            </w:tcBorders>
            <w:shd w:fill="CCEEFF" w:val="clear"/>
            <w:tcMar>
              <w:bottom w:w="28" w:type="dxa"/>
            </w:tcMar>
            <w:vAlign w:val="bottom"/>
          </w:tcPr>
          <w:p>
            <w:pPr>
              <w:pStyle w:val="TableContents"/>
              <w:spacing w:before="0" w:after="283"/>
              <w:rPr/>
            </w:pPr>
            <w:r>
              <w:rPr/>
              <w:t> </w:t>
            </w:r>
          </w:p>
        </w:tc>
        <w:tc>
          <w:tcPr>
            <w:tcW w:w="1215" w:type="dxa"/>
            <w:tcBorders>
              <w:bottom w:val="double" w:sz="6" w:space="0" w:color="000000"/>
            </w:tcBorders>
            <w:shd w:fill="CCEEFF" w:val="clear"/>
            <w:tcMar>
              <w:bottom w:w="28" w:type="dxa"/>
            </w:tcMar>
            <w:vAlign w:val="bottom"/>
          </w:tcPr>
          <w:p>
            <w:pPr>
              <w:pStyle w:val="TableContents"/>
              <w:spacing w:before="0" w:after="283"/>
              <w:jc w:val="right"/>
              <w:rPr/>
            </w:pPr>
            <w:r>
              <w:rPr/>
              <w:t>48,114</w:t>
            </w:r>
          </w:p>
        </w:tc>
        <w:tc>
          <w:tcPr>
            <w:tcW w:w="15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305" w:type="dxa"/>
            <w:tcBorders>
              <w:bottom w:val="double" w:sz="6" w:space="0" w:color="000000"/>
            </w:tcBorders>
            <w:shd w:fill="CCEEFF" w:val="clear"/>
            <w:tcMar>
              <w:bottom w:w="28" w:type="dxa"/>
            </w:tcMar>
            <w:vAlign w:val="bottom"/>
          </w:tcPr>
          <w:p>
            <w:pPr>
              <w:pStyle w:val="TableContents"/>
              <w:spacing w:before="0" w:after="283"/>
              <w:rPr/>
            </w:pPr>
            <w:r>
              <w:rPr/>
              <w:t> </w:t>
            </w:r>
          </w:p>
        </w:tc>
        <w:tc>
          <w:tcPr>
            <w:tcW w:w="1717" w:type="dxa"/>
            <w:tcBorders>
              <w:bottom w:val="double" w:sz="6" w:space="0" w:color="000000"/>
            </w:tcBorders>
            <w:shd w:fill="CCEEFF" w:val="clear"/>
            <w:tcMar>
              <w:bottom w:w="28" w:type="dxa"/>
            </w:tcMar>
            <w:vAlign w:val="bottom"/>
          </w:tcPr>
          <w:p>
            <w:pPr>
              <w:pStyle w:val="TableContents"/>
              <w:spacing w:before="0" w:after="283"/>
              <w:jc w:val="right"/>
              <w:rPr/>
            </w:pPr>
            <w:r>
              <w:rPr/>
              <w:t>(68,793</w:t>
            </w:r>
          </w:p>
        </w:tc>
        <w:tc>
          <w:tcPr>
            <w:tcW w:w="158" w:type="dxa"/>
            <w:tcBorders/>
            <w:shd w:fill="CCEEFF"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00"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 convertible preferred stock and stockholders equity</w:t>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215" w:type="dxa"/>
            <w:tcBorders/>
            <w:shd w:fill="auto" w:val="clear"/>
            <w:vAlign w:val="bottom"/>
          </w:tcPr>
          <w:p>
            <w:pPr>
              <w:pStyle w:val="TableContents"/>
              <w:spacing w:before="0" w:after="283"/>
              <w:jc w:val="right"/>
              <w:rPr/>
            </w:pPr>
            <w:r>
              <w:rPr/>
              <w:t>75,497</w:t>
            </w:r>
          </w:p>
        </w:tc>
        <w:tc>
          <w:tcPr>
            <w:tcW w:w="15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w:t>
            </w:r>
          </w:p>
        </w:tc>
        <w:tc>
          <w:tcPr>
            <w:tcW w:w="1717" w:type="dxa"/>
            <w:tcBorders/>
            <w:shd w:fill="auto" w:val="clear"/>
            <w:vAlign w:val="bottom"/>
          </w:tcPr>
          <w:p>
            <w:pPr>
              <w:pStyle w:val="TableContents"/>
              <w:spacing w:before="0" w:after="283"/>
              <w:jc w:val="right"/>
              <w:rPr/>
            </w:pPr>
            <w:r>
              <w:rPr/>
              <w:t>22,863</w:t>
            </w:r>
          </w:p>
        </w:tc>
        <w:tc>
          <w:tcPr>
            <w:tcW w:w="158" w:type="dxa"/>
            <w:tcBorders/>
            <w:shd w:fill="auto" w:val="clear"/>
            <w:vAlign w:val="bottom"/>
          </w:tcPr>
          <w:p>
            <w:pPr>
              <w:pStyle w:val="TableContents"/>
              <w:spacing w:before="0" w:after="283"/>
              <w:rPr/>
            </w:pPr>
            <w:r>
              <w:rPr/>
              <w:t> </w:t>
            </w:r>
          </w:p>
        </w:tc>
      </w:tr>
      <w:tr>
        <w:trPr/>
        <w:tc>
          <w:tcPr>
            <w:tcW w:w="5700"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1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17"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23"/>
        <w:gridCol w:w="138"/>
        <w:gridCol w:w="382"/>
        <w:gridCol w:w="1739"/>
        <w:gridCol w:w="155"/>
        <w:gridCol w:w="79"/>
        <w:gridCol w:w="382"/>
        <w:gridCol w:w="1739"/>
        <w:gridCol w:w="155"/>
        <w:gridCol w:w="79"/>
        <w:gridCol w:w="284"/>
        <w:gridCol w:w="1536"/>
        <w:gridCol w:w="155"/>
        <w:gridCol w:w="79"/>
        <w:gridCol w:w="327"/>
        <w:gridCol w:w="1492"/>
        <w:gridCol w:w="161"/>
      </w:tblGrid>
      <w:tr>
        <w:trPr/>
        <w:tc>
          <w:tcPr>
            <w:tcW w:w="13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32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12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June 30, 2021</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1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June 30, 2020</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Six months ended</w:t>
              <w:br/>
              <w:t>June 30, 2021</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8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Six months ended</w:t>
              <w:br/>
              <w:t>June 30, 2020</w:t>
            </w:r>
          </w:p>
        </w:tc>
        <w:tc>
          <w:tcPr>
            <w:tcW w:w="161" w:type="dxa"/>
            <w:tcBorders/>
            <w:shd w:fill="auto" w:val="clear"/>
            <w:vAlign w:val="bottom"/>
          </w:tcPr>
          <w:p>
            <w:pPr>
              <w:pStyle w:val="TableContents"/>
              <w:spacing w:before="0" w:after="283"/>
              <w:rPr/>
            </w:pPr>
            <w:r>
              <w:rPr/>
              <w:t> </w:t>
            </w:r>
          </w:p>
        </w:tc>
      </w:tr>
      <w:tr>
        <w:trPr/>
        <w:tc>
          <w:tcPr>
            <w:tcW w:w="1323" w:type="dxa"/>
            <w:tcBorders/>
            <w:shd w:fill="CCEEFF" w:val="clear"/>
          </w:tcPr>
          <w:p>
            <w:pPr>
              <w:pStyle w:val="TableContents"/>
              <w:spacing w:before="0" w:after="0"/>
              <w:rPr>
                <w:rFonts w:ascii="Times New Roman" w:hAnsi="Times New Roman"/>
                <w:b/>
                <w:sz w:val="20"/>
              </w:rPr>
            </w:pPr>
            <w:r>
              <w:rPr>
                <w:rFonts w:ascii="Times New Roman" w:hAnsi="Times New Roman"/>
                <w:b/>
                <w:sz w:val="20"/>
              </w:rPr>
              <w:t>Expenses:</w:t>
            </w:r>
          </w:p>
        </w:tc>
        <w:tc>
          <w:tcPr>
            <w:tcW w:w="13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sz w:val="4"/>
                <w:szCs w:val="4"/>
              </w:rPr>
            </w:pPr>
            <w:r>
              <w:rPr>
                <w:sz w:val="4"/>
                <w:szCs w:val="4"/>
              </w:rPr>
            </w:r>
          </w:p>
        </w:tc>
        <w:tc>
          <w:tcPr>
            <w:tcW w:w="17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9"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sz w:val="4"/>
                <w:szCs w:val="4"/>
              </w:rPr>
            </w:pPr>
            <w:r>
              <w:rPr>
                <w:sz w:val="4"/>
                <w:szCs w:val="4"/>
              </w:rPr>
            </w:r>
          </w:p>
        </w:tc>
        <w:tc>
          <w:tcPr>
            <w:tcW w:w="173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sz w:val="4"/>
                <w:szCs w:val="4"/>
              </w:rPr>
            </w:pPr>
            <w:r>
              <w:rPr>
                <w:sz w:val="4"/>
                <w:szCs w:val="4"/>
              </w:rPr>
            </w:r>
          </w:p>
        </w:tc>
        <w:tc>
          <w:tcPr>
            <w:tcW w:w="15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sz w:val="4"/>
                <w:szCs w:val="4"/>
              </w:rPr>
            </w:pPr>
            <w:r>
              <w:rPr>
                <w:sz w:val="4"/>
                <w:szCs w:val="4"/>
              </w:rPr>
            </w:r>
          </w:p>
        </w:tc>
        <w:tc>
          <w:tcPr>
            <w:tcW w:w="1492"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1323"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739" w:type="dxa"/>
            <w:tcBorders/>
            <w:shd w:fill="auto" w:val="clear"/>
            <w:vAlign w:val="bottom"/>
          </w:tcPr>
          <w:p>
            <w:pPr>
              <w:pStyle w:val="TableContents"/>
              <w:spacing w:before="0" w:after="283"/>
              <w:jc w:val="right"/>
              <w:rPr/>
            </w:pPr>
            <w:r>
              <w:rPr/>
              <w:t>4,229</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739" w:type="dxa"/>
            <w:tcBorders/>
            <w:shd w:fill="auto" w:val="clear"/>
            <w:vAlign w:val="bottom"/>
          </w:tcPr>
          <w:p>
            <w:pPr>
              <w:pStyle w:val="TableContents"/>
              <w:spacing w:before="0" w:after="283"/>
              <w:jc w:val="right"/>
              <w:rPr/>
            </w:pPr>
            <w:r>
              <w:rPr/>
              <w:t>4,094</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w:t>
            </w:r>
          </w:p>
        </w:tc>
        <w:tc>
          <w:tcPr>
            <w:tcW w:w="1536" w:type="dxa"/>
            <w:tcBorders/>
            <w:shd w:fill="auto" w:val="clear"/>
            <w:vAlign w:val="bottom"/>
          </w:tcPr>
          <w:p>
            <w:pPr>
              <w:pStyle w:val="TableContents"/>
              <w:spacing w:before="0" w:after="283"/>
              <w:jc w:val="right"/>
              <w:rPr/>
            </w:pPr>
            <w:r>
              <w:rPr/>
              <w:t>7,821</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w:t>
            </w:r>
          </w:p>
        </w:tc>
        <w:tc>
          <w:tcPr>
            <w:tcW w:w="1492" w:type="dxa"/>
            <w:tcBorders/>
            <w:shd w:fill="auto" w:val="clear"/>
            <w:vAlign w:val="bottom"/>
          </w:tcPr>
          <w:p>
            <w:pPr>
              <w:pStyle w:val="TableContents"/>
              <w:spacing w:before="0" w:after="283"/>
              <w:jc w:val="right"/>
              <w:rPr/>
            </w:pPr>
            <w:r>
              <w:rPr/>
              <w:t>7,121</w:t>
            </w:r>
          </w:p>
        </w:tc>
        <w:tc>
          <w:tcPr>
            <w:tcW w:w="161" w:type="dxa"/>
            <w:tcBorders/>
            <w:shd w:fill="auto" w:val="clear"/>
            <w:vAlign w:val="bottom"/>
          </w:tcPr>
          <w:p>
            <w:pPr>
              <w:pStyle w:val="TableContents"/>
              <w:spacing w:before="0" w:after="283"/>
              <w:rPr/>
            </w:pPr>
            <w:r>
              <w:rPr/>
              <w:t> </w:t>
            </w:r>
          </w:p>
        </w:tc>
      </w:tr>
      <w:tr>
        <w:trPr/>
        <w:tc>
          <w:tcPr>
            <w:tcW w:w="1323"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13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2,556</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1,144</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536" w:type="dxa"/>
            <w:tcBorders/>
            <w:shd w:fill="CCEEFF" w:val="clear"/>
            <w:vAlign w:val="bottom"/>
          </w:tcPr>
          <w:p>
            <w:pPr>
              <w:pStyle w:val="TableContents"/>
              <w:spacing w:before="0" w:after="283"/>
              <w:jc w:val="right"/>
              <w:rPr/>
            </w:pPr>
            <w:r>
              <w:rPr/>
              <w:t>4,091</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492" w:type="dxa"/>
            <w:tcBorders/>
            <w:shd w:fill="CCEEFF" w:val="clear"/>
            <w:vAlign w:val="bottom"/>
          </w:tcPr>
          <w:p>
            <w:pPr>
              <w:pStyle w:val="TableContents"/>
              <w:spacing w:before="0" w:after="283"/>
              <w:jc w:val="right"/>
              <w:rPr/>
            </w:pPr>
            <w:r>
              <w:rPr/>
              <w:t>2,420</w:t>
            </w:r>
          </w:p>
        </w:tc>
        <w:tc>
          <w:tcPr>
            <w:tcW w:w="161" w:type="dxa"/>
            <w:tcBorders/>
            <w:shd w:fill="CCEEFF"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single" w:sz="2" w:space="1" w:color="000000"/>
              </w:pBdr>
              <w:spacing w:before="0" w:after="0"/>
              <w:rPr/>
            </w:pPr>
            <w:r>
              <w:rPr/>
              <w:t> </w:t>
            </w:r>
          </w:p>
        </w:tc>
        <w:tc>
          <w:tcPr>
            <w:tcW w:w="15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single" w:sz="2" w:space="1" w:color="000000"/>
              </w:pBdr>
              <w:spacing w:before="0" w:after="0"/>
              <w:rPr/>
            </w:pPr>
            <w:r>
              <w:rPr/>
              <w:t> </w:t>
            </w:r>
          </w:p>
        </w:tc>
        <w:tc>
          <w:tcPr>
            <w:tcW w:w="149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1323" w:type="dxa"/>
            <w:tcBorders/>
            <w:shd w:fill="auto" w:val="clear"/>
          </w:tcPr>
          <w:p>
            <w:pPr>
              <w:pStyle w:val="TableContents"/>
              <w:spacing w:before="0" w:after="0"/>
              <w:rPr>
                <w:rFonts w:ascii="Times New Roman" w:hAnsi="Times New Roman"/>
                <w:sz w:val="20"/>
              </w:rPr>
            </w:pPr>
            <w:r>
              <w:rPr>
                <w:rFonts w:ascii="Times New Roman" w:hAnsi="Times New Roman"/>
                <w:sz w:val="20"/>
              </w:rPr>
              <w:t>Total expenses</w:t>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6,785</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5,238</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536" w:type="dxa"/>
            <w:tcBorders/>
            <w:shd w:fill="auto" w:val="clear"/>
            <w:vAlign w:val="bottom"/>
          </w:tcPr>
          <w:p>
            <w:pPr>
              <w:pStyle w:val="TableContents"/>
              <w:spacing w:before="0" w:after="283"/>
              <w:jc w:val="right"/>
              <w:rPr/>
            </w:pPr>
            <w:r>
              <w:rPr/>
              <w:t>11,912</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492" w:type="dxa"/>
            <w:tcBorders/>
            <w:shd w:fill="auto" w:val="clear"/>
            <w:vAlign w:val="bottom"/>
          </w:tcPr>
          <w:p>
            <w:pPr>
              <w:pStyle w:val="TableContents"/>
              <w:spacing w:before="0" w:after="283"/>
              <w:jc w:val="right"/>
              <w:rPr/>
            </w:pPr>
            <w:r>
              <w:rPr/>
              <w:t>9,541</w:t>
            </w:r>
          </w:p>
        </w:tc>
        <w:tc>
          <w:tcPr>
            <w:tcW w:w="161" w:type="dxa"/>
            <w:tcBorders/>
            <w:shd w:fill="auto"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single" w:sz="2" w:space="1" w:color="000000"/>
              </w:pBdr>
              <w:spacing w:before="0" w:after="0"/>
              <w:rPr/>
            </w:pPr>
            <w:r>
              <w:rPr/>
              <w:t> </w:t>
            </w:r>
          </w:p>
        </w:tc>
        <w:tc>
          <w:tcPr>
            <w:tcW w:w="15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single" w:sz="2" w:space="1" w:color="000000"/>
              </w:pBdr>
              <w:spacing w:before="0" w:after="0"/>
              <w:rPr/>
            </w:pPr>
            <w:r>
              <w:rPr/>
              <w:t> </w:t>
            </w:r>
          </w:p>
        </w:tc>
        <w:tc>
          <w:tcPr>
            <w:tcW w:w="149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1323"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Operating loss</w:t>
            </w:r>
          </w:p>
        </w:tc>
        <w:tc>
          <w:tcPr>
            <w:tcW w:w="13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(6,785</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(5,238</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536" w:type="dxa"/>
            <w:tcBorders/>
            <w:shd w:fill="CCEEFF" w:val="clear"/>
            <w:vAlign w:val="bottom"/>
          </w:tcPr>
          <w:p>
            <w:pPr>
              <w:pStyle w:val="TableContents"/>
              <w:spacing w:before="0" w:after="283"/>
              <w:jc w:val="right"/>
              <w:rPr/>
            </w:pPr>
            <w:r>
              <w:rPr/>
              <w:t>(11,912</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492" w:type="dxa"/>
            <w:tcBorders/>
            <w:shd w:fill="CCEEFF" w:val="clear"/>
            <w:vAlign w:val="bottom"/>
          </w:tcPr>
          <w:p>
            <w:pPr>
              <w:pStyle w:val="TableContents"/>
              <w:spacing w:before="0" w:after="283"/>
              <w:jc w:val="right"/>
              <w:rPr/>
            </w:pPr>
            <w:r>
              <w:rPr/>
              <w:t>(9,541</w:t>
            </w:r>
          </w:p>
        </w:tc>
        <w:tc>
          <w:tcPr>
            <w:tcW w:w="161" w:type="dxa"/>
            <w:tcBorders/>
            <w:shd w:fill="CCEEFF"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single" w:sz="2" w:space="1" w:color="000000"/>
              </w:pBdr>
              <w:spacing w:before="0" w:after="0"/>
              <w:rPr/>
            </w:pPr>
            <w:r>
              <w:rPr/>
              <w:t> </w:t>
            </w:r>
          </w:p>
        </w:tc>
        <w:tc>
          <w:tcPr>
            <w:tcW w:w="15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single" w:sz="2" w:space="1" w:color="000000"/>
              </w:pBdr>
              <w:spacing w:before="0" w:after="0"/>
              <w:rPr/>
            </w:pPr>
            <w:r>
              <w:rPr/>
              <w:t> </w:t>
            </w:r>
          </w:p>
        </w:tc>
        <w:tc>
          <w:tcPr>
            <w:tcW w:w="149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rHeight w:val="120" w:hRule="atLeast"/>
        </w:trPr>
        <w:tc>
          <w:tcPr>
            <w:tcW w:w="1323" w:type="dxa"/>
            <w:tcBorders/>
            <w:shd w:fill="auto" w:val="clear"/>
            <w:vAlign w:val="center"/>
          </w:tcPr>
          <w:p>
            <w:pPr>
              <w:pStyle w:val="TableContents"/>
              <w:spacing w:before="0" w:after="283"/>
              <w:rPr>
                <w:sz w:val="4"/>
                <w:szCs w:val="4"/>
              </w:rPr>
            </w:pPr>
            <w:r>
              <w:rPr>
                <w:sz w:val="4"/>
                <w:szCs w:val="4"/>
              </w:rPr>
            </w:r>
          </w:p>
        </w:tc>
        <w:tc>
          <w:tcPr>
            <w:tcW w:w="2414" w:type="dxa"/>
            <w:gridSpan w:val="4"/>
            <w:tcBorders/>
            <w:shd w:fill="auto" w:val="clear"/>
            <w:vAlign w:val="center"/>
          </w:tcPr>
          <w:p>
            <w:pPr>
              <w:pStyle w:val="TableContents"/>
              <w:spacing w:before="0" w:after="283"/>
              <w:rPr>
                <w:sz w:val="4"/>
                <w:szCs w:val="4"/>
              </w:rPr>
            </w:pPr>
            <w:r>
              <w:rPr>
                <w:sz w:val="4"/>
                <w:szCs w:val="4"/>
              </w:rPr>
            </w:r>
          </w:p>
        </w:tc>
        <w:tc>
          <w:tcPr>
            <w:tcW w:w="2355" w:type="dxa"/>
            <w:gridSpan w:val="4"/>
            <w:tcBorders/>
            <w:shd w:fill="auto" w:val="clear"/>
            <w:vAlign w:val="center"/>
          </w:tcPr>
          <w:p>
            <w:pPr>
              <w:pStyle w:val="TableContents"/>
              <w:spacing w:before="0" w:after="283"/>
              <w:rPr>
                <w:sz w:val="4"/>
                <w:szCs w:val="4"/>
              </w:rPr>
            </w:pPr>
            <w:r>
              <w:rPr>
                <w:sz w:val="4"/>
                <w:szCs w:val="4"/>
              </w:rPr>
            </w:r>
          </w:p>
        </w:tc>
        <w:tc>
          <w:tcPr>
            <w:tcW w:w="2054" w:type="dxa"/>
            <w:gridSpan w:val="4"/>
            <w:tcBorders/>
            <w:shd w:fill="auto" w:val="clear"/>
            <w:vAlign w:val="center"/>
          </w:tcPr>
          <w:p>
            <w:pPr>
              <w:pStyle w:val="TableContents"/>
              <w:spacing w:before="0" w:after="283"/>
              <w:rPr>
                <w:sz w:val="4"/>
                <w:szCs w:val="4"/>
              </w:rPr>
            </w:pPr>
            <w:r>
              <w:rPr>
                <w:sz w:val="4"/>
                <w:szCs w:val="4"/>
              </w:rPr>
            </w:r>
          </w:p>
        </w:tc>
        <w:tc>
          <w:tcPr>
            <w:tcW w:w="2059" w:type="dxa"/>
            <w:gridSpan w:val="4"/>
            <w:tcBorders/>
            <w:shd w:fill="auto" w:val="clear"/>
            <w:vAlign w:val="center"/>
          </w:tcPr>
          <w:p>
            <w:pPr>
              <w:pStyle w:val="TableContents"/>
              <w:spacing w:before="0" w:after="283"/>
              <w:rPr>
                <w:sz w:val="4"/>
                <w:szCs w:val="4"/>
              </w:rPr>
            </w:pPr>
            <w:r>
              <w:rPr>
                <w:sz w:val="4"/>
                <w:szCs w:val="4"/>
              </w:rPr>
            </w:r>
          </w:p>
        </w:tc>
      </w:tr>
      <w:tr>
        <w:trPr/>
        <w:tc>
          <w:tcPr>
            <w:tcW w:w="1323"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income (expense), net:</w:t>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sz w:val="4"/>
                <w:szCs w:val="4"/>
              </w:rPr>
            </w:pPr>
            <w:r>
              <w:rPr>
                <w:sz w:val="4"/>
                <w:szCs w:val="4"/>
              </w:rPr>
            </w:r>
          </w:p>
        </w:tc>
        <w:tc>
          <w:tcPr>
            <w:tcW w:w="17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sz w:val="4"/>
                <w:szCs w:val="4"/>
              </w:rPr>
            </w:pPr>
            <w:r>
              <w:rPr>
                <w:sz w:val="4"/>
                <w:szCs w:val="4"/>
              </w:rPr>
            </w:r>
          </w:p>
        </w:tc>
        <w:tc>
          <w:tcPr>
            <w:tcW w:w="17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sz w:val="4"/>
                <w:szCs w:val="4"/>
              </w:rPr>
            </w:pPr>
            <w:r>
              <w:rPr>
                <w:sz w:val="4"/>
                <w:szCs w:val="4"/>
              </w:rPr>
            </w:r>
          </w:p>
        </w:tc>
        <w:tc>
          <w:tcPr>
            <w:tcW w:w="153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sz w:val="4"/>
                <w:szCs w:val="4"/>
              </w:rPr>
            </w:pPr>
            <w:r>
              <w:rPr>
                <w:sz w:val="4"/>
                <w:szCs w:val="4"/>
              </w:rPr>
            </w:r>
          </w:p>
        </w:tc>
        <w:tc>
          <w:tcPr>
            <w:tcW w:w="149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1323"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13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(276</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536" w:type="dxa"/>
            <w:tcBorders/>
            <w:shd w:fill="CCEEFF" w:val="clear"/>
            <w:vAlign w:val="bottom"/>
          </w:tcPr>
          <w:p>
            <w:pPr>
              <w:pStyle w:val="TableContents"/>
              <w:spacing w:before="0" w:after="283"/>
              <w:jc w:val="right"/>
              <w:rPr/>
            </w:pPr>
            <w:r>
              <w:rPr/>
              <w:t>(507</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492"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1323" w:type="dxa"/>
            <w:tcBorders/>
            <w:shd w:fill="auto" w:val="clear"/>
          </w:tcPr>
          <w:p>
            <w:pPr>
              <w:pStyle w:val="TableContents"/>
              <w:spacing w:before="0" w:after="0"/>
              <w:rPr>
                <w:rFonts w:ascii="Times New Roman" w:hAnsi="Times New Roman"/>
                <w:sz w:val="20"/>
              </w:rPr>
            </w:pPr>
            <w:r>
              <w:rPr>
                <w:rFonts w:ascii="Times New Roman" w:hAnsi="Times New Roman"/>
                <w:sz w:val="20"/>
              </w:rPr>
              <w:t>Interest and other income, net</w:t>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536"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492" w:type="dxa"/>
            <w:tcBorders/>
            <w:shd w:fill="auto" w:val="clear"/>
            <w:vAlign w:val="bottom"/>
          </w:tcPr>
          <w:p>
            <w:pPr>
              <w:pStyle w:val="TableContents"/>
              <w:spacing w:before="0" w:after="283"/>
              <w:jc w:val="right"/>
              <w:rPr/>
            </w:pPr>
            <w:r>
              <w:rPr/>
              <w:t>84</w:t>
            </w:r>
          </w:p>
        </w:tc>
        <w:tc>
          <w:tcPr>
            <w:tcW w:w="161" w:type="dxa"/>
            <w:tcBorders/>
            <w:shd w:fill="auto"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single" w:sz="2" w:space="1" w:color="000000"/>
              </w:pBdr>
              <w:spacing w:before="0" w:after="0"/>
              <w:rPr/>
            </w:pPr>
            <w:r>
              <w:rPr/>
              <w:t> </w:t>
            </w:r>
          </w:p>
        </w:tc>
        <w:tc>
          <w:tcPr>
            <w:tcW w:w="15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single" w:sz="2" w:space="1" w:color="000000"/>
              </w:pBdr>
              <w:spacing w:before="0" w:after="0"/>
              <w:rPr/>
            </w:pPr>
            <w:r>
              <w:rPr/>
              <w:t> </w:t>
            </w:r>
          </w:p>
        </w:tc>
        <w:tc>
          <w:tcPr>
            <w:tcW w:w="149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1323"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13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w:t>
            </w:r>
          </w:p>
        </w:tc>
        <w:tc>
          <w:tcPr>
            <w:tcW w:w="1739" w:type="dxa"/>
            <w:tcBorders/>
            <w:shd w:fill="CCEEFF" w:val="clear"/>
            <w:vAlign w:val="bottom"/>
          </w:tcPr>
          <w:p>
            <w:pPr>
              <w:pStyle w:val="TableContents"/>
              <w:spacing w:before="0" w:after="283"/>
              <w:jc w:val="right"/>
              <w:rPr/>
            </w:pPr>
            <w:r>
              <w:rPr/>
              <w:t>(7,058</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w:t>
            </w:r>
          </w:p>
        </w:tc>
        <w:tc>
          <w:tcPr>
            <w:tcW w:w="1739" w:type="dxa"/>
            <w:tcBorders/>
            <w:shd w:fill="CCEEFF" w:val="clear"/>
            <w:vAlign w:val="bottom"/>
          </w:tcPr>
          <w:p>
            <w:pPr>
              <w:pStyle w:val="TableContents"/>
              <w:spacing w:before="0" w:after="283"/>
              <w:jc w:val="right"/>
              <w:rPr/>
            </w:pPr>
            <w:r>
              <w:rPr/>
              <w:t>(5,229</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w:t>
            </w:r>
          </w:p>
        </w:tc>
        <w:tc>
          <w:tcPr>
            <w:tcW w:w="1536" w:type="dxa"/>
            <w:tcBorders/>
            <w:shd w:fill="CCEEFF" w:val="clear"/>
            <w:vAlign w:val="bottom"/>
          </w:tcPr>
          <w:p>
            <w:pPr>
              <w:pStyle w:val="TableContents"/>
              <w:spacing w:before="0" w:after="283"/>
              <w:jc w:val="right"/>
              <w:rPr/>
            </w:pPr>
            <w:r>
              <w:rPr/>
              <w:t>(12,413</w:t>
            </w:r>
          </w:p>
        </w:tc>
        <w:tc>
          <w:tcPr>
            <w:tcW w:w="155"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w:t>
            </w:r>
          </w:p>
        </w:tc>
        <w:tc>
          <w:tcPr>
            <w:tcW w:w="1492" w:type="dxa"/>
            <w:tcBorders/>
            <w:shd w:fill="CCEEFF" w:val="clear"/>
            <w:vAlign w:val="bottom"/>
          </w:tcPr>
          <w:p>
            <w:pPr>
              <w:pStyle w:val="TableContents"/>
              <w:spacing w:before="0" w:after="283"/>
              <w:jc w:val="right"/>
              <w:rPr/>
            </w:pPr>
            <w:r>
              <w:rPr/>
              <w:t>(9,457</w:t>
            </w:r>
          </w:p>
        </w:tc>
        <w:tc>
          <w:tcPr>
            <w:tcW w:w="161" w:type="dxa"/>
            <w:tcBorders/>
            <w:shd w:fill="CCEEFF"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double" w:sz="6" w:space="1" w:color="000000"/>
              </w:pBdr>
              <w:spacing w:before="0" w:after="0"/>
              <w:rPr/>
            </w:pPr>
            <w:r>
              <w:rPr/>
              <w:t> </w:t>
            </w:r>
          </w:p>
        </w:tc>
        <w:tc>
          <w:tcPr>
            <w:tcW w:w="153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double" w:sz="6" w:space="1" w:color="000000"/>
              </w:pBdr>
              <w:spacing w:before="0" w:after="0"/>
              <w:rPr/>
            </w:pPr>
            <w:r>
              <w:rPr/>
              <w:t> </w:t>
            </w:r>
          </w:p>
        </w:tc>
        <w:tc>
          <w:tcPr>
            <w:tcW w:w="1492"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1323"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w:t>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739" w:type="dxa"/>
            <w:tcBorders/>
            <w:shd w:fill="auto" w:val="clear"/>
            <w:vAlign w:val="bottom"/>
          </w:tcPr>
          <w:p>
            <w:pPr>
              <w:pStyle w:val="TableContents"/>
              <w:spacing w:before="0" w:after="283"/>
              <w:jc w:val="right"/>
              <w:rPr/>
            </w:pPr>
            <w:r>
              <w:rPr/>
              <w:t>(7.63</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739" w:type="dxa"/>
            <w:tcBorders/>
            <w:shd w:fill="auto" w:val="clear"/>
            <w:vAlign w:val="bottom"/>
          </w:tcPr>
          <w:p>
            <w:pPr>
              <w:pStyle w:val="TableContents"/>
              <w:spacing w:before="0" w:after="283"/>
              <w:jc w:val="right"/>
              <w:rPr/>
            </w:pPr>
            <w:r>
              <w:rPr/>
              <w:t>(11.42</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w:t>
            </w:r>
          </w:p>
        </w:tc>
        <w:tc>
          <w:tcPr>
            <w:tcW w:w="1536" w:type="dxa"/>
            <w:tcBorders/>
            <w:shd w:fill="auto" w:val="clear"/>
            <w:vAlign w:val="bottom"/>
          </w:tcPr>
          <w:p>
            <w:pPr>
              <w:pStyle w:val="TableContents"/>
              <w:spacing w:before="0" w:after="283"/>
              <w:jc w:val="right"/>
              <w:rPr/>
            </w:pPr>
            <w:r>
              <w:rPr/>
              <w:t>(17.30</w:t>
            </w:r>
          </w:p>
        </w:tc>
        <w:tc>
          <w:tcPr>
            <w:tcW w:w="155"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w:t>
            </w:r>
          </w:p>
        </w:tc>
        <w:tc>
          <w:tcPr>
            <w:tcW w:w="1492" w:type="dxa"/>
            <w:tcBorders/>
            <w:shd w:fill="auto" w:val="clear"/>
            <w:vAlign w:val="bottom"/>
          </w:tcPr>
          <w:p>
            <w:pPr>
              <w:pStyle w:val="TableContents"/>
              <w:spacing w:before="0" w:after="283"/>
              <w:jc w:val="right"/>
              <w:rPr/>
            </w:pPr>
            <w:r>
              <w:rPr/>
              <w:t>(21.28</w:t>
            </w:r>
          </w:p>
        </w:tc>
        <w:tc>
          <w:tcPr>
            <w:tcW w:w="161" w:type="dxa"/>
            <w:tcBorders/>
            <w:shd w:fill="auto" w:val="clear"/>
            <w:vAlign w:val="bottom"/>
          </w:tcPr>
          <w:p>
            <w:pPr>
              <w:pStyle w:val="TableContents"/>
              <w:spacing w:before="0" w:after="283"/>
              <w:rPr/>
            </w:pPr>
            <w:r>
              <w:rPr/>
              <w:t>) </w:t>
            </w:r>
          </w:p>
        </w:tc>
      </w:tr>
      <w:tr>
        <w:trPr/>
        <w:tc>
          <w:tcPr>
            <w:tcW w:w="1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pBdr>
                <w:top w:val="double" w:sz="6" w:space="1" w:color="000000"/>
              </w:pBdr>
              <w:spacing w:before="0" w:after="0"/>
              <w:rPr/>
            </w:pPr>
            <w:r>
              <w:rPr/>
              <w:t> </w:t>
            </w:r>
          </w:p>
        </w:tc>
        <w:tc>
          <w:tcPr>
            <w:tcW w:w="153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pBdr>
                <w:top w:val="double" w:sz="6" w:space="1" w:color="000000"/>
              </w:pBdr>
              <w:spacing w:before="0" w:after="0"/>
              <w:rPr/>
            </w:pPr>
            <w:r>
              <w:rPr/>
              <w:t> </w:t>
            </w:r>
          </w:p>
        </w:tc>
        <w:tc>
          <w:tcPr>
            <w:tcW w:w="1492"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Investor Contacts: </w:t>
      </w:r>
    </w:p>
    <w:p>
      <w:pPr>
        <w:pStyle w:val="TextBody"/>
        <w:spacing w:before="120" w:after="0"/>
        <w:jc w:val="left"/>
        <w:rPr>
          <w:rFonts w:ascii="Times New Roman" w:hAnsi="Times New Roman"/>
          <w:sz w:val="20"/>
        </w:rPr>
      </w:pPr>
      <w:r>
        <w:rPr>
          <w:rFonts w:ascii="Times New Roman" w:hAnsi="Times New Roman"/>
          <w:sz w:val="20"/>
        </w:rPr>
        <w:t xml:space="preserve">Sylvia Wheeler </w:t>
      </w:r>
    </w:p>
    <w:p>
      <w:pPr>
        <w:pStyle w:val="TextBody"/>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spacing w:before="0" w:after="0"/>
        <w:jc w:val="left"/>
        <w:rPr>
          <w:rFonts w:ascii="Times New Roman" w:hAnsi="Times New Roman"/>
          <w:sz w:val="20"/>
          <w:u w:val="single"/>
        </w:rPr>
      </w:pPr>
      <w:r>
        <w:rPr>
          <w:rFonts w:ascii="Times New Roman" w:hAnsi="Times New Roman"/>
          <w:sz w:val="20"/>
          <w:u w:val="single"/>
        </w:rPr>
        <w:t xml:space="preserve">swheeler@wheelhouselsa.com </w:t>
      </w:r>
    </w:p>
    <w:p>
      <w:pPr>
        <w:pStyle w:val="TextBody"/>
        <w:spacing w:before="240" w:after="0"/>
        <w:jc w:val="left"/>
        <w:rPr>
          <w:rFonts w:ascii="Times New Roman" w:hAnsi="Times New Roman"/>
          <w:sz w:val="20"/>
        </w:rPr>
      </w:pPr>
      <w:r>
        <w:rPr>
          <w:rFonts w:ascii="Times New Roman" w:hAnsi="Times New Roman"/>
          <w:sz w:val="20"/>
        </w:rPr>
        <w:t xml:space="preserve">Aljanae Reynolds </w:t>
      </w:r>
    </w:p>
    <w:p>
      <w:pPr>
        <w:pStyle w:val="TextBody"/>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spacing w:before="0" w:after="0"/>
        <w:jc w:val="left"/>
        <w:rPr>
          <w:rFonts w:ascii="Times New Roman" w:hAnsi="Times New Roman"/>
          <w:sz w:val="20"/>
          <w:u w:val="single"/>
        </w:rPr>
      </w:pPr>
      <w:r>
        <w:rPr>
          <w:rFonts w:ascii="Times New Roman" w:hAnsi="Times New Roman"/>
          <w:sz w:val="20"/>
          <w:u w:val="single"/>
        </w:rPr>
        <w:t xml:space="preserve">areynolds@wheelhouselsa.com </w:t>
      </w:r>
    </w:p>
    <w:p>
      <w:pPr>
        <w:pStyle w:val="TextBody"/>
        <w:spacing w:before="240" w:after="0"/>
        <w:jc w:val="center"/>
        <w:rPr>
          <w:rFonts w:ascii="Times New Roman" w:hAnsi="Times New Roman"/>
          <w:sz w:val="20"/>
        </w:rPr>
      </w:pPr>
      <w:r>
        <w:rPr>
          <w:rFonts w:ascii="Times New Roman" w:hAnsi="Times New Roman"/>
          <w:sz w:val="20"/>
        </w:rPr>
        <w:t xml:space="preserve">### </w:t>
      </w:r>
    </w:p>
    <w:p>
      <w:pPr>
        <w:pStyle w:val="TextBody"/>
        <w:spacing w:before="0" w:after="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2424</Words>
  <CharactersWithSpaces>16181</CharactersWithSpaces>
  <Paragraphs>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