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7.jpeg" ContentType="image/jpeg"/>
  <Override PartName="/word/media/image16.jpeg" ContentType="image/jpeg"/>
  <Override PartName="/word/media/image15.jpeg" ContentType="image/jpeg"/>
  <Override PartName="/word/media/image14.jpeg" ContentType="image/jpeg"/>
  <Override PartName="/word/media/image13.jpeg" ContentType="image/jpeg"/>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19.jpeg" ContentType="image/jpeg"/>
  <Override PartName="/word/media/image2.jpeg" ContentType="image/jpeg"/>
  <Override PartName="/word/media/image18.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456303ddef14a.htm"/>
        <w:bookmarkStart w:id="1" w:name="ksd456303ddef14a"/>
        <w:bookmarkEnd w:id="0"/>
        <w:bookmarkEnd w:id="1"/>
        <w:r>
          <w:rPr>
            <w:rStyle w:val="InternetLink"/>
          </w:rPr>
          <w:t>Table of Contents</w:t>
        </w:r>
      </w:hyperlink>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SCHEDULE 14A </w:t>
      </w:r>
    </w:p>
    <w:p>
      <w:pPr>
        <w:pStyle w:val="TextBody"/>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Filed by the Registrant  ☒ </w:t>
      </w:r>
    </w:p>
    <w:p>
      <w:pPr>
        <w:pStyle w:val="TextBody"/>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Confidential, for Use of the Commission Only (as permitted by Rule 14a-6(e)(2))</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Soliciting Material under § 240.14a-12 </w:t>
            </w:r>
          </w:p>
        </w:tc>
      </w:tr>
    </w:tbl>
    <w:p>
      <w:pPr>
        <w:pStyle w:val="TextBody"/>
        <w:spacing w:before="240" w:after="0"/>
        <w:jc w:val="center"/>
        <w:rPr>
          <w:rFonts w:ascii="Times New Roman" w:hAnsi="Times New Roman"/>
          <w:b/>
          <w:sz w:val="44"/>
        </w:rPr>
      </w:pPr>
      <w:r>
        <w:rPr>
          <w:rFonts w:ascii="Times New Roman" w:hAnsi="Times New Roman"/>
          <w:b/>
          <w:sz w:val="44"/>
        </w:rPr>
        <w:t xml:space="preserve">Tempest Therapeutics, Inc. </w:t>
      </w:r>
    </w:p>
    <w:p>
      <w:pPr>
        <w:pStyle w:val="TextBody"/>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pPr>
      <w:r>
        <w:rPr/>
        <w:drawing>
          <wp:inline distT="0" distB="0" distL="0" distR="0">
            <wp:extent cx="951230" cy="8401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1230" cy="840105"/>
                    </a:xfrm>
                    <a:prstGeom prst="rect">
                      <a:avLst/>
                    </a:prstGeom>
                  </pic:spPr>
                </pic:pic>
              </a:graphicData>
            </a:graphic>
          </wp:inline>
        </w:drawing>
      </w:r>
      <w:r>
        <w:rPr/>
        <w:t xml:space="preserve"> </w:t>
      </w:r>
    </w:p>
    <w:p>
      <w:pPr>
        <w:pStyle w:val="TextBody"/>
        <w:spacing w:before="480" w:after="0"/>
        <w:jc w:val="center"/>
        <w:rPr>
          <w:rFonts w:ascii="Times New Roman" w:hAnsi="Times New Roman"/>
          <w:b/>
          <w:sz w:val="20"/>
        </w:rPr>
      </w:pPr>
      <w:r>
        <w:rPr>
          <w:rFonts w:ascii="Times New Roman" w:hAnsi="Times New Roman"/>
          <w:b/>
          <w:sz w:val="20"/>
        </w:rPr>
        <w:t xml:space="preserve">2000 Sierra Point Parkway, Suite 400 </w:t>
      </w:r>
    </w:p>
    <w:p>
      <w:pPr>
        <w:pStyle w:val="TextBody"/>
        <w:spacing w:before="0" w:after="0"/>
        <w:jc w:val="center"/>
        <w:rPr>
          <w:rFonts w:ascii="Times New Roman" w:hAnsi="Times New Roman"/>
          <w:b/>
          <w:sz w:val="20"/>
        </w:rPr>
      </w:pPr>
      <w:r>
        <w:rPr>
          <w:rFonts w:ascii="Times New Roman" w:hAnsi="Times New Roman"/>
          <w:b/>
          <w:sz w:val="20"/>
        </w:rPr>
        <w:t xml:space="preserve">Brisbane, CA 94005 </w:t>
      </w:r>
    </w:p>
    <w:p>
      <w:pPr>
        <w:pStyle w:val="TextBody"/>
        <w:spacing w:before="240" w:after="0"/>
        <w:jc w:val="center"/>
        <w:rPr>
          <w:rFonts w:ascii="Times New Roman" w:hAnsi="Times New Roman"/>
          <w:b/>
          <w:sz w:val="20"/>
        </w:rPr>
      </w:pPr>
      <w:r>
        <w:rPr>
          <w:rFonts w:ascii="Times New Roman" w:hAnsi="Times New Roman"/>
          <w:b/>
          <w:sz w:val="20"/>
        </w:rPr>
        <w:t xml:space="preserve">NOTICE OF ANNUAL MEETING OF STOCKHOLDERS </w:t>
      </w:r>
    </w:p>
    <w:p>
      <w:pPr>
        <w:pStyle w:val="TextBody"/>
        <w:spacing w:before="120" w:after="0"/>
        <w:jc w:val="center"/>
        <w:rPr>
          <w:rFonts w:ascii="Times New Roman" w:hAnsi="Times New Roman"/>
          <w:b/>
          <w:sz w:val="20"/>
        </w:rPr>
      </w:pPr>
      <w:r>
        <w:rPr>
          <w:rFonts w:ascii="Times New Roman" w:hAnsi="Times New Roman"/>
          <w:b/>
          <w:sz w:val="20"/>
        </w:rPr>
        <w:t xml:space="preserve">To Be Held On June 15, 2023 at 1:00 PM Pacific Time </w:t>
      </w:r>
    </w:p>
    <w:p>
      <w:pPr>
        <w:pStyle w:val="TextBody"/>
        <w:spacing w:before="240" w:after="0"/>
        <w:jc w:val="left"/>
        <w:rPr>
          <w:rFonts w:ascii="Times New Roman" w:hAnsi="Times New Roman"/>
          <w:sz w:val="20"/>
        </w:rPr>
      </w:pPr>
      <w:r>
        <w:rPr>
          <w:rFonts w:ascii="Times New Roman" w:hAnsi="Times New Roman"/>
          <w:sz w:val="20"/>
        </w:rPr>
        <w:t xml:space="preserve">Dear Stockholder: </w:t>
      </w:r>
    </w:p>
    <w:p>
      <w:pPr>
        <w:pStyle w:val="TextBody"/>
        <w:spacing w:before="120" w:after="0"/>
        <w:jc w:val="left"/>
        <w:rPr>
          <w:rFonts w:ascii="Times New Roman" w:hAnsi="Times New Roman"/>
          <w:sz w:val="20"/>
        </w:rPr>
      </w:pPr>
      <w:r>
        <w:rPr>
          <w:rFonts w:ascii="Times New Roman" w:hAnsi="Times New Roman"/>
          <w:sz w:val="20"/>
        </w:rPr>
        <w:t>You are cordially invited to attend the Annual Meeting of Stockholders of Tempest Therapeutics, Inc., a Delaware corporation (the </w:t>
      </w:r>
      <w:r>
        <w:rPr>
          <w:rFonts w:ascii="Times New Roman" w:hAnsi="Times New Roman"/>
          <w:b/>
          <w:i/>
          <w:sz w:val="20"/>
        </w:rPr>
        <w:t>Company</w:t>
      </w:r>
      <w:r>
        <w:rPr>
          <w:rFonts w:ascii="Times New Roman" w:hAnsi="Times New Roman"/>
          <w:sz w:val="20"/>
        </w:rPr>
        <w:t xml:space="preserve">). The meeting will be held on Thursday, June 15, 2023 at 1:00 P.M. Pacific time. To facilitate stockholder participation in the Annual Meeting, this year, the Annual Meeting will be held through a live webcast at </w:t>
      </w:r>
      <w:r>
        <w:rPr>
          <w:rFonts w:ascii="Times New Roman" w:hAnsi="Times New Roman"/>
          <w:i/>
          <w:sz w:val="20"/>
        </w:rPr>
        <w:t>www.virtualshareholdermeeting.com/TPST2023</w:t>
      </w:r>
      <w:r>
        <w:rPr>
          <w:rFonts w:ascii="Times New Roman" w:hAnsi="Times New Roman"/>
          <w:sz w:val="20"/>
        </w:rPr>
        <w:t xml:space="preserve">. You will not be able to attend the meeting in person. The meeting will be held for the following purposes: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1.</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elect the Boards nominees, Thomas Dubensky and Christine Pellizzari, to the Board of Directors to hold office until the 2026 Annual Meeting of Stockholders;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09"/>
        <w:gridCol w:w="9291"/>
      </w:tblGrid>
      <w:tr>
        <w:trPr/>
        <w:tc>
          <w:tcPr>
            <w:tcW w:w="405"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2.</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approve our Amended and Restated 2023 Equity Incentive Plan to, among other items, increase the total number of shares of our common stock issuable thereunder by 1,150,000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3.</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approve, on an advisory basis, on the compensation paid to the Companys named executive officers, as disclosed in this proxy statement;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4.</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ratify the selection of Ernst &amp; Young LLP as the independent registered public accounting firm of the Company for its fiscal year ending December 31, 2023. </w:t>
            </w:r>
          </w:p>
        </w:tc>
      </w:tr>
    </w:tbl>
    <w:p>
      <w:pPr>
        <w:pStyle w:val="TextBody"/>
        <w:spacing w:before="240" w:after="0"/>
        <w:jc w:val="left"/>
        <w:rPr>
          <w:rFonts w:ascii="Times New Roman" w:hAnsi="Times New Roman"/>
          <w:sz w:val="20"/>
        </w:rPr>
      </w:pPr>
      <w:r>
        <w:rPr>
          <w:rFonts w:ascii="Times New Roman" w:hAnsi="Times New Roman"/>
          <w:sz w:val="20"/>
        </w:rPr>
        <w:t xml:space="preserve">These items of business are more fully described in the Proxy Statement accompanying this Notice. </w:t>
      </w:r>
    </w:p>
    <w:p>
      <w:pPr>
        <w:pStyle w:val="TextBody"/>
        <w:spacing w:before="240" w:after="0"/>
        <w:jc w:val="left"/>
        <w:rPr>
          <w:rFonts w:ascii="Times New Roman" w:hAnsi="Times New Roman"/>
          <w:sz w:val="20"/>
        </w:rPr>
      </w:pPr>
      <w:r>
        <w:rPr>
          <w:rFonts w:ascii="Times New Roman" w:hAnsi="Times New Roman"/>
          <w:sz w:val="20"/>
        </w:rPr>
        <w:t xml:space="preserve">This years Annual Meeting will be held virtually through a live webcast. You will be able to attend the Annual Meeting, submit questions and vote during the live webcast by visiting </w:t>
      </w:r>
      <w:r>
        <w:rPr>
          <w:rFonts w:ascii="Times New Roman" w:hAnsi="Times New Roman"/>
          <w:i/>
          <w:sz w:val="20"/>
        </w:rPr>
        <w:t xml:space="preserve">www.virtualshareholdermeeting.com/TPST2023 </w:t>
      </w:r>
      <w:r>
        <w:rPr>
          <w:rFonts w:ascii="Times New Roman" w:hAnsi="Times New Roman"/>
          <w:sz w:val="20"/>
        </w:rPr>
        <w:t xml:space="preserve">and entering the 16-digit Control Number included in your proxy card, or in the instructions that you received via email. Please refer to the additional logistical details and recommendations in the accompanying proxy statement. You may log in beginning at 12:45 P.M. Pacific time on Thursday, June 15, 2023. </w:t>
      </w:r>
    </w:p>
    <w:p>
      <w:pPr>
        <w:pStyle w:val="TextBody"/>
        <w:spacing w:before="240" w:after="0"/>
        <w:jc w:val="left"/>
        <w:rPr>
          <w:rFonts w:ascii="Times New Roman" w:hAnsi="Times New Roman"/>
          <w:sz w:val="20"/>
        </w:rPr>
      </w:pPr>
      <w:r>
        <w:rPr>
          <w:rFonts w:ascii="Times New Roman" w:hAnsi="Times New Roman"/>
          <w:sz w:val="20"/>
        </w:rPr>
        <w:t xml:space="preserve">The record date for the Annual Meeting is April 18, 2023. Only stockholders of record at the close of business on that date may vote at the meeting or any adjournment thereof. </w:t>
      </w:r>
    </w:p>
    <w:p>
      <w:pPr>
        <w:pStyle w:val="TextBody"/>
        <w:spacing w:before="360" w:after="0"/>
        <w:jc w:val="left"/>
        <w:rPr>
          <w:rFonts w:ascii="Times New Roman" w:hAnsi="Times New Roman"/>
          <w:sz w:val="20"/>
        </w:rPr>
      </w:pPr>
      <w:r>
        <w:rPr>
          <w:rFonts w:ascii="Times New Roman" w:hAnsi="Times New Roman"/>
          <w:sz w:val="20"/>
        </w:rPr>
        <w:t xml:space="preserve">By Order of the Board of Directors </w:t>
      </w:r>
    </w:p>
    <w:p>
      <w:pPr>
        <w:pStyle w:val="TextBody"/>
        <w:spacing w:before="120" w:after="0"/>
        <w:jc w:val="left"/>
        <w:rPr>
          <w:rFonts w:ascii="Times New Roman" w:hAnsi="Times New Roman"/>
          <w:i/>
          <w:sz w:val="20"/>
        </w:rPr>
      </w:pPr>
      <w:r>
        <w:rPr>
          <w:rFonts w:ascii="Times New Roman" w:hAnsi="Times New Roman"/>
          <w:i/>
          <w:sz w:val="20"/>
        </w:rPr>
        <w:t>/s/ Nicholas Maestas</w:t>
      </w:r>
    </w:p>
    <w:p>
      <w:pPr>
        <w:pStyle w:val="TextBody"/>
        <w:spacing w:before="240" w:after="0"/>
        <w:jc w:val="left"/>
        <w:rPr>
          <w:rFonts w:ascii="Times New Roman" w:hAnsi="Times New Roman"/>
          <w:sz w:val="20"/>
        </w:rPr>
      </w:pPr>
      <w:r>
        <w:rPr>
          <w:rFonts w:ascii="Times New Roman" w:hAnsi="Times New Roman"/>
          <w:sz w:val="20"/>
        </w:rPr>
        <w:t xml:space="preserve">Nicholas Maestas </w:t>
      </w:r>
    </w:p>
    <w:p>
      <w:pPr>
        <w:pStyle w:val="TextBody"/>
        <w:spacing w:before="0" w:after="0"/>
        <w:jc w:val="left"/>
        <w:rPr>
          <w:rFonts w:ascii="Times New Roman" w:hAnsi="Times New Roman"/>
          <w:sz w:val="20"/>
        </w:rPr>
      </w:pPr>
      <w:r>
        <w:rPr>
          <w:rFonts w:ascii="Times New Roman" w:hAnsi="Times New Roman"/>
          <w:sz w:val="20"/>
        </w:rPr>
        <w:t xml:space="preserve">Corporate Secretary </w:t>
      </w:r>
    </w:p>
    <w:p>
      <w:pPr>
        <w:pStyle w:val="TextBody"/>
        <w:spacing w:before="240" w:after="0"/>
        <w:jc w:val="left"/>
        <w:rPr>
          <w:rFonts w:ascii="Times New Roman" w:hAnsi="Times New Roman"/>
          <w:sz w:val="20"/>
        </w:rPr>
      </w:pPr>
      <w:r>
        <w:rPr>
          <w:rFonts w:ascii="Times New Roman" w:hAnsi="Times New Roman"/>
          <w:sz w:val="20"/>
        </w:rPr>
        <w:t xml:space="preserve">Brisbane, California </w:t>
      </w:r>
    </w:p>
    <w:p>
      <w:pPr>
        <w:pStyle w:val="TextBody"/>
        <w:spacing w:before="0" w:after="0"/>
        <w:jc w:val="left"/>
        <w:rPr>
          <w:rFonts w:ascii="Times New Roman" w:hAnsi="Times New Roman"/>
          <w:sz w:val="20"/>
        </w:rPr>
      </w:pPr>
      <w:r>
        <w:rPr>
          <w:rFonts w:ascii="Times New Roman" w:hAnsi="Times New Roman"/>
          <w:sz w:val="20"/>
        </w:rPr>
        <w:t xml:space="preserve">May 1, 2023 </w:t>
      </w:r>
    </w:p>
    <w:p>
      <w:pPr>
        <w:pStyle w:val="TextBody"/>
        <w:spacing w:before="240" w:after="0"/>
        <w:jc w:val="left"/>
        <w:rPr>
          <w:rFonts w:ascii="Times New Roman" w:hAnsi="Times New Roman"/>
          <w:b/>
          <w:sz w:val="20"/>
        </w:rPr>
      </w:pPr>
      <w:r>
        <w:rPr>
          <w:rFonts w:ascii="Times New Roman" w:hAnsi="Times New Roman"/>
          <w:b/>
          <w:sz w:val="20"/>
        </w:rPr>
        <w:t xml:space="preserve">You are cordially invited to attend the meeting online. Whether or not you expect to attend the meeting, please complete, date, sign and return the proxy mailed to you, or vote over the telephone or the internet as instructed in these materials, as promptly as possible in order to ensure your representation at the meeting. Even if you have voted by proxy, you may still vote online if you attend the meeting. Please note, however, that if your shares are held of record by a broker, bank or other nominee and you wish to vote at the meeting, you must obtain a proxy issued in your name from that record holder.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426"/>
        <w:gridCol w:w="247"/>
        <w:gridCol w:w="60"/>
        <w:gridCol w:w="409"/>
        <w:gridCol w:w="63"/>
      </w:tblGrid>
      <w:tr>
        <w:trPr/>
        <w:tc>
          <w:tcPr>
            <w:tcW w:w="9426"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9426" w:type="dxa"/>
            <w:tcBorders/>
            <w:shd w:fill="auto" w:val="clear"/>
          </w:tcPr>
          <w:p>
            <w:pPr>
              <w:pStyle w:val="TableContents"/>
              <w:spacing w:before="0" w:after="0"/>
              <w:rPr/>
            </w:pPr>
            <w:hyperlink w:anchor="tx456303_1">
              <w:r>
                <w:rPr>
                  <w:rStyle w:val="InternetLink"/>
                  <w:rFonts w:ascii="Times New Roman" w:hAnsi="Times New Roman"/>
                  <w:sz w:val="20"/>
                </w:rPr>
                <w:t>QUESTIONS AND ANSWERS ABOUT THESE PROXY MATERIALS AND VOTING</w:t>
              </w:r>
            </w:hyperlink>
          </w:p>
        </w:tc>
        <w:tc>
          <w:tcPr>
            <w:tcW w:w="2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jc w:val="right"/>
              <w:rPr/>
            </w:pPr>
            <w:r>
              <w:rPr/>
              <w:t>1</w:t>
            </w:r>
          </w:p>
        </w:tc>
        <w:tc>
          <w:tcPr>
            <w:tcW w:w="63" w:type="dxa"/>
            <w:tcBorders/>
            <w:shd w:fill="auto" w:val="clear"/>
            <w:vAlign w:val="bottom"/>
          </w:tcPr>
          <w:p>
            <w:pPr>
              <w:pStyle w:val="TableContents"/>
              <w:spacing w:before="0" w:after="283"/>
              <w:rPr/>
            </w:pPr>
            <w:r>
              <w:rPr/>
              <w:t> </w:t>
            </w:r>
          </w:p>
        </w:tc>
      </w:tr>
      <w:tr>
        <w:trPr/>
        <w:tc>
          <w:tcPr>
            <w:tcW w:w="9426" w:type="dxa"/>
            <w:tcBorders/>
            <w:shd w:fill="auto" w:val="clear"/>
          </w:tcPr>
          <w:p>
            <w:pPr>
              <w:pStyle w:val="TableContents"/>
              <w:spacing w:before="0" w:after="0"/>
              <w:rPr/>
            </w:pPr>
            <w:hyperlink w:anchor="tx456303_2">
              <w:r>
                <w:rPr>
                  <w:rStyle w:val="InternetLink"/>
                  <w:rFonts w:ascii="Times New Roman" w:hAnsi="Times New Roman"/>
                  <w:sz w:val="20"/>
                </w:rPr>
                <w:t>PROPOSAL 1: ELECTION OF DIRECTORS</w:t>
              </w:r>
            </w:hyperlink>
          </w:p>
        </w:tc>
        <w:tc>
          <w:tcPr>
            <w:tcW w:w="2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jc w:val="right"/>
              <w:rPr/>
            </w:pPr>
            <w:r>
              <w:rPr/>
              <w:t>8</w:t>
            </w:r>
          </w:p>
        </w:tc>
        <w:tc>
          <w:tcPr>
            <w:tcW w:w="63" w:type="dxa"/>
            <w:tcBorders/>
            <w:shd w:fill="auto" w:val="clear"/>
            <w:vAlign w:val="bottom"/>
          </w:tcPr>
          <w:p>
            <w:pPr>
              <w:pStyle w:val="TableContents"/>
              <w:spacing w:before="0" w:after="283"/>
              <w:rPr/>
            </w:pPr>
            <w:r>
              <w:rPr/>
              <w:t> </w:t>
            </w:r>
          </w:p>
        </w:tc>
      </w:tr>
      <w:tr>
        <w:trPr/>
        <w:tc>
          <w:tcPr>
            <w:tcW w:w="9426" w:type="dxa"/>
            <w:tcBorders/>
            <w:shd w:fill="auto" w:val="clear"/>
          </w:tcPr>
          <w:p>
            <w:pPr>
              <w:pStyle w:val="TableContents"/>
              <w:spacing w:before="0" w:after="0"/>
              <w:rPr/>
            </w:pPr>
            <w:hyperlink w:anchor="tx456303_3">
              <w:r>
                <w:rPr>
                  <w:rStyle w:val="InternetLink"/>
                  <w:rFonts w:ascii="Times New Roman" w:hAnsi="Times New Roman"/>
                  <w:sz w:val="20"/>
                </w:rPr>
                <w:t>INFORMATION REGARDING DIRECTOR NOMINEES AND CONTINUING DIRECTORS</w:t>
              </w:r>
            </w:hyperlink>
          </w:p>
        </w:tc>
        <w:tc>
          <w:tcPr>
            <w:tcW w:w="2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jc w:val="right"/>
              <w:rPr/>
            </w:pPr>
            <w:r>
              <w:rPr/>
              <w:t>9</w:t>
            </w:r>
          </w:p>
        </w:tc>
        <w:tc>
          <w:tcPr>
            <w:tcW w:w="63" w:type="dxa"/>
            <w:tcBorders/>
            <w:shd w:fill="auto" w:val="clear"/>
            <w:vAlign w:val="bottom"/>
          </w:tcPr>
          <w:p>
            <w:pPr>
              <w:pStyle w:val="TableContents"/>
              <w:spacing w:before="0" w:after="283"/>
              <w:rPr/>
            </w:pPr>
            <w:r>
              <w:rPr/>
              <w:t> </w:t>
            </w:r>
          </w:p>
        </w:tc>
      </w:tr>
      <w:tr>
        <w:trPr/>
        <w:tc>
          <w:tcPr>
            <w:tcW w:w="9426" w:type="dxa"/>
            <w:tcBorders/>
            <w:shd w:fill="auto" w:val="clear"/>
          </w:tcPr>
          <w:p>
            <w:pPr>
              <w:pStyle w:val="TableContents"/>
              <w:spacing w:before="0" w:after="0"/>
              <w:rPr/>
            </w:pPr>
            <w:hyperlink w:anchor="tx456303_4">
              <w:r>
                <w:rPr>
                  <w:rStyle w:val="InternetLink"/>
                  <w:rFonts w:ascii="Times New Roman" w:hAnsi="Times New Roman"/>
                  <w:sz w:val="20"/>
                </w:rPr>
                <w:t>INFORMATION REGARDING THE BOARD OF DIRECTORS AND CORPORATE GOVERNANCE</w:t>
              </w:r>
            </w:hyperlink>
          </w:p>
        </w:tc>
        <w:tc>
          <w:tcPr>
            <w:tcW w:w="2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jc w:val="right"/>
              <w:rPr/>
            </w:pPr>
            <w:r>
              <w:rPr/>
              <w:t>12</w:t>
            </w:r>
          </w:p>
        </w:tc>
        <w:tc>
          <w:tcPr>
            <w:tcW w:w="63" w:type="dxa"/>
            <w:tcBorders/>
            <w:shd w:fill="auto" w:val="clear"/>
            <w:vAlign w:val="bottom"/>
          </w:tcPr>
          <w:p>
            <w:pPr>
              <w:pStyle w:val="TableContents"/>
              <w:spacing w:before="0" w:after="283"/>
              <w:rPr/>
            </w:pPr>
            <w:r>
              <w:rPr/>
              <w:t> </w:t>
            </w:r>
          </w:p>
        </w:tc>
      </w:tr>
      <w:tr>
        <w:trPr/>
        <w:tc>
          <w:tcPr>
            <w:tcW w:w="9426" w:type="dxa"/>
            <w:tcBorders/>
            <w:shd w:fill="auto" w:val="clear"/>
          </w:tcPr>
          <w:p>
            <w:pPr>
              <w:pStyle w:val="TableContents"/>
              <w:spacing w:before="0" w:after="0"/>
              <w:rPr/>
            </w:pPr>
            <w:hyperlink w:anchor="tx456303_5">
              <w:r>
                <w:rPr>
                  <w:rStyle w:val="InternetLink"/>
                  <w:rFonts w:ascii="Times New Roman" w:hAnsi="Times New Roman"/>
                  <w:sz w:val="20"/>
                </w:rPr>
                <w:t>PROPOSAL 2: APPROVAL OF THE AMENDED AND RESTATED 2023 EQUITY INCENTIVE PLAN</w:t>
              </w:r>
            </w:hyperlink>
          </w:p>
        </w:tc>
        <w:tc>
          <w:tcPr>
            <w:tcW w:w="2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jc w:val="right"/>
              <w:rPr/>
            </w:pPr>
            <w:r>
              <w:rPr/>
              <w:t>20</w:t>
            </w:r>
          </w:p>
        </w:tc>
        <w:tc>
          <w:tcPr>
            <w:tcW w:w="63" w:type="dxa"/>
            <w:tcBorders/>
            <w:shd w:fill="auto" w:val="clear"/>
            <w:vAlign w:val="bottom"/>
          </w:tcPr>
          <w:p>
            <w:pPr>
              <w:pStyle w:val="TableContents"/>
              <w:spacing w:before="0" w:after="283"/>
              <w:rPr/>
            </w:pPr>
            <w:r>
              <w:rPr/>
              <w:t> </w:t>
            </w:r>
          </w:p>
        </w:tc>
      </w:tr>
      <w:tr>
        <w:trPr/>
        <w:tc>
          <w:tcPr>
            <w:tcW w:w="9426" w:type="dxa"/>
            <w:tcBorders/>
            <w:shd w:fill="auto" w:val="clear"/>
          </w:tcPr>
          <w:p>
            <w:pPr>
              <w:pStyle w:val="TableContents"/>
              <w:spacing w:before="0" w:after="0"/>
              <w:rPr/>
            </w:pPr>
            <w:hyperlink w:anchor="tx456303_6">
              <w:r>
                <w:rPr>
                  <w:rStyle w:val="InternetLink"/>
                  <w:rFonts w:ascii="Times New Roman" w:hAnsi="Times New Roman"/>
                  <w:sz w:val="20"/>
                </w:rPr>
                <w:t>PROPOSAL 3: ADVISORY VOTE ON THE EXECUTIVE COMPENSATION OF OUR NAMED EXECUTIVE OFFICERS</w:t>
              </w:r>
            </w:hyperlink>
          </w:p>
        </w:tc>
        <w:tc>
          <w:tcPr>
            <w:tcW w:w="2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jc w:val="right"/>
              <w:rPr/>
            </w:pPr>
            <w:r>
              <w:rPr/>
              <w:t>34</w:t>
            </w:r>
          </w:p>
        </w:tc>
        <w:tc>
          <w:tcPr>
            <w:tcW w:w="63" w:type="dxa"/>
            <w:tcBorders/>
            <w:shd w:fill="auto" w:val="clear"/>
            <w:vAlign w:val="bottom"/>
          </w:tcPr>
          <w:p>
            <w:pPr>
              <w:pStyle w:val="TableContents"/>
              <w:spacing w:before="0" w:after="283"/>
              <w:rPr/>
            </w:pPr>
            <w:r>
              <w:rPr/>
              <w:t> </w:t>
            </w:r>
          </w:p>
        </w:tc>
      </w:tr>
      <w:tr>
        <w:trPr/>
        <w:tc>
          <w:tcPr>
            <w:tcW w:w="9426" w:type="dxa"/>
            <w:tcBorders/>
            <w:shd w:fill="auto" w:val="clear"/>
          </w:tcPr>
          <w:p>
            <w:pPr>
              <w:pStyle w:val="TableContents"/>
              <w:spacing w:before="0" w:after="0"/>
              <w:rPr/>
            </w:pPr>
            <w:hyperlink w:anchor="tx456303_7">
              <w:r>
                <w:rPr>
                  <w:rStyle w:val="InternetLink"/>
                  <w:rFonts w:ascii="Times New Roman" w:hAnsi="Times New Roman"/>
                  <w:sz w:val="20"/>
                </w:rPr>
                <w:t>PROPOSAL 4: RATIFICATION OF SELECTION OF INDEPENDENT REGISTERED PUBLIC ACCOUNTING FIRM</w:t>
              </w:r>
            </w:hyperlink>
          </w:p>
        </w:tc>
        <w:tc>
          <w:tcPr>
            <w:tcW w:w="2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jc w:val="right"/>
              <w:rPr/>
            </w:pPr>
            <w:r>
              <w:rPr/>
              <w:t>35</w:t>
            </w:r>
          </w:p>
        </w:tc>
        <w:tc>
          <w:tcPr>
            <w:tcW w:w="63" w:type="dxa"/>
            <w:tcBorders/>
            <w:shd w:fill="auto" w:val="clear"/>
            <w:vAlign w:val="bottom"/>
          </w:tcPr>
          <w:p>
            <w:pPr>
              <w:pStyle w:val="TableContents"/>
              <w:spacing w:before="0" w:after="283"/>
              <w:rPr/>
            </w:pPr>
            <w:r>
              <w:rPr/>
              <w:t> </w:t>
            </w:r>
          </w:p>
        </w:tc>
      </w:tr>
      <w:tr>
        <w:trPr/>
        <w:tc>
          <w:tcPr>
            <w:tcW w:w="9426" w:type="dxa"/>
            <w:tcBorders/>
            <w:shd w:fill="auto" w:val="clear"/>
          </w:tcPr>
          <w:p>
            <w:pPr>
              <w:pStyle w:val="TableContents"/>
              <w:spacing w:before="0" w:after="0"/>
              <w:rPr/>
            </w:pPr>
            <w:hyperlink w:anchor="tx456303_8">
              <w:r>
                <w:rPr>
                  <w:rStyle w:val="InternetLink"/>
                  <w:rFonts w:ascii="Times New Roman" w:hAnsi="Times New Roman"/>
                  <w:sz w:val="20"/>
                </w:rPr>
                <w:t>EXECUTIVE OFFICERS</w:t>
              </w:r>
            </w:hyperlink>
          </w:p>
        </w:tc>
        <w:tc>
          <w:tcPr>
            <w:tcW w:w="2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jc w:val="right"/>
              <w:rPr/>
            </w:pPr>
            <w:r>
              <w:rPr/>
              <w:t>37</w:t>
            </w:r>
          </w:p>
        </w:tc>
        <w:tc>
          <w:tcPr>
            <w:tcW w:w="63" w:type="dxa"/>
            <w:tcBorders/>
            <w:shd w:fill="auto" w:val="clear"/>
            <w:vAlign w:val="bottom"/>
          </w:tcPr>
          <w:p>
            <w:pPr>
              <w:pStyle w:val="TableContents"/>
              <w:spacing w:before="0" w:after="283"/>
              <w:rPr/>
            </w:pPr>
            <w:r>
              <w:rPr/>
              <w:t> </w:t>
            </w:r>
          </w:p>
        </w:tc>
      </w:tr>
      <w:tr>
        <w:trPr/>
        <w:tc>
          <w:tcPr>
            <w:tcW w:w="9426" w:type="dxa"/>
            <w:tcBorders/>
            <w:shd w:fill="auto" w:val="clear"/>
          </w:tcPr>
          <w:p>
            <w:pPr>
              <w:pStyle w:val="TableContents"/>
              <w:spacing w:before="0" w:after="0"/>
              <w:rPr/>
            </w:pPr>
            <w:hyperlink w:anchor="tx456303_9">
              <w:r>
                <w:rPr>
                  <w:rStyle w:val="InternetLink"/>
                  <w:rFonts w:ascii="Times New Roman" w:hAnsi="Times New Roman"/>
                  <w:sz w:val="20"/>
                </w:rPr>
                <w:t>EXECUTIVE AND DIRECTOR COMPENSATION</w:t>
              </w:r>
            </w:hyperlink>
          </w:p>
        </w:tc>
        <w:tc>
          <w:tcPr>
            <w:tcW w:w="2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jc w:val="right"/>
              <w:rPr/>
            </w:pPr>
            <w:r>
              <w:rPr/>
              <w:t>38</w:t>
            </w:r>
          </w:p>
        </w:tc>
        <w:tc>
          <w:tcPr>
            <w:tcW w:w="63" w:type="dxa"/>
            <w:tcBorders/>
            <w:shd w:fill="auto" w:val="clear"/>
            <w:vAlign w:val="bottom"/>
          </w:tcPr>
          <w:p>
            <w:pPr>
              <w:pStyle w:val="TableContents"/>
              <w:spacing w:before="0" w:after="283"/>
              <w:rPr/>
            </w:pPr>
            <w:r>
              <w:rPr/>
              <w:t> </w:t>
            </w:r>
          </w:p>
        </w:tc>
      </w:tr>
      <w:tr>
        <w:trPr/>
        <w:tc>
          <w:tcPr>
            <w:tcW w:w="9426" w:type="dxa"/>
            <w:tcBorders/>
            <w:shd w:fill="auto" w:val="clear"/>
          </w:tcPr>
          <w:p>
            <w:pPr>
              <w:pStyle w:val="TableContents"/>
              <w:spacing w:before="0" w:after="0"/>
              <w:rPr/>
            </w:pPr>
            <w:hyperlink w:anchor="tx456303_10">
              <w:r>
                <w:rPr>
                  <w:rStyle w:val="InternetLink"/>
                  <w:rFonts w:ascii="Times New Roman" w:hAnsi="Times New Roman"/>
                  <w:sz w:val="20"/>
                </w:rPr>
                <w:t>EQUITY COMPENSATION PLAN INFORMATION</w:t>
              </w:r>
            </w:hyperlink>
          </w:p>
        </w:tc>
        <w:tc>
          <w:tcPr>
            <w:tcW w:w="2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jc w:val="right"/>
              <w:rPr/>
            </w:pPr>
            <w:r>
              <w:rPr/>
              <w:t>49</w:t>
            </w:r>
          </w:p>
        </w:tc>
        <w:tc>
          <w:tcPr>
            <w:tcW w:w="63" w:type="dxa"/>
            <w:tcBorders/>
            <w:shd w:fill="auto" w:val="clear"/>
            <w:vAlign w:val="bottom"/>
          </w:tcPr>
          <w:p>
            <w:pPr>
              <w:pStyle w:val="TableContents"/>
              <w:spacing w:before="0" w:after="283"/>
              <w:rPr/>
            </w:pPr>
            <w:r>
              <w:rPr/>
              <w:t> </w:t>
            </w:r>
          </w:p>
        </w:tc>
      </w:tr>
      <w:tr>
        <w:trPr/>
        <w:tc>
          <w:tcPr>
            <w:tcW w:w="9426" w:type="dxa"/>
            <w:tcBorders/>
            <w:shd w:fill="auto" w:val="clear"/>
          </w:tcPr>
          <w:p>
            <w:pPr>
              <w:pStyle w:val="TableContents"/>
              <w:spacing w:before="0" w:after="0"/>
              <w:rPr/>
            </w:pPr>
            <w:hyperlink w:anchor="tx456303_11">
              <w:r>
                <w:rPr>
                  <w:rStyle w:val="InternetLink"/>
                  <w:rFonts w:ascii="Times New Roman" w:hAnsi="Times New Roman"/>
                  <w:sz w:val="20"/>
                </w:rPr>
                <w:t>SECURITY OWNERSHIP OF CERTAIN BENEFICIAL OWNERS AND MANAGEMENT</w:t>
              </w:r>
            </w:hyperlink>
          </w:p>
        </w:tc>
        <w:tc>
          <w:tcPr>
            <w:tcW w:w="2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jc w:val="right"/>
              <w:rPr/>
            </w:pPr>
            <w:r>
              <w:rPr/>
              <w:t>50</w:t>
            </w:r>
          </w:p>
        </w:tc>
        <w:tc>
          <w:tcPr>
            <w:tcW w:w="63" w:type="dxa"/>
            <w:tcBorders/>
            <w:shd w:fill="auto" w:val="clear"/>
            <w:vAlign w:val="bottom"/>
          </w:tcPr>
          <w:p>
            <w:pPr>
              <w:pStyle w:val="TableContents"/>
              <w:spacing w:before="0" w:after="283"/>
              <w:rPr/>
            </w:pPr>
            <w:r>
              <w:rPr/>
              <w:t> </w:t>
            </w:r>
          </w:p>
        </w:tc>
      </w:tr>
      <w:tr>
        <w:trPr/>
        <w:tc>
          <w:tcPr>
            <w:tcW w:w="9426" w:type="dxa"/>
            <w:tcBorders/>
            <w:shd w:fill="auto" w:val="clear"/>
          </w:tcPr>
          <w:p>
            <w:pPr>
              <w:pStyle w:val="TableContents"/>
              <w:spacing w:before="0" w:after="0"/>
              <w:rPr/>
            </w:pPr>
            <w:hyperlink w:anchor="tx456303_12">
              <w:r>
                <w:rPr>
                  <w:rStyle w:val="InternetLink"/>
                  <w:rFonts w:ascii="Times New Roman" w:hAnsi="Times New Roman"/>
                  <w:sz w:val="20"/>
                </w:rPr>
                <w:t>TRANSACTIONS WITH RELATED PERSONS AND INDEMNIFICATION</w:t>
              </w:r>
            </w:hyperlink>
          </w:p>
        </w:tc>
        <w:tc>
          <w:tcPr>
            <w:tcW w:w="2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jc w:val="right"/>
              <w:rPr/>
            </w:pPr>
            <w:r>
              <w:rPr/>
              <w:t>53</w:t>
            </w:r>
          </w:p>
        </w:tc>
        <w:tc>
          <w:tcPr>
            <w:tcW w:w="63" w:type="dxa"/>
            <w:tcBorders/>
            <w:shd w:fill="auto" w:val="clear"/>
            <w:vAlign w:val="bottom"/>
          </w:tcPr>
          <w:p>
            <w:pPr>
              <w:pStyle w:val="TableContents"/>
              <w:spacing w:before="0" w:after="283"/>
              <w:rPr/>
            </w:pPr>
            <w:r>
              <w:rPr/>
              <w:t> </w:t>
            </w:r>
          </w:p>
        </w:tc>
      </w:tr>
      <w:tr>
        <w:trPr/>
        <w:tc>
          <w:tcPr>
            <w:tcW w:w="9426" w:type="dxa"/>
            <w:tcBorders/>
            <w:shd w:fill="auto" w:val="clear"/>
          </w:tcPr>
          <w:p>
            <w:pPr>
              <w:pStyle w:val="TableContents"/>
              <w:spacing w:before="0" w:after="0"/>
              <w:rPr/>
            </w:pPr>
            <w:hyperlink w:anchor="tx456303_13">
              <w:r>
                <w:rPr>
                  <w:rStyle w:val="InternetLink"/>
                  <w:rFonts w:ascii="Times New Roman" w:hAnsi="Times New Roman"/>
                  <w:sz w:val="20"/>
                </w:rPr>
                <w:t>HOUSEHOLDING OF PROXY MATERIALS</w:t>
              </w:r>
            </w:hyperlink>
          </w:p>
        </w:tc>
        <w:tc>
          <w:tcPr>
            <w:tcW w:w="2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jc w:val="right"/>
              <w:rPr/>
            </w:pPr>
            <w:r>
              <w:rPr/>
              <w:t>55</w:t>
            </w:r>
          </w:p>
        </w:tc>
        <w:tc>
          <w:tcPr>
            <w:tcW w:w="63" w:type="dxa"/>
            <w:tcBorders/>
            <w:shd w:fill="auto" w:val="clear"/>
            <w:vAlign w:val="bottom"/>
          </w:tcPr>
          <w:p>
            <w:pPr>
              <w:pStyle w:val="TableContents"/>
              <w:spacing w:before="0" w:after="283"/>
              <w:rPr/>
            </w:pPr>
            <w:r>
              <w:rPr/>
              <w:t> </w:t>
            </w:r>
          </w:p>
        </w:tc>
      </w:tr>
      <w:tr>
        <w:trPr/>
        <w:tc>
          <w:tcPr>
            <w:tcW w:w="9426" w:type="dxa"/>
            <w:tcBorders/>
            <w:shd w:fill="auto" w:val="clear"/>
          </w:tcPr>
          <w:p>
            <w:pPr>
              <w:pStyle w:val="TableContents"/>
              <w:spacing w:before="0" w:after="0"/>
              <w:rPr/>
            </w:pPr>
            <w:hyperlink w:anchor="tx456303_14">
              <w:r>
                <w:rPr>
                  <w:rStyle w:val="InternetLink"/>
                  <w:rFonts w:ascii="Times New Roman" w:hAnsi="Times New Roman"/>
                  <w:sz w:val="20"/>
                </w:rPr>
                <w:t>OTHER MATTERS</w:t>
              </w:r>
            </w:hyperlink>
          </w:p>
        </w:tc>
        <w:tc>
          <w:tcPr>
            <w:tcW w:w="2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jc w:val="right"/>
              <w:rPr/>
            </w:pPr>
            <w:r>
              <w:rPr/>
              <w:t>56</w:t>
            </w:r>
          </w:p>
        </w:tc>
        <w:tc>
          <w:tcPr>
            <w:tcW w:w="63" w:type="dxa"/>
            <w:tcBorders/>
            <w:shd w:fill="auto" w:val="clear"/>
            <w:vAlign w:val="bottom"/>
          </w:tcPr>
          <w:p>
            <w:pPr>
              <w:pStyle w:val="TableContents"/>
              <w:spacing w:before="0" w:after="283"/>
              <w:rPr/>
            </w:pPr>
            <w:r>
              <w:rPr/>
              <w:t> </w:t>
            </w:r>
          </w:p>
        </w:tc>
      </w:tr>
      <w:tr>
        <w:trPr/>
        <w:tc>
          <w:tcPr>
            <w:tcW w:w="9426" w:type="dxa"/>
            <w:tcBorders/>
            <w:shd w:fill="auto" w:val="clear"/>
          </w:tcPr>
          <w:p>
            <w:pPr>
              <w:pStyle w:val="TableContents"/>
              <w:spacing w:before="0" w:after="0"/>
              <w:rPr/>
            </w:pPr>
            <w:hyperlink w:anchor="tx456303_15">
              <w:r>
                <w:rPr>
                  <w:rStyle w:val="InternetLink"/>
                  <w:rFonts w:ascii="Times New Roman" w:hAnsi="Times New Roman"/>
                  <w:sz w:val="20"/>
                </w:rPr>
                <w:t>APPENDIX A: TEMPEST THERAPEUTICS, INC. AMENDED AND RESTATED 2023 EQUITY INCENTIVE PLAN</w:t>
              </w:r>
            </w:hyperlink>
          </w:p>
        </w:tc>
        <w:tc>
          <w:tcPr>
            <w:tcW w:w="2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jc w:val="right"/>
              <w:rPr/>
            </w:pPr>
            <w:r>
              <w:rPr/>
              <w:t>A-1</w:t>
            </w:r>
          </w:p>
        </w:tc>
        <w:tc>
          <w:tcPr>
            <w:tcW w:w="63" w:type="dxa"/>
            <w:tcBorders/>
            <w:shd w:fill="auto" w:val="clear"/>
            <w:vAlign w:val="bottom"/>
          </w:tcPr>
          <w:p>
            <w:pPr>
              <w:pStyle w:val="TableContents"/>
              <w:spacing w:before="0" w:after="283"/>
              <w:rPr/>
            </w:pPr>
            <w:r>
              <w:rPr/>
              <w:t> </w:t>
            </w:r>
          </w:p>
        </w:tc>
      </w:tr>
    </w:tbl>
    <w:p>
      <w:pPr>
        <w:pStyle w:val="TextBody"/>
        <w:spacing w:before="480" w:after="0"/>
        <w:jc w:val="center"/>
        <w:rPr>
          <w:rFonts w:ascii="Times New Roman" w:hAnsi="Times New Roman"/>
          <w:b/>
          <w:i/>
          <w:sz w:val="20"/>
        </w:rPr>
      </w:pPr>
      <w:r>
        <w:rPr>
          <w:rFonts w:ascii="Times New Roman" w:hAnsi="Times New Roman"/>
          <w:b/>
          <w:i/>
          <w:sz w:val="20"/>
        </w:rPr>
        <w:t xml:space="preserve">Website References </w:t>
      </w:r>
    </w:p>
    <w:p>
      <w:pPr>
        <w:pStyle w:val="TextBody"/>
        <w:spacing w:before="240" w:after="0"/>
        <w:jc w:val="left"/>
        <w:rPr>
          <w:rFonts w:ascii="Times New Roman" w:hAnsi="Times New Roman"/>
          <w:sz w:val="20"/>
        </w:rPr>
      </w:pPr>
      <w:r>
        <w:rPr>
          <w:rFonts w:ascii="Times New Roman" w:hAnsi="Times New Roman"/>
          <w:sz w:val="20"/>
        </w:rPr>
        <w:t xml:space="preserve">You may also access additional information about Tempest Therapeutics, Inc. at </w:t>
      </w:r>
      <w:r>
        <w:rPr>
          <w:rFonts w:ascii="Times New Roman" w:hAnsi="Times New Roman"/>
          <w:i/>
          <w:sz w:val="20"/>
        </w:rPr>
        <w:t>www.tempesttx.com</w:t>
      </w:r>
      <w:r>
        <w:rPr>
          <w:rFonts w:ascii="Times New Roman" w:hAnsi="Times New Roman"/>
          <w:sz w:val="20"/>
        </w:rPr>
        <w:t xml:space="preserve"> and </w:t>
      </w:r>
      <w:r>
        <w:rPr>
          <w:rFonts w:ascii="Times New Roman" w:hAnsi="Times New Roman"/>
          <w:i/>
          <w:sz w:val="20"/>
        </w:rPr>
        <w:t>ir.tempesttx.com</w:t>
      </w:r>
      <w:r>
        <w:rPr>
          <w:rFonts w:ascii="Times New Roman" w:hAnsi="Times New Roman"/>
          <w:sz w:val="20"/>
        </w:rPr>
        <w:t xml:space="preserve">. References to our websites throughout this proxy statement are provided for convenience only and the content on our website does not constitute a part of this proxy statement.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PROXY STATEMENT </w:t>
      </w:r>
    </w:p>
    <w:p>
      <w:pPr>
        <w:pStyle w:val="TextBody"/>
        <w:spacing w:before="0" w:after="0"/>
        <w:jc w:val="center"/>
        <w:rPr>
          <w:rFonts w:ascii="Times New Roman" w:hAnsi="Times New Roman"/>
          <w:b/>
          <w:sz w:val="20"/>
        </w:rPr>
      </w:pPr>
      <w:r>
        <w:rPr>
          <w:rFonts w:ascii="Times New Roman" w:hAnsi="Times New Roman"/>
          <w:b/>
          <w:sz w:val="20"/>
        </w:rPr>
        <w:t xml:space="preserve">FOR THE 2023 ANNUAL MEETING OF STOCKHOLDERS </w:t>
      </w:r>
    </w:p>
    <w:p>
      <w:pPr>
        <w:pStyle w:val="TextBody"/>
        <w:spacing w:before="120" w:after="0"/>
        <w:jc w:val="center"/>
        <w:rPr>
          <w:rFonts w:ascii="Times New Roman" w:hAnsi="Times New Roman"/>
          <w:b/>
          <w:sz w:val="20"/>
        </w:rPr>
      </w:pPr>
      <w:r>
        <w:rPr>
          <w:rFonts w:ascii="Times New Roman" w:hAnsi="Times New Roman"/>
          <w:b/>
          <w:sz w:val="20"/>
        </w:rPr>
        <w:t xml:space="preserve">TO BE HELD ON JUNE 15, 2023 </w:t>
      </w:r>
    </w:p>
    <w:p>
      <w:pPr>
        <w:pStyle w:val="TextBody"/>
        <w:spacing w:before="120" w:after="0"/>
        <w:jc w:val="center"/>
        <w:rPr>
          <w:rFonts w:ascii="Times New Roman" w:hAnsi="Times New Roman"/>
          <w:b/>
          <w:sz w:val="20"/>
        </w:rPr>
      </w:pPr>
      <w:bookmarkStart w:id="3" w:name="tx456303_1"/>
      <w:bookmarkEnd w:id="3"/>
      <w:r>
        <w:rPr>
          <w:rFonts w:ascii="Times New Roman" w:hAnsi="Times New Roman"/>
          <w:b/>
          <w:sz w:val="20"/>
        </w:rPr>
        <w:t xml:space="preserve">QUESTIONS AND ANSWERS ABOUT THESE PROXY MATERIALS AND VOTING </w:t>
      </w:r>
    </w:p>
    <w:p>
      <w:pPr>
        <w:pStyle w:val="TextBody"/>
        <w:spacing w:before="240" w:after="0"/>
        <w:jc w:val="left"/>
        <w:rPr>
          <w:rFonts w:ascii="Times New Roman" w:hAnsi="Times New Roman"/>
          <w:b/>
          <w:sz w:val="20"/>
        </w:rPr>
      </w:pPr>
      <w:r>
        <w:rPr>
          <w:rFonts w:ascii="Times New Roman" w:hAnsi="Times New Roman"/>
          <w:b/>
          <w:sz w:val="20"/>
        </w:rPr>
        <w:t xml:space="preserve">Why did I receive a notice regarding the availability of proxy materials on the internet? </w:t>
      </w:r>
    </w:p>
    <w:p>
      <w:pPr>
        <w:pStyle w:val="TextBody"/>
        <w:spacing w:before="120" w:after="0"/>
        <w:jc w:val="left"/>
        <w:rPr>
          <w:rFonts w:ascii="Times New Roman" w:hAnsi="Times New Roman"/>
          <w:sz w:val="20"/>
        </w:rPr>
      </w:pPr>
      <w:r>
        <w:rPr>
          <w:rFonts w:ascii="Times New Roman" w:hAnsi="Times New Roman"/>
          <w:sz w:val="20"/>
        </w:rPr>
        <w:t>Pursuant to rules adopted by the Securities and Exchange Commission (the </w:t>
      </w:r>
      <w:r>
        <w:rPr>
          <w:rFonts w:ascii="Times New Roman" w:hAnsi="Times New Roman"/>
          <w:b/>
          <w:i/>
          <w:sz w:val="20"/>
        </w:rPr>
        <w:t>SEC</w:t>
      </w:r>
      <w:r>
        <w:rPr>
          <w:rFonts w:ascii="Times New Roman" w:hAnsi="Times New Roman"/>
          <w:sz w:val="20"/>
        </w:rPr>
        <w:t>), we have elected to provide access to our proxy materials over the internet. Accordingly, we have sent you a Notice of Internet Availability of Proxy Materials (the </w:t>
      </w:r>
      <w:r>
        <w:rPr>
          <w:rFonts w:ascii="Times New Roman" w:hAnsi="Times New Roman"/>
          <w:b/>
          <w:i/>
          <w:sz w:val="20"/>
        </w:rPr>
        <w:t>Notice</w:t>
      </w:r>
      <w:r>
        <w:rPr>
          <w:rFonts w:ascii="Times New Roman" w:hAnsi="Times New Roman"/>
          <w:sz w:val="20"/>
        </w:rPr>
        <w:t>) because the Board of Directors (the </w:t>
      </w:r>
      <w:r>
        <w:rPr>
          <w:rFonts w:ascii="Times New Roman" w:hAnsi="Times New Roman"/>
          <w:b/>
          <w:i/>
          <w:sz w:val="20"/>
        </w:rPr>
        <w:t>Board</w:t>
      </w:r>
      <w:r>
        <w:rPr>
          <w:rFonts w:ascii="Times New Roman" w:hAnsi="Times New Roman"/>
          <w:sz w:val="20"/>
        </w:rPr>
        <w:t>) is soliciting your proxy to vote at the 2023 Annual Meeting of Stockholders (the </w:t>
      </w:r>
      <w:r>
        <w:rPr>
          <w:rFonts w:ascii="Times New Roman" w:hAnsi="Times New Roman"/>
          <w:b/>
          <w:i/>
          <w:sz w:val="20"/>
        </w:rPr>
        <w:t>Annual Meeting</w:t>
      </w:r>
      <w:r>
        <w:rPr>
          <w:rFonts w:ascii="Times New Roman" w:hAnsi="Times New Roman"/>
          <w:sz w:val="20"/>
        </w:rPr>
        <w:t xml:space="preserve">), including at any adjournments or postponements of the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 </w:t>
      </w:r>
    </w:p>
    <w:p>
      <w:pPr>
        <w:pStyle w:val="TextBody"/>
        <w:spacing w:before="240" w:after="0"/>
        <w:jc w:val="left"/>
        <w:rPr>
          <w:rFonts w:ascii="Times New Roman" w:hAnsi="Times New Roman"/>
          <w:sz w:val="20"/>
        </w:rPr>
      </w:pPr>
      <w:r>
        <w:rPr>
          <w:rFonts w:ascii="Times New Roman" w:hAnsi="Times New Roman"/>
          <w:sz w:val="20"/>
        </w:rPr>
        <w:t xml:space="preserve">We intend to mail the Notice on or about May 1, 2023 to all stockholders of record entitled to vote at the Annual Meeting. </w:t>
      </w:r>
    </w:p>
    <w:p>
      <w:pPr>
        <w:pStyle w:val="TextBody"/>
        <w:spacing w:before="360" w:after="0"/>
        <w:jc w:val="left"/>
        <w:rPr>
          <w:rFonts w:ascii="Times New Roman" w:hAnsi="Times New Roman"/>
          <w:b/>
          <w:sz w:val="20"/>
        </w:rPr>
      </w:pPr>
      <w:r>
        <w:rPr>
          <w:rFonts w:ascii="Times New Roman" w:hAnsi="Times New Roman"/>
          <w:b/>
          <w:sz w:val="20"/>
        </w:rPr>
        <w:t xml:space="preserve">Will I receive any other proxy materials by mail? </w:t>
      </w:r>
    </w:p>
    <w:p>
      <w:pPr>
        <w:pStyle w:val="TextBody"/>
        <w:spacing w:before="120" w:after="0"/>
        <w:jc w:val="left"/>
        <w:rPr>
          <w:rFonts w:ascii="Times New Roman" w:hAnsi="Times New Roman"/>
          <w:sz w:val="20"/>
        </w:rPr>
      </w:pPr>
      <w:r>
        <w:rPr>
          <w:rFonts w:ascii="Times New Roman" w:hAnsi="Times New Roman"/>
          <w:sz w:val="20"/>
        </w:rPr>
        <w:t xml:space="preserve">We may send you a proxy card, along with a second Notice, on or after May 11, 2023. </w:t>
      </w:r>
    </w:p>
    <w:p>
      <w:pPr>
        <w:pStyle w:val="TextBody"/>
        <w:spacing w:before="360" w:after="0"/>
        <w:jc w:val="left"/>
        <w:rPr>
          <w:rFonts w:ascii="Times New Roman" w:hAnsi="Times New Roman"/>
          <w:b/>
          <w:sz w:val="20"/>
        </w:rPr>
      </w:pPr>
      <w:r>
        <w:rPr>
          <w:rFonts w:ascii="Times New Roman" w:hAnsi="Times New Roman"/>
          <w:b/>
          <w:sz w:val="20"/>
        </w:rPr>
        <w:t xml:space="preserve">How do I attend the Annual Meeting? </w:t>
      </w:r>
    </w:p>
    <w:p>
      <w:pPr>
        <w:pStyle w:val="TextBody"/>
        <w:spacing w:before="120" w:after="0"/>
        <w:jc w:val="left"/>
        <w:rPr>
          <w:rFonts w:ascii="Times New Roman" w:hAnsi="Times New Roman"/>
          <w:sz w:val="20"/>
        </w:rPr>
      </w:pPr>
      <w:r>
        <w:rPr>
          <w:rFonts w:ascii="Times New Roman" w:hAnsi="Times New Roman"/>
          <w:sz w:val="20"/>
        </w:rPr>
        <w:t xml:space="preserve">The Annual Meeting will be held through a live webcast at </w:t>
      </w:r>
      <w:r>
        <w:rPr>
          <w:rFonts w:ascii="Times New Roman" w:hAnsi="Times New Roman"/>
          <w:i/>
          <w:sz w:val="20"/>
        </w:rPr>
        <w:t>www.virtualshareholdermeeting.com/TPST2023</w:t>
      </w:r>
      <w:r>
        <w:rPr>
          <w:rFonts w:ascii="Times New Roman" w:hAnsi="Times New Roman"/>
          <w:sz w:val="20"/>
        </w:rPr>
        <w:t xml:space="preserve">. You will not be able to attend the Annual Meeting in person. If you attend the Annual Meeting online, you will be able to vote and submit questions, at </w:t>
      </w:r>
      <w:r>
        <w:rPr>
          <w:rFonts w:ascii="Times New Roman" w:hAnsi="Times New Roman"/>
          <w:i/>
          <w:sz w:val="20"/>
        </w:rPr>
        <w:t>www.virtualshareholdermeeting.com/TPST2023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You are entitled to attend the Annual Meeting if you were a stockholder as of the close of business on April 18, 2023 (the </w:t>
      </w:r>
      <w:r>
        <w:rPr>
          <w:rFonts w:ascii="Times New Roman" w:hAnsi="Times New Roman"/>
          <w:b/>
          <w:i/>
          <w:sz w:val="20"/>
        </w:rPr>
        <w:t>Record Date</w:t>
      </w:r>
      <w:r>
        <w:rPr>
          <w:rFonts w:ascii="Times New Roman" w:hAnsi="Times New Roman"/>
          <w:sz w:val="20"/>
        </w:rPr>
        <w:t xml:space="preserve">), or hold a valid proxy for the meeting. To be admitted to the Annual Meeting, you will need to visit </w:t>
      </w:r>
      <w:r>
        <w:rPr>
          <w:rFonts w:ascii="Times New Roman" w:hAnsi="Times New Roman"/>
          <w:i/>
          <w:sz w:val="20"/>
        </w:rPr>
        <w:t>www.virtualshareholdermeeting.com/TPST2023</w:t>
      </w:r>
      <w:r>
        <w:rPr>
          <w:rFonts w:ascii="Times New Roman" w:hAnsi="Times New Roman"/>
          <w:sz w:val="20"/>
        </w:rPr>
        <w:t xml:space="preserve"> and enter the 16-digit Control Number found next to the label Control Number on your Notice, proxy card or voting instruction form, or in the email sending you the Proxy Statement. If you are a beneficial stockholder, you should contact the bank, broker or other institution where you hold your account well in advance of the meeting if you have questions about obtaining your control number or proxy to vote. </w:t>
      </w:r>
    </w:p>
    <w:p>
      <w:pPr>
        <w:pStyle w:val="TextBody"/>
        <w:spacing w:before="360" w:after="0"/>
        <w:jc w:val="left"/>
        <w:rPr>
          <w:rFonts w:ascii="Times New Roman" w:hAnsi="Times New Roman"/>
          <w:b/>
          <w:i/>
          <w:sz w:val="20"/>
        </w:rPr>
      </w:pPr>
      <w:r>
        <w:rPr>
          <w:rFonts w:ascii="Times New Roman" w:hAnsi="Times New Roman"/>
          <w:b/>
          <w:i/>
          <w:sz w:val="20"/>
        </w:rPr>
        <w:t xml:space="preserve">Whether or not you participate in the Annual Meeting, it is important that you vote your shares. </w:t>
      </w:r>
    </w:p>
    <w:p>
      <w:pPr>
        <w:pStyle w:val="TextBody"/>
        <w:spacing w:before="120" w:after="0"/>
        <w:jc w:val="left"/>
        <w:rPr>
          <w:rFonts w:ascii="Times New Roman" w:hAnsi="Times New Roman"/>
          <w:sz w:val="20"/>
        </w:rPr>
      </w:pPr>
      <w:r>
        <w:rPr>
          <w:rFonts w:ascii="Times New Roman" w:hAnsi="Times New Roman"/>
          <w:sz w:val="20"/>
        </w:rPr>
        <w:t xml:space="preserve">The Annual Meeting will begin promptly at 1:00 P.M. Pacific time. We encourage you to access the Annual Meeting before it begins. Online check-in will start approximately 15 minutes before the meeting on Thursday, June 15, 2023. </w:t>
      </w:r>
    </w:p>
    <w:p>
      <w:pPr>
        <w:pStyle w:val="TextBody"/>
        <w:spacing w:before="360" w:after="0"/>
        <w:jc w:val="left"/>
        <w:rPr>
          <w:rFonts w:ascii="Times New Roman" w:hAnsi="Times New Roman"/>
          <w:b/>
          <w:sz w:val="20"/>
        </w:rPr>
      </w:pPr>
      <w:r>
        <w:rPr>
          <w:rFonts w:ascii="Times New Roman" w:hAnsi="Times New Roman"/>
          <w:b/>
          <w:sz w:val="20"/>
        </w:rPr>
        <w:t xml:space="preserve">What if I cannot find my Control Number? </w:t>
      </w:r>
    </w:p>
    <w:p>
      <w:pPr>
        <w:pStyle w:val="TextBody"/>
        <w:spacing w:before="120" w:after="0"/>
        <w:jc w:val="left"/>
        <w:rPr>
          <w:rFonts w:ascii="Times New Roman" w:hAnsi="Times New Roman"/>
          <w:sz w:val="20"/>
        </w:rPr>
      </w:pPr>
      <w:r>
        <w:rPr>
          <w:rFonts w:ascii="Times New Roman" w:hAnsi="Times New Roman"/>
          <w:sz w:val="20"/>
        </w:rPr>
        <w:t xml:space="preserve">Please note that if you do not have your Control Number and you are a registered stockholder, please contact us at cc@tempesttx.com and we will be able to provide your Control Number to you. You will be able to login as a guest. To view the meeting webcast visit </w:t>
      </w:r>
      <w:r>
        <w:rPr>
          <w:rFonts w:ascii="Times New Roman" w:hAnsi="Times New Roman"/>
          <w:i/>
          <w:sz w:val="20"/>
        </w:rPr>
        <w:t>www.virtualshareholdermeeting.com/TPST2023</w:t>
      </w:r>
      <w:r>
        <w:rPr>
          <w:rFonts w:ascii="Times New Roman" w:hAnsi="Times New Roman"/>
          <w:sz w:val="20"/>
        </w:rPr>
        <w:t xml:space="preserve"> and register as a guest. If you login as a guest, you will not be able to vote your shares. </w:t>
      </w:r>
    </w:p>
    <w:p>
      <w:pPr>
        <w:pStyle w:val="TextBody"/>
        <w:spacing w:before="240" w:after="0"/>
        <w:jc w:val="left"/>
        <w:rPr>
          <w:rFonts w:ascii="Times New Roman" w:hAnsi="Times New Roman"/>
          <w:sz w:val="20"/>
        </w:rPr>
      </w:pPr>
      <w:r>
        <w:rPr>
          <w:rFonts w:ascii="Times New Roman" w:hAnsi="Times New Roman"/>
          <w:sz w:val="20"/>
        </w:rPr>
        <w:t xml:space="preserve">If you are a beneficial owner (that is, you hold your shares in an account at a bank, broker or other holder of record), you will need to contact that bank, broker or other holder of record to obtain your Control Number prior to the Annual Meeting.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Will a list of record stockholders as of the Record Date be available? </w:t>
      </w:r>
    </w:p>
    <w:p>
      <w:pPr>
        <w:pStyle w:val="TextBody"/>
        <w:spacing w:before="120" w:after="0"/>
        <w:jc w:val="left"/>
        <w:rPr>
          <w:rFonts w:ascii="Times New Roman" w:hAnsi="Times New Roman"/>
          <w:sz w:val="20"/>
        </w:rPr>
      </w:pPr>
      <w:r>
        <w:rPr>
          <w:rFonts w:ascii="Times New Roman" w:hAnsi="Times New Roman"/>
          <w:sz w:val="20"/>
        </w:rPr>
        <w:t xml:space="preserve">A list of our record stockholders as of the close of business on the Record Date will be made available to stockholders during the meeting at </w:t>
      </w:r>
      <w:r>
        <w:rPr>
          <w:rFonts w:ascii="Times New Roman" w:hAnsi="Times New Roman"/>
          <w:i/>
          <w:sz w:val="20"/>
        </w:rPr>
        <w:t>www.virtualshareholdermeeting.com/TPST2023</w:t>
      </w:r>
      <w:r>
        <w:rPr>
          <w:rFonts w:ascii="Times New Roman" w:hAnsi="Times New Roman"/>
          <w:sz w:val="20"/>
        </w:rPr>
        <w:t xml:space="preserve">. In addition, for the 10 days prior to the Annual Meeting, the list will be available for examination by any stockholder of record for a legally valid purpose during regular business hours. To access the list of record stockholders beginning June 6, 2023 and until the meeting, stockholders should email cc@tempesttx.com. </w:t>
      </w:r>
    </w:p>
    <w:p>
      <w:pPr>
        <w:pStyle w:val="TextBody"/>
        <w:spacing w:before="360" w:after="0"/>
        <w:jc w:val="left"/>
        <w:rPr>
          <w:rFonts w:ascii="Times New Roman" w:hAnsi="Times New Roman"/>
          <w:b/>
          <w:sz w:val="20"/>
        </w:rPr>
      </w:pPr>
      <w:r>
        <w:rPr>
          <w:rFonts w:ascii="Times New Roman" w:hAnsi="Times New Roman"/>
          <w:b/>
          <w:sz w:val="20"/>
        </w:rPr>
        <w:t xml:space="preserve">Who can vote at the Annual Meeting? </w:t>
      </w:r>
    </w:p>
    <w:p>
      <w:pPr>
        <w:pStyle w:val="TextBody"/>
        <w:spacing w:before="120" w:after="0"/>
        <w:jc w:val="left"/>
        <w:rPr>
          <w:rFonts w:ascii="Times New Roman" w:hAnsi="Times New Roman"/>
          <w:sz w:val="20"/>
        </w:rPr>
      </w:pPr>
      <w:r>
        <w:rPr>
          <w:rFonts w:ascii="Times New Roman" w:hAnsi="Times New Roman"/>
          <w:sz w:val="20"/>
        </w:rPr>
        <w:t xml:space="preserve">Only stockholders of record at the close of business on the Record Date will be entitled to vote at the Annual Meeting. On the Record Date, there were 10,561,700 shares of common stock outstanding and entitled to vote. </w:t>
      </w:r>
    </w:p>
    <w:p>
      <w:pPr>
        <w:pStyle w:val="TextBody"/>
        <w:spacing w:before="360" w:after="0"/>
        <w:jc w:val="left"/>
        <w:rPr>
          <w:rFonts w:ascii="Times New Roman" w:hAnsi="Times New Roman"/>
          <w:i/>
          <w:sz w:val="20"/>
        </w:rPr>
      </w:pPr>
      <w:r>
        <w:rPr>
          <w:rFonts w:ascii="Times New Roman" w:hAnsi="Times New Roman"/>
          <w:i/>
          <w:sz w:val="20"/>
        </w:rPr>
        <w:t xml:space="preserve">Stockholder of Record: Shares Registered in Your Name </w:t>
      </w:r>
    </w:p>
    <w:p>
      <w:pPr>
        <w:pStyle w:val="TextBody"/>
        <w:spacing w:before="120" w:after="0"/>
        <w:jc w:val="left"/>
        <w:rPr>
          <w:rFonts w:ascii="Times New Roman" w:hAnsi="Times New Roman"/>
          <w:sz w:val="20"/>
        </w:rPr>
      </w:pPr>
      <w:r>
        <w:rPr>
          <w:rFonts w:ascii="Times New Roman" w:hAnsi="Times New Roman"/>
          <w:sz w:val="20"/>
        </w:rPr>
        <w:t xml:space="preserve">If on the Record Date your shares were registered directly in your name with our transfer agent, Computershare Trust Company, N.A., then you are a stockholder of record. As a stockholder of record, you may vote online at the meeting or vote by proxy. Whether or not you plan to attend the Annual Meeting, we urge you vote by proxy over the telephone, or vote by proxy through the internet, or vote by proxy using a proxy card that you may request or that we may elect to deliver at a later time to ensure your vote is counted. </w:t>
      </w:r>
    </w:p>
    <w:p>
      <w:pPr>
        <w:pStyle w:val="TextBody"/>
        <w:spacing w:before="360" w:after="0"/>
        <w:jc w:val="left"/>
        <w:rPr>
          <w:rFonts w:ascii="Times New Roman" w:hAnsi="Times New Roman"/>
          <w:i/>
          <w:sz w:val="20"/>
        </w:rPr>
      </w:pPr>
      <w:r>
        <w:rPr>
          <w:rFonts w:ascii="Times New Roman" w:hAnsi="Times New Roman"/>
          <w:i/>
          <w:sz w:val="20"/>
        </w:rPr>
        <w:t xml:space="preserve">Beneficial Owner: Shares Registered in the Name of a Broker or Bank </w:t>
      </w:r>
    </w:p>
    <w:p>
      <w:pPr>
        <w:pStyle w:val="TextBody"/>
        <w:spacing w:before="120" w:after="0"/>
        <w:jc w:val="left"/>
        <w:rPr>
          <w:rFonts w:ascii="Times New Roman" w:hAnsi="Times New Roman"/>
          <w:sz w:val="20"/>
        </w:rPr>
      </w:pPr>
      <w:r>
        <w:rPr>
          <w:rFonts w:ascii="Times New Roman" w:hAnsi="Times New Roman"/>
          <w:sz w:val="20"/>
        </w:rPr>
        <w:t xml:space="preserve">If on the Record Date your shares were held, not in your name, but rather in an account at a brokerage firm, bank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are also invited to attend the Annual Meeting. Beneficial holders who attend the Annual Meeting may also vote during the Annual Meeting by going to </w:t>
      </w:r>
      <w:r>
        <w:rPr>
          <w:rFonts w:ascii="Times New Roman" w:hAnsi="Times New Roman"/>
          <w:i/>
          <w:sz w:val="20"/>
        </w:rPr>
        <w:t>www.virtualshareholdermeeting.com/TPST2023</w:t>
      </w:r>
      <w:r>
        <w:rPr>
          <w:rFonts w:ascii="Times New Roman" w:hAnsi="Times New Roman"/>
          <w:sz w:val="20"/>
        </w:rPr>
        <w:t xml:space="preserve"> and following the instructions regarding voting. However, since you are not the shareholder of record, you may not vote your shares at the meeting unless you request and obtain a valid proxy from your broker, bank or other agent. </w:t>
      </w:r>
    </w:p>
    <w:p>
      <w:pPr>
        <w:pStyle w:val="TextBody"/>
        <w:spacing w:before="360" w:after="0"/>
        <w:jc w:val="left"/>
        <w:rPr>
          <w:rFonts w:ascii="Times New Roman" w:hAnsi="Times New Roman"/>
          <w:b/>
          <w:sz w:val="20"/>
        </w:rPr>
      </w:pPr>
      <w:r>
        <w:rPr>
          <w:rFonts w:ascii="Times New Roman" w:hAnsi="Times New Roman"/>
          <w:b/>
          <w:sz w:val="20"/>
        </w:rPr>
        <w:t xml:space="preserve">What am I voting on? </w:t>
      </w:r>
    </w:p>
    <w:p>
      <w:pPr>
        <w:pStyle w:val="TextBody"/>
        <w:spacing w:before="120" w:after="0"/>
        <w:jc w:val="left"/>
        <w:rPr>
          <w:rFonts w:ascii="Times New Roman" w:hAnsi="Times New Roman"/>
          <w:sz w:val="20"/>
        </w:rPr>
      </w:pPr>
      <w:r>
        <w:rPr>
          <w:rFonts w:ascii="Times New Roman" w:hAnsi="Times New Roman"/>
          <w:sz w:val="20"/>
        </w:rPr>
        <w:t xml:space="preserve">There are four matters scheduled for a vote: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Election of the Boards nominees, Thomas Dubensky and Christine Pellizzari, to the Board to hold office until the 2026 Annual Meeting of Stockholders </w:t>
            </w:r>
            <w:r>
              <w:rPr>
                <w:rFonts w:ascii="Times New Roman" w:hAnsi="Times New Roman"/>
                <w:b/>
                <w:sz w:val="20"/>
              </w:rPr>
              <w:t>(Proposal 1)</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Approval of our Amended and Restated 2023 Equity Incentive Plan to, among other items, increase the total number of shares of common stock issuable thereunder by 1,150,000 shares (</w:t>
            </w:r>
            <w:r>
              <w:rPr>
                <w:rFonts w:ascii="Times New Roman" w:hAnsi="Times New Roman"/>
                <w:b/>
                <w:sz w:val="20"/>
              </w:rPr>
              <w:t>Proposal 2</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Approval, on an advisory basis, the compensation of our named executive officers, as disclosed in this proxy statement (</w:t>
            </w:r>
            <w:r>
              <w:rPr>
                <w:rFonts w:ascii="Times New Roman" w:hAnsi="Times New Roman"/>
                <w:b/>
                <w:sz w:val="20"/>
              </w:rPr>
              <w:t>Proposal 3</w:t>
            </w:r>
            <w:r>
              <w:rPr>
                <w:rFonts w:ascii="Times New Roman" w:hAnsi="Times New Roman"/>
                <w:sz w:val="20"/>
              </w:rPr>
              <w:t xml:space="preserv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Ratification of the selection of Ernst &amp; Young LLP as our independent registered public accounting firm for our fiscal year ending December 31, 2023 </w:t>
            </w:r>
            <w:r>
              <w:rPr>
                <w:rFonts w:ascii="Times New Roman" w:hAnsi="Times New Roman"/>
                <w:b/>
                <w:sz w:val="20"/>
              </w:rPr>
              <w:t>(Proposal 4)</w:t>
            </w:r>
            <w:r>
              <w:rPr>
                <w:rFonts w:ascii="Times New Roman" w:hAnsi="Times New Roman"/>
                <w:sz w:val="20"/>
              </w:rPr>
              <w:t xml:space="preserve">. </w:t>
            </w:r>
          </w:p>
        </w:tc>
      </w:tr>
    </w:tbl>
    <w:p>
      <w:pPr>
        <w:pStyle w:val="TextBody"/>
        <w:spacing w:before="360" w:after="0"/>
        <w:jc w:val="left"/>
        <w:rPr>
          <w:rFonts w:ascii="Times New Roman" w:hAnsi="Times New Roman"/>
          <w:b/>
          <w:sz w:val="20"/>
        </w:rPr>
      </w:pPr>
      <w:r>
        <w:rPr>
          <w:rFonts w:ascii="Times New Roman" w:hAnsi="Times New Roman"/>
          <w:b/>
          <w:sz w:val="20"/>
        </w:rPr>
        <w:t xml:space="preserve">What if another matter is properly brought before the Annual Meeting? </w:t>
      </w:r>
    </w:p>
    <w:p>
      <w:pPr>
        <w:pStyle w:val="TextBody"/>
        <w:spacing w:before="120" w:after="0"/>
        <w:jc w:val="left"/>
        <w:rPr>
          <w:rFonts w:ascii="Times New Roman" w:hAnsi="Times New Roman"/>
          <w:sz w:val="20"/>
        </w:rPr>
      </w:pPr>
      <w:r>
        <w:rPr>
          <w:rFonts w:ascii="Times New Roman" w:hAnsi="Times New Roman"/>
          <w:sz w:val="20"/>
        </w:rPr>
        <w:t xml:space="preserve">The Board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How do I vote? </w:t>
      </w:r>
    </w:p>
    <w:p>
      <w:pPr>
        <w:pStyle w:val="TextBody"/>
        <w:spacing w:before="120" w:after="0"/>
        <w:jc w:val="left"/>
        <w:rPr>
          <w:rFonts w:ascii="Times New Roman" w:hAnsi="Times New Roman"/>
          <w:sz w:val="20"/>
        </w:rPr>
      </w:pPr>
      <w:r>
        <w:rPr>
          <w:rFonts w:ascii="Times New Roman" w:hAnsi="Times New Roman"/>
          <w:sz w:val="20"/>
        </w:rPr>
        <w:t xml:space="preserve">You may either vote For all the nominees to the Board or you may Withhold your vote for any nominee you specify. For each of the other matters to be voted on, you may vote For or Against or abstain from voting. </w:t>
      </w:r>
    </w:p>
    <w:p>
      <w:pPr>
        <w:pStyle w:val="TextBody"/>
        <w:spacing w:before="360" w:after="0"/>
        <w:jc w:val="left"/>
        <w:rPr>
          <w:rFonts w:ascii="Times New Roman" w:hAnsi="Times New Roman"/>
          <w:i/>
          <w:sz w:val="20"/>
        </w:rPr>
      </w:pPr>
      <w:r>
        <w:rPr>
          <w:rFonts w:ascii="Times New Roman" w:hAnsi="Times New Roman"/>
          <w:i/>
          <w:sz w:val="20"/>
        </w:rPr>
        <w:t xml:space="preserve">Stockholder of Record: Shares Registered in Your Name </w:t>
      </w:r>
    </w:p>
    <w:p>
      <w:pPr>
        <w:pStyle w:val="TextBody"/>
        <w:spacing w:before="120" w:after="0"/>
        <w:jc w:val="left"/>
        <w:rPr>
          <w:rFonts w:ascii="Times New Roman" w:hAnsi="Times New Roman"/>
          <w:sz w:val="20"/>
        </w:rPr>
      </w:pPr>
      <w:r>
        <w:rPr>
          <w:rFonts w:ascii="Times New Roman" w:hAnsi="Times New Roman"/>
          <w:sz w:val="20"/>
        </w:rPr>
        <w:t xml:space="preserve">If you are a stockholder of record, you may vote online at the Annual Meeting, vote by proxy over the telephone, vote by proxy through the internet, or vote by proxy using a proxy card that you may request or that we may elect to deliver at a later time. Whether or not you plan to attend the meeting, we urge you to vote by proxy to ensure your vote is counted. You may still attend the meeting and vote at the meeting even if you have already voted by proxy.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 xml:space="preserve">By Internet. </w:t>
            </w:r>
            <w:r>
              <w:rPr>
                <w:rFonts w:ascii="Times New Roman" w:hAnsi="Times New Roman"/>
                <w:sz w:val="20"/>
              </w:rPr>
              <w:t xml:space="preserve">To vote through the internet prior to the meeting, go to </w:t>
            </w:r>
            <w:r>
              <w:rPr>
                <w:rFonts w:ascii="Times New Roman" w:hAnsi="Times New Roman"/>
                <w:i/>
                <w:sz w:val="20"/>
              </w:rPr>
              <w:t>www.proxyvote.com</w:t>
            </w:r>
            <w:r>
              <w:rPr>
                <w:rFonts w:ascii="Times New Roman" w:hAnsi="Times New Roman"/>
                <w:sz w:val="20"/>
              </w:rPr>
              <w:t xml:space="preserve"> and follow the instructions to submit your vote on an electronic proxy card. You will be asked to provide the company number and Control Number from the Notice. Your internet vote must be received by 8:59 p.m., Pacific time on June 14, 2023 to be counted.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 xml:space="preserve">By Telephone. </w:t>
            </w:r>
            <w:r>
              <w:rPr>
                <w:rFonts w:ascii="Times New Roman" w:hAnsi="Times New Roman"/>
                <w:sz w:val="20"/>
              </w:rPr>
              <w:t xml:space="preserve">To vote over the telephone, dial (800) 690-6903 toll-free from the United States, U.S. territories and Canada and follow the recorded instructions. You will be asked to provide the company number and Control Number from the Notice. Your telephone vote must be received by 8:59 p.m., Pacific time on June 14, 2023 to be counted.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 xml:space="preserve">By Proxy Card. </w:t>
            </w:r>
            <w:r>
              <w:rPr>
                <w:rFonts w:ascii="Times New Roman" w:hAnsi="Times New Roman"/>
                <w:sz w:val="20"/>
              </w:rPr>
              <w:t xml:space="preserve">To vote using the proxy card, simply complete, sign and date the proxy card that may be delivered and return it promptly in the envelope provided. If you return your signed proxy card to us before the Annual Meeting, we will vote your shares as you direct.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Online During the Annual Meeting</w:t>
            </w:r>
            <w:r>
              <w:rPr>
                <w:rFonts w:ascii="Times New Roman" w:hAnsi="Times New Roman"/>
                <w:sz w:val="20"/>
              </w:rPr>
              <w:t xml:space="preserve">. Access the Annual Meeting by visiting </w:t>
            </w:r>
            <w:r>
              <w:rPr>
                <w:rFonts w:ascii="Times New Roman" w:hAnsi="Times New Roman"/>
                <w:i/>
                <w:sz w:val="20"/>
              </w:rPr>
              <w:t>www.virtualshareholdermeeting.com/TPST2023</w:t>
            </w:r>
            <w:r>
              <w:rPr>
                <w:rFonts w:ascii="Times New Roman" w:hAnsi="Times New Roman"/>
                <w:sz w:val="20"/>
              </w:rPr>
              <w:t xml:space="preserve"> and providing your 16-digit Control Number from your Notice, on your proxy card or on the instructions that accompanied your proxy materials, as applicable. </w:t>
            </w:r>
          </w:p>
        </w:tc>
      </w:tr>
    </w:tbl>
    <w:p>
      <w:pPr>
        <w:pStyle w:val="TextBody"/>
        <w:spacing w:before="360" w:after="0"/>
        <w:jc w:val="left"/>
        <w:rPr>
          <w:rFonts w:ascii="Times New Roman" w:hAnsi="Times New Roman"/>
          <w:i/>
          <w:sz w:val="20"/>
        </w:rPr>
      </w:pPr>
      <w:r>
        <w:rPr>
          <w:rFonts w:ascii="Times New Roman" w:hAnsi="Times New Roman"/>
          <w:i/>
          <w:sz w:val="20"/>
        </w:rPr>
        <w:t xml:space="preserve">Beneficial Owner: Shares Registered in the Name of Broker or Bank </w:t>
      </w:r>
    </w:p>
    <w:p>
      <w:pPr>
        <w:pStyle w:val="TextBody"/>
        <w:spacing w:before="120" w:after="0"/>
        <w:jc w:val="left"/>
        <w:rPr>
          <w:rFonts w:ascii="Times New Roman" w:hAnsi="Times New Roman"/>
          <w:sz w:val="20"/>
        </w:rPr>
      </w:pPr>
      <w:r>
        <w:rPr>
          <w:rFonts w:ascii="Times New Roman" w:hAnsi="Times New Roman"/>
          <w:sz w:val="20"/>
        </w:rPr>
        <w:t xml:space="preserve">If you are a beneficial owner of shares registered in the name of your broker, bank or other agent, you should have received a Notice containing voting instructions from that organization. To vote prior to the Annual Meeting, simply follow the voting instructions in the Notice to ensure that your vote is counted. Alternatively, you may vote by telephone or over the internet as instructed by your broker or bank. You may also access and vote at the Annual Meeting by logging in with your Control Number on your voting instruction form at </w:t>
      </w:r>
      <w:r>
        <w:rPr>
          <w:rFonts w:ascii="Times New Roman" w:hAnsi="Times New Roman"/>
          <w:i/>
          <w:sz w:val="20"/>
        </w:rPr>
        <w:t>www.virtualshareholdermeeting.com/TPST2023</w:t>
      </w:r>
      <w:r>
        <w:rPr>
          <w:rFonts w:ascii="Times New Roman" w:hAnsi="Times New Roman"/>
          <w:sz w:val="20"/>
        </w:rPr>
        <w:t xml:space="preserve">. However, since you are not the stockholder of record, you may not vote your shares at the Annual Meeting unless you request and obtain a valid proxy from your broker, bank or other agent. </w:t>
      </w:r>
    </w:p>
    <w:p>
      <w:pPr>
        <w:pStyle w:val="TextBody"/>
        <w:spacing w:before="240" w:after="0"/>
        <w:jc w:val="left"/>
        <w:rPr>
          <w:rFonts w:ascii="Times New Roman" w:hAnsi="Times New Roman"/>
          <w:b/>
          <w:sz w:val="20"/>
        </w:rPr>
      </w:pPr>
      <w:r>
        <w:rPr>
          <w:rFonts w:ascii="Times New Roman" w:hAnsi="Times New Roman"/>
          <w:b/>
          <w:sz w:val="20"/>
        </w:rPr>
        <w:t xml:space="preserve">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 </w:t>
      </w:r>
    </w:p>
    <w:p>
      <w:pPr>
        <w:pStyle w:val="TextBody"/>
        <w:spacing w:before="360" w:after="0"/>
        <w:jc w:val="left"/>
        <w:rPr>
          <w:rFonts w:ascii="Times New Roman" w:hAnsi="Times New Roman"/>
          <w:b/>
          <w:sz w:val="20"/>
        </w:rPr>
      </w:pPr>
      <w:r>
        <w:rPr>
          <w:rFonts w:ascii="Times New Roman" w:hAnsi="Times New Roman"/>
          <w:b/>
          <w:sz w:val="20"/>
        </w:rPr>
        <w:t xml:space="preserve">How many votes do I have? </w:t>
      </w:r>
    </w:p>
    <w:p>
      <w:pPr>
        <w:pStyle w:val="TextBody"/>
        <w:spacing w:before="120" w:after="0"/>
        <w:jc w:val="left"/>
        <w:rPr>
          <w:rFonts w:ascii="Times New Roman" w:hAnsi="Times New Roman"/>
          <w:sz w:val="20"/>
        </w:rPr>
      </w:pPr>
      <w:r>
        <w:rPr>
          <w:rFonts w:ascii="Times New Roman" w:hAnsi="Times New Roman"/>
          <w:sz w:val="20"/>
        </w:rPr>
        <w:t xml:space="preserve">On each matter to be voted upon, you have one vote for each share of common stock you own as of the Record Date.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If I am a stockholder of record and I do not vote, or if I return a proxy card or otherwise vote without giving specific voting instructions, what happens? </w:t>
      </w:r>
    </w:p>
    <w:p>
      <w:pPr>
        <w:pStyle w:val="TextBody"/>
        <w:spacing w:before="120" w:after="0"/>
        <w:jc w:val="left"/>
        <w:rPr>
          <w:rFonts w:ascii="Times New Roman" w:hAnsi="Times New Roman"/>
          <w:sz w:val="20"/>
        </w:rPr>
      </w:pPr>
      <w:r>
        <w:rPr>
          <w:rFonts w:ascii="Times New Roman" w:hAnsi="Times New Roman"/>
          <w:sz w:val="20"/>
        </w:rPr>
        <w:t xml:space="preserve">If you are a stockholder of record and do not vote by completing your proxy card, by telephone, through the internet or online at the Annual Meeting, your shares will not be voted. </w:t>
      </w:r>
    </w:p>
    <w:p>
      <w:pPr>
        <w:pStyle w:val="TextBody"/>
        <w:spacing w:before="240" w:after="0"/>
        <w:jc w:val="left"/>
        <w:rPr>
          <w:rFonts w:ascii="Times New Roman" w:hAnsi="Times New Roman"/>
          <w:sz w:val="20"/>
        </w:rPr>
      </w:pPr>
      <w:r>
        <w:rPr>
          <w:rFonts w:ascii="Times New Roman" w:hAnsi="Times New Roman"/>
          <w:sz w:val="20"/>
        </w:rPr>
        <w:t xml:space="preserve">If you return a signed and dated proxy card or otherwise vote without marking voting selections, your shares will be voted, as applicable, FOR the election of the nominees for director, FOR the approval of our Amended and Restated 2023 Equity Incentive Plan, FOR the advisory approval of the compensation of our named executive officers as disclosed in this proxy statement, and FOR the ratification of the selection of Ernst &amp; Young LLP as our independent registered public accounting firm for our fiscal year ending December 31, 2023. If any other matter is properly presented at the meeting, your proxyholder (one of the individuals named on your proxy card) will vote your shares using his or her best judgment. </w:t>
      </w:r>
    </w:p>
    <w:p>
      <w:pPr>
        <w:pStyle w:val="TextBody"/>
        <w:spacing w:before="360" w:after="0"/>
        <w:jc w:val="left"/>
        <w:rPr>
          <w:rFonts w:ascii="Times New Roman" w:hAnsi="Times New Roman"/>
          <w:b/>
          <w:sz w:val="20"/>
        </w:rPr>
      </w:pPr>
      <w:r>
        <w:rPr>
          <w:rFonts w:ascii="Times New Roman" w:hAnsi="Times New Roman"/>
          <w:b/>
          <w:sz w:val="20"/>
        </w:rPr>
        <w:t xml:space="preserve">If I am a beneficial owner of shares held in street name and I do not provide my broker or bank with voting instructions, what happens? </w:t>
      </w:r>
    </w:p>
    <w:p>
      <w:pPr>
        <w:pStyle w:val="TextBody"/>
        <w:spacing w:before="120" w:after="0"/>
        <w:jc w:val="left"/>
        <w:rPr>
          <w:rFonts w:ascii="Times New Roman" w:hAnsi="Times New Roman"/>
          <w:sz w:val="20"/>
        </w:rPr>
      </w:pPr>
      <w:r>
        <w:rPr>
          <w:rFonts w:ascii="Times New Roman" w:hAnsi="Times New Roman"/>
          <w:sz w:val="20"/>
        </w:rPr>
        <w:t>If you are a beneficial owner of shares held in street name and you do not instruct your broker, bank or other agent how to vote your shares, your broker, bank or other agent may still be able to vote your shares in its discretion. Under the rules of the New York Stock Exchange (</w:t>
      </w:r>
      <w:r>
        <w:rPr>
          <w:rFonts w:ascii="Times New Roman" w:hAnsi="Times New Roman"/>
          <w:b/>
          <w:i/>
          <w:sz w:val="20"/>
        </w:rPr>
        <w:t>NYSE</w:t>
      </w:r>
      <w:r>
        <w:rPr>
          <w:rFonts w:ascii="Times New Roman" w:hAnsi="Times New Roman"/>
          <w:sz w:val="20"/>
        </w:rPr>
        <w:t xml:space="preserve">), brokers, banks and other securities intermediaries that are subject to NYSE rules may use their discretion to vote your uninstructed shares with respect to matters considered to be routine under NYSE rules, but not with respect to non-routine matters. In this regard, Proposals 1, 2 and 3 are considered to be non-routine under NYSE rules meaning that your broker may not vote your shares on those proposals in the absence of your voting instructions. However, Proposal 4 is considered to be a routine matter under NYSE rules meaning that if you do not return voting instructions to your broker by its deadline, your shares may be voted by your broker in its discretion on Proposal 4. </w:t>
      </w:r>
    </w:p>
    <w:p>
      <w:pPr>
        <w:pStyle w:val="TextBody"/>
        <w:spacing w:before="240" w:after="0"/>
        <w:jc w:val="left"/>
        <w:rPr>
          <w:rFonts w:ascii="Times New Roman" w:hAnsi="Times New Roman"/>
          <w:i/>
          <w:sz w:val="20"/>
        </w:rPr>
      </w:pPr>
      <w:r>
        <w:rPr>
          <w:rFonts w:ascii="Times New Roman" w:hAnsi="Times New Roman"/>
          <w:i/>
          <w:sz w:val="20"/>
        </w:rPr>
        <w:t xml:space="preserve">If you are a beneficial owner of shares held in street name, and you do not plan to attend the Annual Meeting, in order to ensure your shares are voted in the way you would prefer, you </w:t>
      </w:r>
      <w:r>
        <w:rPr>
          <w:rFonts w:ascii="Times New Roman" w:hAnsi="Times New Roman"/>
          <w:i/>
          <w:sz w:val="20"/>
          <w:u w:val="single"/>
        </w:rPr>
        <w:t>must</w:t>
      </w:r>
      <w:r>
        <w:rPr>
          <w:rFonts w:ascii="Times New Roman" w:hAnsi="Times New Roman"/>
          <w:i/>
          <w:sz w:val="20"/>
        </w:rPr>
        <w:t xml:space="preserve"> provide voting instructions to your broker, bank or other agent by the deadline provided in the materials you receive from your broker, bank or other agent. </w:t>
      </w:r>
    </w:p>
    <w:p>
      <w:pPr>
        <w:pStyle w:val="TextBody"/>
        <w:spacing w:before="360" w:after="0"/>
        <w:jc w:val="left"/>
        <w:rPr>
          <w:rFonts w:ascii="Times New Roman" w:hAnsi="Times New Roman"/>
          <w:b/>
          <w:sz w:val="20"/>
        </w:rPr>
      </w:pPr>
      <w:r>
        <w:rPr>
          <w:rFonts w:ascii="Times New Roman" w:hAnsi="Times New Roman"/>
          <w:b/>
          <w:sz w:val="20"/>
        </w:rPr>
        <w:t xml:space="preserve">Who is paying for this proxy solicitation? </w:t>
      </w:r>
    </w:p>
    <w:p>
      <w:pPr>
        <w:pStyle w:val="TextBody"/>
        <w:spacing w:before="120" w:after="0"/>
        <w:jc w:val="left"/>
        <w:rPr>
          <w:rFonts w:ascii="Times New Roman" w:hAnsi="Times New Roman"/>
          <w:sz w:val="20"/>
        </w:rPr>
      </w:pPr>
      <w:r>
        <w:rPr>
          <w:rFonts w:ascii="Times New Roman" w:hAnsi="Times New Roman"/>
          <w:sz w:val="20"/>
        </w:rPr>
        <w:t xml:space="preserve">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 Certain of our directors, officers and employees may participate in the solicitation of proxies, including electronically or by mail or telephone, without additional compensation. </w:t>
      </w:r>
    </w:p>
    <w:p>
      <w:pPr>
        <w:pStyle w:val="TextBody"/>
        <w:spacing w:before="360" w:after="0"/>
        <w:jc w:val="left"/>
        <w:rPr>
          <w:rFonts w:ascii="Times New Roman" w:hAnsi="Times New Roman"/>
          <w:b/>
          <w:sz w:val="20"/>
        </w:rPr>
      </w:pPr>
      <w:r>
        <w:rPr>
          <w:rFonts w:ascii="Times New Roman" w:hAnsi="Times New Roman"/>
          <w:b/>
          <w:sz w:val="20"/>
        </w:rPr>
        <w:t xml:space="preserve">What does it mean if I receive more than one Notice? </w:t>
      </w:r>
    </w:p>
    <w:p>
      <w:pPr>
        <w:pStyle w:val="TextBody"/>
        <w:spacing w:before="120" w:after="0"/>
        <w:jc w:val="left"/>
        <w:rPr>
          <w:rFonts w:ascii="Times New Roman" w:hAnsi="Times New Roman"/>
          <w:sz w:val="20"/>
        </w:rPr>
      </w:pPr>
      <w:r>
        <w:rPr>
          <w:rFonts w:ascii="Times New Roman" w:hAnsi="Times New Roman"/>
          <w:sz w:val="20"/>
        </w:rPr>
        <w:t xml:space="preserve">If you receive more than one Notice, your shares may be registered in more than one name or in different accounts. Please follow the voting instructions on the Notices to ensure that all of your shares are voted. </w:t>
      </w:r>
    </w:p>
    <w:p>
      <w:pPr>
        <w:pStyle w:val="TextBody"/>
        <w:spacing w:before="360" w:after="0"/>
        <w:jc w:val="left"/>
        <w:rPr>
          <w:rFonts w:ascii="Times New Roman" w:hAnsi="Times New Roman"/>
          <w:b/>
          <w:sz w:val="20"/>
        </w:rPr>
      </w:pPr>
      <w:r>
        <w:rPr>
          <w:rFonts w:ascii="Times New Roman" w:hAnsi="Times New Roman"/>
          <w:b/>
          <w:sz w:val="20"/>
        </w:rPr>
        <w:t xml:space="preserve">Can I change my vote after submitting my proxy? </w:t>
      </w:r>
    </w:p>
    <w:p>
      <w:pPr>
        <w:pStyle w:val="TextBody"/>
        <w:spacing w:before="120" w:after="0"/>
        <w:jc w:val="left"/>
        <w:rPr>
          <w:rFonts w:ascii="Times New Roman" w:hAnsi="Times New Roman"/>
          <w:i/>
          <w:sz w:val="20"/>
        </w:rPr>
      </w:pPr>
      <w:r>
        <w:rPr>
          <w:rFonts w:ascii="Times New Roman" w:hAnsi="Times New Roman"/>
          <w:i/>
          <w:sz w:val="20"/>
        </w:rPr>
        <w:t xml:space="preserve">Stockholder of Record: Shares Registered in Your Name </w:t>
      </w:r>
    </w:p>
    <w:p>
      <w:pPr>
        <w:pStyle w:val="TextBody"/>
        <w:spacing w:before="120" w:after="0"/>
        <w:jc w:val="left"/>
        <w:rPr>
          <w:rFonts w:ascii="Times New Roman" w:hAnsi="Times New Roman"/>
          <w:sz w:val="20"/>
        </w:rPr>
      </w:pPr>
      <w:r>
        <w:rPr>
          <w:rFonts w:ascii="Times New Roman" w:hAnsi="Times New Roman"/>
          <w:sz w:val="20"/>
        </w:rPr>
        <w:t xml:space="preserve">You can revoke your proxy at any time before the final vote at the Annual Meeting. If you are the record holder of your shares, you may revoke your proxy in any one of the following ways: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Submit another properly completed proxy card with a later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Grant a subsequent proxy by telephone or through the internet.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Attend the Annual Meeting and vote online. Simply attending the meeting will not, by itself, revoke your proxy.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Send a timely written notice that you are revoking your proxy by email at cc@tempesttx.com. </w:t>
            </w:r>
          </w:p>
        </w:tc>
      </w:tr>
    </w:tbl>
    <w:p>
      <w:pPr>
        <w:pStyle w:val="TextBody"/>
        <w:spacing w:before="240" w:after="0"/>
        <w:jc w:val="left"/>
        <w:rPr>
          <w:rFonts w:ascii="Times New Roman" w:hAnsi="Times New Roman"/>
          <w:sz w:val="20"/>
        </w:rPr>
      </w:pPr>
      <w:r>
        <w:rPr>
          <w:rFonts w:ascii="Times New Roman" w:hAnsi="Times New Roman"/>
          <w:sz w:val="20"/>
        </w:rPr>
        <w:t xml:space="preserve">Your most current proxy card or telephone or internet proxy is the one that is counted. </w:t>
      </w:r>
    </w:p>
    <w:p>
      <w:pPr>
        <w:pStyle w:val="TextBody"/>
        <w:spacing w:before="360" w:after="0"/>
        <w:jc w:val="left"/>
        <w:rPr>
          <w:rFonts w:ascii="Times New Roman" w:hAnsi="Times New Roman"/>
          <w:i/>
          <w:sz w:val="20"/>
        </w:rPr>
      </w:pPr>
      <w:r>
        <w:rPr>
          <w:rFonts w:ascii="Times New Roman" w:hAnsi="Times New Roman"/>
          <w:i/>
          <w:sz w:val="20"/>
        </w:rPr>
        <w:t xml:space="preserve">Beneficial Owner: Shares Registered in the Name of Broker or Bank </w:t>
      </w:r>
    </w:p>
    <w:p>
      <w:pPr>
        <w:pStyle w:val="TextBody"/>
        <w:spacing w:before="120" w:after="0"/>
        <w:jc w:val="left"/>
        <w:rPr>
          <w:rFonts w:ascii="Times New Roman" w:hAnsi="Times New Roman"/>
          <w:sz w:val="20"/>
        </w:rPr>
      </w:pPr>
      <w:r>
        <w:rPr>
          <w:rFonts w:ascii="Times New Roman" w:hAnsi="Times New Roman"/>
          <w:sz w:val="20"/>
        </w:rPr>
        <w:t xml:space="preserve">If your shares are held by your broker, bank or other agent, you should follow the instructions provided by your broker, bank or other agent. </w:t>
      </w:r>
    </w:p>
    <w:p>
      <w:pPr>
        <w:pStyle w:val="TextBody"/>
        <w:spacing w:before="360" w:after="0"/>
        <w:jc w:val="left"/>
        <w:rPr>
          <w:rFonts w:ascii="Times New Roman" w:hAnsi="Times New Roman"/>
          <w:b/>
          <w:sz w:val="20"/>
        </w:rPr>
      </w:pPr>
      <w:r>
        <w:rPr>
          <w:rFonts w:ascii="Times New Roman" w:hAnsi="Times New Roman"/>
          <w:b/>
          <w:sz w:val="20"/>
        </w:rPr>
        <w:t xml:space="preserve">How are votes counted? </w:t>
      </w:r>
    </w:p>
    <w:p>
      <w:pPr>
        <w:pStyle w:val="TextBody"/>
        <w:spacing w:before="120" w:after="0"/>
        <w:jc w:val="left"/>
        <w:rPr>
          <w:rFonts w:ascii="Times New Roman" w:hAnsi="Times New Roman"/>
          <w:sz w:val="20"/>
        </w:rPr>
      </w:pPr>
      <w:r>
        <w:rPr>
          <w:rFonts w:ascii="Times New Roman" w:hAnsi="Times New Roman"/>
          <w:sz w:val="20"/>
        </w:rPr>
        <w:t xml:space="preserve">Votes will be counted by the inspector of election appointed for the meeting, who will separately count, for the proposal to elect directors, votes For, Withhold and abstentions and, with respect to the other proposals, votes For and Against and abstentions. </w:t>
      </w:r>
    </w:p>
    <w:p>
      <w:pPr>
        <w:pStyle w:val="TextBody"/>
        <w:spacing w:before="360" w:after="0"/>
        <w:jc w:val="left"/>
        <w:rPr>
          <w:rFonts w:ascii="Times New Roman" w:hAnsi="Times New Roman"/>
          <w:b/>
          <w:sz w:val="20"/>
        </w:rPr>
      </w:pPr>
      <w:r>
        <w:rPr>
          <w:rFonts w:ascii="Times New Roman" w:hAnsi="Times New Roman"/>
          <w:b/>
          <w:sz w:val="20"/>
        </w:rPr>
        <w:t xml:space="preserve">What vote is required to approve each item and how are votes counted? </w:t>
      </w:r>
    </w:p>
    <w:p>
      <w:pPr>
        <w:pStyle w:val="TextBody"/>
        <w:spacing w:before="120" w:after="0"/>
        <w:jc w:val="left"/>
        <w:rPr>
          <w:rFonts w:ascii="Times New Roman" w:hAnsi="Times New Roman"/>
          <w:sz w:val="20"/>
        </w:rPr>
      </w:pPr>
      <w:r>
        <w:rPr>
          <w:rFonts w:ascii="Times New Roman" w:hAnsi="Times New Roman"/>
          <w:sz w:val="20"/>
        </w:rPr>
        <w:t xml:space="preserve">The following table summarizes the minimum vote needed to approve each proposal and the effect of abstentions and broker non-votes.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770"/>
        <w:gridCol w:w="181"/>
        <w:gridCol w:w="2947"/>
        <w:gridCol w:w="181"/>
        <w:gridCol w:w="2939"/>
        <w:gridCol w:w="124"/>
        <w:gridCol w:w="1524"/>
        <w:gridCol w:w="124"/>
        <w:gridCol w:w="1415"/>
      </w:tblGrid>
      <w:tr>
        <w:trPr/>
        <w:tc>
          <w:tcPr>
            <w:tcW w:w="77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sz w:val="4"/>
                <w:szCs w:val="4"/>
              </w:rPr>
            </w:pPr>
            <w:r>
              <w:rPr>
                <w:sz w:val="4"/>
                <w:szCs w:val="4"/>
              </w:rPr>
            </w:r>
          </w:p>
        </w:tc>
        <w:tc>
          <w:tcPr>
            <w:tcW w:w="2947"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sz w:val="4"/>
                <w:szCs w:val="4"/>
              </w:rPr>
            </w:pPr>
            <w:r>
              <w:rPr>
                <w:sz w:val="4"/>
                <w:szCs w:val="4"/>
              </w:rPr>
            </w:r>
          </w:p>
        </w:tc>
        <w:tc>
          <w:tcPr>
            <w:tcW w:w="2939"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15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1415" w:type="dxa"/>
            <w:tcBorders/>
            <w:shd w:fill="auto" w:val="clear"/>
            <w:vAlign w:val="center"/>
          </w:tcPr>
          <w:p>
            <w:pPr>
              <w:pStyle w:val="TableContents"/>
              <w:spacing w:before="0" w:after="283"/>
              <w:rPr>
                <w:sz w:val="4"/>
                <w:szCs w:val="4"/>
              </w:rPr>
            </w:pPr>
            <w:r>
              <w:rPr>
                <w:sz w:val="4"/>
                <w:szCs w:val="4"/>
              </w:rPr>
            </w:r>
          </w:p>
        </w:tc>
      </w:tr>
      <w:tr>
        <w:trPr/>
        <w:tc>
          <w:tcPr>
            <w:tcW w:w="770"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Proposal</w:t>
              <w:br/>
              <w:t>Number</w:t>
            </w:r>
          </w:p>
        </w:tc>
        <w:tc>
          <w:tcPr>
            <w:tcW w:w="181" w:type="dxa"/>
            <w:tcBorders/>
            <w:shd w:fill="auto" w:val="clear"/>
            <w:vAlign w:val="bottom"/>
          </w:tcPr>
          <w:p>
            <w:pPr>
              <w:pStyle w:val="TableContents"/>
              <w:spacing w:before="0" w:after="283"/>
              <w:rPr/>
            </w:pPr>
            <w:r>
              <w:rPr/>
              <w:t>  </w:t>
            </w:r>
          </w:p>
        </w:tc>
        <w:tc>
          <w:tcPr>
            <w:tcW w:w="2947"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Proposal Description</w:t>
            </w:r>
          </w:p>
        </w:tc>
        <w:tc>
          <w:tcPr>
            <w:tcW w:w="181" w:type="dxa"/>
            <w:tcBorders/>
            <w:shd w:fill="auto" w:val="clear"/>
            <w:vAlign w:val="bottom"/>
          </w:tcPr>
          <w:p>
            <w:pPr>
              <w:pStyle w:val="TableContents"/>
              <w:spacing w:before="0" w:after="283"/>
              <w:rPr/>
            </w:pPr>
            <w:r>
              <w:rPr/>
              <w:t>  </w:t>
            </w:r>
          </w:p>
        </w:tc>
        <w:tc>
          <w:tcPr>
            <w:tcW w:w="2939"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Vote Required for Approval</w:t>
            </w:r>
          </w:p>
        </w:tc>
        <w:tc>
          <w:tcPr>
            <w:tcW w:w="124" w:type="dxa"/>
            <w:tcBorders/>
            <w:shd w:fill="auto" w:val="clear"/>
            <w:vAlign w:val="bottom"/>
          </w:tcPr>
          <w:p>
            <w:pPr>
              <w:pStyle w:val="TableContents"/>
              <w:spacing w:before="0" w:after="283"/>
              <w:rPr/>
            </w:pPr>
            <w:r>
              <w:rPr/>
              <w:t>  </w:t>
            </w:r>
          </w:p>
        </w:tc>
        <w:tc>
          <w:tcPr>
            <w:tcW w:w="1524"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Effect of</w:t>
              <w:br/>
              <w:t>Abstentions</w:t>
            </w:r>
          </w:p>
        </w:tc>
        <w:tc>
          <w:tcPr>
            <w:tcW w:w="124" w:type="dxa"/>
            <w:tcBorders/>
            <w:shd w:fill="auto" w:val="clear"/>
            <w:vAlign w:val="bottom"/>
          </w:tcPr>
          <w:p>
            <w:pPr>
              <w:pStyle w:val="TableContents"/>
              <w:spacing w:before="0" w:after="283"/>
              <w:rPr/>
            </w:pPr>
            <w:r>
              <w:rPr/>
              <w:t>  </w:t>
            </w:r>
          </w:p>
        </w:tc>
        <w:tc>
          <w:tcPr>
            <w:tcW w:w="1415"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Effect of Broker</w:t>
              <w:br/>
              <w:t>Non-Votes</w:t>
            </w:r>
          </w:p>
        </w:tc>
      </w:tr>
      <w:tr>
        <w:trPr>
          <w:trHeight w:val="120" w:hRule="atLeast"/>
        </w:trPr>
        <w:tc>
          <w:tcPr>
            <w:tcW w:w="770" w:type="dxa"/>
            <w:tcBorders/>
            <w:shd w:fill="auto" w:val="clear"/>
            <w:vAlign w:val="center"/>
          </w:tcPr>
          <w:p>
            <w:pPr>
              <w:pStyle w:val="TableContents"/>
              <w:spacing w:before="0" w:after="283"/>
              <w:rPr>
                <w:sz w:val="4"/>
                <w:szCs w:val="4"/>
              </w:rPr>
            </w:pPr>
            <w:r>
              <w:rPr>
                <w:sz w:val="4"/>
                <w:szCs w:val="4"/>
              </w:rPr>
            </w:r>
          </w:p>
        </w:tc>
        <w:tc>
          <w:tcPr>
            <w:tcW w:w="3128" w:type="dxa"/>
            <w:gridSpan w:val="2"/>
            <w:tcBorders/>
            <w:shd w:fill="auto" w:val="clear"/>
            <w:vAlign w:val="center"/>
          </w:tcPr>
          <w:p>
            <w:pPr>
              <w:pStyle w:val="TableContents"/>
              <w:spacing w:before="0" w:after="283"/>
              <w:rPr>
                <w:sz w:val="4"/>
                <w:szCs w:val="4"/>
              </w:rPr>
            </w:pPr>
            <w:r>
              <w:rPr>
                <w:sz w:val="4"/>
                <w:szCs w:val="4"/>
              </w:rPr>
            </w:r>
          </w:p>
        </w:tc>
        <w:tc>
          <w:tcPr>
            <w:tcW w:w="3120" w:type="dxa"/>
            <w:gridSpan w:val="2"/>
            <w:tcBorders/>
            <w:shd w:fill="auto" w:val="clear"/>
            <w:vAlign w:val="center"/>
          </w:tcPr>
          <w:p>
            <w:pPr>
              <w:pStyle w:val="TableContents"/>
              <w:spacing w:before="0" w:after="283"/>
              <w:rPr>
                <w:sz w:val="4"/>
                <w:szCs w:val="4"/>
              </w:rPr>
            </w:pPr>
            <w:r>
              <w:rPr>
                <w:sz w:val="4"/>
                <w:szCs w:val="4"/>
              </w:rPr>
            </w:r>
          </w:p>
        </w:tc>
        <w:tc>
          <w:tcPr>
            <w:tcW w:w="1648" w:type="dxa"/>
            <w:gridSpan w:val="2"/>
            <w:tcBorders/>
            <w:shd w:fill="auto" w:val="clear"/>
            <w:vAlign w:val="center"/>
          </w:tcPr>
          <w:p>
            <w:pPr>
              <w:pStyle w:val="TableContents"/>
              <w:spacing w:before="0" w:after="283"/>
              <w:rPr>
                <w:sz w:val="4"/>
                <w:szCs w:val="4"/>
              </w:rPr>
            </w:pPr>
            <w:r>
              <w:rPr>
                <w:sz w:val="4"/>
                <w:szCs w:val="4"/>
              </w:rPr>
            </w:r>
          </w:p>
        </w:tc>
        <w:tc>
          <w:tcPr>
            <w:tcW w:w="1539" w:type="dxa"/>
            <w:gridSpan w:val="2"/>
            <w:tcBorders/>
            <w:shd w:fill="auto" w:val="clear"/>
            <w:vAlign w:val="center"/>
          </w:tcPr>
          <w:p>
            <w:pPr>
              <w:pStyle w:val="TableContents"/>
              <w:spacing w:before="0" w:after="283"/>
              <w:rPr>
                <w:sz w:val="4"/>
                <w:szCs w:val="4"/>
              </w:rPr>
            </w:pPr>
            <w:r>
              <w:rPr>
                <w:sz w:val="4"/>
                <w:szCs w:val="4"/>
              </w:rPr>
            </w:r>
          </w:p>
        </w:tc>
      </w:tr>
      <w:tr>
        <w:trPr/>
        <w:tc>
          <w:tcPr>
            <w:tcW w:w="770" w:type="dxa"/>
            <w:tcBorders/>
            <w:shd w:fill="auto" w:val="clear"/>
          </w:tcPr>
          <w:p>
            <w:pPr>
              <w:pStyle w:val="TableContents"/>
              <w:spacing w:before="0" w:after="283"/>
              <w:rPr/>
            </w:pPr>
            <w:r>
              <w:rPr/>
              <w:t>1.</w:t>
            </w:r>
          </w:p>
        </w:tc>
        <w:tc>
          <w:tcPr>
            <w:tcW w:w="181" w:type="dxa"/>
            <w:tcBorders/>
            <w:shd w:fill="auto" w:val="clear"/>
            <w:vAlign w:val="bottom"/>
          </w:tcPr>
          <w:p>
            <w:pPr>
              <w:pStyle w:val="TableContents"/>
              <w:spacing w:before="0" w:after="283"/>
              <w:rPr/>
            </w:pPr>
            <w:r>
              <w:rPr/>
              <w:t>  </w:t>
            </w:r>
          </w:p>
        </w:tc>
        <w:tc>
          <w:tcPr>
            <w:tcW w:w="2947" w:type="dxa"/>
            <w:tcBorders/>
            <w:shd w:fill="auto" w:val="clear"/>
          </w:tcPr>
          <w:p>
            <w:pPr>
              <w:pStyle w:val="TableContents"/>
              <w:spacing w:before="0" w:after="283"/>
              <w:rPr/>
            </w:pPr>
            <w:r>
              <w:rPr/>
              <w:t>Election of Directors</w:t>
            </w:r>
          </w:p>
        </w:tc>
        <w:tc>
          <w:tcPr>
            <w:tcW w:w="181" w:type="dxa"/>
            <w:tcBorders/>
            <w:shd w:fill="auto" w:val="clear"/>
            <w:vAlign w:val="bottom"/>
          </w:tcPr>
          <w:p>
            <w:pPr>
              <w:pStyle w:val="TableContents"/>
              <w:spacing w:before="0" w:after="283"/>
              <w:rPr/>
            </w:pPr>
            <w:r>
              <w:rPr/>
              <w:t>  </w:t>
            </w:r>
          </w:p>
        </w:tc>
        <w:tc>
          <w:tcPr>
            <w:tcW w:w="2939" w:type="dxa"/>
            <w:tcBorders/>
            <w:shd w:fill="auto" w:val="clear"/>
          </w:tcPr>
          <w:p>
            <w:pPr>
              <w:pStyle w:val="TableContents"/>
              <w:spacing w:before="0" w:after="283"/>
              <w:rPr/>
            </w:pPr>
            <w:r>
              <w:rPr/>
              <w:t>Nominees receiving the most For votes; withheld votes will have no effect</w:t>
            </w:r>
          </w:p>
        </w:tc>
        <w:tc>
          <w:tcPr>
            <w:tcW w:w="124" w:type="dxa"/>
            <w:tcBorders/>
            <w:shd w:fill="auto" w:val="clear"/>
            <w:vAlign w:val="bottom"/>
          </w:tcPr>
          <w:p>
            <w:pPr>
              <w:pStyle w:val="TableContents"/>
              <w:spacing w:before="0" w:after="283"/>
              <w:rPr/>
            </w:pPr>
            <w:r>
              <w:rPr/>
              <w:t>  </w:t>
            </w:r>
          </w:p>
        </w:tc>
        <w:tc>
          <w:tcPr>
            <w:tcW w:w="1524" w:type="dxa"/>
            <w:tcBorders/>
            <w:shd w:fill="auto" w:val="clear"/>
          </w:tcPr>
          <w:p>
            <w:pPr>
              <w:pStyle w:val="TableContents"/>
              <w:spacing w:before="0" w:after="283"/>
              <w:jc w:val="center"/>
              <w:rPr/>
            </w:pPr>
            <w:r>
              <w:rPr/>
              <w:t>Not applicable</w:t>
            </w:r>
          </w:p>
        </w:tc>
        <w:tc>
          <w:tcPr>
            <w:tcW w:w="124" w:type="dxa"/>
            <w:tcBorders/>
            <w:shd w:fill="auto" w:val="clear"/>
            <w:vAlign w:val="bottom"/>
          </w:tcPr>
          <w:p>
            <w:pPr>
              <w:pStyle w:val="TableContents"/>
              <w:spacing w:before="0" w:after="283"/>
              <w:rPr/>
            </w:pPr>
            <w:r>
              <w:rPr/>
              <w:t>  </w:t>
            </w:r>
          </w:p>
        </w:tc>
        <w:tc>
          <w:tcPr>
            <w:tcW w:w="1415" w:type="dxa"/>
            <w:tcBorders/>
            <w:shd w:fill="auto" w:val="clear"/>
          </w:tcPr>
          <w:p>
            <w:pPr>
              <w:pStyle w:val="TableContents"/>
              <w:spacing w:before="0" w:after="283"/>
              <w:jc w:val="center"/>
              <w:rPr/>
            </w:pPr>
            <w:r>
              <w:rPr/>
              <w:t>No effect</w:t>
            </w:r>
          </w:p>
        </w:tc>
      </w:tr>
      <w:tr>
        <w:trPr>
          <w:trHeight w:val="120" w:hRule="atLeast"/>
        </w:trPr>
        <w:tc>
          <w:tcPr>
            <w:tcW w:w="770" w:type="dxa"/>
            <w:tcBorders/>
            <w:shd w:fill="auto" w:val="clear"/>
            <w:vAlign w:val="center"/>
          </w:tcPr>
          <w:p>
            <w:pPr>
              <w:pStyle w:val="TableContents"/>
              <w:spacing w:before="0" w:after="283"/>
              <w:rPr>
                <w:sz w:val="4"/>
                <w:szCs w:val="4"/>
              </w:rPr>
            </w:pPr>
            <w:r>
              <w:rPr>
                <w:sz w:val="4"/>
                <w:szCs w:val="4"/>
              </w:rPr>
            </w:r>
          </w:p>
        </w:tc>
        <w:tc>
          <w:tcPr>
            <w:tcW w:w="3128" w:type="dxa"/>
            <w:gridSpan w:val="2"/>
            <w:tcBorders/>
            <w:shd w:fill="auto" w:val="clear"/>
            <w:vAlign w:val="center"/>
          </w:tcPr>
          <w:p>
            <w:pPr>
              <w:pStyle w:val="TableContents"/>
              <w:spacing w:before="0" w:after="283"/>
              <w:rPr>
                <w:sz w:val="4"/>
                <w:szCs w:val="4"/>
              </w:rPr>
            </w:pPr>
            <w:r>
              <w:rPr>
                <w:sz w:val="4"/>
                <w:szCs w:val="4"/>
              </w:rPr>
            </w:r>
          </w:p>
        </w:tc>
        <w:tc>
          <w:tcPr>
            <w:tcW w:w="3120" w:type="dxa"/>
            <w:gridSpan w:val="2"/>
            <w:tcBorders/>
            <w:shd w:fill="auto" w:val="clear"/>
            <w:vAlign w:val="center"/>
          </w:tcPr>
          <w:p>
            <w:pPr>
              <w:pStyle w:val="TableContents"/>
              <w:spacing w:before="0" w:after="283"/>
              <w:rPr>
                <w:sz w:val="4"/>
                <w:szCs w:val="4"/>
              </w:rPr>
            </w:pPr>
            <w:r>
              <w:rPr>
                <w:sz w:val="4"/>
                <w:szCs w:val="4"/>
              </w:rPr>
            </w:r>
          </w:p>
        </w:tc>
        <w:tc>
          <w:tcPr>
            <w:tcW w:w="1648" w:type="dxa"/>
            <w:gridSpan w:val="2"/>
            <w:tcBorders/>
            <w:shd w:fill="auto" w:val="clear"/>
            <w:vAlign w:val="center"/>
          </w:tcPr>
          <w:p>
            <w:pPr>
              <w:pStyle w:val="TableContents"/>
              <w:spacing w:before="0" w:after="283"/>
              <w:rPr>
                <w:sz w:val="4"/>
                <w:szCs w:val="4"/>
              </w:rPr>
            </w:pPr>
            <w:r>
              <w:rPr>
                <w:sz w:val="4"/>
                <w:szCs w:val="4"/>
              </w:rPr>
            </w:r>
          </w:p>
        </w:tc>
        <w:tc>
          <w:tcPr>
            <w:tcW w:w="1539" w:type="dxa"/>
            <w:gridSpan w:val="2"/>
            <w:tcBorders/>
            <w:shd w:fill="auto" w:val="clear"/>
            <w:vAlign w:val="center"/>
          </w:tcPr>
          <w:p>
            <w:pPr>
              <w:pStyle w:val="TableContents"/>
              <w:spacing w:before="0" w:after="283"/>
              <w:rPr>
                <w:sz w:val="4"/>
                <w:szCs w:val="4"/>
              </w:rPr>
            </w:pPr>
            <w:r>
              <w:rPr>
                <w:sz w:val="4"/>
                <w:szCs w:val="4"/>
              </w:rPr>
            </w:r>
          </w:p>
        </w:tc>
      </w:tr>
      <w:tr>
        <w:trPr/>
        <w:tc>
          <w:tcPr>
            <w:tcW w:w="770" w:type="dxa"/>
            <w:tcBorders/>
            <w:shd w:fill="auto" w:val="clear"/>
          </w:tcPr>
          <w:p>
            <w:pPr>
              <w:pStyle w:val="TableContents"/>
              <w:spacing w:before="0" w:after="283"/>
              <w:rPr/>
            </w:pPr>
            <w:r>
              <w:rPr/>
              <w:t>2.</w:t>
            </w:r>
          </w:p>
        </w:tc>
        <w:tc>
          <w:tcPr>
            <w:tcW w:w="181" w:type="dxa"/>
            <w:tcBorders/>
            <w:shd w:fill="auto" w:val="clear"/>
            <w:vAlign w:val="bottom"/>
          </w:tcPr>
          <w:p>
            <w:pPr>
              <w:pStyle w:val="TableContents"/>
              <w:spacing w:before="0" w:after="283"/>
              <w:rPr/>
            </w:pPr>
            <w:r>
              <w:rPr/>
              <w:t>  </w:t>
            </w:r>
          </w:p>
        </w:tc>
        <w:tc>
          <w:tcPr>
            <w:tcW w:w="2947" w:type="dxa"/>
            <w:tcBorders/>
            <w:shd w:fill="auto" w:val="clear"/>
          </w:tcPr>
          <w:p>
            <w:pPr>
              <w:pStyle w:val="TableContents"/>
              <w:spacing w:before="0" w:after="283"/>
              <w:rPr/>
            </w:pPr>
            <w:r>
              <w:rPr/>
              <w:t>Approval of our Amended and Restated 2023 Equity Incentive Plan</w:t>
            </w:r>
          </w:p>
        </w:tc>
        <w:tc>
          <w:tcPr>
            <w:tcW w:w="181" w:type="dxa"/>
            <w:tcBorders/>
            <w:shd w:fill="auto" w:val="clear"/>
            <w:vAlign w:val="bottom"/>
          </w:tcPr>
          <w:p>
            <w:pPr>
              <w:pStyle w:val="TableContents"/>
              <w:spacing w:before="0" w:after="283"/>
              <w:rPr/>
            </w:pPr>
            <w:r>
              <w:rPr/>
              <w:t>  </w:t>
            </w:r>
          </w:p>
        </w:tc>
        <w:tc>
          <w:tcPr>
            <w:tcW w:w="2939" w:type="dxa"/>
            <w:tcBorders/>
            <w:shd w:fill="auto" w:val="clear"/>
          </w:tcPr>
          <w:p>
            <w:pPr>
              <w:pStyle w:val="TableContents"/>
              <w:spacing w:before="0" w:after="283"/>
              <w:rPr/>
            </w:pPr>
            <w:r>
              <w:rPr/>
              <w:t>For votes from the holders of a majority of the voting power of the votes cast by the holders of all the shares present or represented by proxy at the meeting and voting on such matter</w:t>
            </w:r>
          </w:p>
        </w:tc>
        <w:tc>
          <w:tcPr>
            <w:tcW w:w="124" w:type="dxa"/>
            <w:tcBorders/>
            <w:shd w:fill="auto" w:val="clear"/>
            <w:vAlign w:val="bottom"/>
          </w:tcPr>
          <w:p>
            <w:pPr>
              <w:pStyle w:val="TableContents"/>
              <w:spacing w:before="0" w:after="283"/>
              <w:rPr/>
            </w:pPr>
            <w:r>
              <w:rPr/>
              <w:t>  </w:t>
            </w:r>
          </w:p>
        </w:tc>
        <w:tc>
          <w:tcPr>
            <w:tcW w:w="1524" w:type="dxa"/>
            <w:tcBorders/>
            <w:shd w:fill="auto" w:val="clear"/>
          </w:tcPr>
          <w:p>
            <w:pPr>
              <w:pStyle w:val="TableContents"/>
              <w:spacing w:before="0" w:after="283"/>
              <w:jc w:val="center"/>
              <w:rPr/>
            </w:pPr>
            <w:r>
              <w:rPr/>
              <w:t>No effect</w:t>
            </w:r>
          </w:p>
        </w:tc>
        <w:tc>
          <w:tcPr>
            <w:tcW w:w="124" w:type="dxa"/>
            <w:tcBorders/>
            <w:shd w:fill="auto" w:val="clear"/>
            <w:vAlign w:val="bottom"/>
          </w:tcPr>
          <w:p>
            <w:pPr>
              <w:pStyle w:val="TableContents"/>
              <w:spacing w:before="0" w:after="283"/>
              <w:rPr/>
            </w:pPr>
            <w:r>
              <w:rPr/>
              <w:t>  </w:t>
            </w:r>
          </w:p>
        </w:tc>
        <w:tc>
          <w:tcPr>
            <w:tcW w:w="1415" w:type="dxa"/>
            <w:tcBorders/>
            <w:shd w:fill="auto" w:val="clear"/>
          </w:tcPr>
          <w:p>
            <w:pPr>
              <w:pStyle w:val="TableContents"/>
              <w:spacing w:before="0" w:after="283"/>
              <w:jc w:val="center"/>
              <w:rPr/>
            </w:pPr>
            <w:r>
              <w:rPr/>
              <w:t>Not applicable</w:t>
            </w:r>
          </w:p>
        </w:tc>
      </w:tr>
      <w:tr>
        <w:trPr>
          <w:trHeight w:val="120" w:hRule="atLeast"/>
        </w:trPr>
        <w:tc>
          <w:tcPr>
            <w:tcW w:w="770" w:type="dxa"/>
            <w:tcBorders/>
            <w:shd w:fill="auto" w:val="clear"/>
            <w:vAlign w:val="center"/>
          </w:tcPr>
          <w:p>
            <w:pPr>
              <w:pStyle w:val="TableContents"/>
              <w:spacing w:before="0" w:after="283"/>
              <w:rPr>
                <w:sz w:val="4"/>
                <w:szCs w:val="4"/>
              </w:rPr>
            </w:pPr>
            <w:r>
              <w:rPr>
                <w:sz w:val="4"/>
                <w:szCs w:val="4"/>
              </w:rPr>
            </w:r>
          </w:p>
        </w:tc>
        <w:tc>
          <w:tcPr>
            <w:tcW w:w="3128" w:type="dxa"/>
            <w:gridSpan w:val="2"/>
            <w:tcBorders/>
            <w:shd w:fill="auto" w:val="clear"/>
            <w:vAlign w:val="center"/>
          </w:tcPr>
          <w:p>
            <w:pPr>
              <w:pStyle w:val="TableContents"/>
              <w:spacing w:before="0" w:after="283"/>
              <w:rPr>
                <w:sz w:val="4"/>
                <w:szCs w:val="4"/>
              </w:rPr>
            </w:pPr>
            <w:r>
              <w:rPr>
                <w:sz w:val="4"/>
                <w:szCs w:val="4"/>
              </w:rPr>
            </w:r>
          </w:p>
        </w:tc>
        <w:tc>
          <w:tcPr>
            <w:tcW w:w="3120" w:type="dxa"/>
            <w:gridSpan w:val="2"/>
            <w:tcBorders/>
            <w:shd w:fill="auto" w:val="clear"/>
            <w:vAlign w:val="center"/>
          </w:tcPr>
          <w:p>
            <w:pPr>
              <w:pStyle w:val="TableContents"/>
              <w:spacing w:before="0" w:after="283"/>
              <w:rPr>
                <w:sz w:val="4"/>
                <w:szCs w:val="4"/>
              </w:rPr>
            </w:pPr>
            <w:r>
              <w:rPr>
                <w:sz w:val="4"/>
                <w:szCs w:val="4"/>
              </w:rPr>
            </w:r>
          </w:p>
        </w:tc>
        <w:tc>
          <w:tcPr>
            <w:tcW w:w="1648" w:type="dxa"/>
            <w:gridSpan w:val="2"/>
            <w:tcBorders/>
            <w:shd w:fill="auto" w:val="clear"/>
            <w:vAlign w:val="center"/>
          </w:tcPr>
          <w:p>
            <w:pPr>
              <w:pStyle w:val="TableContents"/>
              <w:spacing w:before="0" w:after="283"/>
              <w:rPr>
                <w:sz w:val="4"/>
                <w:szCs w:val="4"/>
              </w:rPr>
            </w:pPr>
            <w:r>
              <w:rPr>
                <w:sz w:val="4"/>
                <w:szCs w:val="4"/>
              </w:rPr>
            </w:r>
          </w:p>
        </w:tc>
        <w:tc>
          <w:tcPr>
            <w:tcW w:w="1539" w:type="dxa"/>
            <w:gridSpan w:val="2"/>
            <w:tcBorders/>
            <w:shd w:fill="auto" w:val="clear"/>
            <w:vAlign w:val="center"/>
          </w:tcPr>
          <w:p>
            <w:pPr>
              <w:pStyle w:val="TableContents"/>
              <w:spacing w:before="0" w:after="283"/>
              <w:rPr>
                <w:sz w:val="4"/>
                <w:szCs w:val="4"/>
              </w:rPr>
            </w:pPr>
            <w:r>
              <w:rPr>
                <w:sz w:val="4"/>
                <w:szCs w:val="4"/>
              </w:rPr>
            </w:r>
          </w:p>
        </w:tc>
      </w:tr>
      <w:tr>
        <w:trPr/>
        <w:tc>
          <w:tcPr>
            <w:tcW w:w="770" w:type="dxa"/>
            <w:tcBorders/>
            <w:shd w:fill="auto" w:val="clear"/>
          </w:tcPr>
          <w:p>
            <w:pPr>
              <w:pStyle w:val="TableContents"/>
              <w:spacing w:before="0" w:after="283"/>
              <w:rPr/>
            </w:pPr>
            <w:r>
              <w:rPr/>
              <w:t>3.</w:t>
            </w:r>
          </w:p>
        </w:tc>
        <w:tc>
          <w:tcPr>
            <w:tcW w:w="181" w:type="dxa"/>
            <w:tcBorders/>
            <w:shd w:fill="auto" w:val="clear"/>
            <w:vAlign w:val="bottom"/>
          </w:tcPr>
          <w:p>
            <w:pPr>
              <w:pStyle w:val="TableContents"/>
              <w:spacing w:before="0" w:after="283"/>
              <w:rPr/>
            </w:pPr>
            <w:r>
              <w:rPr/>
              <w:t>  </w:t>
            </w:r>
          </w:p>
        </w:tc>
        <w:tc>
          <w:tcPr>
            <w:tcW w:w="2947" w:type="dxa"/>
            <w:tcBorders/>
            <w:shd w:fill="auto" w:val="clear"/>
          </w:tcPr>
          <w:p>
            <w:pPr>
              <w:pStyle w:val="TableContents"/>
              <w:spacing w:before="0" w:after="283"/>
              <w:rPr/>
            </w:pPr>
            <w:r>
              <w:rPr/>
              <w:t>Advisory approval of the compensation of our named executive officers as disclosed in this proxy statement</w:t>
            </w:r>
          </w:p>
        </w:tc>
        <w:tc>
          <w:tcPr>
            <w:tcW w:w="181" w:type="dxa"/>
            <w:tcBorders/>
            <w:shd w:fill="auto" w:val="clear"/>
            <w:vAlign w:val="bottom"/>
          </w:tcPr>
          <w:p>
            <w:pPr>
              <w:pStyle w:val="TableContents"/>
              <w:spacing w:before="0" w:after="283"/>
              <w:rPr/>
            </w:pPr>
            <w:r>
              <w:rPr/>
              <w:t>  </w:t>
            </w:r>
          </w:p>
        </w:tc>
        <w:tc>
          <w:tcPr>
            <w:tcW w:w="2939" w:type="dxa"/>
            <w:tcBorders/>
            <w:shd w:fill="auto" w:val="clear"/>
          </w:tcPr>
          <w:p>
            <w:pPr>
              <w:pStyle w:val="TableContents"/>
              <w:spacing w:before="0" w:after="283"/>
              <w:rPr/>
            </w:pPr>
            <w:r>
              <w:rPr/>
              <w:t>For votes from the holders of a majority of the voting power of the votes cast by the holders of all the shares present or represented by proxy at the meeting and voting on such matter</w:t>
            </w:r>
          </w:p>
        </w:tc>
        <w:tc>
          <w:tcPr>
            <w:tcW w:w="124" w:type="dxa"/>
            <w:tcBorders/>
            <w:shd w:fill="auto" w:val="clear"/>
            <w:vAlign w:val="bottom"/>
          </w:tcPr>
          <w:p>
            <w:pPr>
              <w:pStyle w:val="TableContents"/>
              <w:spacing w:before="0" w:after="283"/>
              <w:rPr/>
            </w:pPr>
            <w:r>
              <w:rPr/>
              <w:t>  </w:t>
            </w:r>
          </w:p>
        </w:tc>
        <w:tc>
          <w:tcPr>
            <w:tcW w:w="1524" w:type="dxa"/>
            <w:tcBorders/>
            <w:shd w:fill="auto" w:val="clear"/>
          </w:tcPr>
          <w:p>
            <w:pPr>
              <w:pStyle w:val="TableContents"/>
              <w:spacing w:before="0" w:after="283"/>
              <w:jc w:val="center"/>
              <w:rPr/>
            </w:pPr>
            <w:r>
              <w:rPr/>
              <w:t>No effect</w:t>
            </w:r>
          </w:p>
        </w:tc>
        <w:tc>
          <w:tcPr>
            <w:tcW w:w="124" w:type="dxa"/>
            <w:tcBorders/>
            <w:shd w:fill="auto" w:val="clear"/>
            <w:vAlign w:val="bottom"/>
          </w:tcPr>
          <w:p>
            <w:pPr>
              <w:pStyle w:val="TableContents"/>
              <w:spacing w:before="0" w:after="283"/>
              <w:rPr/>
            </w:pPr>
            <w:r>
              <w:rPr/>
              <w:t>  </w:t>
            </w:r>
          </w:p>
        </w:tc>
        <w:tc>
          <w:tcPr>
            <w:tcW w:w="1415" w:type="dxa"/>
            <w:tcBorders/>
            <w:shd w:fill="auto" w:val="clear"/>
          </w:tcPr>
          <w:p>
            <w:pPr>
              <w:pStyle w:val="TableContents"/>
              <w:spacing w:before="0" w:after="283"/>
              <w:jc w:val="center"/>
              <w:rPr/>
            </w:pPr>
            <w:r>
              <w:rPr/>
              <w:t>Not applicable</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801"/>
        <w:gridCol w:w="192"/>
        <w:gridCol w:w="2881"/>
        <w:gridCol w:w="192"/>
        <w:gridCol w:w="3099"/>
        <w:gridCol w:w="127"/>
        <w:gridCol w:w="1294"/>
        <w:gridCol w:w="127"/>
        <w:gridCol w:w="1492"/>
      </w:tblGrid>
      <w:tr>
        <w:trPr/>
        <w:tc>
          <w:tcPr>
            <w:tcW w:w="801"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sz w:val="4"/>
                <w:szCs w:val="4"/>
              </w:rPr>
            </w:pPr>
            <w:r>
              <w:rPr>
                <w:sz w:val="4"/>
                <w:szCs w:val="4"/>
              </w:rPr>
            </w:r>
          </w:p>
        </w:tc>
        <w:tc>
          <w:tcPr>
            <w:tcW w:w="309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c>
          <w:tcPr>
            <w:tcW w:w="1294"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c>
          <w:tcPr>
            <w:tcW w:w="1492" w:type="dxa"/>
            <w:tcBorders/>
            <w:shd w:fill="auto" w:val="clear"/>
            <w:vAlign w:val="center"/>
          </w:tcPr>
          <w:p>
            <w:pPr>
              <w:pStyle w:val="TableContents"/>
              <w:spacing w:before="0" w:after="283"/>
              <w:rPr>
                <w:sz w:val="4"/>
                <w:szCs w:val="4"/>
              </w:rPr>
            </w:pPr>
            <w:r>
              <w:rPr>
                <w:sz w:val="4"/>
                <w:szCs w:val="4"/>
              </w:rPr>
            </w:r>
          </w:p>
        </w:tc>
      </w:tr>
      <w:tr>
        <w:trPr/>
        <w:tc>
          <w:tcPr>
            <w:tcW w:w="801"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Proposal</w:t>
              <w:br/>
              <w:t>Number</w:t>
            </w:r>
          </w:p>
        </w:tc>
        <w:tc>
          <w:tcPr>
            <w:tcW w:w="192" w:type="dxa"/>
            <w:tcBorders/>
            <w:shd w:fill="auto" w:val="clear"/>
            <w:vAlign w:val="bottom"/>
          </w:tcPr>
          <w:p>
            <w:pPr>
              <w:pStyle w:val="TableContents"/>
              <w:spacing w:before="0" w:after="283"/>
              <w:rPr/>
            </w:pPr>
            <w:r>
              <w:rPr/>
              <w:t>  </w:t>
            </w:r>
          </w:p>
        </w:tc>
        <w:tc>
          <w:tcPr>
            <w:tcW w:w="2881"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Proposal Description</w:t>
            </w:r>
          </w:p>
        </w:tc>
        <w:tc>
          <w:tcPr>
            <w:tcW w:w="192" w:type="dxa"/>
            <w:tcBorders/>
            <w:shd w:fill="auto" w:val="clear"/>
            <w:vAlign w:val="bottom"/>
          </w:tcPr>
          <w:p>
            <w:pPr>
              <w:pStyle w:val="TableContents"/>
              <w:spacing w:before="0" w:after="283"/>
              <w:rPr/>
            </w:pPr>
            <w:r>
              <w:rPr/>
              <w:t>  </w:t>
            </w:r>
          </w:p>
        </w:tc>
        <w:tc>
          <w:tcPr>
            <w:tcW w:w="3099"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Vote Required for Approval</w:t>
            </w:r>
          </w:p>
        </w:tc>
        <w:tc>
          <w:tcPr>
            <w:tcW w:w="127" w:type="dxa"/>
            <w:tcBorders/>
            <w:shd w:fill="auto" w:val="clear"/>
            <w:vAlign w:val="bottom"/>
          </w:tcPr>
          <w:p>
            <w:pPr>
              <w:pStyle w:val="TableContents"/>
              <w:spacing w:before="0" w:after="283"/>
              <w:rPr/>
            </w:pPr>
            <w:r>
              <w:rPr/>
              <w:t>  </w:t>
            </w:r>
          </w:p>
        </w:tc>
        <w:tc>
          <w:tcPr>
            <w:tcW w:w="1294"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Effect of</w:t>
              <w:br/>
              <w:t>Abstentions</w:t>
            </w:r>
          </w:p>
        </w:tc>
        <w:tc>
          <w:tcPr>
            <w:tcW w:w="127" w:type="dxa"/>
            <w:tcBorders/>
            <w:shd w:fill="auto" w:val="clear"/>
            <w:vAlign w:val="bottom"/>
          </w:tcPr>
          <w:p>
            <w:pPr>
              <w:pStyle w:val="TableContents"/>
              <w:spacing w:before="0" w:after="283"/>
              <w:rPr/>
            </w:pPr>
            <w:r>
              <w:rPr/>
              <w:t>  </w:t>
            </w:r>
          </w:p>
        </w:tc>
        <w:tc>
          <w:tcPr>
            <w:tcW w:w="1492"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Effect of Broker</w:t>
              <w:br/>
              <w:t>Non-Votes</w:t>
            </w:r>
          </w:p>
        </w:tc>
      </w:tr>
      <w:tr>
        <w:trPr>
          <w:trHeight w:val="120" w:hRule="atLeast"/>
        </w:trPr>
        <w:tc>
          <w:tcPr>
            <w:tcW w:w="801" w:type="dxa"/>
            <w:tcBorders/>
            <w:shd w:fill="auto" w:val="clear"/>
            <w:vAlign w:val="center"/>
          </w:tcPr>
          <w:p>
            <w:pPr>
              <w:pStyle w:val="TableContents"/>
              <w:spacing w:before="0" w:after="283"/>
              <w:rPr>
                <w:sz w:val="4"/>
                <w:szCs w:val="4"/>
              </w:rPr>
            </w:pPr>
            <w:r>
              <w:rPr>
                <w:sz w:val="4"/>
                <w:szCs w:val="4"/>
              </w:rPr>
            </w:r>
          </w:p>
        </w:tc>
        <w:tc>
          <w:tcPr>
            <w:tcW w:w="3073" w:type="dxa"/>
            <w:gridSpan w:val="2"/>
            <w:tcBorders/>
            <w:shd w:fill="auto" w:val="clear"/>
            <w:vAlign w:val="center"/>
          </w:tcPr>
          <w:p>
            <w:pPr>
              <w:pStyle w:val="TableContents"/>
              <w:spacing w:before="0" w:after="283"/>
              <w:rPr>
                <w:sz w:val="4"/>
                <w:szCs w:val="4"/>
              </w:rPr>
            </w:pPr>
            <w:r>
              <w:rPr>
                <w:sz w:val="4"/>
                <w:szCs w:val="4"/>
              </w:rPr>
            </w:r>
          </w:p>
        </w:tc>
        <w:tc>
          <w:tcPr>
            <w:tcW w:w="3291" w:type="dxa"/>
            <w:gridSpan w:val="2"/>
            <w:tcBorders/>
            <w:shd w:fill="auto" w:val="clear"/>
            <w:vAlign w:val="center"/>
          </w:tcPr>
          <w:p>
            <w:pPr>
              <w:pStyle w:val="TableContents"/>
              <w:spacing w:before="0" w:after="283"/>
              <w:rPr>
                <w:sz w:val="4"/>
                <w:szCs w:val="4"/>
              </w:rPr>
            </w:pPr>
            <w:r>
              <w:rPr>
                <w:sz w:val="4"/>
                <w:szCs w:val="4"/>
              </w:rPr>
            </w:r>
          </w:p>
        </w:tc>
        <w:tc>
          <w:tcPr>
            <w:tcW w:w="1421" w:type="dxa"/>
            <w:gridSpan w:val="2"/>
            <w:tcBorders/>
            <w:shd w:fill="auto" w:val="clear"/>
            <w:vAlign w:val="center"/>
          </w:tcPr>
          <w:p>
            <w:pPr>
              <w:pStyle w:val="TableContents"/>
              <w:spacing w:before="0" w:after="283"/>
              <w:rPr>
                <w:sz w:val="4"/>
                <w:szCs w:val="4"/>
              </w:rPr>
            </w:pPr>
            <w:r>
              <w:rPr>
                <w:sz w:val="4"/>
                <w:szCs w:val="4"/>
              </w:rPr>
            </w:r>
          </w:p>
        </w:tc>
        <w:tc>
          <w:tcPr>
            <w:tcW w:w="1619" w:type="dxa"/>
            <w:gridSpan w:val="2"/>
            <w:tcBorders/>
            <w:shd w:fill="auto" w:val="clear"/>
            <w:vAlign w:val="center"/>
          </w:tcPr>
          <w:p>
            <w:pPr>
              <w:pStyle w:val="TableContents"/>
              <w:spacing w:before="0" w:after="283"/>
              <w:rPr>
                <w:sz w:val="4"/>
                <w:szCs w:val="4"/>
              </w:rPr>
            </w:pPr>
            <w:r>
              <w:rPr>
                <w:sz w:val="4"/>
                <w:szCs w:val="4"/>
              </w:rPr>
            </w:r>
          </w:p>
        </w:tc>
      </w:tr>
      <w:tr>
        <w:trPr/>
        <w:tc>
          <w:tcPr>
            <w:tcW w:w="801" w:type="dxa"/>
            <w:tcBorders/>
            <w:shd w:fill="auto" w:val="clear"/>
          </w:tcPr>
          <w:p>
            <w:pPr>
              <w:pStyle w:val="TableContents"/>
              <w:spacing w:before="0" w:after="283"/>
              <w:rPr/>
            </w:pPr>
            <w:r>
              <w:rPr/>
              <w:t>4.</w:t>
            </w:r>
          </w:p>
        </w:tc>
        <w:tc>
          <w:tcPr>
            <w:tcW w:w="192" w:type="dxa"/>
            <w:tcBorders/>
            <w:shd w:fill="auto" w:val="clear"/>
            <w:vAlign w:val="bottom"/>
          </w:tcPr>
          <w:p>
            <w:pPr>
              <w:pStyle w:val="TableContents"/>
              <w:spacing w:before="0" w:after="283"/>
              <w:rPr/>
            </w:pPr>
            <w:r>
              <w:rPr/>
              <w:t>  </w:t>
            </w:r>
          </w:p>
        </w:tc>
        <w:tc>
          <w:tcPr>
            <w:tcW w:w="2881" w:type="dxa"/>
            <w:tcBorders/>
            <w:shd w:fill="auto" w:val="clear"/>
          </w:tcPr>
          <w:p>
            <w:pPr>
              <w:pStyle w:val="TableContents"/>
              <w:spacing w:before="0" w:after="283"/>
              <w:rPr/>
            </w:pPr>
            <w:r>
              <w:rPr/>
              <w:t>Ratification of the selection of Ernst &amp; Young LLP as our independent registered public accounting firm</w:t>
            </w:r>
          </w:p>
        </w:tc>
        <w:tc>
          <w:tcPr>
            <w:tcW w:w="192" w:type="dxa"/>
            <w:tcBorders/>
            <w:shd w:fill="auto" w:val="clear"/>
            <w:vAlign w:val="bottom"/>
          </w:tcPr>
          <w:p>
            <w:pPr>
              <w:pStyle w:val="TableContents"/>
              <w:spacing w:before="0" w:after="283"/>
              <w:rPr/>
            </w:pPr>
            <w:r>
              <w:rPr/>
              <w:t>  </w:t>
            </w:r>
          </w:p>
        </w:tc>
        <w:tc>
          <w:tcPr>
            <w:tcW w:w="3099" w:type="dxa"/>
            <w:tcBorders/>
            <w:shd w:fill="auto" w:val="clear"/>
          </w:tcPr>
          <w:p>
            <w:pPr>
              <w:pStyle w:val="TableContents"/>
              <w:spacing w:before="0" w:after="283"/>
              <w:rPr/>
            </w:pPr>
            <w:r>
              <w:rPr/>
              <w:t>For votes from the holders of a majority of the voting power of the votes cast by the holders of all the shares present or represented by proxy at the meeting and voting on such matter</w:t>
            </w:r>
          </w:p>
        </w:tc>
        <w:tc>
          <w:tcPr>
            <w:tcW w:w="127" w:type="dxa"/>
            <w:tcBorders/>
            <w:shd w:fill="auto" w:val="clear"/>
            <w:vAlign w:val="bottom"/>
          </w:tcPr>
          <w:p>
            <w:pPr>
              <w:pStyle w:val="TableContents"/>
              <w:spacing w:before="0" w:after="283"/>
              <w:rPr/>
            </w:pPr>
            <w:r>
              <w:rPr/>
              <w:t>  </w:t>
            </w:r>
          </w:p>
        </w:tc>
        <w:tc>
          <w:tcPr>
            <w:tcW w:w="1294" w:type="dxa"/>
            <w:tcBorders/>
            <w:shd w:fill="auto" w:val="clear"/>
          </w:tcPr>
          <w:p>
            <w:pPr>
              <w:pStyle w:val="TableContents"/>
              <w:spacing w:before="0" w:after="283"/>
              <w:jc w:val="center"/>
              <w:rPr/>
            </w:pPr>
            <w:r>
              <w:rPr/>
              <w:t>No effect</w:t>
            </w:r>
          </w:p>
        </w:tc>
        <w:tc>
          <w:tcPr>
            <w:tcW w:w="127" w:type="dxa"/>
            <w:tcBorders/>
            <w:shd w:fill="auto" w:val="clear"/>
            <w:vAlign w:val="bottom"/>
          </w:tcPr>
          <w:p>
            <w:pPr>
              <w:pStyle w:val="TableContents"/>
              <w:spacing w:before="0" w:after="283"/>
              <w:rPr/>
            </w:pPr>
            <w:r>
              <w:rPr/>
              <w:t>  </w:t>
            </w:r>
          </w:p>
        </w:tc>
        <w:tc>
          <w:tcPr>
            <w:tcW w:w="1492" w:type="dxa"/>
            <w:tcBorders/>
            <w:shd w:fill="auto" w:val="clear"/>
          </w:tcPr>
          <w:p>
            <w:pPr>
              <w:pStyle w:val="TableContents"/>
              <w:spacing w:before="0" w:after="283"/>
              <w:jc w:val="center"/>
              <w:rPr/>
            </w:pPr>
            <w:r>
              <w:rPr/>
              <w:t>Not applicable(1)</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proposal is considered to be a routine matter. Accordingly, if you hold your shares in street name and do not provide voting instructions to your broker, bank or other agent that holds your shares, your broker, bank or other agent has discretionary authority to vote your shares on this proposal. </w:t>
            </w:r>
          </w:p>
        </w:tc>
      </w:tr>
    </w:tbl>
    <w:p>
      <w:pPr>
        <w:pStyle w:val="TextBody"/>
        <w:spacing w:before="360" w:after="0"/>
        <w:jc w:val="left"/>
        <w:rPr>
          <w:rFonts w:ascii="Times New Roman" w:hAnsi="Times New Roman"/>
          <w:b/>
          <w:sz w:val="20"/>
        </w:rPr>
      </w:pPr>
      <w:r>
        <w:rPr>
          <w:rFonts w:ascii="Times New Roman" w:hAnsi="Times New Roman"/>
          <w:b/>
          <w:sz w:val="20"/>
        </w:rPr>
        <w:t xml:space="preserve">What is the quorum requirement? </w:t>
      </w:r>
    </w:p>
    <w:p>
      <w:pPr>
        <w:pStyle w:val="TextBody"/>
        <w:spacing w:before="120" w:after="0"/>
        <w:jc w:val="left"/>
        <w:rPr>
          <w:rFonts w:ascii="Times New Roman" w:hAnsi="Times New Roman"/>
          <w:sz w:val="20"/>
        </w:rPr>
      </w:pPr>
      <w:r>
        <w:rPr>
          <w:rFonts w:ascii="Times New Roman" w:hAnsi="Times New Roman"/>
          <w:sz w:val="20"/>
        </w:rPr>
        <w:t xml:space="preserve">A quorum of stockholders is necessary to hold a valid meeting. A quorum will be present if stockholders holding at least a majority of the outstanding shares entitled to vote are present at the meeting virtually or represented by proxy. On the Record Date, there were 10,561,700 shares outstanding and entitled to vote. Thus, the holders of 5,280,851 shares must be present virtually or represented by proxy at the meeting to have a quorum. </w:t>
      </w:r>
    </w:p>
    <w:p>
      <w:pPr>
        <w:pStyle w:val="TextBody"/>
        <w:spacing w:before="240" w:after="0"/>
        <w:jc w:val="left"/>
        <w:rPr>
          <w:rFonts w:ascii="Times New Roman" w:hAnsi="Times New Roman"/>
          <w:sz w:val="20"/>
        </w:rPr>
      </w:pPr>
      <w:r>
        <w:rPr>
          <w:rFonts w:ascii="Times New Roman" w:hAnsi="Times New Roman"/>
          <w:sz w:val="20"/>
        </w:rPr>
        <w:t xml:space="preserve">Your shares will be counted towards the quorum only if you submit a valid proxy (or one is submitted on your behalf by your broker, bank or other nominee) or if you vote online at the Annual Meeting. Abstentions will be counted towards the quorum requirement. If there is no quorum, the holders of a majority of shares present or represented at the meeting and entitled to vote may adjourn the meeting to another date. </w:t>
      </w:r>
    </w:p>
    <w:p>
      <w:pPr>
        <w:pStyle w:val="TextBody"/>
        <w:spacing w:before="360" w:after="0"/>
        <w:jc w:val="left"/>
        <w:rPr>
          <w:rFonts w:ascii="Times New Roman" w:hAnsi="Times New Roman"/>
          <w:b/>
          <w:sz w:val="20"/>
        </w:rPr>
      </w:pPr>
      <w:r>
        <w:rPr>
          <w:rFonts w:ascii="Times New Roman" w:hAnsi="Times New Roman"/>
          <w:b/>
          <w:sz w:val="20"/>
        </w:rPr>
        <w:t xml:space="preserve">How can I find out the results of the voting at the Annual Meeting? </w:t>
      </w:r>
    </w:p>
    <w:p>
      <w:pPr>
        <w:pStyle w:val="TextBody"/>
        <w:spacing w:before="120" w:after="0"/>
        <w:jc w:val="left"/>
        <w:rPr>
          <w:rFonts w:ascii="Times New Roman" w:hAnsi="Times New Roman"/>
          <w:sz w:val="20"/>
        </w:rPr>
      </w:pPr>
      <w:r>
        <w:rPr>
          <w:rFonts w:ascii="Times New Roman" w:hAnsi="Times New Roman"/>
          <w:sz w:val="20"/>
        </w:rPr>
        <w:t xml:space="preserve">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 </w:t>
      </w:r>
    </w:p>
    <w:p>
      <w:pPr>
        <w:pStyle w:val="TextBody"/>
        <w:spacing w:before="360" w:after="0"/>
        <w:jc w:val="left"/>
        <w:rPr>
          <w:rFonts w:ascii="Times New Roman" w:hAnsi="Times New Roman"/>
          <w:b/>
          <w:sz w:val="20"/>
        </w:rPr>
      </w:pPr>
      <w:r>
        <w:rPr>
          <w:rFonts w:ascii="Times New Roman" w:hAnsi="Times New Roman"/>
          <w:b/>
          <w:sz w:val="20"/>
        </w:rPr>
        <w:t xml:space="preserve">When are stockholder proposals and director nominations due for next years annual meeting? </w:t>
      </w:r>
    </w:p>
    <w:p>
      <w:pPr>
        <w:pStyle w:val="TextBody"/>
        <w:spacing w:before="120" w:after="0"/>
        <w:jc w:val="left"/>
        <w:rPr>
          <w:rFonts w:ascii="Times New Roman" w:hAnsi="Times New Roman"/>
          <w:i/>
          <w:sz w:val="20"/>
        </w:rPr>
      </w:pPr>
      <w:r>
        <w:rPr>
          <w:rFonts w:ascii="Times New Roman" w:hAnsi="Times New Roman"/>
          <w:i/>
          <w:sz w:val="20"/>
        </w:rPr>
        <w:t xml:space="preserve">Requirements for stockholder proposals to be brought before an annual meeting </w:t>
      </w:r>
    </w:p>
    <w:p>
      <w:pPr>
        <w:pStyle w:val="TextBody"/>
        <w:spacing w:before="120" w:after="0"/>
        <w:jc w:val="left"/>
        <w:rPr>
          <w:rFonts w:ascii="Times New Roman" w:hAnsi="Times New Roman"/>
          <w:sz w:val="20"/>
        </w:rPr>
      </w:pPr>
      <w:r>
        <w:rPr>
          <w:rFonts w:ascii="Times New Roman" w:hAnsi="Times New Roman"/>
          <w:sz w:val="20"/>
        </w:rPr>
        <w:t>Our third amended and restated bylaws (</w:t>
      </w:r>
      <w:r>
        <w:rPr>
          <w:rFonts w:ascii="Times New Roman" w:hAnsi="Times New Roman"/>
          <w:b/>
          <w:i/>
          <w:sz w:val="20"/>
        </w:rPr>
        <w:t>Bylaws</w:t>
      </w:r>
      <w:r>
        <w:rPr>
          <w:rFonts w:ascii="Times New Roman" w:hAnsi="Times New Roman"/>
          <w:sz w:val="20"/>
        </w:rPr>
        <w:t xml:space="preserve">) provide that, for stockholder director nominations or other proposals to be considered at an annual meeting, the stockholder must give timely notice thereof in writing to our Corporate Secretary at Tempest Therapeutics, Inc., 2000 Sierra Point Parkway, Suite 400, Brisbane, California, 94005. To be timely for the 2024 Annual Meeting of Stockholders, a stockholders notice must be delivered to or mailed and received by our Secretary at our principal executive offices between February 16, 2024 and March 17, 2024; </w:t>
      </w:r>
      <w:r>
        <w:rPr>
          <w:rFonts w:ascii="Times New Roman" w:hAnsi="Times New Roman"/>
          <w:i/>
          <w:sz w:val="20"/>
        </w:rPr>
        <w:t>provided, however,</w:t>
      </w:r>
      <w:r>
        <w:rPr>
          <w:rFonts w:ascii="Times New Roman" w:hAnsi="Times New Roman"/>
          <w:sz w:val="20"/>
        </w:rPr>
        <w:t xml:space="preserve"> that if the date of that annual meeting of stockholders is advanced by more than 20 days or delayed by more than 60 days from the anniversary of the preceding years annual meeting, you must give the required notice not earlier than the 120th day prior to the meeting date and not later than the 90th day prior to the meeting date or, if later than the 90th day prior to such meeting date, the 10th day following the day on which public disclosure of that meeting date is first made. A stockholders notice to the Secretary must also set forth the information required by our Bylaws.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Requirements for stockholder proposals to be considered for inclusion in our proxy materials. </w:t>
      </w:r>
    </w:p>
    <w:p>
      <w:pPr>
        <w:pStyle w:val="TextBody"/>
        <w:spacing w:before="120" w:after="0"/>
        <w:jc w:val="left"/>
        <w:rPr>
          <w:rFonts w:ascii="Times New Roman" w:hAnsi="Times New Roman"/>
          <w:sz w:val="20"/>
        </w:rPr>
      </w:pPr>
      <w:r>
        <w:rPr>
          <w:rFonts w:ascii="Times New Roman" w:hAnsi="Times New Roman"/>
          <w:sz w:val="20"/>
        </w:rPr>
        <w:t>Stockholder proposals submitted pursuant to Rule 14a-8 under the Securities Exchange Act of 1934, as amended (the </w:t>
      </w:r>
      <w:r>
        <w:rPr>
          <w:rFonts w:ascii="Times New Roman" w:hAnsi="Times New Roman"/>
          <w:b/>
          <w:i/>
          <w:sz w:val="20"/>
        </w:rPr>
        <w:t>Exchange Act</w:t>
      </w:r>
      <w:r>
        <w:rPr>
          <w:rFonts w:ascii="Times New Roman" w:hAnsi="Times New Roman"/>
          <w:sz w:val="20"/>
        </w:rPr>
        <w:t xml:space="preserve">), and intended to be presented at the 2024 Annual Meeting of Stockholders must be received by us not later than January 2, 2024 in order to be considered for inclusion in our proxy materials for that meeting. In addition, stockholders who intend to solicit proxies in support of director nominees other than our nominees must also comply with the additional requirements of Rule 14a-19.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4" w:name="tx456303_2"/>
      <w:bookmarkEnd w:id="4"/>
      <w:r>
        <w:rPr>
          <w:rFonts w:ascii="Times New Roman" w:hAnsi="Times New Roman"/>
          <w:b/>
          <w:sz w:val="20"/>
        </w:rPr>
        <w:t xml:space="preserve">PROPOSAL 1 </w:t>
      </w:r>
    </w:p>
    <w:p>
      <w:pPr>
        <w:pStyle w:val="TextBody"/>
        <w:spacing w:before="0" w:after="0"/>
        <w:jc w:val="center"/>
        <w:rPr>
          <w:rFonts w:ascii="Times New Roman" w:hAnsi="Times New Roman"/>
          <w:b/>
          <w:sz w:val="20"/>
        </w:rPr>
      </w:pPr>
      <w:r>
        <w:rPr>
          <w:rFonts w:ascii="Times New Roman" w:hAnsi="Times New Roman"/>
          <w:b/>
          <w:sz w:val="20"/>
        </w:rPr>
        <w:t xml:space="preserve">ELECTION OF DIRECTORS </w:t>
      </w:r>
    </w:p>
    <w:p>
      <w:pPr>
        <w:pStyle w:val="TextBody"/>
        <w:spacing w:before="240" w:after="0"/>
        <w:jc w:val="left"/>
        <w:rPr>
          <w:rFonts w:ascii="Times New Roman" w:hAnsi="Times New Roman"/>
          <w:sz w:val="20"/>
        </w:rPr>
      </w:pPr>
      <w:r>
        <w:rPr>
          <w:rFonts w:ascii="Times New Roman" w:hAnsi="Times New Roman"/>
          <w:sz w:val="20"/>
        </w:rPr>
        <w:t xml:space="preserve">Our Board is divided into three classes. Each class consists, as nearly as possible, of one-third of the total number of directors, and each class has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 </w:t>
      </w:r>
    </w:p>
    <w:p>
      <w:pPr>
        <w:pStyle w:val="TextBody"/>
        <w:spacing w:before="240" w:after="0"/>
        <w:jc w:val="left"/>
        <w:rPr>
          <w:rFonts w:ascii="Times New Roman" w:hAnsi="Times New Roman"/>
          <w:sz w:val="20"/>
        </w:rPr>
      </w:pPr>
      <w:r>
        <w:rPr>
          <w:rFonts w:ascii="Times New Roman" w:hAnsi="Times New Roman"/>
          <w:sz w:val="20"/>
        </w:rPr>
        <w:t>The Board presently has seven members. There are three directors in the class whose term of office expires in 2023. Thomas Woiwode will resign from the Board at the conclusion of his term at the Annual Meeting, at which time, the Board will be reduced to six members. Upon the recommendation of the Nominating and Corporate Governance Committee, our Board has nominated the following individuals for election as directors at the Annual Meeting. Dr. Dubensky was appointed to the Board upon completion of the Companys merger with Millendo Therapeutics, Inc. (</w:t>
      </w:r>
      <w:r>
        <w:rPr>
          <w:rFonts w:ascii="Times New Roman" w:hAnsi="Times New Roman"/>
          <w:b/>
          <w:i/>
          <w:sz w:val="20"/>
        </w:rPr>
        <w:t>Millendo</w:t>
      </w:r>
      <w:r>
        <w:rPr>
          <w:rFonts w:ascii="Times New Roman" w:hAnsi="Times New Roman"/>
          <w:sz w:val="20"/>
        </w:rPr>
        <w:t xml:space="preserve">), and Ms. Pellizzari was recommended for nomination to the Board by Mr. Brady, our CEO, and the members of the Nominating and Corporate Governance committee.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Thomas Dubensky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Christine Pellizzari </w:t>
            </w:r>
          </w:p>
        </w:tc>
      </w:tr>
    </w:tbl>
    <w:p>
      <w:pPr>
        <w:pStyle w:val="TextBody"/>
        <w:spacing w:before="240" w:after="0"/>
        <w:jc w:val="left"/>
        <w:rPr>
          <w:rFonts w:ascii="Times New Roman" w:hAnsi="Times New Roman"/>
          <w:sz w:val="20"/>
        </w:rPr>
      </w:pPr>
      <w:r>
        <w:rPr>
          <w:rFonts w:ascii="Times New Roman" w:hAnsi="Times New Roman"/>
          <w:sz w:val="20"/>
        </w:rPr>
        <w:t xml:space="preserve">The biographies below under Information Regarding Director Nominees and Continuing Directors include information, as of the date of this proxy statement, regarding the specific and particular experience, qualifications, attributes or skills of each director nominee that led the Nominating and Corporate Governance Committee to believe that the nominee should continue to serve on the Board. If you elect the nominees listed above, they will each hold office until the 2026 Annual Meeting of Stockholders and until the directors successor has been duly elected and qualified, or, if sooner, until the directors death, resignation or removal. The nominees are currently serving on our Board and have consented to being named in this proxy statement and to serve if elected. There are no family relationships among any of our executive officers or directors. It is our policy to encourage directors and nominees for director to attend the Annual Meeting. </w:t>
      </w:r>
    </w:p>
    <w:p>
      <w:pPr>
        <w:pStyle w:val="TextBody"/>
        <w:spacing w:before="360" w:after="0"/>
        <w:jc w:val="left"/>
        <w:rPr>
          <w:rFonts w:ascii="Times New Roman" w:hAnsi="Times New Roman"/>
          <w:b/>
          <w:sz w:val="20"/>
        </w:rPr>
      </w:pPr>
      <w:r>
        <w:rPr>
          <w:rFonts w:ascii="Times New Roman" w:hAnsi="Times New Roman"/>
          <w:b/>
          <w:sz w:val="20"/>
        </w:rPr>
        <w:t xml:space="preserve">VOTE REQUIRED </w:t>
      </w:r>
    </w:p>
    <w:p>
      <w:pPr>
        <w:pStyle w:val="TextBody"/>
        <w:spacing w:before="120" w:after="0"/>
        <w:jc w:val="left"/>
        <w:rPr>
          <w:rFonts w:ascii="Times New Roman" w:hAnsi="Times New Roman"/>
          <w:sz w:val="20"/>
        </w:rPr>
      </w:pPr>
      <w:r>
        <w:rPr>
          <w:rFonts w:ascii="Times New Roman" w:hAnsi="Times New Roman"/>
          <w:sz w:val="20"/>
        </w:rPr>
        <w:t xml:space="preserve">Directors are elected by a plurality of the votes cast at the Annual Meeting by the holders entitled to vote on the election of directors. Accordingly, the nominees receiving the most FOR votes will be elected as directors. Abstentions will have no effect on the outcome of Proposal 1. You may not vote your shares cumulatively for the election of directors. Shares represented by executed proxies will be voted, if authority to do so is not withheld, for the election of the three nominees named above. If any nominee becomes unavailable for election because of an unexpected occurrence, your shares will be voted for the election of a substitute nominee proposed by our Board. Your proxy cannot be voted for a greater number of persons than the number of director nominees named in this proxy statement. </w:t>
      </w:r>
    </w:p>
    <w:p>
      <w:pPr>
        <w:pStyle w:val="TextBody"/>
        <w:spacing w:before="360" w:after="0"/>
        <w:jc w:val="left"/>
        <w:rPr>
          <w:rFonts w:ascii="Times New Roman" w:hAnsi="Times New Roman"/>
          <w:b/>
          <w:sz w:val="20"/>
        </w:rPr>
      </w:pPr>
      <w:r>
        <w:rPr>
          <w:rFonts w:ascii="Times New Roman" w:hAnsi="Times New Roman"/>
          <w:b/>
          <w:sz w:val="20"/>
        </w:rPr>
        <w:t xml:space="preserve">OUR RECOMMENDATION </w:t>
      </w:r>
    </w:p>
    <w:p>
      <w:pPr>
        <w:pStyle w:val="TextBody"/>
        <w:spacing w:before="240" w:after="0"/>
        <w:jc w:val="center"/>
        <w:rPr>
          <w:rFonts w:ascii="Times New Roman" w:hAnsi="Times New Roman"/>
          <w:b/>
          <w:sz w:val="20"/>
        </w:rPr>
      </w:pPr>
      <w:r>
        <w:rPr>
          <w:rFonts w:ascii="Times New Roman" w:hAnsi="Times New Roman"/>
          <w:b/>
          <w:sz w:val="20"/>
        </w:rPr>
        <w:t xml:space="preserve">THE BOARD OF DIRECTORS RECOMMENDS </w:t>
      </w:r>
    </w:p>
    <w:p>
      <w:pPr>
        <w:pStyle w:val="TextBody"/>
        <w:spacing w:before="0" w:after="0"/>
        <w:jc w:val="center"/>
        <w:rPr>
          <w:rFonts w:ascii="Times New Roman" w:hAnsi="Times New Roman"/>
          <w:b/>
          <w:sz w:val="20"/>
        </w:rPr>
      </w:pPr>
      <w:r>
        <w:rPr>
          <w:rFonts w:ascii="Times New Roman" w:hAnsi="Times New Roman"/>
          <w:b/>
          <w:sz w:val="20"/>
        </w:rPr>
        <w:t xml:space="preserve">A VOTE IN FAVOR OF EACH NOMINEE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5" w:name="tx456303_3"/>
      <w:bookmarkEnd w:id="5"/>
      <w:r>
        <w:rPr>
          <w:rFonts w:ascii="Times New Roman" w:hAnsi="Times New Roman"/>
          <w:b/>
          <w:sz w:val="20"/>
        </w:rPr>
        <w:t xml:space="preserve">INFORMATION REGARDING DIRECTOR NOMINEES AND CONTINUING DIRECTORS </w:t>
      </w:r>
    </w:p>
    <w:p>
      <w:pPr>
        <w:pStyle w:val="TextBody"/>
        <w:spacing w:before="240" w:after="0"/>
        <w:jc w:val="left"/>
        <w:rPr>
          <w:rFonts w:ascii="Times New Roman" w:hAnsi="Times New Roman"/>
          <w:sz w:val="20"/>
        </w:rPr>
      </w:pPr>
      <w:r>
        <w:rPr>
          <w:rFonts w:ascii="Times New Roman" w:hAnsi="Times New Roman"/>
          <w:sz w:val="20"/>
        </w:rPr>
        <w:t xml:space="preserve">The following table sets forth, for the Class II nominees and our other continuing directors, their ages and position or office held with us as of the date of this proxy statement: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8"/>
        <w:gridCol w:w="207"/>
        <w:gridCol w:w="661"/>
        <w:gridCol w:w="207"/>
        <w:gridCol w:w="4800"/>
        <w:gridCol w:w="207"/>
        <w:gridCol w:w="645"/>
      </w:tblGrid>
      <w:tr>
        <w:trPr/>
        <w:tc>
          <w:tcPr>
            <w:tcW w:w="3478"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sz w:val="4"/>
                <w:szCs w:val="4"/>
              </w:rPr>
            </w:pPr>
            <w:r>
              <w:rPr>
                <w:sz w:val="4"/>
                <w:szCs w:val="4"/>
              </w:rPr>
            </w:r>
          </w:p>
        </w:tc>
        <w:tc>
          <w:tcPr>
            <w:tcW w:w="4800"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r>
      <w:tr>
        <w:trPr/>
        <w:tc>
          <w:tcPr>
            <w:tcW w:w="3478"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Name</w:t>
            </w:r>
          </w:p>
        </w:tc>
        <w:tc>
          <w:tcPr>
            <w:tcW w:w="207" w:type="dxa"/>
            <w:tcBorders/>
            <w:shd w:fill="auto" w:val="clear"/>
            <w:vAlign w:val="bottom"/>
          </w:tcPr>
          <w:p>
            <w:pPr>
              <w:pStyle w:val="TableContents"/>
              <w:spacing w:before="0" w:after="283"/>
              <w:rPr/>
            </w:pPr>
            <w:r>
              <w:rPr/>
              <w:t>  </w:t>
            </w:r>
          </w:p>
        </w:tc>
        <w:tc>
          <w:tcPr>
            <w:tcW w:w="661" w:type="dxa"/>
            <w:tcBorders>
              <w:bottom w:val="single" w:sz="8" w:space="0" w:color="000000"/>
            </w:tcBorders>
            <w:shd w:fill="auto" w:val="clear"/>
            <w:tcMar>
              <w:bottom w:w="28" w:type="dxa"/>
            </w:tcMar>
            <w:vAlign w:val="bottom"/>
          </w:tcPr>
          <w:p>
            <w:pPr>
              <w:pStyle w:val="TableContents"/>
              <w:spacing w:before="0" w:after="20"/>
              <w:jc w:val="right"/>
              <w:rPr>
                <w:rFonts w:ascii="Times New Roman" w:hAnsi="Times New Roman"/>
                <w:b/>
                <w:sz w:val="16"/>
              </w:rPr>
            </w:pPr>
            <w:r>
              <w:rPr>
                <w:rFonts w:ascii="Times New Roman" w:hAnsi="Times New Roman"/>
                <w:b/>
                <w:sz w:val="16"/>
              </w:rPr>
              <w:t>Age</w:t>
            </w:r>
          </w:p>
        </w:tc>
        <w:tc>
          <w:tcPr>
            <w:tcW w:w="207" w:type="dxa"/>
            <w:tcBorders/>
            <w:shd w:fill="auto" w:val="clear"/>
            <w:vAlign w:val="bottom"/>
          </w:tcPr>
          <w:p>
            <w:pPr>
              <w:pStyle w:val="TableContents"/>
              <w:spacing w:before="0" w:after="283"/>
              <w:rPr/>
            </w:pPr>
            <w:r>
              <w:rPr/>
              <w:t>  </w:t>
            </w:r>
          </w:p>
        </w:tc>
        <w:tc>
          <w:tcPr>
            <w:tcW w:w="4800"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Position</w:t>
            </w:r>
          </w:p>
        </w:tc>
        <w:tc>
          <w:tcPr>
            <w:tcW w:w="207" w:type="dxa"/>
            <w:tcBorders/>
            <w:shd w:fill="auto" w:val="clear"/>
            <w:vAlign w:val="bottom"/>
          </w:tcPr>
          <w:p>
            <w:pPr>
              <w:pStyle w:val="TableContents"/>
              <w:spacing w:before="0" w:after="283"/>
              <w:rPr/>
            </w:pPr>
            <w:r>
              <w:rPr/>
              <w:t>  </w:t>
            </w:r>
          </w:p>
        </w:tc>
        <w:tc>
          <w:tcPr>
            <w:tcW w:w="645"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Director</w:t>
              <w:br/>
              <w:t>Since</w:t>
            </w:r>
          </w:p>
        </w:tc>
      </w:tr>
      <w:tr>
        <w:trPr/>
        <w:tc>
          <w:tcPr>
            <w:tcW w:w="10205" w:type="dxa"/>
            <w:gridSpan w:val="7"/>
            <w:tcBorders/>
            <w:shd w:fill="auto" w:val="clear"/>
          </w:tcPr>
          <w:p>
            <w:pPr>
              <w:pStyle w:val="TableContents"/>
              <w:spacing w:before="0" w:after="283"/>
              <w:rPr>
                <w:b/>
                <w:i/>
              </w:rPr>
            </w:pPr>
            <w:r>
              <w:rPr>
                <w:b/>
                <w:i/>
              </w:rPr>
              <w:t>Class II Nominees for Election at the 2023 Annual Meeting of Stockholders</w:t>
            </w:r>
          </w:p>
        </w:tc>
      </w:tr>
      <w:tr>
        <w:trPr/>
        <w:tc>
          <w:tcPr>
            <w:tcW w:w="3478" w:type="dxa"/>
            <w:tcBorders/>
            <w:shd w:fill="auto" w:val="clear"/>
          </w:tcPr>
          <w:p>
            <w:pPr>
              <w:pStyle w:val="TableContents"/>
              <w:spacing w:before="0" w:after="0"/>
              <w:rPr>
                <w:rFonts w:ascii="Times New Roman" w:hAnsi="Times New Roman"/>
                <w:sz w:val="20"/>
              </w:rPr>
            </w:pPr>
            <w:r>
              <w:rPr>
                <w:rFonts w:ascii="Times New Roman" w:hAnsi="Times New Roman"/>
                <w:sz w:val="20"/>
              </w:rPr>
              <w:t>Thomas Dubensky</w:t>
            </w:r>
          </w:p>
        </w:tc>
        <w:tc>
          <w:tcPr>
            <w:tcW w:w="207"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spacing w:before="0" w:after="283"/>
              <w:jc w:val="right"/>
              <w:rPr/>
            </w:pPr>
            <w:r>
              <w:rPr/>
              <w:t>65</w:t>
            </w:r>
          </w:p>
        </w:tc>
        <w:tc>
          <w:tcPr>
            <w:tcW w:w="207" w:type="dxa"/>
            <w:tcBorders/>
            <w:shd w:fill="auto" w:val="clear"/>
            <w:vAlign w:val="bottom"/>
          </w:tcPr>
          <w:p>
            <w:pPr>
              <w:pStyle w:val="TableContents"/>
              <w:spacing w:before="0" w:after="283"/>
              <w:rPr/>
            </w:pPr>
            <w:r>
              <w:rPr/>
              <w:t>  </w:t>
            </w:r>
          </w:p>
        </w:tc>
        <w:tc>
          <w:tcPr>
            <w:tcW w:w="4800" w:type="dxa"/>
            <w:tcBorders/>
            <w:shd w:fill="auto" w:val="clear"/>
            <w:vAlign w:val="bottom"/>
          </w:tcPr>
          <w:p>
            <w:pPr>
              <w:pStyle w:val="TableContents"/>
              <w:spacing w:before="0" w:after="283"/>
              <w:rPr/>
            </w:pPr>
            <w:r>
              <w:rPr/>
              <w:t>President and Director</w:t>
            </w:r>
          </w:p>
        </w:tc>
        <w:tc>
          <w:tcPr>
            <w:tcW w:w="207"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jc w:val="center"/>
              <w:rPr/>
            </w:pPr>
            <w:r>
              <w:rPr/>
              <w:t>2021</w:t>
            </w:r>
          </w:p>
        </w:tc>
      </w:tr>
      <w:tr>
        <w:trPr/>
        <w:tc>
          <w:tcPr>
            <w:tcW w:w="3478" w:type="dxa"/>
            <w:tcBorders/>
            <w:shd w:fill="auto" w:val="clear"/>
          </w:tcPr>
          <w:p>
            <w:pPr>
              <w:pStyle w:val="TableContents"/>
              <w:spacing w:before="0" w:after="0"/>
              <w:rPr>
                <w:rFonts w:ascii="Times New Roman" w:hAnsi="Times New Roman"/>
                <w:sz w:val="20"/>
              </w:rPr>
            </w:pPr>
            <w:r>
              <w:rPr>
                <w:rFonts w:ascii="Times New Roman" w:hAnsi="Times New Roman"/>
                <w:sz w:val="20"/>
              </w:rPr>
              <w:t>Christine Pellizzari</w:t>
            </w:r>
          </w:p>
        </w:tc>
        <w:tc>
          <w:tcPr>
            <w:tcW w:w="207"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spacing w:before="0" w:after="283"/>
              <w:jc w:val="right"/>
              <w:rPr/>
            </w:pPr>
            <w:r>
              <w:rPr/>
              <w:t>55</w:t>
            </w:r>
          </w:p>
        </w:tc>
        <w:tc>
          <w:tcPr>
            <w:tcW w:w="207" w:type="dxa"/>
            <w:tcBorders/>
            <w:shd w:fill="auto" w:val="clear"/>
            <w:vAlign w:val="bottom"/>
          </w:tcPr>
          <w:p>
            <w:pPr>
              <w:pStyle w:val="TableContents"/>
              <w:spacing w:before="0" w:after="283"/>
              <w:rPr/>
            </w:pPr>
            <w:r>
              <w:rPr/>
              <w:t>  </w:t>
            </w:r>
          </w:p>
        </w:tc>
        <w:tc>
          <w:tcPr>
            <w:tcW w:w="4800" w:type="dxa"/>
            <w:tcBorders/>
            <w:shd w:fill="auto" w:val="clear"/>
            <w:vAlign w:val="bottom"/>
          </w:tcPr>
          <w:p>
            <w:pPr>
              <w:pStyle w:val="TableContents"/>
              <w:spacing w:before="0" w:after="283"/>
              <w:rPr/>
            </w:pPr>
            <w:r>
              <w:rPr/>
              <w:t>Director</w:t>
            </w:r>
          </w:p>
        </w:tc>
        <w:tc>
          <w:tcPr>
            <w:tcW w:w="207"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jc w:val="center"/>
              <w:rPr/>
            </w:pPr>
            <w:r>
              <w:rPr/>
              <w:t>2021</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205" w:type="dxa"/>
            <w:gridSpan w:val="7"/>
            <w:tcBorders/>
            <w:shd w:fill="auto" w:val="clear"/>
          </w:tcPr>
          <w:p>
            <w:pPr>
              <w:pStyle w:val="TableContents"/>
              <w:spacing w:before="0" w:after="283"/>
              <w:rPr>
                <w:b/>
                <w:i/>
              </w:rPr>
            </w:pPr>
            <w:r>
              <w:rPr>
                <w:b/>
                <w:i/>
              </w:rPr>
              <w:t>Class III Directors Continuing in Office Until the 2024 Annual Meeting of Stockholders</w:t>
            </w:r>
          </w:p>
        </w:tc>
      </w:tr>
      <w:tr>
        <w:trPr/>
        <w:tc>
          <w:tcPr>
            <w:tcW w:w="3478" w:type="dxa"/>
            <w:tcBorders/>
            <w:shd w:fill="auto" w:val="clear"/>
          </w:tcPr>
          <w:p>
            <w:pPr>
              <w:pStyle w:val="TableContents"/>
              <w:spacing w:before="0" w:after="0"/>
              <w:rPr>
                <w:rFonts w:ascii="Times New Roman" w:hAnsi="Times New Roman"/>
                <w:sz w:val="20"/>
              </w:rPr>
            </w:pPr>
            <w:r>
              <w:rPr>
                <w:rFonts w:ascii="Times New Roman" w:hAnsi="Times New Roman"/>
                <w:sz w:val="20"/>
              </w:rPr>
              <w:t>Stephen Brady</w:t>
            </w:r>
          </w:p>
        </w:tc>
        <w:tc>
          <w:tcPr>
            <w:tcW w:w="207" w:type="dxa"/>
            <w:tcBorders/>
            <w:shd w:fill="auto" w:val="clear"/>
            <w:vAlign w:val="bottom"/>
          </w:tcPr>
          <w:p>
            <w:pPr>
              <w:pStyle w:val="TableContents"/>
              <w:spacing w:before="0" w:after="283"/>
              <w:rPr/>
            </w:pPr>
            <w:r>
              <w:rPr/>
              <w:t>  </w:t>
            </w:r>
          </w:p>
        </w:tc>
        <w:tc>
          <w:tcPr>
            <w:tcW w:w="661" w:type="dxa"/>
            <w:tcBorders/>
            <w:shd w:fill="auto" w:val="clear"/>
          </w:tcPr>
          <w:p>
            <w:pPr>
              <w:pStyle w:val="TableContents"/>
              <w:spacing w:before="0" w:after="283"/>
              <w:jc w:val="right"/>
              <w:rPr/>
            </w:pPr>
            <w:r>
              <w:rPr/>
              <w:t>53</w:t>
            </w:r>
          </w:p>
        </w:tc>
        <w:tc>
          <w:tcPr>
            <w:tcW w:w="207" w:type="dxa"/>
            <w:tcBorders/>
            <w:shd w:fill="auto" w:val="clear"/>
            <w:vAlign w:val="bottom"/>
          </w:tcPr>
          <w:p>
            <w:pPr>
              <w:pStyle w:val="TableContents"/>
              <w:spacing w:before="0" w:after="283"/>
              <w:rPr/>
            </w:pPr>
            <w:r>
              <w:rPr/>
              <w:t>  </w:t>
            </w:r>
          </w:p>
        </w:tc>
        <w:tc>
          <w:tcPr>
            <w:tcW w:w="4800" w:type="dxa"/>
            <w:tcBorders/>
            <w:shd w:fill="auto" w:val="clear"/>
            <w:vAlign w:val="bottom"/>
          </w:tcPr>
          <w:p>
            <w:pPr>
              <w:pStyle w:val="TableContents"/>
              <w:spacing w:before="0" w:after="283"/>
              <w:rPr/>
            </w:pPr>
            <w:r>
              <w:rPr/>
              <w:t>Chief Executive Officer and Director</w:t>
            </w:r>
          </w:p>
        </w:tc>
        <w:tc>
          <w:tcPr>
            <w:tcW w:w="207"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jc w:val="center"/>
              <w:rPr/>
            </w:pPr>
            <w:r>
              <w:rPr/>
              <w:t>2021</w:t>
            </w:r>
          </w:p>
        </w:tc>
      </w:tr>
      <w:tr>
        <w:trPr/>
        <w:tc>
          <w:tcPr>
            <w:tcW w:w="3478" w:type="dxa"/>
            <w:tcBorders/>
            <w:shd w:fill="auto" w:val="clear"/>
          </w:tcPr>
          <w:p>
            <w:pPr>
              <w:pStyle w:val="TableContents"/>
              <w:spacing w:before="0" w:after="0"/>
              <w:rPr>
                <w:rFonts w:ascii="Times New Roman" w:hAnsi="Times New Roman"/>
                <w:sz w:val="20"/>
              </w:rPr>
            </w:pPr>
            <w:r>
              <w:rPr>
                <w:rFonts w:ascii="Times New Roman" w:hAnsi="Times New Roman"/>
                <w:sz w:val="20"/>
              </w:rPr>
              <w:t>Michael Raab</w:t>
            </w:r>
          </w:p>
        </w:tc>
        <w:tc>
          <w:tcPr>
            <w:tcW w:w="207"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spacing w:before="0" w:after="283"/>
              <w:jc w:val="right"/>
              <w:rPr/>
            </w:pPr>
            <w:r>
              <w:rPr/>
              <w:t>58</w:t>
            </w:r>
          </w:p>
        </w:tc>
        <w:tc>
          <w:tcPr>
            <w:tcW w:w="207" w:type="dxa"/>
            <w:tcBorders/>
            <w:shd w:fill="auto" w:val="clear"/>
            <w:vAlign w:val="bottom"/>
          </w:tcPr>
          <w:p>
            <w:pPr>
              <w:pStyle w:val="TableContents"/>
              <w:spacing w:before="0" w:after="283"/>
              <w:rPr/>
            </w:pPr>
            <w:r>
              <w:rPr/>
              <w:t>  </w:t>
            </w:r>
          </w:p>
        </w:tc>
        <w:tc>
          <w:tcPr>
            <w:tcW w:w="4800" w:type="dxa"/>
            <w:tcBorders/>
            <w:shd w:fill="auto" w:val="clear"/>
            <w:vAlign w:val="bottom"/>
          </w:tcPr>
          <w:p>
            <w:pPr>
              <w:pStyle w:val="TableContents"/>
              <w:spacing w:before="0" w:after="283"/>
              <w:rPr/>
            </w:pPr>
            <w:r>
              <w:rPr/>
              <w:t>Chairman of the Board</w:t>
            </w:r>
          </w:p>
        </w:tc>
        <w:tc>
          <w:tcPr>
            <w:tcW w:w="207"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jc w:val="center"/>
              <w:rPr/>
            </w:pPr>
            <w:r>
              <w:rPr/>
              <w:t>2021</w:t>
            </w:r>
          </w:p>
        </w:tc>
      </w:tr>
      <w:tr>
        <w:trPr/>
        <w:tc>
          <w:tcPr>
            <w:tcW w:w="3478" w:type="dxa"/>
            <w:tcBorders/>
            <w:shd w:fill="auto" w:val="clear"/>
          </w:tcPr>
          <w:p>
            <w:pPr>
              <w:pStyle w:val="TableContents"/>
              <w:spacing w:before="0" w:after="0"/>
              <w:rPr>
                <w:rFonts w:ascii="Times New Roman" w:hAnsi="Times New Roman"/>
                <w:sz w:val="20"/>
              </w:rPr>
            </w:pPr>
            <w:r>
              <w:rPr>
                <w:rFonts w:ascii="Times New Roman" w:hAnsi="Times New Roman"/>
                <w:sz w:val="20"/>
              </w:rPr>
              <w:t>Ronit Simantov</w:t>
            </w:r>
          </w:p>
        </w:tc>
        <w:tc>
          <w:tcPr>
            <w:tcW w:w="207"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spacing w:before="0" w:after="283"/>
              <w:jc w:val="right"/>
              <w:rPr/>
            </w:pPr>
            <w:r>
              <w:rPr/>
              <w:t>58</w:t>
            </w:r>
          </w:p>
        </w:tc>
        <w:tc>
          <w:tcPr>
            <w:tcW w:w="207" w:type="dxa"/>
            <w:tcBorders/>
            <w:shd w:fill="auto" w:val="clear"/>
            <w:vAlign w:val="bottom"/>
          </w:tcPr>
          <w:p>
            <w:pPr>
              <w:pStyle w:val="TableContents"/>
              <w:spacing w:before="0" w:after="283"/>
              <w:rPr/>
            </w:pPr>
            <w:r>
              <w:rPr/>
              <w:t>  </w:t>
            </w:r>
          </w:p>
        </w:tc>
        <w:tc>
          <w:tcPr>
            <w:tcW w:w="4800" w:type="dxa"/>
            <w:tcBorders/>
            <w:shd w:fill="auto" w:val="clear"/>
            <w:vAlign w:val="bottom"/>
          </w:tcPr>
          <w:p>
            <w:pPr>
              <w:pStyle w:val="TableContents"/>
              <w:spacing w:before="0" w:after="283"/>
              <w:rPr/>
            </w:pPr>
            <w:r>
              <w:rPr/>
              <w:t>Director</w:t>
            </w:r>
          </w:p>
        </w:tc>
        <w:tc>
          <w:tcPr>
            <w:tcW w:w="207"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jc w:val="center"/>
              <w:rPr/>
            </w:pPr>
            <w:r>
              <w:rPr/>
              <w:t>2021</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205" w:type="dxa"/>
            <w:gridSpan w:val="7"/>
            <w:tcBorders/>
            <w:shd w:fill="auto" w:val="clear"/>
          </w:tcPr>
          <w:p>
            <w:pPr>
              <w:pStyle w:val="TableContents"/>
              <w:spacing w:before="0" w:after="283"/>
              <w:rPr>
                <w:b/>
                <w:i/>
              </w:rPr>
            </w:pPr>
            <w:r>
              <w:rPr>
                <w:b/>
                <w:i/>
              </w:rPr>
              <w:t>Class I Director Continuing in Office Until the 2025 Annual Meeting of Stockholders</w:t>
            </w:r>
          </w:p>
        </w:tc>
      </w:tr>
      <w:tr>
        <w:trPr>
          <w:trHeight w:val="120" w:hRule="atLeast"/>
        </w:trPr>
        <w:tc>
          <w:tcPr>
            <w:tcW w:w="3478" w:type="dxa"/>
            <w:tcBorders/>
            <w:shd w:fill="auto" w:val="clear"/>
            <w:vAlign w:val="center"/>
          </w:tcPr>
          <w:p>
            <w:pPr>
              <w:pStyle w:val="TableContents"/>
              <w:spacing w:before="0" w:after="283"/>
              <w:rPr>
                <w:sz w:val="4"/>
                <w:szCs w:val="4"/>
              </w:rPr>
            </w:pPr>
            <w:r>
              <w:rPr>
                <w:sz w:val="4"/>
                <w:szCs w:val="4"/>
              </w:rPr>
            </w:r>
          </w:p>
        </w:tc>
        <w:tc>
          <w:tcPr>
            <w:tcW w:w="868" w:type="dxa"/>
            <w:gridSpan w:val="2"/>
            <w:tcBorders/>
            <w:shd w:fill="auto" w:val="clear"/>
            <w:vAlign w:val="center"/>
          </w:tcPr>
          <w:p>
            <w:pPr>
              <w:pStyle w:val="TableContents"/>
              <w:spacing w:before="0" w:after="283"/>
              <w:rPr>
                <w:sz w:val="4"/>
                <w:szCs w:val="4"/>
              </w:rPr>
            </w:pPr>
            <w:r>
              <w:rPr>
                <w:sz w:val="4"/>
                <w:szCs w:val="4"/>
              </w:rPr>
            </w:r>
          </w:p>
        </w:tc>
        <w:tc>
          <w:tcPr>
            <w:tcW w:w="5007" w:type="dxa"/>
            <w:gridSpan w:val="2"/>
            <w:tcBorders/>
            <w:shd w:fill="auto" w:val="clear"/>
            <w:vAlign w:val="center"/>
          </w:tcPr>
          <w:p>
            <w:pPr>
              <w:pStyle w:val="TableContents"/>
              <w:spacing w:before="0" w:after="283"/>
              <w:rPr>
                <w:sz w:val="4"/>
                <w:szCs w:val="4"/>
              </w:rPr>
            </w:pPr>
            <w:r>
              <w:rPr>
                <w:sz w:val="4"/>
                <w:szCs w:val="4"/>
              </w:rPr>
            </w:r>
          </w:p>
        </w:tc>
        <w:tc>
          <w:tcPr>
            <w:tcW w:w="852" w:type="dxa"/>
            <w:gridSpan w:val="2"/>
            <w:tcBorders/>
            <w:shd w:fill="auto" w:val="clear"/>
            <w:vAlign w:val="center"/>
          </w:tcPr>
          <w:p>
            <w:pPr>
              <w:pStyle w:val="TableContents"/>
              <w:spacing w:before="0" w:after="283"/>
              <w:rPr>
                <w:sz w:val="4"/>
                <w:szCs w:val="4"/>
              </w:rPr>
            </w:pPr>
            <w:r>
              <w:rPr>
                <w:sz w:val="4"/>
                <w:szCs w:val="4"/>
              </w:rPr>
            </w:r>
          </w:p>
        </w:tc>
      </w:tr>
      <w:tr>
        <w:trPr/>
        <w:tc>
          <w:tcPr>
            <w:tcW w:w="3478" w:type="dxa"/>
            <w:tcBorders/>
            <w:shd w:fill="auto" w:val="clear"/>
          </w:tcPr>
          <w:p>
            <w:pPr>
              <w:pStyle w:val="TableContents"/>
              <w:spacing w:before="0" w:after="0"/>
              <w:rPr>
                <w:rFonts w:ascii="Times New Roman" w:hAnsi="Times New Roman"/>
                <w:sz w:val="20"/>
              </w:rPr>
            </w:pPr>
            <w:r>
              <w:rPr>
                <w:rFonts w:ascii="Times New Roman" w:hAnsi="Times New Roman"/>
                <w:sz w:val="20"/>
              </w:rPr>
              <w:t>Geoff Nichol</w:t>
            </w:r>
          </w:p>
        </w:tc>
        <w:tc>
          <w:tcPr>
            <w:tcW w:w="207"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spacing w:before="0" w:after="283"/>
              <w:jc w:val="right"/>
              <w:rPr/>
            </w:pPr>
            <w:r>
              <w:rPr/>
              <w:t>68</w:t>
            </w:r>
          </w:p>
        </w:tc>
        <w:tc>
          <w:tcPr>
            <w:tcW w:w="207" w:type="dxa"/>
            <w:tcBorders/>
            <w:shd w:fill="auto" w:val="clear"/>
            <w:vAlign w:val="bottom"/>
          </w:tcPr>
          <w:p>
            <w:pPr>
              <w:pStyle w:val="TableContents"/>
              <w:spacing w:before="0" w:after="283"/>
              <w:rPr/>
            </w:pPr>
            <w:r>
              <w:rPr/>
              <w:t>  </w:t>
            </w:r>
          </w:p>
        </w:tc>
        <w:tc>
          <w:tcPr>
            <w:tcW w:w="4800" w:type="dxa"/>
            <w:tcBorders/>
            <w:shd w:fill="auto" w:val="clear"/>
            <w:vAlign w:val="bottom"/>
          </w:tcPr>
          <w:p>
            <w:pPr>
              <w:pStyle w:val="TableContents"/>
              <w:spacing w:before="0" w:after="283"/>
              <w:rPr/>
            </w:pPr>
            <w:r>
              <w:rPr/>
              <w:t>Director</w:t>
            </w:r>
          </w:p>
        </w:tc>
        <w:tc>
          <w:tcPr>
            <w:tcW w:w="207"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jc w:val="center"/>
              <w:rPr/>
            </w:pPr>
            <w:r>
              <w:rPr/>
              <w:t>2019</w:t>
            </w:r>
          </w:p>
        </w:tc>
      </w:tr>
    </w:tbl>
    <w:p>
      <w:pPr>
        <w:pStyle w:val="TextBody"/>
        <w:spacing w:before="240" w:after="0"/>
        <w:jc w:val="left"/>
        <w:rPr>
          <w:rFonts w:ascii="Times New Roman" w:hAnsi="Times New Roman"/>
          <w:sz w:val="20"/>
        </w:rPr>
      </w:pPr>
      <w:r>
        <w:rPr>
          <w:rFonts w:ascii="Times New Roman" w:hAnsi="Times New Roman"/>
          <w:sz w:val="20"/>
        </w:rPr>
        <w:t>Set forth below is biographical information for the director nominees and each person whose term of office as a director will continue after the Annual Meeting. This includes information regarding each directors experience, qualifications, attributes or skills that led our Board to recommend them for board service. References below and throughout this proxy statement to Legacy Tempest refers to TempestTx, Inc., formerly Tempest Therapeutics, Inc., which completed a business combination with Millendo on June 25, 2021 (the </w:t>
      </w:r>
      <w:r>
        <w:rPr>
          <w:rFonts w:ascii="Times New Roman" w:hAnsi="Times New Roman"/>
          <w:b/>
          <w:i/>
          <w:sz w:val="20"/>
        </w:rPr>
        <w:t>Merger</w:t>
      </w:r>
      <w:r>
        <w:rPr>
          <w:rFonts w:ascii="Times New Roman" w:hAnsi="Times New Roman"/>
          <w:sz w:val="20"/>
        </w:rPr>
        <w:t xml:space="preserve">). Commensurate with the closing of the Merger, Millendo changed its name to Tempest Therapeutics, Inc. </w:t>
      </w:r>
    </w:p>
    <w:p>
      <w:pPr>
        <w:pStyle w:val="TextBody"/>
        <w:spacing w:before="360" w:after="0"/>
        <w:jc w:val="left"/>
        <w:rPr>
          <w:rFonts w:ascii="Times New Roman" w:hAnsi="Times New Roman"/>
          <w:b/>
          <w:sz w:val="20"/>
        </w:rPr>
      </w:pPr>
      <w:r>
        <w:rPr>
          <w:rFonts w:ascii="Times New Roman" w:hAnsi="Times New Roman"/>
          <w:b/>
          <w:sz w:val="20"/>
        </w:rPr>
        <w:t xml:space="preserve">NOMINEES FOR ELECTION AT THE 2023 ANNUAL MEETING OF STOCKHOLDERS </w:t>
      </w:r>
    </w:p>
    <w:p>
      <w:pPr>
        <w:pStyle w:val="TextBody"/>
        <w:spacing w:before="120" w:after="0"/>
        <w:jc w:val="left"/>
        <w:rPr>
          <w:rFonts w:ascii="Times New Roman" w:hAnsi="Times New Roman"/>
          <w:b/>
          <w:sz w:val="20"/>
        </w:rPr>
      </w:pPr>
      <w:r>
        <w:rPr>
          <w:rFonts w:ascii="Times New Roman" w:hAnsi="Times New Roman"/>
          <w:b/>
          <w:sz w:val="20"/>
        </w:rPr>
        <w:t xml:space="preserve">Thomas Dubensky, Ph.D. </w:t>
      </w:r>
    </w:p>
    <w:p>
      <w:pPr>
        <w:pStyle w:val="TextBody"/>
        <w:spacing w:before="120" w:after="0"/>
        <w:jc w:val="left"/>
        <w:rPr>
          <w:rFonts w:ascii="Times New Roman" w:hAnsi="Times New Roman"/>
          <w:sz w:val="20"/>
        </w:rPr>
      </w:pPr>
      <w:r>
        <w:rPr>
          <w:rFonts w:ascii="Times New Roman" w:hAnsi="Times New Roman"/>
          <w:sz w:val="20"/>
        </w:rPr>
        <w:t xml:space="preserve">Thomas Dubensky, Ph.D. has served as our President and as a member of our Board since the closing of the Merger. Prior to the Merger, Dr. Dubensky had served as the Chief Executive Officer of Legacy Tempest since 2017 and as a member of the board of directors of Legacy Tempest since September 2017. Prior to Tempest, Dr. Dubensky was the Chief Scientific Officer of Aduro Biotech, where he led the development of first-in-class STING agonists. Additionally, Dr. Dubensky has served in executive and principal roles in leading discovery biology, development and clinical translation of multiple first-in-class agents in cancer immunotherapy and infectious disease indications at several biotech companies, including Viagene Biotech Inc., Chiron Corporation, Onyx Pharmaceuticals, Inc., Cerus Corporation and Immune Design, Inc. Dr. Dubensky has served on the scientific advisory boards of Turnstone Biologics, Oncorus, Inc., Remedy Plan, Inc., Vaccitech PLC-ADR and Tyligand Bioscience. Dr. Dubensky has an extensive publication and patent record. Dr. Dubensky received his B.A. in Bacteriology and Immunology from the University of California, Berkeley, his Ph.D. from the University of Colorado Health Sciences Center, conducted his post-doctoral studies at Harvard Medical School in the Department of Pathology, and received executive training at the University of California, San Diego, in the Executive Program for Scientists and Engineers. Dr. Dubenskys role as our President, his scientific expertise and his prior leadership roles in biotechnology companies provides him with the qualifications and skills to serve as a member of our Board. </w:t>
      </w:r>
    </w:p>
    <w:p>
      <w:pPr>
        <w:pStyle w:val="TextBody"/>
        <w:spacing w:before="360" w:after="0"/>
        <w:jc w:val="left"/>
        <w:rPr>
          <w:rFonts w:ascii="Times New Roman" w:hAnsi="Times New Roman"/>
          <w:b/>
          <w:sz w:val="20"/>
        </w:rPr>
      </w:pPr>
      <w:r>
        <w:rPr>
          <w:rFonts w:ascii="Times New Roman" w:hAnsi="Times New Roman"/>
          <w:b/>
          <w:sz w:val="20"/>
        </w:rPr>
        <w:t xml:space="preserve">Christine Pellizzari </w:t>
      </w:r>
    </w:p>
    <w:p>
      <w:pPr>
        <w:pStyle w:val="TextBody"/>
        <w:spacing w:before="120" w:after="0"/>
        <w:jc w:val="left"/>
        <w:rPr>
          <w:rFonts w:ascii="Times New Roman" w:hAnsi="Times New Roman"/>
          <w:sz w:val="20"/>
        </w:rPr>
      </w:pPr>
      <w:r>
        <w:rPr>
          <w:rFonts w:ascii="Times New Roman" w:hAnsi="Times New Roman"/>
          <w:sz w:val="20"/>
        </w:rPr>
        <w:t xml:space="preserve">Christine Pellizzari has served as a member of our Board since July 2021. Ms. Pellizzari currently serves as the Chief Legal and Human Resources Officer of Science 37 Holdings, Inc. (Science 37) since July 2021. Ms. Pellizzari has served as a member of the board of directors of Imunon, Inc. (formerly Celsion Corporation)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since June 2021 and a director and member of the compensation committee of Neurosense Therapeutics Ltd. since December 2021. Ms. Pellizzari served as the General Counsel and Corporate Secretary of Insmed, Inc. from 2013 to 2018 and as Chief Legal Officer from 2018 to 2021. Prior to joining Insmed, Ms. Pellizzari held various legal positions of increasing responsibility at Aegerion Pharmaceuticals, Inc., most recently as Executive Vice President, General Counsel and Secretary. Prior to Aegerion, Ms. Pellizzari served as Senior Vice President, General Counsel and Secretary of Dendrite International, Inc. Ms. Pellizzari joined Dendrite from the law firm of Wilentz, Goldman &amp; Spitzer where she specialized in health care transactions and related regulatory matters. She previously served as law clerk to the Honorable Reginald Stanton, Assignment Judge for the Superior Court of New Jersey. Ms. Pellizzari received her B.A. from the University of Massachusetts, Amherst and her J.D. from the University of Colorado, Boulder. Ms. Pellizzaris legal, financial and business expertise in the biotechnology industry, including her experience in the capital markets and financial and legal compliance, qualifies her to serve as a member of our Board. </w:t>
      </w:r>
    </w:p>
    <w:p>
      <w:pPr>
        <w:pStyle w:val="TextBody"/>
        <w:spacing w:before="360" w:after="0"/>
        <w:jc w:val="left"/>
        <w:rPr>
          <w:rFonts w:ascii="Times New Roman" w:hAnsi="Times New Roman"/>
          <w:b/>
          <w:sz w:val="20"/>
        </w:rPr>
      </w:pPr>
      <w:r>
        <w:rPr>
          <w:rFonts w:ascii="Times New Roman" w:hAnsi="Times New Roman"/>
          <w:b/>
          <w:sz w:val="20"/>
        </w:rPr>
        <w:t xml:space="preserve">DIRECTORS CONTINUING IN OFFICE UNTIL THE 2024 ANNUAL MEETING OF STOCKHOLDERS </w:t>
      </w:r>
    </w:p>
    <w:p>
      <w:pPr>
        <w:pStyle w:val="TextBody"/>
        <w:spacing w:before="120" w:after="0"/>
        <w:jc w:val="left"/>
        <w:rPr>
          <w:rFonts w:ascii="Times New Roman" w:hAnsi="Times New Roman"/>
          <w:b/>
          <w:sz w:val="20"/>
        </w:rPr>
      </w:pPr>
      <w:r>
        <w:rPr>
          <w:rFonts w:ascii="Times New Roman" w:hAnsi="Times New Roman"/>
          <w:b/>
          <w:sz w:val="20"/>
        </w:rPr>
        <w:t xml:space="preserve">Stephen Brady </w:t>
      </w:r>
    </w:p>
    <w:p>
      <w:pPr>
        <w:pStyle w:val="TextBody"/>
        <w:spacing w:before="120" w:after="0"/>
        <w:jc w:val="left"/>
        <w:rPr>
          <w:rFonts w:ascii="Times New Roman" w:hAnsi="Times New Roman"/>
          <w:sz w:val="20"/>
        </w:rPr>
      </w:pPr>
      <w:r>
        <w:rPr>
          <w:rFonts w:ascii="Times New Roman" w:hAnsi="Times New Roman"/>
          <w:sz w:val="20"/>
        </w:rPr>
        <w:t xml:space="preserve">Stephen Brady has served as our Chief Executive Officer and as a member of our Board since the closing of the Merger. Mr. Brady has served as a member of the board of directors of Atreca, Inc. since July 2021. Prior to the Merger, Mr. Brady served as President and Chief Operating Officer of Legacy Tempest since September 2019. Before Tempest, from September 2013 until April 2019, Mr. Brady served in various leadership positions, most recently as Executive Vice President, Strategy and Finance, at Immune Design, Inc., a biopharmaceutical company that was acquired by Merck in 2019. At Immune Design, Mr. Brady led the general and administrative functions at the company, including strategy, corporate development, finance and investor and public relations, and was instrumental in the companys successful IPO, financings and eventual sale to Merck. Prior to Immune Design, he held roles of increasing responsibility in multiple biopharmaceutical companies, including as Vice President of Corporate Development at Proteolix, where he had primary responsibility for the companys business development activities and sale to Onyx Pharmaceuticals. Mr. Brady received a B.A. in English from the University of Oregon, a J.D. from the University of the Pacific and an LL.M. from New York University School of Law. Mr. Bradys role as our Chief Executive Officer, his business expertise and his prior leadership roles in biotechnology companies provides him with the qualifications and skills to serve as a member of our Board. </w:t>
      </w:r>
    </w:p>
    <w:p>
      <w:pPr>
        <w:pStyle w:val="TextBody"/>
        <w:spacing w:before="360" w:after="0"/>
        <w:jc w:val="left"/>
        <w:rPr>
          <w:rFonts w:ascii="Times New Roman" w:hAnsi="Times New Roman"/>
          <w:b/>
          <w:sz w:val="20"/>
        </w:rPr>
      </w:pPr>
      <w:r>
        <w:rPr>
          <w:rFonts w:ascii="Times New Roman" w:hAnsi="Times New Roman"/>
          <w:b/>
          <w:sz w:val="20"/>
        </w:rPr>
        <w:t xml:space="preserve">Michael Raab </w:t>
      </w:r>
    </w:p>
    <w:p>
      <w:pPr>
        <w:pStyle w:val="TextBody"/>
        <w:spacing w:before="120" w:after="0"/>
        <w:jc w:val="left"/>
        <w:rPr>
          <w:rFonts w:ascii="Times New Roman" w:hAnsi="Times New Roman"/>
          <w:sz w:val="20"/>
        </w:rPr>
      </w:pPr>
      <w:r>
        <w:rPr>
          <w:rFonts w:ascii="Times New Roman" w:hAnsi="Times New Roman"/>
          <w:sz w:val="20"/>
        </w:rPr>
        <w:t xml:space="preserve">Michael Raab has served as a member and as Chairman of our Board since the closing of the Merger. Prior to the Merger, Mr. Raab served as a member and Chairman of the board of directors of Legacy Tempest since December 2018. Mr. Raab has served as Ardelyx Inc.s President and Chief Executive Officer and as a member of the board of directors since March 2009. Before Ardelyx, he was a partner at New Enterprise Associates (NEA), one of the worlds largest and most successful venture capital firms, where he specialized in healthcare investments focusing on the biotechnology and pharmaceutical sectors. Mr. Raab has served as a member of the board of directors of Amicus Therapeutics, Inc. since 2004. Prior to joining NEA in 2002, Mr. Raab spent 15 years in commercial and operating leadership roles in the biotech and pharmaceutical industries. He was Senior Vice President, Therapeutics and General Manager of the renal division at Genzyme Corporation, a Sanofi company. In this position, he launched and oversaw the sales growth of sevelamer, the leading phosphate binder for the treatment of hyperphosphatemia, with over $1.0 billion in worldwide sales in 2013. Mr. Raab was also instrumental in the worldwide launch of Genzymes therapies for Gaucher disease, Ceredase and Cerezyme. Mr. Raab also spent two years with Genzymes diagnostic products and services division. Previous to Genzyme, he held business development and sales and marketing positions at Repligen and Bristol-Myers. Mr. Raab received his B.A. from DePauw University. Mr. Raabs industry and investment experience qualifies him to serve as a member of our Board.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Ronit Simantov, M.D. </w:t>
      </w:r>
    </w:p>
    <w:p>
      <w:pPr>
        <w:pStyle w:val="TextBody"/>
        <w:spacing w:before="120" w:after="0"/>
        <w:jc w:val="left"/>
        <w:rPr>
          <w:rFonts w:ascii="Times New Roman" w:hAnsi="Times New Roman"/>
          <w:sz w:val="20"/>
        </w:rPr>
      </w:pPr>
      <w:r>
        <w:rPr>
          <w:rFonts w:ascii="Times New Roman" w:hAnsi="Times New Roman"/>
          <w:sz w:val="20"/>
        </w:rPr>
        <w:t xml:space="preserve">Ronit Simantov, M.D. has served as member of our Board since August 2021. Dr. Simantov has served as Chief Medical Officer of Gamida Cell Ltd. since July 2017 and has served as a member of the board of directors of Clovis Oncology, Inc. since 2021. Prior to joining Gamida Cell, Dr. Simantov served as Vice President, Oncology Global Medical Affairs at Pfizer Inc., where she was responsible for multiple oncology programs in various roles from 2011 through July 2017. Prior to Pfizer, Dr. Simantov served as Vice President of Clinical Research at OSI Pharmaceuticals, as Chief Medical Officer at CuraGen Corporation (acquired by Celldex) where she led development of small molecules and antibody-drug conjugates, and at Bayer HealthCare Pharmaceuticals, where she led the phase 3 study of Nexavar® (sorafenib) resulting in the first approval of a tyrosine kinase inhibitor in renal cell carcinoma. Prior to joining industry, Dr. Simantov spent seven years on the academic faculty at Weill Medical College of Cornell University, where she directed the fellowship program and conducted angiogenesis and vascular biology research. She has authored over 40 peer-reviewed manuscripts. Dr. Simantov holds an M.D. from New York University School of Medicine and a B.A. from Johns Hopkins University. She completed a residency in internal medicine at New York Hospital Cornell Medical Center, and a fellowship in hematology and oncology at Weill Cornell Medicine. Dr. Simantovs extensive clinical and scientific experience provides her with the qualifications and skills to serve as a member of our Board. </w:t>
      </w:r>
    </w:p>
    <w:p>
      <w:pPr>
        <w:pStyle w:val="TextBody"/>
        <w:spacing w:before="360" w:after="0"/>
        <w:jc w:val="left"/>
        <w:rPr>
          <w:rFonts w:ascii="Times New Roman" w:hAnsi="Times New Roman"/>
          <w:b/>
          <w:sz w:val="20"/>
        </w:rPr>
      </w:pPr>
      <w:r>
        <w:rPr>
          <w:rFonts w:ascii="Times New Roman" w:hAnsi="Times New Roman"/>
          <w:b/>
          <w:sz w:val="20"/>
        </w:rPr>
        <w:t xml:space="preserve">DIRECTORS CONTINUING IN OFFICE UNTIL THE 2025 ANNUAL MEETING OF STOCKHOLDERS </w:t>
      </w:r>
    </w:p>
    <w:p>
      <w:pPr>
        <w:pStyle w:val="TextBody"/>
        <w:spacing w:before="120" w:after="0"/>
        <w:jc w:val="left"/>
        <w:rPr>
          <w:rFonts w:ascii="Times New Roman" w:hAnsi="Times New Roman"/>
          <w:b/>
          <w:sz w:val="20"/>
        </w:rPr>
      </w:pPr>
      <w:r>
        <w:rPr>
          <w:rFonts w:ascii="Times New Roman" w:hAnsi="Times New Roman"/>
          <w:b/>
          <w:sz w:val="20"/>
        </w:rPr>
        <w:t xml:space="preserve">Geoff Nichol, M.B., Ch.B., M.B.A. </w:t>
      </w:r>
    </w:p>
    <w:p>
      <w:pPr>
        <w:pStyle w:val="TextBody"/>
        <w:spacing w:before="120" w:after="0"/>
        <w:jc w:val="left"/>
        <w:rPr>
          <w:rFonts w:ascii="Times New Roman" w:hAnsi="Times New Roman"/>
          <w:sz w:val="20"/>
        </w:rPr>
      </w:pPr>
      <w:r>
        <w:rPr>
          <w:rFonts w:ascii="Times New Roman" w:hAnsi="Times New Roman"/>
          <w:sz w:val="20"/>
        </w:rPr>
        <w:t xml:space="preserve">Geoff Nichol has served as a member of our Board since December 2019. Dr. Nichol has nearly 30 years experience in drug development. From November 2016 to October 2021, Mr. Nichol served as Chief Medical Officer at BioMarin Pharmaceutical Inc., where he managed an active portfolio of clinical development programs. In October 2021, Dr. Nichol transitioned into a Senior Advisor role until his retirement in April 2022. From July 2011 to November 2016, he was Executive Vice President, Research and Development at Sangamo BioSciences, where he managed the preclinical development of several IND candidates. From September 2002 to January 2010, he was Senior Vice President of Development at Medarex, where he was responsible for a portfolio of clinical development programs. From February 1996 to September 2002, he was Vice President at Novartis, where he managed a clinical development therapeutic area, United States Medical Affairs, and Global Project and Portfolio Management. From December 1989 to February 1996, he held various positions up to Group Medical Director, Clinical Development at SmithKline Beecham, where he was responsible for anti-infective development and medical affairs. Dr. Nichol received a B.Med.Sc., M.B., Ch.B., or the equivalent of an M.D. in the United States, from Otago University Medical School in New Zealand and an M.B.A. from Warwick University in the United Kingdom. Mr. Nichols financial and business expertise, including his background as an executive officer of pharmaceutical and biotechnology companies, provides him with the qualifications and skills to serve as a member of our Board.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6" w:name="tx456303_4"/>
      <w:bookmarkEnd w:id="6"/>
      <w:r>
        <w:rPr>
          <w:rFonts w:ascii="Times New Roman" w:hAnsi="Times New Roman"/>
          <w:b/>
          <w:sz w:val="20"/>
        </w:rPr>
        <w:t xml:space="preserve">INFORMATION REGARDING THE BOARD OF DIRECTORS AND CORPORATE GOVERNANCE </w:t>
      </w:r>
    </w:p>
    <w:p>
      <w:pPr>
        <w:pStyle w:val="TextBody"/>
        <w:spacing w:before="240" w:after="0"/>
        <w:jc w:val="left"/>
        <w:rPr>
          <w:rFonts w:ascii="Times New Roman" w:hAnsi="Times New Roman"/>
          <w:b/>
          <w:sz w:val="20"/>
        </w:rPr>
      </w:pPr>
      <w:r>
        <w:rPr>
          <w:rFonts w:ascii="Times New Roman" w:hAnsi="Times New Roman"/>
          <w:b/>
          <w:sz w:val="20"/>
        </w:rPr>
        <w:t xml:space="preserve">BOARD DIVERSITY </w:t>
      </w:r>
    </w:p>
    <w:p>
      <w:pPr>
        <w:pStyle w:val="TextBody"/>
        <w:spacing w:before="120" w:after="0"/>
        <w:jc w:val="left"/>
        <w:rPr>
          <w:rFonts w:ascii="Times New Roman" w:hAnsi="Times New Roman"/>
          <w:sz w:val="20"/>
        </w:rPr>
      </w:pPr>
      <w:r>
        <w:rPr>
          <w:rFonts w:ascii="Times New Roman" w:hAnsi="Times New Roman"/>
          <w:sz w:val="20"/>
        </w:rPr>
        <w:t xml:space="preserve">The Board Diversity Matrix, below, provides the diversity statistics for our Board as of May 1, 2023. Our previous years disclosure can be found in our definitive proxy statement filed with the SEC on May 2, 2022.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5090"/>
        <w:gridCol w:w="303"/>
        <w:gridCol w:w="817"/>
        <w:gridCol w:w="303"/>
        <w:gridCol w:w="531"/>
        <w:gridCol w:w="303"/>
        <w:gridCol w:w="114"/>
        <w:gridCol w:w="648"/>
        <w:gridCol w:w="60"/>
        <w:gridCol w:w="303"/>
        <w:gridCol w:w="131"/>
        <w:gridCol w:w="719"/>
        <w:gridCol w:w="66"/>
      </w:tblGrid>
      <w:tr>
        <w:trPr/>
        <w:tc>
          <w:tcPr>
            <w:tcW w:w="5090"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r>
      <w:tr>
        <w:trPr/>
        <w:tc>
          <w:tcPr>
            <w:tcW w:w="5090"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Total Number of Directors</w:t>
            </w:r>
          </w:p>
        </w:tc>
        <w:tc>
          <w:tcPr>
            <w:tcW w:w="303" w:type="dxa"/>
            <w:tcBorders/>
            <w:shd w:fill="auto" w:val="clear"/>
            <w:vAlign w:val="bottom"/>
          </w:tcPr>
          <w:p>
            <w:pPr>
              <w:pStyle w:val="TableContents"/>
              <w:spacing w:before="0" w:after="283"/>
              <w:rPr/>
            </w:pPr>
            <w:r>
              <w:rPr/>
              <w:t>  </w:t>
            </w:r>
          </w:p>
        </w:tc>
        <w:tc>
          <w:tcPr>
            <w:tcW w:w="3929" w:type="dxa"/>
            <w:gridSpan w:val="10"/>
            <w:tcBorders>
              <w:bottom w:val="single" w:sz="8" w:space="0" w:color="000000"/>
            </w:tcBorders>
            <w:shd w:fill="auto" w:val="clear"/>
            <w:tcMar>
              <w:bottom w:w="28" w:type="dxa"/>
            </w:tcMar>
            <w:vAlign w:val="bottom"/>
          </w:tcPr>
          <w:p>
            <w:pPr>
              <w:pStyle w:val="TableContents"/>
              <w:spacing w:before="0" w:after="283"/>
              <w:jc w:val="center"/>
              <w:rPr/>
            </w:pPr>
            <w:r>
              <w:rPr/>
              <w:t>6</w:t>
            </w:r>
          </w:p>
        </w:tc>
        <w:tc>
          <w:tcPr>
            <w:tcW w:w="66" w:type="dxa"/>
            <w:tcBorders/>
            <w:shd w:fill="auto" w:val="clear"/>
            <w:vAlign w:val="bottom"/>
          </w:tcPr>
          <w:p>
            <w:pPr>
              <w:pStyle w:val="TableContents"/>
              <w:spacing w:before="0" w:after="283"/>
              <w:rPr/>
            </w:pPr>
            <w:r>
              <w:rPr/>
              <w:t> </w:t>
            </w:r>
          </w:p>
        </w:tc>
      </w:tr>
      <w:tr>
        <w:trPr/>
        <w:tc>
          <w:tcPr>
            <w:tcW w:w="5090"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817" w:type="dxa"/>
            <w:tcBorders>
              <w:bottom w:val="single" w:sz="8" w:space="0" w:color="000000"/>
            </w:tcBorders>
            <w:shd w:fill="auto" w:val="clear"/>
            <w:tcMar>
              <w:bottom w:w="28" w:type="dxa"/>
            </w:tcMar>
            <w:vAlign w:val="bottom"/>
          </w:tcPr>
          <w:p>
            <w:pPr>
              <w:pStyle w:val="TableContents"/>
              <w:spacing w:before="0" w:after="283"/>
              <w:jc w:val="center"/>
              <w:rPr>
                <w:b/>
              </w:rPr>
            </w:pPr>
            <w:r>
              <w:rPr>
                <w:b/>
              </w:rPr>
              <w:t>Female</w:t>
            </w:r>
          </w:p>
        </w:tc>
        <w:tc>
          <w:tcPr>
            <w:tcW w:w="303" w:type="dxa"/>
            <w:tcBorders/>
            <w:shd w:fill="auto" w:val="clear"/>
            <w:vAlign w:val="bottom"/>
          </w:tcPr>
          <w:p>
            <w:pPr>
              <w:pStyle w:val="TableContents"/>
              <w:spacing w:before="0" w:after="283"/>
              <w:rPr/>
            </w:pPr>
            <w:r>
              <w:rPr/>
              <w:t>  </w:t>
            </w:r>
          </w:p>
        </w:tc>
        <w:tc>
          <w:tcPr>
            <w:tcW w:w="531" w:type="dxa"/>
            <w:tcBorders>
              <w:bottom w:val="single" w:sz="8" w:space="0" w:color="000000"/>
            </w:tcBorders>
            <w:shd w:fill="auto" w:val="clear"/>
            <w:tcMar>
              <w:bottom w:w="28" w:type="dxa"/>
            </w:tcMar>
            <w:vAlign w:val="bottom"/>
          </w:tcPr>
          <w:p>
            <w:pPr>
              <w:pStyle w:val="TableContents"/>
              <w:spacing w:before="0" w:after="283"/>
              <w:jc w:val="center"/>
              <w:rPr>
                <w:b/>
              </w:rPr>
            </w:pPr>
            <w:r>
              <w:rPr>
                <w:b/>
              </w:rPr>
              <w:t>Male</w:t>
            </w:r>
          </w:p>
        </w:tc>
        <w:tc>
          <w:tcPr>
            <w:tcW w:w="303" w:type="dxa"/>
            <w:tcBorders/>
            <w:shd w:fill="auto" w:val="clear"/>
            <w:vAlign w:val="bottom"/>
          </w:tcPr>
          <w:p>
            <w:pPr>
              <w:pStyle w:val="TableContents"/>
              <w:spacing w:before="0" w:after="283"/>
              <w:rPr/>
            </w:pPr>
            <w:r>
              <w:rPr/>
              <w:t>  </w:t>
            </w:r>
          </w:p>
        </w:tc>
        <w:tc>
          <w:tcPr>
            <w:tcW w:w="76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Non-</w:t>
              <w:br/>
              <w:t>Binary</w:t>
            </w:r>
          </w:p>
        </w:tc>
        <w:tc>
          <w:tcPr>
            <w:tcW w:w="60"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85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Did Not</w:t>
              <w:br/>
              <w:t>Disclose</w:t>
              <w:br/>
              <w:t>Gender</w:t>
            </w:r>
          </w:p>
        </w:tc>
        <w:tc>
          <w:tcPr>
            <w:tcW w:w="66" w:type="dxa"/>
            <w:tcBorders/>
            <w:shd w:fill="auto" w:val="clear"/>
            <w:vAlign w:val="bottom"/>
          </w:tcPr>
          <w:p>
            <w:pPr>
              <w:pStyle w:val="TableContents"/>
              <w:spacing w:before="0" w:after="283"/>
              <w:rPr/>
            </w:pPr>
            <w:r>
              <w:rPr/>
              <w:t> </w:t>
            </w:r>
          </w:p>
        </w:tc>
      </w:tr>
      <w:tr>
        <w:trPr/>
        <w:tc>
          <w:tcPr>
            <w:tcW w:w="9322" w:type="dxa"/>
            <w:gridSpan w:val="12"/>
            <w:tcBorders/>
            <w:shd w:fill="CCEEFF" w:val="clear"/>
          </w:tcPr>
          <w:p>
            <w:pPr>
              <w:pStyle w:val="TableContents"/>
              <w:spacing w:before="0" w:after="0"/>
              <w:rPr>
                <w:rFonts w:ascii="Times New Roman" w:hAnsi="Times New Roman"/>
                <w:b/>
                <w:sz w:val="20"/>
              </w:rPr>
            </w:pPr>
            <w:r>
              <w:rPr>
                <w:rFonts w:ascii="Times New Roman" w:hAnsi="Times New Roman"/>
                <w:b/>
                <w:sz w:val="20"/>
              </w:rPr>
              <w:t>Part I: Gender Identity</w:t>
            </w:r>
          </w:p>
        </w:tc>
        <w:tc>
          <w:tcPr>
            <w:tcW w:w="66" w:type="dxa"/>
            <w:tcBorders/>
            <w:shd w:fill="CCEEFF" w:val="clear"/>
          </w:tcPr>
          <w:p>
            <w:pPr>
              <w:pStyle w:val="TableContents"/>
              <w:spacing w:before="0" w:after="0"/>
              <w:rPr/>
            </w:pPr>
            <w:r>
              <w:rPr/>
              <w:t> </w:t>
            </w:r>
          </w:p>
        </w:tc>
      </w:tr>
      <w:tr>
        <w:trPr/>
        <w:tc>
          <w:tcPr>
            <w:tcW w:w="5090" w:type="dxa"/>
            <w:tcBorders/>
            <w:shd w:fill="auto" w:val="clear"/>
          </w:tcPr>
          <w:p>
            <w:pPr>
              <w:pStyle w:val="TableContents"/>
              <w:spacing w:before="0" w:after="0"/>
              <w:rPr>
                <w:rFonts w:ascii="Times New Roman" w:hAnsi="Times New Roman"/>
                <w:sz w:val="20"/>
              </w:rPr>
            </w:pPr>
            <w:r>
              <w:rPr>
                <w:rFonts w:ascii="Times New Roman" w:hAnsi="Times New Roman"/>
                <w:sz w:val="20"/>
              </w:rPr>
              <w:t>Directors</w:t>
            </w:r>
          </w:p>
        </w:tc>
        <w:tc>
          <w:tcPr>
            <w:tcW w:w="30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center"/>
              <w:rPr/>
            </w:pPr>
            <w:r>
              <w:rPr/>
              <w:t>2</w:t>
            </w:r>
          </w:p>
        </w:tc>
        <w:tc>
          <w:tcPr>
            <w:tcW w:w="303" w:type="dxa"/>
            <w:tcBorders/>
            <w:shd w:fill="auto" w:val="clear"/>
            <w:vAlign w:val="bottom"/>
          </w:tcPr>
          <w:p>
            <w:pPr>
              <w:pStyle w:val="TableContents"/>
              <w:spacing w:before="0" w:after="283"/>
              <w:rPr/>
            </w:pPr>
            <w:r>
              <w:rPr/>
              <w:t>  </w:t>
            </w:r>
          </w:p>
        </w:tc>
        <w:tc>
          <w:tcPr>
            <w:tcW w:w="531" w:type="dxa"/>
            <w:tcBorders/>
            <w:shd w:fill="auto" w:val="clear"/>
            <w:vAlign w:val="bottom"/>
          </w:tcPr>
          <w:p>
            <w:pPr>
              <w:pStyle w:val="TableContents"/>
              <w:spacing w:before="0" w:after="283"/>
              <w:jc w:val="center"/>
              <w:rPr/>
            </w:pPr>
            <w:r>
              <w:rPr/>
              <w:t>5</w:t>
            </w:r>
          </w:p>
        </w:tc>
        <w:tc>
          <w:tcPr>
            <w:tcW w:w="303"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19" w:type="dxa"/>
            <w:tcBorders/>
            <w:shd w:fill="auto" w:val="clear"/>
            <w:vAlign w:val="bottom"/>
          </w:tcPr>
          <w:p>
            <w:pPr>
              <w:pStyle w:val="TableContents"/>
              <w:spacing w:before="0" w:after="283"/>
              <w:jc w:val="right"/>
              <w:rPr/>
            </w:pPr>
            <w:r>
              <w:rPr/>
              <w:t>  </w:t>
            </w:r>
          </w:p>
        </w:tc>
        <w:tc>
          <w:tcPr>
            <w:tcW w:w="66" w:type="dxa"/>
            <w:tcBorders/>
            <w:shd w:fill="auto" w:val="clear"/>
            <w:vAlign w:val="bottom"/>
          </w:tcPr>
          <w:p>
            <w:pPr>
              <w:pStyle w:val="TableContents"/>
              <w:spacing w:before="0" w:after="283"/>
              <w:rPr/>
            </w:pPr>
            <w:r>
              <w:rPr/>
              <w:t> </w:t>
            </w:r>
          </w:p>
        </w:tc>
      </w:tr>
      <w:tr>
        <w:trPr/>
        <w:tc>
          <w:tcPr>
            <w:tcW w:w="9322" w:type="dxa"/>
            <w:gridSpan w:val="12"/>
            <w:tcBorders/>
            <w:shd w:fill="CCEEFF" w:val="clear"/>
          </w:tcPr>
          <w:p>
            <w:pPr>
              <w:pStyle w:val="TableContents"/>
              <w:spacing w:before="0" w:after="0"/>
              <w:rPr>
                <w:rFonts w:ascii="Times New Roman" w:hAnsi="Times New Roman"/>
                <w:b/>
                <w:sz w:val="20"/>
              </w:rPr>
            </w:pPr>
            <w:r>
              <w:rPr>
                <w:rFonts w:ascii="Times New Roman" w:hAnsi="Times New Roman"/>
                <w:b/>
                <w:sz w:val="20"/>
              </w:rPr>
              <w:t>Part II: Demographic Background</w:t>
            </w:r>
          </w:p>
        </w:tc>
        <w:tc>
          <w:tcPr>
            <w:tcW w:w="66" w:type="dxa"/>
            <w:tcBorders/>
            <w:shd w:fill="CCEEFF" w:val="clear"/>
          </w:tcPr>
          <w:p>
            <w:pPr>
              <w:pStyle w:val="TableContents"/>
              <w:spacing w:before="0" w:after="0"/>
              <w:rPr/>
            </w:pPr>
            <w:r>
              <w:rPr/>
              <w:t> </w:t>
            </w:r>
          </w:p>
        </w:tc>
      </w:tr>
      <w:tr>
        <w:trPr/>
        <w:tc>
          <w:tcPr>
            <w:tcW w:w="5090" w:type="dxa"/>
            <w:tcBorders/>
            <w:shd w:fill="auto" w:val="clear"/>
          </w:tcPr>
          <w:p>
            <w:pPr>
              <w:pStyle w:val="TableContents"/>
              <w:spacing w:before="0" w:after="0"/>
              <w:rPr>
                <w:rFonts w:ascii="Times New Roman" w:hAnsi="Times New Roman"/>
                <w:sz w:val="20"/>
              </w:rPr>
            </w:pPr>
            <w:r>
              <w:rPr>
                <w:rFonts w:ascii="Times New Roman" w:hAnsi="Times New Roman"/>
                <w:sz w:val="20"/>
              </w:rPr>
              <w:t>African American or Black</w:t>
            </w:r>
          </w:p>
        </w:tc>
        <w:tc>
          <w:tcPr>
            <w:tcW w:w="30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center"/>
              <w:rPr/>
            </w:pPr>
            <w:r>
              <w:rPr/>
              <w:t>  </w:t>
            </w:r>
          </w:p>
        </w:tc>
        <w:tc>
          <w:tcPr>
            <w:tcW w:w="303" w:type="dxa"/>
            <w:tcBorders/>
            <w:shd w:fill="auto" w:val="clear"/>
            <w:vAlign w:val="bottom"/>
          </w:tcPr>
          <w:p>
            <w:pPr>
              <w:pStyle w:val="TableContents"/>
              <w:spacing w:before="0" w:after="283"/>
              <w:rPr/>
            </w:pPr>
            <w:r>
              <w:rPr/>
              <w:t>  </w:t>
            </w:r>
          </w:p>
        </w:tc>
        <w:tc>
          <w:tcPr>
            <w:tcW w:w="531" w:type="dxa"/>
            <w:tcBorders/>
            <w:shd w:fill="auto" w:val="clear"/>
            <w:vAlign w:val="bottom"/>
          </w:tcPr>
          <w:p>
            <w:pPr>
              <w:pStyle w:val="TableContents"/>
              <w:spacing w:before="0" w:after="283"/>
              <w:jc w:val="center"/>
              <w:rPr/>
            </w:pPr>
            <w:r>
              <w:rPr/>
              <w:t>  </w:t>
            </w:r>
          </w:p>
        </w:tc>
        <w:tc>
          <w:tcPr>
            <w:tcW w:w="303"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19" w:type="dxa"/>
            <w:tcBorders/>
            <w:shd w:fill="auto" w:val="clear"/>
            <w:vAlign w:val="bottom"/>
          </w:tcPr>
          <w:p>
            <w:pPr>
              <w:pStyle w:val="TableContents"/>
              <w:spacing w:before="0" w:after="283"/>
              <w:jc w:val="right"/>
              <w:rPr/>
            </w:pPr>
            <w:r>
              <w:rPr/>
              <w:t>  </w:t>
            </w:r>
          </w:p>
        </w:tc>
        <w:tc>
          <w:tcPr>
            <w:tcW w:w="66" w:type="dxa"/>
            <w:tcBorders/>
            <w:shd w:fill="auto" w:val="clear"/>
            <w:vAlign w:val="bottom"/>
          </w:tcPr>
          <w:p>
            <w:pPr>
              <w:pStyle w:val="TableContents"/>
              <w:spacing w:before="0" w:after="283"/>
              <w:rPr/>
            </w:pPr>
            <w:r>
              <w:rPr/>
              <w:t> </w:t>
            </w:r>
          </w:p>
        </w:tc>
      </w:tr>
      <w:tr>
        <w:trPr/>
        <w:tc>
          <w:tcPr>
            <w:tcW w:w="5090" w:type="dxa"/>
            <w:tcBorders/>
            <w:shd w:fill="CCEEFF" w:val="clear"/>
          </w:tcPr>
          <w:p>
            <w:pPr>
              <w:pStyle w:val="TableContents"/>
              <w:spacing w:before="0" w:after="0"/>
              <w:rPr>
                <w:rFonts w:ascii="Times New Roman" w:hAnsi="Times New Roman"/>
                <w:sz w:val="20"/>
              </w:rPr>
            </w:pPr>
            <w:r>
              <w:rPr>
                <w:rFonts w:ascii="Times New Roman" w:hAnsi="Times New Roman"/>
                <w:sz w:val="20"/>
              </w:rPr>
              <w:t>Alaskan Native or Native American</w:t>
            </w:r>
          </w:p>
        </w:tc>
        <w:tc>
          <w:tcPr>
            <w:tcW w:w="30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center"/>
              <w:rPr/>
            </w:pPr>
            <w:r>
              <w:rPr/>
              <w:t>  </w:t>
            </w:r>
          </w:p>
        </w:tc>
        <w:tc>
          <w:tcPr>
            <w:tcW w:w="303" w:type="dxa"/>
            <w:tcBorders/>
            <w:shd w:fill="CCEEFF" w:val="clear"/>
            <w:vAlign w:val="bottom"/>
          </w:tcPr>
          <w:p>
            <w:pPr>
              <w:pStyle w:val="TableContents"/>
              <w:spacing w:before="0" w:after="283"/>
              <w:rPr/>
            </w:pPr>
            <w:r>
              <w:rPr/>
              <w:t>  </w:t>
            </w:r>
          </w:p>
        </w:tc>
        <w:tc>
          <w:tcPr>
            <w:tcW w:w="531" w:type="dxa"/>
            <w:tcBorders/>
            <w:shd w:fill="CCEEFF" w:val="clear"/>
            <w:vAlign w:val="bottom"/>
          </w:tcPr>
          <w:p>
            <w:pPr>
              <w:pStyle w:val="TableContents"/>
              <w:spacing w:before="0" w:after="283"/>
              <w:jc w:val="center"/>
              <w:rPr/>
            </w:pPr>
            <w:r>
              <w:rPr/>
              <w:t>  </w:t>
            </w:r>
          </w:p>
        </w:tc>
        <w:tc>
          <w:tcPr>
            <w:tcW w:w="303"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19" w:type="dxa"/>
            <w:tcBorders/>
            <w:shd w:fill="CCEEFF" w:val="clear"/>
            <w:vAlign w:val="bottom"/>
          </w:tcPr>
          <w:p>
            <w:pPr>
              <w:pStyle w:val="TableContents"/>
              <w:spacing w:before="0" w:after="283"/>
              <w:jc w:val="right"/>
              <w:rPr/>
            </w:pPr>
            <w:r>
              <w:rPr/>
              <w:t>  </w:t>
            </w:r>
          </w:p>
        </w:tc>
        <w:tc>
          <w:tcPr>
            <w:tcW w:w="66" w:type="dxa"/>
            <w:tcBorders/>
            <w:shd w:fill="CCEEFF" w:val="clear"/>
            <w:vAlign w:val="bottom"/>
          </w:tcPr>
          <w:p>
            <w:pPr>
              <w:pStyle w:val="TableContents"/>
              <w:spacing w:before="0" w:after="283"/>
              <w:rPr/>
            </w:pPr>
            <w:r>
              <w:rPr/>
              <w:t> </w:t>
            </w:r>
          </w:p>
        </w:tc>
      </w:tr>
      <w:tr>
        <w:trPr/>
        <w:tc>
          <w:tcPr>
            <w:tcW w:w="5090" w:type="dxa"/>
            <w:tcBorders/>
            <w:shd w:fill="auto" w:val="clear"/>
          </w:tcPr>
          <w:p>
            <w:pPr>
              <w:pStyle w:val="TableContents"/>
              <w:spacing w:before="0" w:after="0"/>
              <w:rPr>
                <w:rFonts w:ascii="Times New Roman" w:hAnsi="Times New Roman"/>
                <w:sz w:val="20"/>
              </w:rPr>
            </w:pPr>
            <w:r>
              <w:rPr>
                <w:rFonts w:ascii="Times New Roman" w:hAnsi="Times New Roman"/>
                <w:sz w:val="20"/>
              </w:rPr>
              <w:t>Asian</w:t>
            </w:r>
          </w:p>
        </w:tc>
        <w:tc>
          <w:tcPr>
            <w:tcW w:w="30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center"/>
              <w:rPr/>
            </w:pPr>
            <w:r>
              <w:rPr/>
              <w:t>  </w:t>
            </w:r>
          </w:p>
        </w:tc>
        <w:tc>
          <w:tcPr>
            <w:tcW w:w="303" w:type="dxa"/>
            <w:tcBorders/>
            <w:shd w:fill="auto" w:val="clear"/>
            <w:vAlign w:val="bottom"/>
          </w:tcPr>
          <w:p>
            <w:pPr>
              <w:pStyle w:val="TableContents"/>
              <w:spacing w:before="0" w:after="283"/>
              <w:rPr/>
            </w:pPr>
            <w:r>
              <w:rPr/>
              <w:t>  </w:t>
            </w:r>
          </w:p>
        </w:tc>
        <w:tc>
          <w:tcPr>
            <w:tcW w:w="531" w:type="dxa"/>
            <w:tcBorders/>
            <w:shd w:fill="auto" w:val="clear"/>
            <w:vAlign w:val="bottom"/>
          </w:tcPr>
          <w:p>
            <w:pPr>
              <w:pStyle w:val="TableContents"/>
              <w:spacing w:before="0" w:after="283"/>
              <w:jc w:val="center"/>
              <w:rPr/>
            </w:pPr>
            <w:r>
              <w:rPr/>
              <w:t>  </w:t>
            </w:r>
          </w:p>
        </w:tc>
        <w:tc>
          <w:tcPr>
            <w:tcW w:w="303"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19" w:type="dxa"/>
            <w:tcBorders/>
            <w:shd w:fill="auto" w:val="clear"/>
            <w:vAlign w:val="bottom"/>
          </w:tcPr>
          <w:p>
            <w:pPr>
              <w:pStyle w:val="TableContents"/>
              <w:spacing w:before="0" w:after="283"/>
              <w:jc w:val="right"/>
              <w:rPr/>
            </w:pPr>
            <w:r>
              <w:rPr/>
              <w:t>  </w:t>
            </w:r>
          </w:p>
        </w:tc>
        <w:tc>
          <w:tcPr>
            <w:tcW w:w="66" w:type="dxa"/>
            <w:tcBorders/>
            <w:shd w:fill="auto" w:val="clear"/>
            <w:vAlign w:val="bottom"/>
          </w:tcPr>
          <w:p>
            <w:pPr>
              <w:pStyle w:val="TableContents"/>
              <w:spacing w:before="0" w:after="283"/>
              <w:rPr/>
            </w:pPr>
            <w:r>
              <w:rPr/>
              <w:t> </w:t>
            </w:r>
          </w:p>
        </w:tc>
      </w:tr>
      <w:tr>
        <w:trPr/>
        <w:tc>
          <w:tcPr>
            <w:tcW w:w="5090" w:type="dxa"/>
            <w:tcBorders/>
            <w:shd w:fill="CCEEFF" w:val="clear"/>
          </w:tcPr>
          <w:p>
            <w:pPr>
              <w:pStyle w:val="TableContents"/>
              <w:spacing w:before="0" w:after="0"/>
              <w:rPr>
                <w:rFonts w:ascii="Times New Roman" w:hAnsi="Times New Roman"/>
                <w:sz w:val="20"/>
              </w:rPr>
            </w:pPr>
            <w:r>
              <w:rPr>
                <w:rFonts w:ascii="Times New Roman" w:hAnsi="Times New Roman"/>
                <w:sz w:val="20"/>
              </w:rPr>
              <w:t>Hispanic or Latinx</w:t>
            </w:r>
          </w:p>
        </w:tc>
        <w:tc>
          <w:tcPr>
            <w:tcW w:w="30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center"/>
              <w:rPr/>
            </w:pPr>
            <w:r>
              <w:rPr/>
              <w:t>  </w:t>
            </w:r>
          </w:p>
        </w:tc>
        <w:tc>
          <w:tcPr>
            <w:tcW w:w="303" w:type="dxa"/>
            <w:tcBorders/>
            <w:shd w:fill="CCEEFF" w:val="clear"/>
            <w:vAlign w:val="bottom"/>
          </w:tcPr>
          <w:p>
            <w:pPr>
              <w:pStyle w:val="TableContents"/>
              <w:spacing w:before="0" w:after="283"/>
              <w:rPr/>
            </w:pPr>
            <w:r>
              <w:rPr/>
              <w:t>  </w:t>
            </w:r>
          </w:p>
        </w:tc>
        <w:tc>
          <w:tcPr>
            <w:tcW w:w="531" w:type="dxa"/>
            <w:tcBorders/>
            <w:shd w:fill="CCEEFF" w:val="clear"/>
            <w:vAlign w:val="bottom"/>
          </w:tcPr>
          <w:p>
            <w:pPr>
              <w:pStyle w:val="TableContents"/>
              <w:spacing w:before="0" w:after="283"/>
              <w:jc w:val="center"/>
              <w:rPr/>
            </w:pPr>
            <w:r>
              <w:rPr/>
              <w:t>  </w:t>
            </w:r>
          </w:p>
        </w:tc>
        <w:tc>
          <w:tcPr>
            <w:tcW w:w="303"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19" w:type="dxa"/>
            <w:tcBorders/>
            <w:shd w:fill="CCEEFF" w:val="clear"/>
            <w:vAlign w:val="bottom"/>
          </w:tcPr>
          <w:p>
            <w:pPr>
              <w:pStyle w:val="TableContents"/>
              <w:spacing w:before="0" w:after="283"/>
              <w:jc w:val="right"/>
              <w:rPr/>
            </w:pPr>
            <w:r>
              <w:rPr/>
              <w:t>  </w:t>
            </w:r>
          </w:p>
        </w:tc>
        <w:tc>
          <w:tcPr>
            <w:tcW w:w="66" w:type="dxa"/>
            <w:tcBorders/>
            <w:shd w:fill="CCEEFF" w:val="clear"/>
            <w:vAlign w:val="bottom"/>
          </w:tcPr>
          <w:p>
            <w:pPr>
              <w:pStyle w:val="TableContents"/>
              <w:spacing w:before="0" w:after="283"/>
              <w:rPr/>
            </w:pPr>
            <w:r>
              <w:rPr/>
              <w:t> </w:t>
            </w:r>
          </w:p>
        </w:tc>
      </w:tr>
      <w:tr>
        <w:trPr/>
        <w:tc>
          <w:tcPr>
            <w:tcW w:w="5090" w:type="dxa"/>
            <w:tcBorders/>
            <w:shd w:fill="auto" w:val="clear"/>
          </w:tcPr>
          <w:p>
            <w:pPr>
              <w:pStyle w:val="TableContents"/>
              <w:spacing w:before="0" w:after="0"/>
              <w:rPr>
                <w:rFonts w:ascii="Times New Roman" w:hAnsi="Times New Roman"/>
                <w:sz w:val="20"/>
              </w:rPr>
            </w:pPr>
            <w:r>
              <w:rPr>
                <w:rFonts w:ascii="Times New Roman" w:hAnsi="Times New Roman"/>
                <w:sz w:val="20"/>
              </w:rPr>
              <w:t>Native Hawaiian or Pacific Islander</w:t>
            </w:r>
          </w:p>
        </w:tc>
        <w:tc>
          <w:tcPr>
            <w:tcW w:w="30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center"/>
              <w:rPr/>
            </w:pPr>
            <w:r>
              <w:rPr/>
              <w:t>  </w:t>
            </w:r>
          </w:p>
        </w:tc>
        <w:tc>
          <w:tcPr>
            <w:tcW w:w="303" w:type="dxa"/>
            <w:tcBorders/>
            <w:shd w:fill="auto" w:val="clear"/>
            <w:vAlign w:val="bottom"/>
          </w:tcPr>
          <w:p>
            <w:pPr>
              <w:pStyle w:val="TableContents"/>
              <w:spacing w:before="0" w:after="283"/>
              <w:rPr/>
            </w:pPr>
            <w:r>
              <w:rPr/>
              <w:t>  </w:t>
            </w:r>
          </w:p>
        </w:tc>
        <w:tc>
          <w:tcPr>
            <w:tcW w:w="531" w:type="dxa"/>
            <w:tcBorders/>
            <w:shd w:fill="auto" w:val="clear"/>
            <w:vAlign w:val="bottom"/>
          </w:tcPr>
          <w:p>
            <w:pPr>
              <w:pStyle w:val="TableContents"/>
              <w:spacing w:before="0" w:after="283"/>
              <w:jc w:val="center"/>
              <w:rPr/>
            </w:pPr>
            <w:r>
              <w:rPr/>
              <w:t>  </w:t>
            </w:r>
          </w:p>
        </w:tc>
        <w:tc>
          <w:tcPr>
            <w:tcW w:w="303"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19" w:type="dxa"/>
            <w:tcBorders/>
            <w:shd w:fill="auto" w:val="clear"/>
            <w:vAlign w:val="bottom"/>
          </w:tcPr>
          <w:p>
            <w:pPr>
              <w:pStyle w:val="TableContents"/>
              <w:spacing w:before="0" w:after="283"/>
              <w:jc w:val="right"/>
              <w:rPr/>
            </w:pPr>
            <w:r>
              <w:rPr/>
              <w:t>  </w:t>
            </w:r>
          </w:p>
        </w:tc>
        <w:tc>
          <w:tcPr>
            <w:tcW w:w="66" w:type="dxa"/>
            <w:tcBorders/>
            <w:shd w:fill="auto" w:val="clear"/>
            <w:vAlign w:val="bottom"/>
          </w:tcPr>
          <w:p>
            <w:pPr>
              <w:pStyle w:val="TableContents"/>
              <w:spacing w:before="0" w:after="283"/>
              <w:rPr/>
            </w:pPr>
            <w:r>
              <w:rPr/>
              <w:t> </w:t>
            </w:r>
          </w:p>
        </w:tc>
      </w:tr>
      <w:tr>
        <w:trPr/>
        <w:tc>
          <w:tcPr>
            <w:tcW w:w="5090" w:type="dxa"/>
            <w:tcBorders/>
            <w:shd w:fill="CCEEFF" w:val="clear"/>
          </w:tcPr>
          <w:p>
            <w:pPr>
              <w:pStyle w:val="TableContents"/>
              <w:spacing w:before="0" w:after="0"/>
              <w:rPr>
                <w:rFonts w:ascii="Times New Roman" w:hAnsi="Times New Roman"/>
                <w:sz w:val="20"/>
              </w:rPr>
            </w:pPr>
            <w:r>
              <w:rPr>
                <w:rFonts w:ascii="Times New Roman" w:hAnsi="Times New Roman"/>
                <w:sz w:val="20"/>
              </w:rPr>
              <w:t>White</w:t>
            </w:r>
          </w:p>
        </w:tc>
        <w:tc>
          <w:tcPr>
            <w:tcW w:w="30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center"/>
              <w:rPr/>
            </w:pPr>
            <w:r>
              <w:rPr/>
              <w:t>2</w:t>
            </w:r>
          </w:p>
        </w:tc>
        <w:tc>
          <w:tcPr>
            <w:tcW w:w="303" w:type="dxa"/>
            <w:tcBorders/>
            <w:shd w:fill="CCEEFF" w:val="clear"/>
            <w:vAlign w:val="bottom"/>
          </w:tcPr>
          <w:p>
            <w:pPr>
              <w:pStyle w:val="TableContents"/>
              <w:spacing w:before="0" w:after="283"/>
              <w:rPr/>
            </w:pPr>
            <w:r>
              <w:rPr/>
              <w:t>  </w:t>
            </w:r>
          </w:p>
        </w:tc>
        <w:tc>
          <w:tcPr>
            <w:tcW w:w="531" w:type="dxa"/>
            <w:tcBorders/>
            <w:shd w:fill="CCEEFF" w:val="clear"/>
            <w:vAlign w:val="bottom"/>
          </w:tcPr>
          <w:p>
            <w:pPr>
              <w:pStyle w:val="TableContents"/>
              <w:spacing w:before="0" w:after="283"/>
              <w:jc w:val="center"/>
              <w:rPr/>
            </w:pPr>
            <w:r>
              <w:rPr/>
              <w:t>5</w:t>
            </w:r>
          </w:p>
        </w:tc>
        <w:tc>
          <w:tcPr>
            <w:tcW w:w="303"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19" w:type="dxa"/>
            <w:tcBorders/>
            <w:shd w:fill="CCEEFF" w:val="clear"/>
            <w:vAlign w:val="bottom"/>
          </w:tcPr>
          <w:p>
            <w:pPr>
              <w:pStyle w:val="TableContents"/>
              <w:spacing w:before="0" w:after="283"/>
              <w:jc w:val="right"/>
              <w:rPr/>
            </w:pPr>
            <w:r>
              <w:rPr/>
              <w:t>  </w:t>
            </w:r>
          </w:p>
        </w:tc>
        <w:tc>
          <w:tcPr>
            <w:tcW w:w="66" w:type="dxa"/>
            <w:tcBorders/>
            <w:shd w:fill="CCEEFF" w:val="clear"/>
            <w:vAlign w:val="bottom"/>
          </w:tcPr>
          <w:p>
            <w:pPr>
              <w:pStyle w:val="TableContents"/>
              <w:spacing w:before="0" w:after="283"/>
              <w:rPr/>
            </w:pPr>
            <w:r>
              <w:rPr/>
              <w:t> </w:t>
            </w:r>
          </w:p>
        </w:tc>
      </w:tr>
      <w:tr>
        <w:trPr/>
        <w:tc>
          <w:tcPr>
            <w:tcW w:w="5090" w:type="dxa"/>
            <w:tcBorders/>
            <w:shd w:fill="auto" w:val="clear"/>
          </w:tcPr>
          <w:p>
            <w:pPr>
              <w:pStyle w:val="TableContents"/>
              <w:spacing w:before="0" w:after="0"/>
              <w:rPr>
                <w:rFonts w:ascii="Times New Roman" w:hAnsi="Times New Roman"/>
                <w:sz w:val="20"/>
              </w:rPr>
            </w:pPr>
            <w:r>
              <w:rPr>
                <w:rFonts w:ascii="Times New Roman" w:hAnsi="Times New Roman"/>
                <w:sz w:val="20"/>
              </w:rPr>
              <w:t>Two or More Races or Ethnicities</w:t>
            </w:r>
          </w:p>
        </w:tc>
        <w:tc>
          <w:tcPr>
            <w:tcW w:w="30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center"/>
              <w:rPr/>
            </w:pPr>
            <w:r>
              <w:rPr/>
              <w:t>  </w:t>
            </w:r>
          </w:p>
        </w:tc>
        <w:tc>
          <w:tcPr>
            <w:tcW w:w="303" w:type="dxa"/>
            <w:tcBorders/>
            <w:shd w:fill="auto" w:val="clear"/>
            <w:vAlign w:val="bottom"/>
          </w:tcPr>
          <w:p>
            <w:pPr>
              <w:pStyle w:val="TableContents"/>
              <w:spacing w:before="0" w:after="283"/>
              <w:rPr/>
            </w:pPr>
            <w:r>
              <w:rPr/>
              <w:t>  </w:t>
            </w:r>
          </w:p>
        </w:tc>
        <w:tc>
          <w:tcPr>
            <w:tcW w:w="531" w:type="dxa"/>
            <w:tcBorders/>
            <w:shd w:fill="auto" w:val="clear"/>
            <w:vAlign w:val="bottom"/>
          </w:tcPr>
          <w:p>
            <w:pPr>
              <w:pStyle w:val="TableContents"/>
              <w:spacing w:before="0" w:after="283"/>
              <w:jc w:val="center"/>
              <w:rPr/>
            </w:pPr>
            <w:r>
              <w:rPr/>
              <w:t>  </w:t>
            </w:r>
          </w:p>
        </w:tc>
        <w:tc>
          <w:tcPr>
            <w:tcW w:w="303"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19" w:type="dxa"/>
            <w:tcBorders/>
            <w:shd w:fill="auto" w:val="clear"/>
            <w:vAlign w:val="bottom"/>
          </w:tcPr>
          <w:p>
            <w:pPr>
              <w:pStyle w:val="TableContents"/>
              <w:spacing w:before="0" w:after="283"/>
              <w:jc w:val="right"/>
              <w:rPr/>
            </w:pPr>
            <w:r>
              <w:rPr/>
              <w:t>  </w:t>
            </w:r>
          </w:p>
        </w:tc>
        <w:tc>
          <w:tcPr>
            <w:tcW w:w="66" w:type="dxa"/>
            <w:tcBorders/>
            <w:shd w:fill="auto" w:val="clear"/>
            <w:vAlign w:val="bottom"/>
          </w:tcPr>
          <w:p>
            <w:pPr>
              <w:pStyle w:val="TableContents"/>
              <w:spacing w:before="0" w:after="283"/>
              <w:rPr/>
            </w:pPr>
            <w:r>
              <w:rPr/>
              <w:t> </w:t>
            </w:r>
          </w:p>
        </w:tc>
      </w:tr>
      <w:tr>
        <w:trPr/>
        <w:tc>
          <w:tcPr>
            <w:tcW w:w="5090" w:type="dxa"/>
            <w:tcBorders/>
            <w:shd w:fill="CCEEFF" w:val="clear"/>
          </w:tcPr>
          <w:p>
            <w:pPr>
              <w:pStyle w:val="TableContents"/>
              <w:spacing w:before="0" w:after="0"/>
              <w:rPr>
                <w:rFonts w:ascii="Times New Roman" w:hAnsi="Times New Roman"/>
                <w:sz w:val="20"/>
              </w:rPr>
            </w:pPr>
            <w:r>
              <w:rPr>
                <w:rFonts w:ascii="Times New Roman" w:hAnsi="Times New Roman"/>
                <w:sz w:val="20"/>
              </w:rPr>
              <w:t>LGBTQ+</w:t>
            </w:r>
          </w:p>
        </w:tc>
        <w:tc>
          <w:tcPr>
            <w:tcW w:w="303" w:type="dxa"/>
            <w:tcBorders/>
            <w:shd w:fill="CCEEFF" w:val="clear"/>
            <w:vAlign w:val="bottom"/>
          </w:tcPr>
          <w:p>
            <w:pPr>
              <w:pStyle w:val="TableContents"/>
              <w:spacing w:before="0" w:after="283"/>
              <w:rPr/>
            </w:pPr>
            <w:r>
              <w:rPr/>
              <w:t>  </w:t>
            </w:r>
          </w:p>
        </w:tc>
        <w:tc>
          <w:tcPr>
            <w:tcW w:w="3929" w:type="dxa"/>
            <w:gridSpan w:val="10"/>
            <w:tcBorders/>
            <w:shd w:fill="CCEEFF" w:val="clear"/>
            <w:vAlign w:val="bottom"/>
          </w:tcPr>
          <w:p>
            <w:pPr>
              <w:pStyle w:val="TableContents"/>
              <w:spacing w:before="0" w:after="283"/>
              <w:jc w:val="center"/>
              <w:rPr/>
            </w:pPr>
            <w:r>
              <w:rPr/>
              <w:t>1</w:t>
            </w:r>
          </w:p>
        </w:tc>
        <w:tc>
          <w:tcPr>
            <w:tcW w:w="66" w:type="dxa"/>
            <w:tcBorders/>
            <w:shd w:fill="CCEEFF" w:val="clear"/>
            <w:vAlign w:val="bottom"/>
          </w:tcPr>
          <w:p>
            <w:pPr>
              <w:pStyle w:val="TableContents"/>
              <w:spacing w:before="0" w:after="283"/>
              <w:rPr/>
            </w:pPr>
            <w:r>
              <w:rPr/>
              <w:t> </w:t>
            </w:r>
          </w:p>
        </w:tc>
      </w:tr>
      <w:tr>
        <w:trPr/>
        <w:tc>
          <w:tcPr>
            <w:tcW w:w="5090" w:type="dxa"/>
            <w:tcBorders/>
            <w:shd w:fill="auto" w:val="clear"/>
          </w:tcPr>
          <w:p>
            <w:pPr>
              <w:pStyle w:val="TableContents"/>
              <w:spacing w:before="0" w:after="0"/>
              <w:rPr>
                <w:rFonts w:ascii="Times New Roman" w:hAnsi="Times New Roman"/>
                <w:sz w:val="20"/>
              </w:rPr>
            </w:pPr>
            <w:r>
              <w:rPr>
                <w:rFonts w:ascii="Times New Roman" w:hAnsi="Times New Roman"/>
                <w:sz w:val="20"/>
              </w:rPr>
              <w:t>Did Not Disclose Demographic Background</w:t>
            </w:r>
          </w:p>
        </w:tc>
        <w:tc>
          <w:tcPr>
            <w:tcW w:w="303" w:type="dxa"/>
            <w:tcBorders/>
            <w:shd w:fill="auto" w:val="clear"/>
            <w:vAlign w:val="bottom"/>
          </w:tcPr>
          <w:p>
            <w:pPr>
              <w:pStyle w:val="TableContents"/>
              <w:spacing w:before="0" w:after="283"/>
              <w:rPr/>
            </w:pPr>
            <w:r>
              <w:rPr/>
              <w:t>  </w:t>
            </w:r>
          </w:p>
        </w:tc>
        <w:tc>
          <w:tcPr>
            <w:tcW w:w="3929" w:type="dxa"/>
            <w:gridSpan w:val="10"/>
            <w:tcBorders/>
            <w:shd w:fill="auto" w:val="clear"/>
            <w:vAlign w:val="bottom"/>
          </w:tcPr>
          <w:p>
            <w:pPr>
              <w:pStyle w:val="TableContents"/>
              <w:spacing w:before="0" w:after="283"/>
              <w:jc w:val="center"/>
              <w:rPr/>
            </w:pPr>
            <w:r>
              <w:rPr/>
              <w:t>  </w:t>
            </w:r>
          </w:p>
        </w:tc>
        <w:tc>
          <w:tcPr>
            <w:tcW w:w="66" w:type="dxa"/>
            <w:tcBorders/>
            <w:shd w:fill="auto" w:val="clear"/>
            <w:vAlign w:val="bottom"/>
          </w:tcPr>
          <w:p>
            <w:pPr>
              <w:pStyle w:val="TableContents"/>
              <w:spacing w:before="0" w:after="283"/>
              <w:rPr/>
            </w:pPr>
            <w:r>
              <w:rPr/>
              <w:t> </w:t>
            </w:r>
          </w:p>
        </w:tc>
      </w:tr>
    </w:tbl>
    <w:p>
      <w:pPr>
        <w:pStyle w:val="TextBody"/>
        <w:spacing w:before="240" w:after="0"/>
        <w:jc w:val="left"/>
        <w:rPr>
          <w:rFonts w:ascii="Times New Roman" w:hAnsi="Times New Roman"/>
          <w:b/>
          <w:sz w:val="20"/>
        </w:rPr>
      </w:pPr>
      <w:r>
        <w:rPr>
          <w:rFonts w:ascii="Times New Roman" w:hAnsi="Times New Roman"/>
          <w:b/>
          <w:sz w:val="20"/>
        </w:rPr>
        <w:t xml:space="preserve">INDEPENDENCE OF THE BOARD OF DIRECTORS; EXECUTIVE SESSIONS </w:t>
      </w:r>
    </w:p>
    <w:p>
      <w:pPr>
        <w:pStyle w:val="TextBody"/>
        <w:spacing w:before="120" w:after="0"/>
        <w:jc w:val="left"/>
        <w:rPr>
          <w:rFonts w:ascii="Times New Roman" w:hAnsi="Times New Roman"/>
          <w:sz w:val="20"/>
        </w:rPr>
      </w:pPr>
      <w:r>
        <w:rPr>
          <w:rFonts w:ascii="Times New Roman" w:hAnsi="Times New Roman"/>
          <w:sz w:val="20"/>
        </w:rPr>
        <w:t>As required under the Nasdaq Capital Market (</w:t>
      </w:r>
      <w:r>
        <w:rPr>
          <w:rFonts w:ascii="Times New Roman" w:hAnsi="Times New Roman"/>
          <w:b/>
          <w:i/>
          <w:sz w:val="20"/>
        </w:rPr>
        <w:t>Nasdaq</w:t>
      </w:r>
      <w:r>
        <w:rPr>
          <w:rFonts w:ascii="Times New Roman" w:hAnsi="Times New Roman"/>
          <w:sz w:val="20"/>
        </w:rPr>
        <w:t xml:space="preserve">) listing standards, independent directors must comprise a majority of a listed companys board of directors. In addition, applicable Nasdaq rules require that, subject to specified exceptions, each member of a listed companys audit committee, compensation committee and nominating and corporate governance committee be independent within the meaning of applicable Nasdaq rules. Audit Committee members must also satisfy the independence criteria set forth in Rule 10A-3 under the Exchange Act. </w:t>
      </w:r>
    </w:p>
    <w:p>
      <w:pPr>
        <w:pStyle w:val="TextBody"/>
        <w:spacing w:before="240" w:after="0"/>
        <w:jc w:val="left"/>
        <w:rPr>
          <w:rFonts w:ascii="Times New Roman" w:hAnsi="Times New Roman"/>
          <w:sz w:val="20"/>
        </w:rPr>
      </w:pPr>
      <w:r>
        <w:rPr>
          <w:rFonts w:ascii="Times New Roman" w:hAnsi="Times New Roman"/>
          <w:sz w:val="20"/>
        </w:rPr>
        <w:t xml:space="preserve">Our Board undertook a review of the independence of each director and considered whether any director has a material relationship with us that could compromise his or her ability to exercise independent judgment in carrying out his or her responsibilities. As a result of this review, our Board determined that all of our directors, other than Mr. Brady, our Chief Executive Officer, and Dr. Dubensky, our President, qualify as independent directors within the meaning of the Nasdaq rules. Accordingly, a majority of our directors are independent, as required under applicable Nasdaq rules. The Board also determined that each member of our Audit, Compensation and Nominating and Corporate Governance Committees satisfies the independence standards for such committees established by the SEC and the Nasdaq listing standards, as applicable. </w:t>
      </w:r>
    </w:p>
    <w:p>
      <w:pPr>
        <w:pStyle w:val="TextBody"/>
        <w:spacing w:before="240" w:after="0"/>
        <w:jc w:val="left"/>
        <w:rPr>
          <w:rFonts w:ascii="Times New Roman" w:hAnsi="Times New Roman"/>
          <w:sz w:val="20"/>
        </w:rPr>
      </w:pPr>
      <w:r>
        <w:rPr>
          <w:rFonts w:ascii="Times New Roman" w:hAnsi="Times New Roman"/>
          <w:sz w:val="20"/>
        </w:rPr>
        <w:t xml:space="preserve">Our non-employee directors have been meeting, and we anticipate that they will continue to meet, in regularly scheduled executive sessions at which only non-employee directors are present. </w:t>
      </w:r>
    </w:p>
    <w:p>
      <w:pPr>
        <w:pStyle w:val="TextBody"/>
        <w:spacing w:before="360" w:after="0"/>
        <w:jc w:val="left"/>
        <w:rPr>
          <w:rFonts w:ascii="Times New Roman" w:hAnsi="Times New Roman"/>
          <w:b/>
          <w:sz w:val="20"/>
        </w:rPr>
      </w:pPr>
      <w:r>
        <w:rPr>
          <w:rFonts w:ascii="Times New Roman" w:hAnsi="Times New Roman"/>
          <w:b/>
          <w:sz w:val="20"/>
        </w:rPr>
        <w:t xml:space="preserve">BOARD LEADERSHIP STRUCTURE </w:t>
      </w:r>
    </w:p>
    <w:p>
      <w:pPr>
        <w:pStyle w:val="TextBody"/>
        <w:spacing w:before="120" w:after="0"/>
        <w:jc w:val="left"/>
        <w:rPr>
          <w:rFonts w:ascii="Times New Roman" w:hAnsi="Times New Roman"/>
          <w:sz w:val="20"/>
        </w:rPr>
      </w:pPr>
      <w:r>
        <w:rPr>
          <w:rFonts w:ascii="Times New Roman" w:hAnsi="Times New Roman"/>
          <w:sz w:val="20"/>
        </w:rPr>
        <w:t xml:space="preserve">Our Corporate Governance Guidelines specify that our Board will select our Chief Executive Officer and Chairperson of the Board in the manner that it determines to be in the best interests of our stockholders and in accordance with any stockholder agreements. The Board will conduct an annual assessment of its leadership structure to determine that the leadership structure is the most appropriate for the Company at the time. The Board anticipates that our Chief Executive Officer will serve on the Board. The Chairperson of the Board and Chief Executive Officer positions may be held by the same individual or separated as determined by the Board. The Board also anticipates that other members of our management, who can assist the Board in fulfilling its responsibilities based on their experience and role at Tempest, may serve on the Board as appropriate.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Pursuant to its charter, the Nominating and Corporate Governance Committee periodically reviews this matter and make recommendations to the Board. The Nominating and Corporate Governance Committee has recommended, and the Board has determined, that the roles of Chief Executive Officer and chairperson of the Board should be separate. The role of chairperson is currently held by Michael Raab, an independent, non-employee director. </w:t>
      </w:r>
    </w:p>
    <w:p>
      <w:pPr>
        <w:pStyle w:val="TextBody"/>
        <w:spacing w:before="360" w:after="0"/>
        <w:jc w:val="left"/>
        <w:rPr>
          <w:rFonts w:ascii="Times New Roman" w:hAnsi="Times New Roman"/>
          <w:b/>
          <w:sz w:val="20"/>
        </w:rPr>
      </w:pPr>
      <w:r>
        <w:rPr>
          <w:rFonts w:ascii="Times New Roman" w:hAnsi="Times New Roman"/>
          <w:b/>
          <w:sz w:val="20"/>
        </w:rPr>
        <w:t xml:space="preserve">ROLE OF THE BOARD IN RISK OVERSIGHT </w:t>
      </w:r>
    </w:p>
    <w:p>
      <w:pPr>
        <w:pStyle w:val="TextBody"/>
        <w:spacing w:before="120" w:after="0"/>
        <w:jc w:val="left"/>
        <w:rPr>
          <w:rFonts w:ascii="Times New Roman" w:hAnsi="Times New Roman"/>
          <w:sz w:val="20"/>
        </w:rPr>
      </w:pPr>
      <w:r>
        <w:rPr>
          <w:rFonts w:ascii="Times New Roman" w:hAnsi="Times New Roman"/>
          <w:sz w:val="20"/>
        </w:rPr>
        <w:t xml:space="preserve">One of the Boards key functions is informed oversight of our risk management process. In particular, our Board is responsible for monitoring and assessing strategic risk exposure, including a determination of the nature and level of risk appropriate for the Company. The Board does not have a standing risk management committee, but rather administers this oversight function directly through the Board as a whole, as well as through various Board standing committees that address risks inherent in their respective areas of oversight. Our Board and its committees consider specific risk topics, including risks associated with our strategic plan, business operations, capital structure, information technology, data privacy and cyber security. It is the responsibility of the committee chairs to report findings regarding material risk exposures to the Board as quickly as possible. </w:t>
      </w:r>
    </w:p>
    <w:p>
      <w:pPr>
        <w:pStyle w:val="TextBody"/>
        <w:spacing w:before="240" w:after="0"/>
        <w:jc w:val="left"/>
        <w:rPr>
          <w:rFonts w:ascii="Times New Roman" w:hAnsi="Times New Roman"/>
          <w:sz w:val="20"/>
        </w:rPr>
      </w:pPr>
      <w:r>
        <w:rPr>
          <w:rFonts w:ascii="Times New Roman" w:hAnsi="Times New Roman"/>
          <w:sz w:val="20"/>
        </w:rPr>
        <w:t xml:space="preserve">Our Audit Committee has the responsibility to consider and discuss with management and the auditors, as appropriate, our guidelines and policies with respect to financial risk management and financial risk assessment, including the Companys major financial risk exposures and the steps taken by management to monitor and control these exposures. In addition, the Audit Committee reviews and discusses with management and the auditors, as appropriate, the Companys guidelines and policies with respect to financial risk management and financial risk assessment, including the Companys major litigation and risk exposures (including with respect to financial cybersecurity, data privacy and other information technology risks) and the steps taken by management to monitor and control these exposures. Our Compensation Committee assesses and monitors whether any of our compensation policies and programs has the potential to encourage excessive risk-taking, including risks related to our practices and policies of employee compensation as they relate to risk management and risk-taking incentives, to determine whether such compensation policies and practices are reasonably likely to have a material adverse effect on us, including whether our incentive compensation plans encourage excessive or inappropriate risk taking. Our Nominating and Corporate Governance Committee monitors the effectiveness of our corporate governance guidelines, including proxy advisory firm policies and recommendations. The Nominating and Corporate Governance Committee also oversees and reviews with management our major legal compliance risk exposures and the steps management has taken to monitor or mitigate such exposures, including our procedures and any related policies with respect to risk assessment and risk management. </w:t>
      </w:r>
    </w:p>
    <w:p>
      <w:pPr>
        <w:pStyle w:val="TextBody"/>
        <w:spacing w:before="240" w:after="0"/>
        <w:jc w:val="left"/>
        <w:rPr>
          <w:rFonts w:ascii="Times New Roman" w:hAnsi="Times New Roman"/>
          <w:sz w:val="20"/>
        </w:rPr>
      </w:pPr>
      <w:r>
        <w:rPr>
          <w:rFonts w:ascii="Times New Roman" w:hAnsi="Times New Roman"/>
          <w:sz w:val="20"/>
        </w:rPr>
        <w:t xml:space="preserve">In connection with our reviews of the operations and corporate functions of our company, our Board addresses the primary risks associated with those operations and corporate functions. In addition, our Board reviews the risks associated with our companys business strategies periodically throughout the year as part of its consideration of undertaking any such business strategies. While the Board and its committees oversee risk management strategy, management is responsible for implementing and supervising day-to-day risk management processes and reporting to the Board and its committees on such matters. </w:t>
      </w:r>
    </w:p>
    <w:p>
      <w:pPr>
        <w:pStyle w:val="TextBody"/>
        <w:spacing w:before="360" w:after="0"/>
        <w:jc w:val="left"/>
        <w:rPr>
          <w:rFonts w:ascii="Times New Roman" w:hAnsi="Times New Roman"/>
          <w:b/>
          <w:sz w:val="20"/>
        </w:rPr>
      </w:pPr>
      <w:r>
        <w:rPr>
          <w:rFonts w:ascii="Times New Roman" w:hAnsi="Times New Roman"/>
          <w:b/>
          <w:sz w:val="20"/>
        </w:rPr>
        <w:t xml:space="preserve">MEETINGS OF THE BOARD OF DIRECTORS </w:t>
      </w:r>
    </w:p>
    <w:p>
      <w:pPr>
        <w:pStyle w:val="TextBody"/>
        <w:spacing w:before="120" w:after="0"/>
        <w:jc w:val="left"/>
        <w:rPr>
          <w:rFonts w:ascii="Times New Roman" w:hAnsi="Times New Roman"/>
          <w:sz w:val="20"/>
        </w:rPr>
      </w:pPr>
      <w:r>
        <w:rPr>
          <w:rFonts w:ascii="Times New Roman" w:hAnsi="Times New Roman"/>
          <w:sz w:val="20"/>
        </w:rPr>
        <w:t xml:space="preserve">The Board met five times during the last fiscal year. Each Board member attended 75% or more of the aggregate number of meetings of the Board and of the committees on which she or he served, held during the portion of the last fiscal year for which she or he was a director or committee member. </w:t>
      </w:r>
    </w:p>
    <w:p>
      <w:pPr>
        <w:pStyle w:val="TextBody"/>
        <w:spacing w:before="360" w:after="0"/>
        <w:jc w:val="left"/>
        <w:rPr>
          <w:rFonts w:ascii="Times New Roman" w:hAnsi="Times New Roman"/>
          <w:b/>
          <w:sz w:val="20"/>
        </w:rPr>
      </w:pPr>
      <w:r>
        <w:rPr>
          <w:rFonts w:ascii="Times New Roman" w:hAnsi="Times New Roman"/>
          <w:b/>
          <w:sz w:val="20"/>
        </w:rPr>
        <w:t xml:space="preserve">INFORMATION REGARDING COMMITTEES OF THE BOARD OF DIRECTORS </w:t>
      </w:r>
    </w:p>
    <w:p>
      <w:pPr>
        <w:pStyle w:val="TextBody"/>
        <w:spacing w:before="120" w:after="0"/>
        <w:jc w:val="left"/>
        <w:rPr>
          <w:rFonts w:ascii="Times New Roman" w:hAnsi="Times New Roman"/>
          <w:sz w:val="20"/>
        </w:rPr>
      </w:pPr>
      <w:r>
        <w:rPr>
          <w:rFonts w:ascii="Times New Roman" w:hAnsi="Times New Roman"/>
          <w:sz w:val="20"/>
        </w:rPr>
        <w:t xml:space="preserve">Our Board has established an Audit Committee, a Compensation Committee, a Nominating and Corporate Governance Committee and a Science &amp; Technology Committee. Our Board may establish other committees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facilitate the management of our business. Our Board has adopted a written charter for each of our committees, other than the Science &amp; Technology Committee, which are available to stockholders on our investor relations website at </w:t>
      </w:r>
      <w:r>
        <w:rPr>
          <w:rFonts w:ascii="Times New Roman" w:hAnsi="Times New Roman"/>
          <w:i/>
          <w:sz w:val="20"/>
        </w:rPr>
        <w:t>ir.tempesttx.com</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The following table provides membership and meeting information for the fiscal year ended December 31, 2022 for each of the standing committees of our Board: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1653"/>
        <w:gridCol w:w="405"/>
        <w:gridCol w:w="339"/>
        <w:gridCol w:w="791"/>
        <w:gridCol w:w="350"/>
        <w:gridCol w:w="369"/>
        <w:gridCol w:w="447"/>
        <w:gridCol w:w="1043"/>
        <w:gridCol w:w="350"/>
        <w:gridCol w:w="370"/>
        <w:gridCol w:w="375"/>
        <w:gridCol w:w="875"/>
        <w:gridCol w:w="60"/>
        <w:gridCol w:w="405"/>
        <w:gridCol w:w="361"/>
        <w:gridCol w:w="844"/>
        <w:gridCol w:w="351"/>
      </w:tblGrid>
      <w:tr>
        <w:trPr/>
        <w:tc>
          <w:tcPr>
            <w:tcW w:w="1653"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bottom"/>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bottom"/>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r>
      <w:tr>
        <w:trPr/>
        <w:tc>
          <w:tcPr>
            <w:tcW w:w="1653"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Name</w:t>
            </w:r>
          </w:p>
        </w:tc>
        <w:tc>
          <w:tcPr>
            <w:tcW w:w="405" w:type="dxa"/>
            <w:tcBorders/>
            <w:shd w:fill="auto" w:val="clear"/>
            <w:vAlign w:val="bottom"/>
          </w:tcPr>
          <w:p>
            <w:pPr>
              <w:pStyle w:val="TableContents"/>
              <w:spacing w:before="0" w:after="283"/>
              <w:rPr/>
            </w:pPr>
            <w:r>
              <w:rPr/>
              <w:t>  </w:t>
            </w:r>
          </w:p>
        </w:tc>
        <w:tc>
          <w:tcPr>
            <w:tcW w:w="113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Audit</w:t>
              <w:br/>
              <w:t>Committee</w:t>
            </w:r>
          </w:p>
        </w:tc>
        <w:tc>
          <w:tcPr>
            <w:tcW w:w="350"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4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Compensation</w:t>
              <w:br/>
              <w:t>Committee</w:t>
            </w:r>
          </w:p>
        </w:tc>
        <w:tc>
          <w:tcPr>
            <w:tcW w:w="35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25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Nominating</w:t>
            </w:r>
            <w:r>
              <w:rPr/>
              <w:br/>
            </w:r>
            <w:r>
              <w:rPr>
                <w:b/>
              </w:rPr>
              <w:t>and</w:t>
              <w:br/>
              <w:t>Corporate</w:t>
              <w:br/>
              <w:t>Governance</w:t>
              <w:br/>
              <w:t>Committee</w:t>
            </w:r>
          </w:p>
        </w:tc>
        <w:tc>
          <w:tcPr>
            <w:tcW w:w="60"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20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Science &amp;</w:t>
              <w:br/>
              <w:t>Technology</w:t>
              <w:br/>
              <w:t>Committee</w:t>
            </w:r>
          </w:p>
        </w:tc>
        <w:tc>
          <w:tcPr>
            <w:tcW w:w="351" w:type="dxa"/>
            <w:tcBorders/>
            <w:shd w:fill="auto" w:val="clear"/>
            <w:vAlign w:val="bottom"/>
          </w:tcPr>
          <w:p>
            <w:pPr>
              <w:pStyle w:val="TableContents"/>
              <w:spacing w:before="0" w:after="283"/>
              <w:rPr/>
            </w:pPr>
            <w:r>
              <w:rPr/>
              <w:t> </w:t>
            </w:r>
          </w:p>
        </w:tc>
      </w:tr>
      <w:tr>
        <w:trPr/>
        <w:tc>
          <w:tcPr>
            <w:tcW w:w="1653" w:type="dxa"/>
            <w:tcBorders/>
            <w:shd w:fill="CCEEFF" w:val="clear"/>
          </w:tcPr>
          <w:p>
            <w:pPr>
              <w:pStyle w:val="TableContents"/>
              <w:spacing w:before="0" w:after="0"/>
              <w:rPr>
                <w:rFonts w:ascii="Times New Roman" w:hAnsi="Times New Roman"/>
                <w:sz w:val="20"/>
              </w:rPr>
            </w:pPr>
            <w:r>
              <w:rPr>
                <w:rFonts w:ascii="Times New Roman" w:hAnsi="Times New Roman"/>
                <w:sz w:val="20"/>
              </w:rPr>
              <w:t>Geoff Nichol</w:t>
            </w:r>
          </w:p>
        </w:tc>
        <w:tc>
          <w:tcPr>
            <w:tcW w:w="405"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drawing>
                <wp:inline distT="0" distB="0" distL="0" distR="0">
                  <wp:extent cx="14605" cy="1524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605" cy="15240"/>
                          </a:xfrm>
                          <a:prstGeom prst="rect">
                            <a:avLst/>
                          </a:prstGeom>
                        </pic:spPr>
                      </pic:pic>
                    </a:graphicData>
                  </a:graphic>
                </wp:inline>
              </w:drawing>
            </w:r>
            <w:r>
              <w:rPr/>
              <w:t xml:space="preserve"> </w:t>
            </w:r>
          </w:p>
        </w:tc>
        <w:tc>
          <w:tcPr>
            <w:tcW w:w="350"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sz w:val="4"/>
                <w:szCs w:val="4"/>
              </w:rPr>
            </w:pPr>
            <w:r>
              <w:rPr>
                <w:sz w:val="4"/>
                <w:szCs w:val="4"/>
              </w:rPr>
            </w:r>
          </w:p>
        </w:tc>
        <w:tc>
          <w:tcPr>
            <w:tcW w:w="1043"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37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drawing>
                <wp:inline distT="0" distB="0" distL="0" distR="0">
                  <wp:extent cx="14605" cy="1524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605" cy="15240"/>
                          </a:xfrm>
                          <a:prstGeom prst="rect">
                            <a:avLst/>
                          </a:prstGeom>
                        </pic:spPr>
                      </pic:pic>
                    </a:graphicData>
                  </a:graphic>
                </wp:inline>
              </w:drawing>
            </w:r>
            <w:r>
              <w:rPr/>
              <w:t xml:space="preserve"> </w:t>
            </w:r>
          </w:p>
        </w:tc>
        <w:tc>
          <w:tcPr>
            <w:tcW w:w="60"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drawing>
                <wp:inline distT="0" distB="0" distL="0" distR="0">
                  <wp:extent cx="14605" cy="1524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605" cy="15240"/>
                          </a:xfrm>
                          <a:prstGeom prst="rect">
                            <a:avLst/>
                          </a:prstGeom>
                        </pic:spPr>
                      </pic:pic>
                    </a:graphicData>
                  </a:graphic>
                </wp:inline>
              </w:drawing>
            </w:r>
            <w:r>
              <w:rPr/>
              <w:t xml:space="preserve"> </w:t>
            </w:r>
          </w:p>
        </w:tc>
        <w:tc>
          <w:tcPr>
            <w:tcW w:w="351" w:type="dxa"/>
            <w:tcBorders/>
            <w:shd w:fill="CCEEFF" w:val="clear"/>
            <w:vAlign w:val="bottom"/>
          </w:tcPr>
          <w:p>
            <w:pPr>
              <w:pStyle w:val="TableContents"/>
              <w:spacing w:before="0" w:after="283"/>
              <w:rPr/>
            </w:pPr>
            <w:r>
              <w:rPr/>
              <w:t> </w:t>
            </w:r>
          </w:p>
        </w:tc>
      </w:tr>
      <w:tr>
        <w:trPr/>
        <w:tc>
          <w:tcPr>
            <w:tcW w:w="1653" w:type="dxa"/>
            <w:tcBorders/>
            <w:shd w:fill="auto" w:val="clear"/>
          </w:tcPr>
          <w:p>
            <w:pPr>
              <w:pStyle w:val="TableContents"/>
              <w:spacing w:before="0" w:after="0"/>
              <w:rPr>
                <w:rFonts w:ascii="Times New Roman" w:hAnsi="Times New Roman"/>
                <w:sz w:val="20"/>
              </w:rPr>
            </w:pPr>
            <w:r>
              <w:rPr>
                <w:rFonts w:ascii="Times New Roman" w:hAnsi="Times New Roman"/>
                <w:sz w:val="20"/>
              </w:rPr>
              <w:t>Christine Pellizzari (1)</w:t>
            </w:r>
          </w:p>
        </w:tc>
        <w:tc>
          <w:tcPr>
            <w:tcW w:w="405"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drawing>
                <wp:inline distT="0" distB="0" distL="0" distR="0">
                  <wp:extent cx="14605" cy="1524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605" cy="15240"/>
                          </a:xfrm>
                          <a:prstGeom prst="rect">
                            <a:avLst/>
                          </a:prstGeom>
                        </pic:spPr>
                      </pic:pic>
                    </a:graphicData>
                  </a:graphic>
                </wp:inline>
              </w:drawing>
            </w:r>
            <w:r>
              <w:rPr/>
              <w:t xml:space="preserve"> </w:t>
            </w:r>
          </w:p>
        </w:tc>
        <w:tc>
          <w:tcPr>
            <w:tcW w:w="350" w:type="dxa"/>
            <w:tcBorders/>
            <w:shd w:fill="auto" w:val="clear"/>
            <w:vAlign w:val="bottom"/>
          </w:tcPr>
          <w:p>
            <w:pPr>
              <w:pStyle w:val="TableContents"/>
              <w:spacing w:before="0" w:after="283"/>
              <w:rPr/>
            </w:pPr>
            <w:r>
              <w:rPr/>
              <w:t>(3) </w:t>
            </w:r>
          </w:p>
        </w:tc>
        <w:tc>
          <w:tcPr>
            <w:tcW w:w="369"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sz w:val="4"/>
                <w:szCs w:val="4"/>
              </w:rPr>
            </w:pPr>
            <w:r>
              <w:rPr>
                <w:sz w:val="4"/>
                <w:szCs w:val="4"/>
              </w:rPr>
            </w:r>
          </w:p>
        </w:tc>
        <w:tc>
          <w:tcPr>
            <w:tcW w:w="1043"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37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sz w:val="4"/>
                <w:szCs w:val="4"/>
              </w:rPr>
            </w:pPr>
            <w:r>
              <w:rPr>
                <w:sz w:val="4"/>
                <w:szCs w:val="4"/>
              </w:rPr>
            </w:r>
          </w:p>
        </w:tc>
        <w:tc>
          <w:tcPr>
            <w:tcW w:w="8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sz w:val="4"/>
                <w:szCs w:val="4"/>
              </w:rPr>
            </w:pPr>
            <w:r>
              <w:rPr>
                <w:sz w:val="4"/>
                <w:szCs w:val="4"/>
              </w:rPr>
            </w:r>
          </w:p>
        </w:tc>
        <w:tc>
          <w:tcPr>
            <w:tcW w:w="844" w:type="dxa"/>
            <w:tcBorders/>
            <w:shd w:fill="auto" w:val="clear"/>
            <w:vAlign w:val="bottom"/>
          </w:tcPr>
          <w:p>
            <w:pPr>
              <w:pStyle w:val="TableContents"/>
              <w:spacing w:before="0" w:after="283"/>
              <w:rPr>
                <w:sz w:val="4"/>
                <w:szCs w:val="4"/>
              </w:rPr>
            </w:pPr>
            <w:r>
              <w:rPr>
                <w:sz w:val="4"/>
                <w:szCs w:val="4"/>
              </w:rPr>
            </w:r>
          </w:p>
        </w:tc>
        <w:tc>
          <w:tcPr>
            <w:tcW w:w="351" w:type="dxa"/>
            <w:tcBorders/>
            <w:shd w:fill="auto" w:val="clear"/>
            <w:vAlign w:val="bottom"/>
          </w:tcPr>
          <w:p>
            <w:pPr>
              <w:pStyle w:val="TableContents"/>
              <w:spacing w:before="0" w:after="283"/>
              <w:rPr>
                <w:sz w:val="4"/>
                <w:szCs w:val="4"/>
              </w:rPr>
            </w:pPr>
            <w:r>
              <w:rPr>
                <w:sz w:val="4"/>
                <w:szCs w:val="4"/>
              </w:rPr>
            </w:r>
          </w:p>
        </w:tc>
      </w:tr>
      <w:tr>
        <w:trPr/>
        <w:tc>
          <w:tcPr>
            <w:tcW w:w="1653" w:type="dxa"/>
            <w:tcBorders/>
            <w:shd w:fill="CCEEFF" w:val="clear"/>
          </w:tcPr>
          <w:p>
            <w:pPr>
              <w:pStyle w:val="TableContents"/>
              <w:spacing w:before="0" w:after="0"/>
              <w:rPr>
                <w:rFonts w:ascii="Times New Roman" w:hAnsi="Times New Roman"/>
                <w:sz w:val="20"/>
              </w:rPr>
            </w:pPr>
            <w:r>
              <w:rPr>
                <w:rFonts w:ascii="Times New Roman" w:hAnsi="Times New Roman"/>
                <w:sz w:val="20"/>
              </w:rPr>
              <w:t>Michael Raab</w:t>
            </w:r>
          </w:p>
        </w:tc>
        <w:tc>
          <w:tcPr>
            <w:tcW w:w="405"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drawing>
                <wp:inline distT="0" distB="0" distL="0" distR="0">
                  <wp:extent cx="14605" cy="1524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605" cy="15240"/>
                          </a:xfrm>
                          <a:prstGeom prst="rect">
                            <a:avLst/>
                          </a:prstGeom>
                        </pic:spPr>
                      </pic:pic>
                    </a:graphicData>
                  </a:graphic>
                </wp:inline>
              </w:drawing>
            </w:r>
            <w:r>
              <w:rPr/>
              <w:t xml:space="preserve"> </w:t>
            </w:r>
          </w:p>
        </w:tc>
        <w:tc>
          <w:tcPr>
            <w:tcW w:w="350" w:type="dxa"/>
            <w:tcBorders/>
            <w:shd w:fill="CCEEFF" w:val="clear"/>
            <w:vAlign w:val="bottom"/>
          </w:tcPr>
          <w:p>
            <w:pPr>
              <w:pStyle w:val="TableContents"/>
              <w:spacing w:before="0" w:after="283"/>
              <w:rPr/>
            </w:pPr>
            <w:r>
              <w:rPr/>
              <w:t>(3) </w:t>
            </w:r>
          </w:p>
        </w:tc>
        <w:tc>
          <w:tcPr>
            <w:tcW w:w="369"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pPr>
            <w:r>
              <w:rPr/>
              <w:drawing>
                <wp:inline distT="0" distB="0" distL="0" distR="0">
                  <wp:extent cx="14605" cy="1524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605" cy="15240"/>
                          </a:xfrm>
                          <a:prstGeom prst="rect">
                            <a:avLst/>
                          </a:prstGeom>
                        </pic:spPr>
                      </pic:pic>
                    </a:graphicData>
                  </a:graphic>
                </wp:inline>
              </w:drawing>
            </w:r>
            <w:r>
              <w:rPr/>
              <w:t xml:space="preserve"> </w:t>
            </w:r>
          </w:p>
        </w:tc>
        <w:tc>
          <w:tcPr>
            <w:tcW w:w="350" w:type="dxa"/>
            <w:tcBorders/>
            <w:shd w:fill="CCEEFF" w:val="clear"/>
            <w:vAlign w:val="bottom"/>
          </w:tcPr>
          <w:p>
            <w:pPr>
              <w:pStyle w:val="TableContents"/>
              <w:spacing w:before="0" w:after="283"/>
              <w:rPr/>
            </w:pPr>
            <w:r>
              <w:rPr/>
              <w:t>(1) </w:t>
            </w:r>
          </w:p>
        </w:tc>
        <w:tc>
          <w:tcPr>
            <w:tcW w:w="37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drawing>
                <wp:inline distT="0" distB="0" distL="0" distR="0">
                  <wp:extent cx="14605" cy="1524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4605" cy="15240"/>
                          </a:xfrm>
                          <a:prstGeom prst="rect">
                            <a:avLst/>
                          </a:prstGeom>
                        </pic:spPr>
                      </pic:pic>
                    </a:graphicData>
                  </a:graphic>
                </wp:inline>
              </w:drawing>
            </w:r>
            <w:r>
              <w:rPr/>
              <w:t xml:space="preserve"> </w:t>
            </w:r>
          </w:p>
        </w:tc>
        <w:tc>
          <w:tcPr>
            <w:tcW w:w="60"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sz w:val="4"/>
                <w:szCs w:val="4"/>
              </w:rPr>
            </w:pPr>
            <w:r>
              <w:rPr>
                <w:sz w:val="4"/>
                <w:szCs w:val="4"/>
              </w:rPr>
            </w:r>
          </w:p>
        </w:tc>
        <w:tc>
          <w:tcPr>
            <w:tcW w:w="844" w:type="dxa"/>
            <w:tcBorders/>
            <w:shd w:fill="CCEEFF" w:val="clear"/>
            <w:vAlign w:val="bottom"/>
          </w:tcPr>
          <w:p>
            <w:pPr>
              <w:pStyle w:val="TableContents"/>
              <w:spacing w:before="0" w:after="283"/>
              <w:rPr>
                <w:sz w:val="4"/>
                <w:szCs w:val="4"/>
              </w:rPr>
            </w:pPr>
            <w:r>
              <w:rPr>
                <w:sz w:val="4"/>
                <w:szCs w:val="4"/>
              </w:rPr>
            </w:r>
          </w:p>
        </w:tc>
        <w:tc>
          <w:tcPr>
            <w:tcW w:w="351" w:type="dxa"/>
            <w:tcBorders/>
            <w:shd w:fill="CCEEFF" w:val="clear"/>
            <w:vAlign w:val="bottom"/>
          </w:tcPr>
          <w:p>
            <w:pPr>
              <w:pStyle w:val="TableContents"/>
              <w:spacing w:before="0" w:after="283"/>
              <w:rPr>
                <w:sz w:val="4"/>
                <w:szCs w:val="4"/>
              </w:rPr>
            </w:pPr>
            <w:r>
              <w:rPr>
                <w:sz w:val="4"/>
                <w:szCs w:val="4"/>
              </w:rPr>
            </w:r>
          </w:p>
        </w:tc>
      </w:tr>
      <w:tr>
        <w:trPr/>
        <w:tc>
          <w:tcPr>
            <w:tcW w:w="1653" w:type="dxa"/>
            <w:tcBorders/>
            <w:shd w:fill="auto" w:val="clear"/>
          </w:tcPr>
          <w:p>
            <w:pPr>
              <w:pStyle w:val="TableContents"/>
              <w:spacing w:before="0" w:after="0"/>
              <w:rPr>
                <w:rFonts w:ascii="Times New Roman" w:hAnsi="Times New Roman"/>
                <w:sz w:val="20"/>
              </w:rPr>
            </w:pPr>
            <w:r>
              <w:rPr>
                <w:rFonts w:ascii="Times New Roman" w:hAnsi="Times New Roman"/>
                <w:sz w:val="20"/>
              </w:rPr>
              <w:t>Ronit Simantov</w:t>
            </w:r>
          </w:p>
        </w:tc>
        <w:tc>
          <w:tcPr>
            <w:tcW w:w="405"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sz w:val="4"/>
                <w:szCs w:val="4"/>
              </w:rPr>
            </w:pPr>
            <w:r>
              <w:rPr>
                <w:sz w:val="4"/>
                <w:szCs w:val="4"/>
              </w:rPr>
            </w:r>
          </w:p>
        </w:tc>
        <w:tc>
          <w:tcPr>
            <w:tcW w:w="791"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369"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sz w:val="4"/>
                <w:szCs w:val="4"/>
              </w:rPr>
            </w:pPr>
            <w:r>
              <w:rPr>
                <w:sz w:val="4"/>
                <w:szCs w:val="4"/>
              </w:rPr>
            </w:r>
          </w:p>
        </w:tc>
        <w:tc>
          <w:tcPr>
            <w:tcW w:w="1043"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37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sz w:val="4"/>
                <w:szCs w:val="4"/>
              </w:rPr>
            </w:pPr>
            <w:r>
              <w:rPr>
                <w:sz w:val="4"/>
                <w:szCs w:val="4"/>
              </w:rPr>
            </w:r>
          </w:p>
        </w:tc>
        <w:tc>
          <w:tcPr>
            <w:tcW w:w="8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drawing>
                <wp:inline distT="0" distB="0" distL="0" distR="0">
                  <wp:extent cx="14605" cy="1524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4605" cy="15240"/>
                          </a:xfrm>
                          <a:prstGeom prst="rect">
                            <a:avLst/>
                          </a:prstGeom>
                        </pic:spPr>
                      </pic:pic>
                    </a:graphicData>
                  </a:graphic>
                </wp:inline>
              </w:drawing>
            </w:r>
            <w:r>
              <w:rPr/>
              <w:t xml:space="preserve"> </w:t>
            </w:r>
          </w:p>
        </w:tc>
        <w:tc>
          <w:tcPr>
            <w:tcW w:w="351" w:type="dxa"/>
            <w:tcBorders/>
            <w:shd w:fill="auto" w:val="clear"/>
            <w:vAlign w:val="bottom"/>
          </w:tcPr>
          <w:p>
            <w:pPr>
              <w:pStyle w:val="TableContents"/>
              <w:spacing w:before="0" w:after="283"/>
              <w:rPr/>
            </w:pPr>
            <w:r>
              <w:rPr/>
              <w:t>(2) </w:t>
            </w:r>
          </w:p>
        </w:tc>
      </w:tr>
      <w:tr>
        <w:trPr/>
        <w:tc>
          <w:tcPr>
            <w:tcW w:w="1653" w:type="dxa"/>
            <w:tcBorders/>
            <w:shd w:fill="CCEEFF" w:val="clear"/>
          </w:tcPr>
          <w:p>
            <w:pPr>
              <w:pStyle w:val="TableContents"/>
              <w:spacing w:before="0" w:after="0"/>
              <w:rPr>
                <w:rFonts w:ascii="Times New Roman" w:hAnsi="Times New Roman"/>
                <w:sz w:val="20"/>
              </w:rPr>
            </w:pPr>
            <w:r>
              <w:rPr>
                <w:rFonts w:ascii="Times New Roman" w:hAnsi="Times New Roman"/>
                <w:sz w:val="20"/>
              </w:rPr>
              <w:t>Thomas Woiwode</w:t>
            </w:r>
          </w:p>
        </w:tc>
        <w:tc>
          <w:tcPr>
            <w:tcW w:w="405"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sz w:val="4"/>
                <w:szCs w:val="4"/>
              </w:rPr>
            </w:pPr>
            <w:r>
              <w:rPr>
                <w:sz w:val="4"/>
                <w:szCs w:val="4"/>
              </w:rPr>
            </w:r>
          </w:p>
        </w:tc>
        <w:tc>
          <w:tcPr>
            <w:tcW w:w="791"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369"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pPr>
            <w:r>
              <w:rPr/>
              <w:drawing>
                <wp:inline distT="0" distB="0" distL="0" distR="0">
                  <wp:extent cx="14605" cy="1524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4605" cy="15240"/>
                          </a:xfrm>
                          <a:prstGeom prst="rect">
                            <a:avLst/>
                          </a:prstGeom>
                        </pic:spPr>
                      </pic:pic>
                    </a:graphicData>
                  </a:graphic>
                </wp:inline>
              </w:drawing>
            </w:r>
            <w:r>
              <w:rPr/>
              <w:t xml:space="preserve"> </w:t>
            </w:r>
          </w:p>
        </w:tc>
        <w:tc>
          <w:tcPr>
            <w:tcW w:w="350" w:type="dxa"/>
            <w:tcBorders/>
            <w:shd w:fill="CCEEFF" w:val="clear"/>
            <w:vAlign w:val="bottom"/>
          </w:tcPr>
          <w:p>
            <w:pPr>
              <w:pStyle w:val="TableContents"/>
              <w:spacing w:before="0" w:after="283"/>
              <w:rPr/>
            </w:pPr>
            <w:r>
              <w:rPr/>
              <w:t>(1) </w:t>
            </w:r>
          </w:p>
        </w:tc>
        <w:tc>
          <w:tcPr>
            <w:tcW w:w="37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sz w:val="4"/>
                <w:szCs w:val="4"/>
              </w:rPr>
            </w:pPr>
            <w:r>
              <w:rPr>
                <w:sz w:val="4"/>
                <w:szCs w:val="4"/>
              </w:rPr>
            </w:r>
          </w:p>
        </w:tc>
        <w:tc>
          <w:tcPr>
            <w:tcW w:w="8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05"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drawing>
                <wp:inline distT="0" distB="0" distL="0" distR="0">
                  <wp:extent cx="14605" cy="1524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4605" cy="15240"/>
                          </a:xfrm>
                          <a:prstGeom prst="rect">
                            <a:avLst/>
                          </a:prstGeom>
                        </pic:spPr>
                      </pic:pic>
                    </a:graphicData>
                  </a:graphic>
                </wp:inline>
              </w:drawing>
            </w:r>
            <w:r>
              <w:rPr/>
              <w:t xml:space="preserve"> </w:t>
            </w:r>
          </w:p>
        </w:tc>
        <w:tc>
          <w:tcPr>
            <w:tcW w:w="351" w:type="dxa"/>
            <w:tcBorders/>
            <w:shd w:fill="CCEEFF" w:val="clear"/>
            <w:vAlign w:val="bottom"/>
          </w:tcPr>
          <w:p>
            <w:pPr>
              <w:pStyle w:val="TableContents"/>
              <w:spacing w:before="0" w:after="283"/>
              <w:rPr/>
            </w:pPr>
            <w:r>
              <w:rPr/>
              <w:t>(2) </w:t>
            </w:r>
          </w:p>
        </w:tc>
      </w:tr>
      <w:tr>
        <w:trPr/>
        <w:tc>
          <w:tcPr>
            <w:tcW w:w="1653" w:type="dxa"/>
            <w:tcBorders/>
            <w:shd w:fill="auto" w:val="clear"/>
          </w:tcPr>
          <w:p>
            <w:pPr>
              <w:pStyle w:val="TableContents"/>
              <w:spacing w:before="0" w:after="0"/>
              <w:rPr>
                <w:rFonts w:ascii="Times New Roman" w:hAnsi="Times New Roman"/>
                <w:sz w:val="20"/>
              </w:rPr>
            </w:pPr>
            <w:r>
              <w:rPr>
                <w:rFonts w:ascii="Times New Roman" w:hAnsi="Times New Roman"/>
                <w:sz w:val="20"/>
              </w:rPr>
              <w:t>Stella Xu(4)</w:t>
            </w:r>
          </w:p>
        </w:tc>
        <w:tc>
          <w:tcPr>
            <w:tcW w:w="405"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drawing>
                <wp:inline distT="0" distB="0" distL="0" distR="0">
                  <wp:extent cx="14605" cy="1524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4605" cy="15240"/>
                          </a:xfrm>
                          <a:prstGeom prst="rect">
                            <a:avLst/>
                          </a:prstGeom>
                        </pic:spPr>
                      </pic:pic>
                    </a:graphicData>
                  </a:graphic>
                </wp:inline>
              </w:drawing>
            </w:r>
            <w:r>
              <w:rPr/>
              <w:t xml:space="preserve"> </w:t>
            </w:r>
          </w:p>
        </w:tc>
        <w:tc>
          <w:tcPr>
            <w:tcW w:w="350"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pPr>
            <w:r>
              <w:rPr/>
              <w:drawing>
                <wp:inline distT="0" distB="0" distL="0" distR="0">
                  <wp:extent cx="14605" cy="1524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4605" cy="15240"/>
                          </a:xfrm>
                          <a:prstGeom prst="rect">
                            <a:avLst/>
                          </a:prstGeom>
                        </pic:spPr>
                      </pic:pic>
                    </a:graphicData>
                  </a:graphic>
                </wp:inline>
              </w:drawing>
            </w:r>
            <w:r>
              <w:rPr/>
              <w:t xml:space="preserve"> </w:t>
            </w:r>
          </w:p>
        </w:tc>
        <w:tc>
          <w:tcPr>
            <w:tcW w:w="350"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sz w:val="4"/>
                <w:szCs w:val="4"/>
              </w:rPr>
            </w:pPr>
            <w:r>
              <w:rPr>
                <w:sz w:val="4"/>
                <w:szCs w:val="4"/>
              </w:rPr>
            </w:r>
          </w:p>
        </w:tc>
        <w:tc>
          <w:tcPr>
            <w:tcW w:w="8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sz w:val="4"/>
                <w:szCs w:val="4"/>
              </w:rPr>
            </w:pPr>
            <w:r>
              <w:rPr>
                <w:sz w:val="4"/>
                <w:szCs w:val="4"/>
              </w:rPr>
            </w:r>
          </w:p>
        </w:tc>
        <w:tc>
          <w:tcPr>
            <w:tcW w:w="844" w:type="dxa"/>
            <w:tcBorders/>
            <w:shd w:fill="auto" w:val="clear"/>
            <w:vAlign w:val="bottom"/>
          </w:tcPr>
          <w:p>
            <w:pPr>
              <w:pStyle w:val="TableContents"/>
              <w:spacing w:before="0" w:after="283"/>
              <w:rPr>
                <w:sz w:val="4"/>
                <w:szCs w:val="4"/>
              </w:rPr>
            </w:pPr>
            <w:r>
              <w:rPr>
                <w:sz w:val="4"/>
                <w:szCs w:val="4"/>
              </w:rPr>
            </w:r>
          </w:p>
        </w:tc>
        <w:tc>
          <w:tcPr>
            <w:tcW w:w="351" w:type="dxa"/>
            <w:tcBorders/>
            <w:shd w:fill="auto" w:val="clear"/>
            <w:vAlign w:val="bottom"/>
          </w:tcPr>
          <w:p>
            <w:pPr>
              <w:pStyle w:val="TableContents"/>
              <w:spacing w:before="0" w:after="283"/>
              <w:rPr>
                <w:sz w:val="4"/>
                <w:szCs w:val="4"/>
              </w:rPr>
            </w:pPr>
            <w:r>
              <w:rPr>
                <w:sz w:val="4"/>
                <w:szCs w:val="4"/>
              </w:rPr>
            </w:r>
          </w:p>
        </w:tc>
      </w:tr>
      <w:tr>
        <w:trPr/>
        <w:tc>
          <w:tcPr>
            <w:tcW w:w="1653"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pBdr>
                <w:top w:val="single" w:sz="2" w:space="1" w:color="000000"/>
              </w:pBdr>
              <w:spacing w:before="0" w:after="0"/>
              <w:rPr/>
            </w:pPr>
            <w:r>
              <w:rPr/>
              <w:t> </w:t>
            </w:r>
          </w:p>
        </w:tc>
        <w:tc>
          <w:tcPr>
            <w:tcW w:w="791" w:type="dxa"/>
            <w:tcBorders/>
            <w:shd w:fill="auto" w:val="clear"/>
            <w:vAlign w:val="bottom"/>
          </w:tcPr>
          <w:p>
            <w:pPr>
              <w:pStyle w:val="TableContents"/>
              <w:pBdr>
                <w:top w:val="single" w:sz="2" w:space="1" w:color="000000"/>
              </w:pBdr>
              <w:spacing w:before="0" w:after="0"/>
              <w:rPr/>
            </w:pPr>
            <w:r>
              <w:rPr/>
              <w:t> </w:t>
            </w:r>
          </w:p>
        </w:tc>
        <w:tc>
          <w:tcPr>
            <w:tcW w:w="350" w:type="dxa"/>
            <w:tcBorders/>
            <w:shd w:fill="auto" w:val="clear"/>
            <w:vAlign w:val="center"/>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pBdr>
                <w:top w:val="single" w:sz="2" w:space="1" w:color="000000"/>
              </w:pBdr>
              <w:spacing w:before="0" w:after="0"/>
              <w:rPr/>
            </w:pPr>
            <w:r>
              <w:rPr/>
              <w:t> </w:t>
            </w:r>
          </w:p>
        </w:tc>
        <w:tc>
          <w:tcPr>
            <w:tcW w:w="1043" w:type="dxa"/>
            <w:tcBorders/>
            <w:shd w:fill="auto" w:val="clear"/>
            <w:vAlign w:val="bottom"/>
          </w:tcPr>
          <w:p>
            <w:pPr>
              <w:pStyle w:val="TableContents"/>
              <w:pBdr>
                <w:top w:val="single" w:sz="2" w:space="1" w:color="000000"/>
              </w:pBdr>
              <w:spacing w:before="0" w:after="0"/>
              <w:rPr/>
            </w:pPr>
            <w:r>
              <w:rPr/>
              <w:t> </w:t>
            </w:r>
          </w:p>
        </w:tc>
        <w:tc>
          <w:tcPr>
            <w:tcW w:w="350" w:type="dxa"/>
            <w:tcBorders/>
            <w:shd w:fill="auto" w:val="clear"/>
            <w:vAlign w:val="center"/>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pBdr>
                <w:top w:val="single" w:sz="2" w:space="1" w:color="000000"/>
              </w:pBdr>
              <w:spacing w:before="0" w:after="0"/>
              <w:rPr/>
            </w:pPr>
            <w:r>
              <w:rPr/>
              <w:t> </w:t>
            </w:r>
          </w:p>
        </w:tc>
        <w:tc>
          <w:tcPr>
            <w:tcW w:w="87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pBdr>
                <w:top w:val="single" w:sz="2" w:space="1" w:color="000000"/>
              </w:pBdr>
              <w:spacing w:before="0" w:after="0"/>
              <w:rPr/>
            </w:pPr>
            <w:r>
              <w:rPr/>
              <w:t> </w:t>
            </w:r>
          </w:p>
        </w:tc>
        <w:tc>
          <w:tcPr>
            <w:tcW w:w="844" w:type="dxa"/>
            <w:tcBorders/>
            <w:shd w:fill="auto" w:val="clear"/>
            <w:vAlign w:val="bottom"/>
          </w:tcPr>
          <w:p>
            <w:pPr>
              <w:pStyle w:val="TableContents"/>
              <w:pBdr>
                <w:top w:val="single" w:sz="2" w:space="1" w:color="000000"/>
              </w:pBdr>
              <w:spacing w:before="0" w:after="0"/>
              <w:rPr/>
            </w:pPr>
            <w:r>
              <w:rPr/>
              <w:t> </w:t>
            </w:r>
          </w:p>
        </w:tc>
        <w:tc>
          <w:tcPr>
            <w:tcW w:w="351" w:type="dxa"/>
            <w:tcBorders/>
            <w:shd w:fill="auto" w:val="clear"/>
            <w:vAlign w:val="center"/>
          </w:tcPr>
          <w:p>
            <w:pPr>
              <w:pStyle w:val="TableContents"/>
              <w:spacing w:before="0" w:after="283"/>
              <w:rPr/>
            </w:pPr>
            <w:r>
              <w:rPr/>
              <w:t> </w:t>
            </w:r>
          </w:p>
        </w:tc>
      </w:tr>
      <w:tr>
        <w:trPr/>
        <w:tc>
          <w:tcPr>
            <w:tcW w:w="1653"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meetings in 2022</w:t>
            </w:r>
          </w:p>
        </w:tc>
        <w:tc>
          <w:tcPr>
            <w:tcW w:w="405"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4</w:t>
            </w:r>
          </w:p>
        </w:tc>
        <w:tc>
          <w:tcPr>
            <w:tcW w:w="350"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pPr>
            <w:r>
              <w:rPr/>
              <w:t>5</w:t>
            </w:r>
          </w:p>
        </w:tc>
        <w:tc>
          <w:tcPr>
            <w:tcW w:w="350"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3</w:t>
            </w:r>
          </w:p>
        </w:tc>
        <w:tc>
          <w:tcPr>
            <w:tcW w:w="60"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1</w:t>
            </w:r>
          </w:p>
        </w:tc>
        <w:tc>
          <w:tcPr>
            <w:tcW w:w="351" w:type="dxa"/>
            <w:tcBorders/>
            <w:shd w:fill="CCEEFF"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drawing>
                <wp:inline distT="0" distB="0" distL="0" distR="0">
                  <wp:extent cx="55245" cy="6794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5245" cy="67945"/>
                          </a:xfrm>
                          <a:prstGeom prst="rect">
                            <a:avLst/>
                          </a:prstGeom>
                        </pic:spPr>
                      </pic:pic>
                    </a:graphicData>
                  </a:graphic>
                </wp:inline>
              </w:drawing>
            </w:r>
            <w:r>
              <w:rPr/>
              <w:t xml:space="preserve"> </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Financial Expert </w:t>
            </w:r>
          </w:p>
        </w:tc>
      </w:tr>
    </w:tbl>
    <w:tbl>
      <w:tblPr>
        <w:tblW w:w="5000" w:type="pct"/>
        <w:jc w:val="left"/>
        <w:tblInd w:w="0" w:type="dxa"/>
        <w:tblCellMar>
          <w:top w:w="0" w:type="dxa"/>
          <w:left w:w="0" w:type="dxa"/>
          <w:bottom w:w="0" w:type="dxa"/>
          <w:right w:w="0" w:type="dxa"/>
        </w:tblCellMar>
      </w:tblPr>
      <w:tblGrid>
        <w:gridCol w:w="403"/>
        <w:gridCol w:w="9802"/>
      </w:tblGrid>
      <w:tr>
        <w:trPr/>
        <w:tc>
          <w:tcPr>
            <w:tcW w:w="403" w:type="dxa"/>
            <w:tcBorders/>
            <w:shd w:fill="auto" w:val="clear"/>
          </w:tcPr>
          <w:p>
            <w:pPr>
              <w:pStyle w:val="TableContents"/>
              <w:spacing w:before="0" w:after="283"/>
              <w:jc w:val="left"/>
              <w:rPr/>
            </w:pPr>
            <w:r>
              <w:rPr/>
              <w:drawing>
                <wp:inline distT="0" distB="0" distL="0" distR="0">
                  <wp:extent cx="14605" cy="1524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4605" cy="15240"/>
                          </a:xfrm>
                          <a:prstGeom prst="rect">
                            <a:avLst/>
                          </a:prstGeom>
                        </pic:spPr>
                      </pic:pic>
                    </a:graphicData>
                  </a:graphic>
                </wp:inline>
              </w:drawing>
            </w:r>
            <w:r>
              <w:rPr/>
              <w:t xml:space="preserve"> </w:t>
            </w:r>
          </w:p>
        </w:tc>
        <w:tc>
          <w:tcPr>
            <w:tcW w:w="980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Committee Chair </w:t>
            </w:r>
          </w:p>
        </w:tc>
      </w:tr>
    </w:tbl>
    <w:tbl>
      <w:tblPr>
        <w:tblW w:w="5000" w:type="pct"/>
        <w:jc w:val="left"/>
        <w:tblInd w:w="0" w:type="dxa"/>
        <w:tblCellMar>
          <w:top w:w="0" w:type="dxa"/>
          <w:left w:w="0" w:type="dxa"/>
          <w:bottom w:w="0" w:type="dxa"/>
          <w:right w:w="0" w:type="dxa"/>
        </w:tblCellMar>
      </w:tblPr>
      <w:tblGrid>
        <w:gridCol w:w="403"/>
        <w:gridCol w:w="9802"/>
      </w:tblGrid>
      <w:tr>
        <w:trPr/>
        <w:tc>
          <w:tcPr>
            <w:tcW w:w="403" w:type="dxa"/>
            <w:tcBorders/>
            <w:shd w:fill="auto" w:val="clear"/>
          </w:tcPr>
          <w:p>
            <w:pPr>
              <w:pStyle w:val="TableContents"/>
              <w:spacing w:before="0" w:after="283"/>
              <w:jc w:val="left"/>
              <w:rPr/>
            </w:pPr>
            <w:r>
              <w:rPr/>
              <w:drawing>
                <wp:inline distT="0" distB="0" distL="0" distR="0">
                  <wp:extent cx="14605" cy="1524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4605" cy="15240"/>
                          </a:xfrm>
                          <a:prstGeom prst="rect">
                            <a:avLst/>
                          </a:prstGeom>
                        </pic:spPr>
                      </pic:pic>
                    </a:graphicData>
                  </a:graphic>
                </wp:inline>
              </w:drawing>
            </w:r>
            <w:r>
              <w:rPr/>
              <w:t xml:space="preserve"> </w:t>
            </w:r>
          </w:p>
        </w:tc>
        <w:tc>
          <w:tcPr>
            <w:tcW w:w="980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Committee Member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Chair of the Board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Dr. Woiwode resigned from the Compensation Committee on March 22, 2023 and Ms. Pellizzari and Mr. Raab were appointed as members, with Mr. Raab as the chair.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Dr. Simantov was appointed as chair of the Science &amp; Technology Committee on September 23, 2022 to replace Dr. Woiwode, who remains a member of the committee.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Ms. Pellizzari was appointed as Chair of the Audit Committee on April 22, 2022 to replace Mr. Raab, who remains a member of the committee.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Dr. Xus service on the Audit Committee and Compensation Committee ended on January 5, 2022. </w:t>
            </w:r>
          </w:p>
        </w:tc>
      </w:tr>
    </w:tbl>
    <w:p>
      <w:pPr>
        <w:pStyle w:val="TextBody"/>
        <w:spacing w:before="240" w:after="0"/>
        <w:jc w:val="left"/>
        <w:rPr>
          <w:rFonts w:ascii="Times New Roman" w:hAnsi="Times New Roman"/>
          <w:sz w:val="20"/>
        </w:rPr>
      </w:pPr>
      <w:r>
        <w:rPr>
          <w:rFonts w:ascii="Times New Roman" w:hAnsi="Times New Roman"/>
          <w:sz w:val="20"/>
        </w:rPr>
        <w:t xml:space="preserve">Each of the committees has authority to engage legal counsel or other experts or consultants, as it deems appropriate to carry out its responsibilities. Our Board has determined that each member of each standing committee meets the Nasdaq and SEC rules and regulations regarding independence, as applicable, and each member is free of any relationship that would impair his or her individual exercise of independent judgment with regard to the company. </w:t>
      </w:r>
    </w:p>
    <w:p>
      <w:pPr>
        <w:pStyle w:val="TextBody"/>
        <w:spacing w:before="240" w:after="0"/>
        <w:jc w:val="left"/>
        <w:rPr>
          <w:rFonts w:ascii="Times New Roman" w:hAnsi="Times New Roman"/>
          <w:sz w:val="20"/>
        </w:rPr>
      </w:pPr>
      <w:r>
        <w:rPr>
          <w:rFonts w:ascii="Times New Roman" w:hAnsi="Times New Roman"/>
          <w:sz w:val="20"/>
        </w:rPr>
        <w:t xml:space="preserve">Below is a description of each committee of the Board. </w:t>
      </w:r>
    </w:p>
    <w:p>
      <w:pPr>
        <w:pStyle w:val="TextBody"/>
        <w:spacing w:before="360" w:after="0"/>
        <w:jc w:val="left"/>
        <w:rPr>
          <w:rFonts w:ascii="Times New Roman" w:hAnsi="Times New Roman"/>
          <w:b/>
          <w:sz w:val="20"/>
        </w:rPr>
      </w:pPr>
      <w:r>
        <w:rPr>
          <w:rFonts w:ascii="Times New Roman" w:hAnsi="Times New Roman"/>
          <w:b/>
          <w:sz w:val="20"/>
        </w:rPr>
        <w:t xml:space="preserve">Audit Committee </w:t>
      </w:r>
    </w:p>
    <w:p>
      <w:pPr>
        <w:pStyle w:val="TextBody"/>
        <w:spacing w:before="120" w:after="0"/>
        <w:jc w:val="left"/>
        <w:rPr>
          <w:rFonts w:ascii="Times New Roman" w:hAnsi="Times New Roman"/>
          <w:sz w:val="20"/>
        </w:rPr>
      </w:pPr>
      <w:r>
        <w:rPr>
          <w:rFonts w:ascii="Times New Roman" w:hAnsi="Times New Roman"/>
          <w:sz w:val="20"/>
        </w:rPr>
        <w:t xml:space="preserve">Geoff Nichol, Christine Pellizzari and Michael Raab, served as members of the Audit Committee during 2022 with Mr. Raab serving as Chair until Ms. Pellizzaris appointment as Chair in April 2022. Dr. Xus service on the Audit Committee ended on January 5, 2022. The Board determined that each member of the Audit Committee satisfies the independence requirements under Nasdaq listing standards and Rule 10A-3(b)(1) of the Exchange Act. The chair of the Audit Committee is Ms. Pellizzari. Our Board has determined that Ms. Pellizzari is an audit committee financial expert within the meaning of SEC regulations. Each member of the Audit Committee can read and understand fundamental financial statements in accordance with applicable requirements. In arriving at these determinations, our Board has examined each Audit Committee members scope of experience and the nature of their employment. </w:t>
      </w:r>
    </w:p>
    <w:p>
      <w:pPr>
        <w:pStyle w:val="TextBody"/>
        <w:spacing w:before="240" w:after="0"/>
        <w:jc w:val="left"/>
        <w:rPr>
          <w:rFonts w:ascii="Times New Roman" w:hAnsi="Times New Roman"/>
          <w:sz w:val="20"/>
        </w:rPr>
      </w:pPr>
      <w:r>
        <w:rPr>
          <w:rFonts w:ascii="Times New Roman" w:hAnsi="Times New Roman"/>
          <w:sz w:val="20"/>
        </w:rPr>
        <w:t xml:space="preserve">The primary purpose of the Audit Committee is to discharge the responsibilities of the Board with respect to the corporate accounting and financial reporting processes, systems of internal control and financial statement audits,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and to oversee the independent registered public accounting firm. Specific responsibilities of the Audit Committee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helping the Board oversee corporate accounting and financial reporting processes;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managing the selection, engagement, qualifications, independence and performance of a qualified firm to serve as the independent registered public accounting firm to audit the financial statements;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discussing the scope and results of the audit with the independent registered public accounting firm, and reviewing, with management and the independent accountants, the interim and year-end operating results;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policies on risk assessment and risk management;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related person transactions;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obtaining and reviewing a report by the independent registered public accounting firm at least annually that describes internal quality control procedures, any material issues with such procedures and any steps taken to deal with such issues when required by applicable law;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approving or, as permitted, pre-approving, audit and permissible non-audit services to be performed by the independent registered public accounting firm. </w:t>
            </w:r>
          </w:p>
        </w:tc>
      </w:tr>
    </w:tbl>
    <w:p>
      <w:pPr>
        <w:pStyle w:val="TextBody"/>
        <w:spacing w:before="360" w:after="0"/>
        <w:jc w:val="left"/>
        <w:rPr>
          <w:rFonts w:ascii="Times New Roman" w:hAnsi="Times New Roman"/>
          <w:b/>
          <w:sz w:val="20"/>
        </w:rPr>
      </w:pPr>
      <w:r>
        <w:rPr>
          <w:rFonts w:ascii="Times New Roman" w:hAnsi="Times New Roman"/>
          <w:b/>
          <w:sz w:val="20"/>
        </w:rPr>
        <w:t xml:space="preserve">Report of the Audit Committee of the Board of Directors </w:t>
      </w:r>
    </w:p>
    <w:p>
      <w:pPr>
        <w:pStyle w:val="TextBody"/>
        <w:spacing w:before="120" w:after="0"/>
        <w:jc w:val="left"/>
        <w:rPr>
          <w:rFonts w:ascii="Times New Roman" w:hAnsi="Times New Roman"/>
          <w:i/>
          <w:sz w:val="20"/>
        </w:rPr>
      </w:pPr>
      <w:r>
        <w:rPr>
          <w:rFonts w:ascii="Times New Roman" w:hAnsi="Times New Roman"/>
          <w:i/>
          <w:sz w:val="20"/>
        </w:rPr>
        <w:t xml:space="preserve">The material in this report is not soliciting material, is not deemed filed with the SEC and is not to be incorporated by reference in any filing of the Company under the Securities Act of 1933, as amended, or the Exchange Act, whether made before or after the date hereof and irrespective of any general incorporation language in any such filing. </w:t>
      </w:r>
    </w:p>
    <w:p>
      <w:pPr>
        <w:pStyle w:val="TextBody"/>
        <w:spacing w:before="240" w:after="0"/>
        <w:jc w:val="left"/>
        <w:rPr>
          <w:rFonts w:ascii="Times New Roman" w:hAnsi="Times New Roman"/>
          <w:sz w:val="20"/>
        </w:rPr>
      </w:pPr>
      <w:r>
        <w:rPr>
          <w:rFonts w:ascii="Times New Roman" w:hAnsi="Times New Roman"/>
          <w:sz w:val="20"/>
        </w:rPr>
        <w:t>The Audit Committee has reviewed and discussed the audited financial statements for the fiscal year ended December 31, 2022 with management of the Company. The Audit Committee has discussed with the independent registered public accounting firm the matters required to be discussed by the applicable requirements of the Public Company Accounting Oversight Board (</w:t>
      </w:r>
      <w:r>
        <w:rPr>
          <w:rFonts w:ascii="Times New Roman" w:hAnsi="Times New Roman"/>
          <w:b/>
          <w:i/>
          <w:sz w:val="20"/>
        </w:rPr>
        <w:t>PCAOB</w:t>
      </w:r>
      <w:r>
        <w:rPr>
          <w:rFonts w:ascii="Times New Roman" w:hAnsi="Times New Roman"/>
          <w:sz w:val="20"/>
        </w:rPr>
        <w:t xml:space="preserve">)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that the audited consolidated financial statements be included in the Companys Annual Report on Form 10-K for the fiscal year ended December 31, 2022. </w:t>
      </w:r>
    </w:p>
    <w:p>
      <w:pPr>
        <w:pStyle w:val="TextBody"/>
        <w:spacing w:before="360" w:after="0"/>
        <w:jc w:val="left"/>
        <w:rPr>
          <w:rFonts w:ascii="Times New Roman" w:hAnsi="Times New Roman"/>
          <w:b/>
          <w:sz w:val="20"/>
        </w:rPr>
      </w:pPr>
      <w:r>
        <w:rPr>
          <w:rFonts w:ascii="Times New Roman" w:hAnsi="Times New Roman"/>
          <w:b/>
          <w:sz w:val="20"/>
        </w:rPr>
        <w:t xml:space="preserve">Tempest Therapeutics, Inc. </w:t>
      </w:r>
    </w:p>
    <w:p>
      <w:pPr>
        <w:pStyle w:val="TextBody"/>
        <w:spacing w:before="0" w:after="0"/>
        <w:jc w:val="left"/>
        <w:rPr>
          <w:rFonts w:ascii="Times New Roman" w:hAnsi="Times New Roman"/>
          <w:b/>
          <w:sz w:val="20"/>
        </w:rPr>
      </w:pPr>
      <w:r>
        <w:rPr>
          <w:rFonts w:ascii="Times New Roman" w:hAnsi="Times New Roman"/>
          <w:b/>
          <w:sz w:val="20"/>
        </w:rPr>
        <w:t xml:space="preserve">Audit Committee </w:t>
      </w:r>
    </w:p>
    <w:p>
      <w:pPr>
        <w:pStyle w:val="TextBody"/>
        <w:spacing w:before="120" w:after="0"/>
        <w:jc w:val="left"/>
        <w:rPr>
          <w:rFonts w:ascii="Times New Roman" w:hAnsi="Times New Roman"/>
          <w:sz w:val="20"/>
        </w:rPr>
      </w:pPr>
      <w:r>
        <w:rPr>
          <w:rFonts w:ascii="Times New Roman" w:hAnsi="Times New Roman"/>
          <w:sz w:val="20"/>
        </w:rPr>
        <w:t xml:space="preserve">Christine Pellizzari (Chair) </w:t>
      </w:r>
    </w:p>
    <w:p>
      <w:pPr>
        <w:pStyle w:val="TextBody"/>
        <w:spacing w:before="0" w:after="0"/>
        <w:jc w:val="left"/>
        <w:rPr>
          <w:rFonts w:ascii="Times New Roman" w:hAnsi="Times New Roman"/>
          <w:sz w:val="20"/>
        </w:rPr>
      </w:pPr>
      <w:r>
        <w:rPr>
          <w:rFonts w:ascii="Times New Roman" w:hAnsi="Times New Roman"/>
          <w:sz w:val="20"/>
        </w:rPr>
        <w:t xml:space="preserve">Michael Raab </w:t>
      </w:r>
    </w:p>
    <w:p>
      <w:pPr>
        <w:pStyle w:val="TextBody"/>
        <w:spacing w:before="0" w:after="0"/>
        <w:jc w:val="left"/>
        <w:rPr>
          <w:rFonts w:ascii="Times New Roman" w:hAnsi="Times New Roman"/>
          <w:sz w:val="20"/>
        </w:rPr>
      </w:pPr>
      <w:r>
        <w:rPr>
          <w:rFonts w:ascii="Times New Roman" w:hAnsi="Times New Roman"/>
          <w:sz w:val="20"/>
        </w:rPr>
        <w:t xml:space="preserve">Geoff Nichol </w:t>
      </w:r>
    </w:p>
    <w:p>
      <w:pPr>
        <w:pStyle w:val="TextBody"/>
        <w:spacing w:before="360" w:after="0"/>
        <w:jc w:val="left"/>
        <w:rPr>
          <w:rFonts w:ascii="Times New Roman" w:hAnsi="Times New Roman"/>
          <w:b/>
          <w:sz w:val="20"/>
        </w:rPr>
      </w:pPr>
      <w:r>
        <w:rPr>
          <w:rFonts w:ascii="Times New Roman" w:hAnsi="Times New Roman"/>
          <w:b/>
          <w:sz w:val="20"/>
        </w:rPr>
        <w:t xml:space="preserve">Compensation Committee </w:t>
      </w:r>
    </w:p>
    <w:p>
      <w:pPr>
        <w:pStyle w:val="TextBody"/>
        <w:spacing w:before="120" w:after="0"/>
        <w:jc w:val="left"/>
        <w:rPr>
          <w:rFonts w:ascii="Times New Roman" w:hAnsi="Times New Roman"/>
          <w:sz w:val="20"/>
        </w:rPr>
      </w:pPr>
      <w:r>
        <w:rPr>
          <w:rFonts w:ascii="Times New Roman" w:hAnsi="Times New Roman"/>
          <w:sz w:val="20"/>
        </w:rPr>
        <w:t xml:space="preserve">Michael Raab and Thomas Woiwode served as members of the Compensation Committee during 2022, with Dr. Woiwode serving as Chair of the committee. Christine Pellizzari was appointed as a member of the Compensation Committee and Mr. Raab was appointed as the Chair of the committee in March 2023. Dr. Woiwode resigned from the Compensation Committee in March 2023 and Dr. Xus service on the Compensation Committee ended on January 5, 2022. The Board determined that each member of the Compensation Committee is independent under the Nasdaq listing standards and a non-employee director as defined in Rule 16b-3 promulgated under the Exchange Act.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primary purpose of the Compensation Committee is to discharge the responsibilities of the Board in overseeing the compensation policies, plans and programs and to review and determine the compensation to be paid to executive officers, directors and other senior management, as appropriate. Specific responsibilities of the Compensation Committee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5"/>
        <w:gridCol w:w="210"/>
        <w:gridCol w:w="103"/>
        <w:gridCol w:w="8877"/>
      </w:tblGrid>
      <w:tr>
        <w:trPr/>
        <w:tc>
          <w:tcPr>
            <w:tcW w:w="1015"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and approving the compensation of our chief executive officer, other executive officers and senior management;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204"/>
        <w:gridCol w:w="102"/>
        <w:gridCol w:w="8880"/>
      </w:tblGrid>
      <w:tr>
        <w:trPr/>
        <w:tc>
          <w:tcPr>
            <w:tcW w:w="101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 and recommend to the Board for its approval the compensation to be paid to non-employee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204"/>
        <w:gridCol w:w="102"/>
        <w:gridCol w:w="8880"/>
      </w:tblGrid>
      <w:tr>
        <w:trPr/>
        <w:tc>
          <w:tcPr>
            <w:tcW w:w="101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administration of our equity compensation plans and other benefit plans;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5"/>
        <w:gridCol w:w="210"/>
        <w:gridCol w:w="103"/>
        <w:gridCol w:w="8877"/>
      </w:tblGrid>
      <w:tr>
        <w:trPr/>
        <w:tc>
          <w:tcPr>
            <w:tcW w:w="1015"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adopting, amending and terminating incentive compensation and equity plans, severance agreements, profit sharing plans, bonus plans, change-of-control protections and any other compensatory arrangements for the executive officers and other senior management;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5"/>
        <w:gridCol w:w="210"/>
        <w:gridCol w:w="103"/>
        <w:gridCol w:w="8877"/>
      </w:tblGrid>
      <w:tr>
        <w:trPr/>
        <w:tc>
          <w:tcPr>
            <w:tcW w:w="1015"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and establishing general policies relating to compensation and benefits of the employees, including the overall compensation philosophy. </w:t>
            </w:r>
          </w:p>
        </w:tc>
      </w:tr>
    </w:tbl>
    <w:p>
      <w:pPr>
        <w:pStyle w:val="TextBody"/>
        <w:spacing w:before="360" w:after="0"/>
        <w:jc w:val="left"/>
        <w:rPr>
          <w:rFonts w:ascii="Times New Roman" w:hAnsi="Times New Roman"/>
          <w:b/>
          <w:sz w:val="20"/>
        </w:rPr>
      </w:pPr>
      <w:r>
        <w:rPr>
          <w:rFonts w:ascii="Times New Roman" w:hAnsi="Times New Roman"/>
          <w:b/>
          <w:sz w:val="20"/>
        </w:rPr>
        <w:t xml:space="preserve">Compensation Committee Processes and Procedures </w:t>
      </w:r>
    </w:p>
    <w:p>
      <w:pPr>
        <w:pStyle w:val="TextBody"/>
        <w:spacing w:before="120" w:after="0"/>
        <w:jc w:val="left"/>
        <w:rPr>
          <w:rFonts w:ascii="Times New Roman" w:hAnsi="Times New Roman"/>
          <w:sz w:val="20"/>
        </w:rPr>
      </w:pPr>
      <w:r>
        <w:rPr>
          <w:rFonts w:ascii="Times New Roman" w:hAnsi="Times New Roman"/>
          <w:sz w:val="20"/>
        </w:rPr>
        <w:t xml:space="preserve">The Compensation Committee generally meets at least two times annually and with greater frequency if necessary. The Compensation Committee also acts periodically by unanimous written consent in lieu of a formal meeting. The agenda for each meeting is usually developed by the Chair of the Compensation Committee, in consultation with management.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Our Chief Executive Officer may not participate in, or be present during, any deliberations or determinations of the Compensation Committee regarding his compensation or individual performance objectives. </w:t>
      </w:r>
    </w:p>
    <w:p>
      <w:pPr>
        <w:pStyle w:val="TextBody"/>
        <w:spacing w:before="240" w:after="0"/>
        <w:jc w:val="left"/>
        <w:rPr>
          <w:rFonts w:ascii="Times New Roman" w:hAnsi="Times New Roman"/>
          <w:sz w:val="20"/>
        </w:rPr>
      </w:pPr>
      <w:r>
        <w:rPr>
          <w:rFonts w:ascii="Times New Roman" w:hAnsi="Times New Roman"/>
          <w:sz w:val="20"/>
        </w:rPr>
        <w:t xml:space="preserve">The charter of the Compensation Committee grants the Compensation Committee full access to all books, records, facilities and personnel of the Company. In addition, under the charter, the Compensation Committee has the authority to obtain, at the expense of the Company,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w:t>
      </w:r>
      <w:r>
        <w:rPr>
          <w:rFonts w:ascii="Times New Roman" w:hAnsi="Times New Roman"/>
          <w:i/>
          <w:sz w:val="20"/>
        </w:rPr>
        <w:t>however</w:t>
      </w:r>
      <w:r>
        <w:rPr>
          <w:rFonts w:ascii="Times New Roman" w:hAnsi="Times New Roman"/>
          <w:sz w:val="20"/>
        </w:rPr>
        <w:t xml:space="preserve">, there is no requirement that any adviser be independent. </w:t>
      </w:r>
    </w:p>
    <w:p>
      <w:pPr>
        <w:pStyle w:val="TextBody"/>
        <w:spacing w:before="240" w:after="0"/>
        <w:jc w:val="left"/>
        <w:rPr>
          <w:rFonts w:ascii="Times New Roman" w:hAnsi="Times New Roman"/>
          <w:sz w:val="20"/>
        </w:rPr>
      </w:pPr>
      <w:r>
        <w:rPr>
          <w:rFonts w:ascii="Times New Roman" w:hAnsi="Times New Roman"/>
          <w:sz w:val="20"/>
        </w:rPr>
        <w:t xml:space="preserve">During the past fiscal year, after taking into consideration the six factors prescribed by the SEC and Nasdaq described above, the Compensation Committee engaged Pearl Meyer as compensation consultants. </w:t>
      </w:r>
    </w:p>
    <w:p>
      <w:pPr>
        <w:pStyle w:val="TextBody"/>
        <w:spacing w:before="240" w:after="0"/>
        <w:jc w:val="left"/>
        <w:rPr>
          <w:rFonts w:ascii="Times New Roman" w:hAnsi="Times New Roman"/>
          <w:sz w:val="20"/>
        </w:rPr>
      </w:pPr>
      <w:r>
        <w:rPr>
          <w:rFonts w:ascii="Times New Roman" w:hAnsi="Times New Roman"/>
          <w:sz w:val="20"/>
        </w:rPr>
        <w:t xml:space="preserve">As part of its engagement, the compensation consultants were asked to develop a comparative group of companies and to perform analyses of competitive performance and compensation levels for that group. Pearl Meyer ultimately developed recommendations that were presented to the Compensation Committee for its consideration.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Historically, the Compensation Committee has made most of the significant adjustments to annual compensation, determined bonus and equity awards and established new performance objectives at one or more meetings held during the first quarter of the year. However, the Compensation Committee also considers matters related to individual compensation, such as compensation for new executive hires, as well as high-level strategic issues, such as the efficacy of the Companys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evaluation of his performance is conducted by the Compensation Committee, which determines any adjustments to his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 </w:t>
      </w:r>
    </w:p>
    <w:p>
      <w:pPr>
        <w:pStyle w:val="TextBody"/>
        <w:spacing w:before="360" w:after="0"/>
        <w:jc w:val="left"/>
        <w:rPr>
          <w:rFonts w:ascii="Times New Roman" w:hAnsi="Times New Roman"/>
          <w:b/>
          <w:sz w:val="20"/>
        </w:rPr>
      </w:pPr>
      <w:r>
        <w:rPr>
          <w:rFonts w:ascii="Times New Roman" w:hAnsi="Times New Roman"/>
          <w:b/>
          <w:sz w:val="20"/>
        </w:rPr>
        <w:t xml:space="preserve">Nominating and Corporate Governance Committee </w:t>
      </w:r>
    </w:p>
    <w:p>
      <w:pPr>
        <w:pStyle w:val="TextBody"/>
        <w:spacing w:before="120" w:after="0"/>
        <w:jc w:val="left"/>
        <w:rPr>
          <w:rFonts w:ascii="Times New Roman" w:hAnsi="Times New Roman"/>
          <w:sz w:val="20"/>
        </w:rPr>
      </w:pPr>
      <w:r>
        <w:rPr>
          <w:rFonts w:ascii="Times New Roman" w:hAnsi="Times New Roman"/>
          <w:sz w:val="20"/>
        </w:rPr>
        <w:t xml:space="preserve">Geoff Nichol and Michael Raab served as members of the Nominating and Corporate Governance Committee during 2022, with Mr. Raab severing as Chair. The Board has determined that each member of the Nominating and Corporate Governance Committee is independent under the Nasdaq listing standards. </w:t>
      </w:r>
    </w:p>
    <w:p>
      <w:pPr>
        <w:pStyle w:val="TextBody"/>
        <w:spacing w:before="240" w:after="0"/>
        <w:jc w:val="left"/>
        <w:rPr>
          <w:rFonts w:ascii="Times New Roman" w:hAnsi="Times New Roman"/>
          <w:sz w:val="20"/>
        </w:rPr>
      </w:pPr>
      <w:r>
        <w:rPr>
          <w:rFonts w:ascii="Times New Roman" w:hAnsi="Times New Roman"/>
          <w:sz w:val="20"/>
        </w:rPr>
        <w:t xml:space="preserve">Specific responsibilities of the Nominating and Corporate Governance committee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identifying, reviewing and evaluating candidates, including the nomination of incumbent directors for reelection and nominees recommended by stockholders, to serve on the board of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considering and making recommendations to the Board regarding the composition and chairmanship of the committees of the Board;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developing and making recommendations to the Board regarding corporate governance guidelines and matters;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overseeing periodic evaluations of the performance of the board of directors, including its individual directors and committees. </w:t>
            </w:r>
          </w:p>
        </w:tc>
      </w:tr>
    </w:tbl>
    <w:p>
      <w:pPr>
        <w:pStyle w:val="TextBody"/>
        <w:spacing w:before="240" w:after="0"/>
        <w:jc w:val="left"/>
        <w:rPr>
          <w:rFonts w:ascii="Times New Roman" w:hAnsi="Times New Roman"/>
          <w:sz w:val="20"/>
        </w:rPr>
      </w:pPr>
      <w:r>
        <w:rPr>
          <w:rFonts w:ascii="Times New Roman" w:hAnsi="Times New Roman"/>
          <w:sz w:val="20"/>
        </w:rPr>
        <w:t xml:space="preserve">The Nominating and Corporate Governance Committee believes that candidates for director should have certain minimum qualifications, including possessing relevant expertise upon which to be able to offer advice and guidance to management, having sufficient time to devote to the affairs of the Company, demonstrated excellence in his or her field, having the ability to exercise sound business judgment, be able to read and understand basic financial statements, having the highest personal integrity and ethics and having the commitment to rigorously represent the long-term interests of our stockholders. However, the Nominating and Corporate Governance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age, skills and other factors as it deems appropriate, given the current needs of the Board and the Company, to maintain a balance of knowledge, experience and capability. </w:t>
      </w:r>
    </w:p>
    <w:p>
      <w:pPr>
        <w:pStyle w:val="TextBody"/>
        <w:spacing w:before="240" w:after="0"/>
        <w:jc w:val="left"/>
        <w:rPr>
          <w:rFonts w:ascii="Times New Roman" w:hAnsi="Times New Roman"/>
          <w:sz w:val="20"/>
        </w:rPr>
      </w:pPr>
      <w:r>
        <w:rPr>
          <w:rFonts w:ascii="Times New Roman" w:hAnsi="Times New Roman"/>
          <w:sz w:val="20"/>
        </w:rPr>
        <w:t xml:space="preserve">The Nominating and Corporate Governance Committee appreciates the value of thoughtful Board refreshment, and regularly identifies and considers qualities, skills and other director attributes that would enhance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composition of the Board. In the case of incumbent directors whose terms of office are set to expire, the Board reviews such directors overall service during their term, including the number of meetings attended, level of participation, quality of performance, and any other relationships and transactions that might impair such directors independence.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w:t>
      </w:r>
    </w:p>
    <w:p>
      <w:pPr>
        <w:pStyle w:val="TextBody"/>
        <w:spacing w:before="240" w:after="0"/>
        <w:jc w:val="left"/>
        <w:rPr>
          <w:rFonts w:ascii="Times New Roman" w:hAnsi="Times New Roman"/>
          <w:sz w:val="20"/>
        </w:rPr>
      </w:pPr>
      <w:r>
        <w:rPr>
          <w:rFonts w:ascii="Times New Roman" w:hAnsi="Times New Roman"/>
          <w:sz w:val="20"/>
        </w:rPr>
        <w:t xml:space="preserve">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Nominating and Corporate Governance Committee at the following address: 2000 Sierra Point Parkway, Suite 400, Brisbane, California, 94005 not less than 90 days nor more than 120 days prior to the anniversary of the preceding years annual meeting, subject to certain exceptions as set forth in our Bylaws. Submissions must include the specific information required in Article 1 of our Bylaws. For additional information about our director nomination requirements, please see our Bylaws. </w:t>
      </w:r>
    </w:p>
    <w:p>
      <w:pPr>
        <w:pStyle w:val="TextBody"/>
        <w:spacing w:before="360" w:after="0"/>
        <w:jc w:val="left"/>
        <w:rPr>
          <w:rFonts w:ascii="Times New Roman" w:hAnsi="Times New Roman"/>
          <w:b/>
          <w:sz w:val="20"/>
        </w:rPr>
      </w:pPr>
      <w:r>
        <w:rPr>
          <w:rFonts w:ascii="Times New Roman" w:hAnsi="Times New Roman"/>
          <w:b/>
          <w:sz w:val="20"/>
        </w:rPr>
        <w:t xml:space="preserve">Science &amp; Technology Committee </w:t>
      </w:r>
    </w:p>
    <w:p>
      <w:pPr>
        <w:pStyle w:val="TextBody"/>
        <w:spacing w:before="120" w:after="0"/>
        <w:jc w:val="left"/>
        <w:rPr>
          <w:rFonts w:ascii="Times New Roman" w:hAnsi="Times New Roman"/>
          <w:sz w:val="20"/>
        </w:rPr>
      </w:pPr>
      <w:r>
        <w:rPr>
          <w:rFonts w:ascii="Times New Roman" w:hAnsi="Times New Roman"/>
          <w:sz w:val="20"/>
        </w:rPr>
        <w:t xml:space="preserve">Geoff Nichol, Ronit Simantov and Thomas Woiwode served as members of the Science &amp; Technology Committee during 2022, with Mr. Woiwode severing as Chair until Dr. Simantovs appointment as Chair in September 2022. </w:t>
      </w:r>
    </w:p>
    <w:p>
      <w:pPr>
        <w:pStyle w:val="TextBody"/>
        <w:spacing w:before="240" w:after="0"/>
        <w:jc w:val="left"/>
        <w:rPr>
          <w:rFonts w:ascii="Times New Roman" w:hAnsi="Times New Roman"/>
          <w:sz w:val="20"/>
        </w:rPr>
      </w:pPr>
      <w:r>
        <w:rPr>
          <w:rFonts w:ascii="Times New Roman" w:hAnsi="Times New Roman"/>
          <w:sz w:val="20"/>
        </w:rPr>
        <w:t xml:space="preserve">Specific responsibilities of the Science &amp; Technology Committee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our overall scientific, research and development strategies;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our research and development programs. </w:t>
            </w:r>
          </w:p>
        </w:tc>
      </w:tr>
    </w:tbl>
    <w:p>
      <w:pPr>
        <w:pStyle w:val="TextBody"/>
        <w:spacing w:before="360" w:after="0"/>
        <w:jc w:val="left"/>
        <w:rPr>
          <w:rFonts w:ascii="Times New Roman" w:hAnsi="Times New Roman"/>
          <w:b/>
          <w:sz w:val="20"/>
        </w:rPr>
      </w:pPr>
      <w:r>
        <w:rPr>
          <w:rFonts w:ascii="Times New Roman" w:hAnsi="Times New Roman"/>
          <w:b/>
          <w:sz w:val="20"/>
        </w:rPr>
        <w:t xml:space="preserve">STOCKHOLDER COMMUNICATIONS WITH THE BOARD OF DIRECTORS </w:t>
      </w:r>
    </w:p>
    <w:p>
      <w:pPr>
        <w:pStyle w:val="TextBody"/>
        <w:spacing w:before="120" w:after="0"/>
        <w:jc w:val="left"/>
        <w:rPr>
          <w:rFonts w:ascii="Times New Roman" w:hAnsi="Times New Roman"/>
          <w:sz w:val="20"/>
        </w:rPr>
      </w:pPr>
      <w:r>
        <w:rPr>
          <w:rFonts w:ascii="Times New Roman" w:hAnsi="Times New Roman"/>
          <w:sz w:val="20"/>
        </w:rPr>
        <w:t xml:space="preserve">Stockholders who wish to communicate with the Board may do so by sending written communications addressed to our Secretary at 2000 Sierra Point Parkway, Suite 400, Brisbane, California, 94005. These communications will be reviewed by the Secretary, who will determine whether the communication should be presented to the Board or director. The purpose of this screening is to allow the Board to avoid having to consider irrelevant or inappropriate communications (such as advertisements, solicitations and hostile communications). All communications directed to the Audit Committee in accordance with our Whistleblower Policy for Accounting and Auditing Matters that relate to questionable accounting or auditing matters involving the Company will be promptly and directly forwarded to the Audit Committee. </w:t>
      </w:r>
    </w:p>
    <w:p>
      <w:pPr>
        <w:pStyle w:val="TextBody"/>
        <w:spacing w:before="360" w:after="0"/>
        <w:jc w:val="left"/>
        <w:rPr>
          <w:rFonts w:ascii="Times New Roman" w:hAnsi="Times New Roman"/>
          <w:b/>
          <w:sz w:val="20"/>
        </w:rPr>
      </w:pPr>
      <w:r>
        <w:rPr>
          <w:rFonts w:ascii="Times New Roman" w:hAnsi="Times New Roman"/>
          <w:b/>
          <w:sz w:val="20"/>
        </w:rPr>
        <w:t xml:space="preserve">CODE OF ETHICS </w:t>
      </w:r>
    </w:p>
    <w:p>
      <w:pPr>
        <w:pStyle w:val="TextBody"/>
        <w:spacing w:before="120" w:after="0"/>
        <w:jc w:val="left"/>
        <w:rPr>
          <w:rFonts w:ascii="Times New Roman" w:hAnsi="Times New Roman"/>
          <w:sz w:val="20"/>
        </w:rPr>
      </w:pPr>
      <w:r>
        <w:rPr>
          <w:rFonts w:ascii="Times New Roman" w:hAnsi="Times New Roman"/>
          <w:sz w:val="20"/>
        </w:rPr>
        <w:t xml:space="preserve">We have adopted a Code of Business Conduct that applies to all officers, directors and employees. The Code of Business Conduct is available on our website at </w:t>
      </w:r>
      <w:r>
        <w:rPr>
          <w:rFonts w:ascii="Times New Roman" w:hAnsi="Times New Roman"/>
          <w:i/>
          <w:sz w:val="20"/>
        </w:rPr>
        <w:t>https://ir.tempesttx.com</w:t>
      </w:r>
      <w:r>
        <w:rPr>
          <w:rFonts w:ascii="Times New Roman" w:hAnsi="Times New Roman"/>
          <w:sz w:val="20"/>
        </w:rPr>
        <w:t xml:space="preserve">. The Board is responsible for overseeing the Code of Business Conduct and must approve any waivers of the Code of Business Conduct for employees, executive officers and directors. If we make any substantive amendments to the Code of Business Conduct or grant any waiver from a provision of the Code to any executive officer or director, we will promptly disclose the nature of the amendment or waiver on our website.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CORPORATE GOVERNANCE GUIDELINES </w:t>
      </w:r>
    </w:p>
    <w:p>
      <w:pPr>
        <w:pStyle w:val="TextBody"/>
        <w:spacing w:before="120" w:after="0"/>
        <w:jc w:val="left"/>
        <w:rPr>
          <w:rFonts w:ascii="Times New Roman" w:hAnsi="Times New Roman"/>
          <w:sz w:val="20"/>
        </w:rPr>
      </w:pPr>
      <w:r>
        <w:rPr>
          <w:rFonts w:ascii="Times New Roman" w:hAnsi="Times New Roman"/>
          <w:sz w:val="20"/>
        </w:rPr>
        <w:t xml:space="preserve">We have adopted Corporate Governance Guidelines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Corporate Governance Guidelines set forth the practices the Board intends to follow with respect to board composition and selection, including diversity, board meetings and involvement of senior management, Chief Executive Officer performance evaluation and succession planning, and board committees and compensation. The Corporate Governance Guidelines may be viewed on our website at </w:t>
      </w:r>
      <w:r>
        <w:rPr>
          <w:rFonts w:ascii="Times New Roman" w:hAnsi="Times New Roman"/>
          <w:i/>
          <w:sz w:val="20"/>
        </w:rPr>
        <w:t>https://ir.tempesttx.com</w:t>
      </w:r>
      <w:r>
        <w:rPr>
          <w:rFonts w:ascii="Times New Roman" w:hAnsi="Times New Roman"/>
          <w:sz w:val="20"/>
        </w:rPr>
        <w:t xml:space="preserve">. </w:t>
      </w:r>
    </w:p>
    <w:p>
      <w:pPr>
        <w:pStyle w:val="TextBody"/>
        <w:spacing w:before="360" w:after="0"/>
        <w:jc w:val="left"/>
        <w:rPr>
          <w:rFonts w:ascii="Times New Roman" w:hAnsi="Times New Roman"/>
          <w:b/>
          <w:sz w:val="20"/>
        </w:rPr>
      </w:pPr>
      <w:r>
        <w:rPr>
          <w:rFonts w:ascii="Times New Roman" w:hAnsi="Times New Roman"/>
          <w:b/>
          <w:sz w:val="20"/>
        </w:rPr>
        <w:t xml:space="preserve">POLICY ON HEDGING AND PLEDGING </w:t>
      </w:r>
    </w:p>
    <w:p>
      <w:pPr>
        <w:pStyle w:val="TextBody"/>
        <w:spacing w:before="120" w:after="0"/>
        <w:jc w:val="left"/>
        <w:rPr>
          <w:rFonts w:ascii="Times New Roman" w:hAnsi="Times New Roman"/>
          <w:sz w:val="20"/>
        </w:rPr>
      </w:pPr>
      <w:r>
        <w:rPr>
          <w:rFonts w:ascii="Times New Roman" w:hAnsi="Times New Roman"/>
          <w:sz w:val="20"/>
        </w:rPr>
        <w:t xml:space="preserve">Pursuant to our Insider Trading Policy, our employees, directors and designated consultants are prohibited from engaging in short sales, transactions in publicly traded options, such as puts or calls, hedging transactions, margin accounts, pledges or other inherently speculative transactions with respect to our common stock at any time.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7" w:name="tx456303_5"/>
      <w:bookmarkEnd w:id="7"/>
      <w:r>
        <w:rPr>
          <w:rFonts w:ascii="Times New Roman" w:hAnsi="Times New Roman"/>
          <w:b/>
          <w:sz w:val="20"/>
        </w:rPr>
        <w:t xml:space="preserve">PROPOSAL 2 </w:t>
      </w:r>
    </w:p>
    <w:p>
      <w:pPr>
        <w:pStyle w:val="TextBody"/>
        <w:spacing w:before="0" w:after="0"/>
        <w:jc w:val="center"/>
        <w:rPr>
          <w:rFonts w:ascii="Times New Roman" w:hAnsi="Times New Roman"/>
          <w:b/>
          <w:sz w:val="20"/>
        </w:rPr>
      </w:pPr>
      <w:r>
        <w:rPr>
          <w:rFonts w:ascii="Times New Roman" w:hAnsi="Times New Roman"/>
          <w:b/>
          <w:sz w:val="20"/>
        </w:rPr>
        <w:t xml:space="preserve">APPROVAL OF THE AMENDED AND RESTATED 2023 EQUITY INCENTIVE PLAN </w:t>
      </w:r>
    </w:p>
    <w:p>
      <w:pPr>
        <w:pStyle w:val="TextBody"/>
        <w:spacing w:before="120" w:after="0"/>
        <w:jc w:val="left"/>
        <w:rPr>
          <w:rFonts w:ascii="Times New Roman" w:hAnsi="Times New Roman"/>
          <w:sz w:val="20"/>
        </w:rPr>
      </w:pPr>
      <w:r>
        <w:rPr>
          <w:rFonts w:ascii="Times New Roman" w:hAnsi="Times New Roman"/>
          <w:sz w:val="20"/>
        </w:rPr>
        <w:t>We are asking our stockholders to approve our Amended and Restated 2023 Equity Incentive Plan (the </w:t>
      </w:r>
      <w:r>
        <w:rPr>
          <w:rFonts w:ascii="Times New Roman" w:hAnsi="Times New Roman"/>
          <w:b/>
          <w:i/>
          <w:sz w:val="20"/>
        </w:rPr>
        <w:t>2023 EIP</w:t>
      </w:r>
      <w:r>
        <w:rPr>
          <w:rFonts w:ascii="Times New Roman" w:hAnsi="Times New Roman"/>
          <w:sz w:val="20"/>
        </w:rPr>
        <w:t>) at the Annual Meeting. The 2023 EIP is the successor to the Tempest, Inc. Amended and Restated 2019 Equity Incentive Plan (the </w:t>
      </w:r>
      <w:r>
        <w:rPr>
          <w:rFonts w:ascii="Times New Roman" w:hAnsi="Times New Roman"/>
          <w:b/>
          <w:i/>
          <w:sz w:val="20"/>
        </w:rPr>
        <w:t>2019 EIP</w:t>
      </w:r>
      <w:r>
        <w:rPr>
          <w:rFonts w:ascii="Times New Roman" w:hAnsi="Times New Roman"/>
          <w:sz w:val="20"/>
        </w:rPr>
        <w:t xml:space="preserve">) and in addition to changing the plans name, the amendment and restatement, among other items: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increases the number of shares available for issuance under the 2023 EIP by 1,150,000 shares of our common stock, which also constitutes a corresponding increase in the number of shares of our common stock available for issuance under the 2023 EIP pursuant to the exercise of incentive stock options (together, the </w:t>
            </w:r>
            <w:r>
              <w:rPr>
                <w:rFonts w:ascii="Times New Roman" w:hAnsi="Times New Roman"/>
                <w:b/>
                <w:i/>
                <w:sz w:val="20"/>
              </w:rPr>
              <w:t>2023 EIP Share Increase</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extends the period of time during which shares of our common stock will be added to the 2023 EIP on an annual basis through 2033;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establishes 10,000,000 shares as the maximum number of shares that may be subject to awards granted in the form of incentive stock options as defined in Section 422 of the Code (</w:t>
            </w:r>
            <w:r>
              <w:rPr>
                <w:rFonts w:ascii="Times New Roman" w:hAnsi="Times New Roman"/>
                <w:b/>
                <w:i/>
                <w:sz w:val="20"/>
              </w:rPr>
              <w:t>ISOs</w:t>
            </w:r>
            <w:r>
              <w:rPr>
                <w:rFonts w:ascii="Times New Roman" w:hAnsi="Times New Roman"/>
                <w:sz w:val="20"/>
              </w:rPr>
              <w:t xml:space="preserv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extends the outside date that ISOs may be granted under the 2023 EIP to the tenth anniversary of the earlier of April 30, 2023, which is the date the 2023 EIP was adopted by the Board (the </w:t>
            </w:r>
            <w:r>
              <w:rPr>
                <w:rFonts w:ascii="Times New Roman" w:hAnsi="Times New Roman"/>
                <w:b/>
                <w:i/>
                <w:sz w:val="20"/>
              </w:rPr>
              <w:t>Amendment Date</w:t>
            </w:r>
            <w:r>
              <w:rPr>
                <w:rFonts w:ascii="Times New Roman" w:hAnsi="Times New Roman"/>
                <w:sz w:val="20"/>
              </w:rPr>
              <w:t xml:space="preserve">) or the date our stockholders approve the 2023 EIP. </w:t>
            </w:r>
          </w:p>
        </w:tc>
      </w:tr>
    </w:tbl>
    <w:p>
      <w:pPr>
        <w:pStyle w:val="TextBody"/>
        <w:spacing w:before="240" w:after="0"/>
        <w:jc w:val="left"/>
        <w:rPr>
          <w:rFonts w:ascii="Times New Roman" w:hAnsi="Times New Roman"/>
          <w:sz w:val="20"/>
        </w:rPr>
      </w:pPr>
      <w:r>
        <w:rPr>
          <w:rFonts w:ascii="Times New Roman" w:hAnsi="Times New Roman"/>
          <w:sz w:val="20"/>
        </w:rPr>
        <w:t xml:space="preserve">The Board approved the 2023 EIP on the Amendment Date and, subject to approval of the 2023 EIP from stockholders at this Annual Meeting, the 2023 EIP will ensure that we can continue to grant stock options in order to provide long-term incentives to current and future employees, non-employee directors and consultants. Our continued ability to offer equity awards under the 2023 EIP is critical to our ability to attract, motivate and retain qualified employees, non-employee directors and consultants, particularly as we grow to support the research and development of our product candidates and in light of the highly competitive market for talent in which we operate. </w:t>
      </w:r>
    </w:p>
    <w:p>
      <w:pPr>
        <w:pStyle w:val="TextBody"/>
        <w:spacing w:before="240" w:after="0"/>
        <w:jc w:val="left"/>
        <w:rPr>
          <w:rFonts w:ascii="Times New Roman" w:hAnsi="Times New Roman"/>
          <w:sz w:val="20"/>
        </w:rPr>
      </w:pPr>
      <w:r>
        <w:rPr>
          <w:rFonts w:ascii="Times New Roman" w:hAnsi="Times New Roman"/>
          <w:sz w:val="20"/>
        </w:rPr>
        <w:t xml:space="preserve">As of April 28, 2023, a total of 619,188 shares of our common stock remained available for grant under the 2019 EIP. </w:t>
      </w:r>
    </w:p>
    <w:p>
      <w:pPr>
        <w:pStyle w:val="TextBody"/>
        <w:spacing w:before="360" w:after="0"/>
        <w:jc w:val="left"/>
        <w:rPr>
          <w:rFonts w:ascii="Times New Roman" w:hAnsi="Times New Roman"/>
          <w:b/>
          <w:sz w:val="20"/>
        </w:rPr>
      </w:pPr>
      <w:r>
        <w:rPr>
          <w:rFonts w:ascii="Times New Roman" w:hAnsi="Times New Roman"/>
          <w:b/>
          <w:sz w:val="20"/>
        </w:rPr>
        <w:t xml:space="preserve">Shares Available for Future Awards </w:t>
      </w:r>
    </w:p>
    <w:p>
      <w:pPr>
        <w:pStyle w:val="TextBody"/>
        <w:spacing w:before="120" w:after="0"/>
        <w:jc w:val="left"/>
        <w:rPr>
          <w:rFonts w:ascii="Times New Roman" w:hAnsi="Times New Roman"/>
          <w:sz w:val="20"/>
        </w:rPr>
      </w:pPr>
      <w:r>
        <w:rPr>
          <w:rFonts w:ascii="Times New Roman" w:hAnsi="Times New Roman"/>
          <w:sz w:val="20"/>
        </w:rPr>
        <w:t>The Board believes that additional shares are necessary to meet our anticipated equity compensation needs. The proposed increase is expected to last approximately 2 years. This estimate is based on a forecast that takes into account our anticipated rate of growth in hiring, required stock option grants under our director compensation policy, and our historical forfeiture rates.</w:t>
      </w:r>
    </w:p>
    <w:p>
      <w:pPr>
        <w:pStyle w:val="TextBody"/>
        <w:spacing w:before="360" w:after="0"/>
        <w:jc w:val="left"/>
        <w:rPr>
          <w:rFonts w:ascii="Times New Roman" w:hAnsi="Times New Roman"/>
          <w:b/>
          <w:sz w:val="20"/>
        </w:rPr>
      </w:pPr>
      <w:r>
        <w:rPr>
          <w:rFonts w:ascii="Times New Roman" w:hAnsi="Times New Roman"/>
          <w:b/>
          <w:sz w:val="20"/>
        </w:rPr>
        <w:t xml:space="preserve">Why We are Asking our Stockholders to Approve the 2023 EIP </w:t>
      </w:r>
    </w:p>
    <w:p>
      <w:pPr>
        <w:pStyle w:val="TextBody"/>
        <w:spacing w:before="120" w:after="0"/>
        <w:jc w:val="left"/>
        <w:rPr>
          <w:rFonts w:ascii="Times New Roman" w:hAnsi="Times New Roman"/>
          <w:sz w:val="20"/>
        </w:rPr>
      </w:pPr>
      <w:r>
        <w:rPr>
          <w:rFonts w:ascii="Times New Roman" w:hAnsi="Times New Roman"/>
          <w:sz w:val="20"/>
        </w:rPr>
        <w:t xml:space="preserve">Our Board believes that the issuance of equity awards is a key element underlying our ability to attract, retain and motivate key personnel, non-employee directors and consultants because of the strong competition for highly trained and experienced individuals among biotechnology companies, especially in the San Francisco Bay Area. In addition, because of the highly regulated and complex industry that we operate in, our success depends on our ability to attract and retain individuals with deep experience in our industry. Without such key personnel, non-employee directors and consultants, we might not achieve our development and commercialization plans. Therefore, the Board believes that the proposed amendment to the 2023 EIP to increase the number of shares issuable under the 2023 EIP is in the best interests of the Company and its stockholders and recommends a vote in favor of this Proposal 2. </w:t>
      </w:r>
    </w:p>
    <w:p>
      <w:pPr>
        <w:pStyle w:val="TextBody"/>
        <w:spacing w:before="240" w:after="0"/>
        <w:jc w:val="left"/>
        <w:rPr>
          <w:rFonts w:ascii="Times New Roman" w:hAnsi="Times New Roman"/>
          <w:sz w:val="20"/>
        </w:rPr>
      </w:pPr>
      <w:r>
        <w:rPr>
          <w:rFonts w:ascii="Times New Roman" w:hAnsi="Times New Roman"/>
          <w:sz w:val="20"/>
        </w:rPr>
        <w:t xml:space="preserve">Approval by our stockholders of the proposed amendment to increase the number of shares issuable under the 2023 EIP will allow us to continue to attract and retain highly trained and experienced individuals who are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critical to our success, through the grant of equity awards at levels determined appropriate by our Board or Compensation Committee. The 2023 EIP will also allow us to utilize equity awards as long-term incentives to secure and retain the services of current and future employees, non-employee directors and consultants, consistent with our compensation philosophy and common compensation practice for companies located in the San Francisco Bay Area. To date, we have relied significantly on equity awards in the form of stock option grants to attract and retain key employees, non-employee directors and consultants, all of whom are critical to our success. We believe the use of stock option grants strongly aligns the interests of our employees with those of our stockholders by placing a considerable proportion of our employees total compensation at risk because their compensation, in the form of stock options, is contingent on the appreciation in value of our common stock. In addition, we believe stock option grants encourage employee ownership in the Company and promote retention through the reward of long-term value accretion. </w:t>
      </w:r>
    </w:p>
    <w:p>
      <w:pPr>
        <w:pStyle w:val="TextBody"/>
        <w:spacing w:before="360" w:after="0"/>
        <w:jc w:val="left"/>
        <w:rPr>
          <w:rFonts w:ascii="Times New Roman" w:hAnsi="Times New Roman"/>
          <w:b/>
          <w:sz w:val="20"/>
        </w:rPr>
      </w:pPr>
      <w:r>
        <w:rPr>
          <w:rFonts w:ascii="Times New Roman" w:hAnsi="Times New Roman"/>
          <w:b/>
          <w:sz w:val="20"/>
        </w:rPr>
        <w:t xml:space="preserve">Why You Should Vote to Approve the 2023 EIP </w:t>
      </w:r>
    </w:p>
    <w:p>
      <w:pPr>
        <w:pStyle w:val="TextBody"/>
        <w:spacing w:before="120" w:after="0"/>
        <w:jc w:val="left"/>
        <w:rPr>
          <w:rFonts w:ascii="Times New Roman" w:hAnsi="Times New Roman"/>
          <w:b/>
          <w:i/>
          <w:sz w:val="20"/>
        </w:rPr>
      </w:pPr>
      <w:r>
        <w:rPr>
          <w:rFonts w:ascii="Times New Roman" w:hAnsi="Times New Roman"/>
          <w:b/>
          <w:i/>
          <w:sz w:val="20"/>
        </w:rPr>
        <w:t xml:space="preserve">The 2023 EIP Will Provide Sufficient Shares for Us to Meet our Forecasted Equity Needs </w:t>
      </w:r>
    </w:p>
    <w:p>
      <w:pPr>
        <w:pStyle w:val="TextBody"/>
        <w:spacing w:before="120" w:after="0"/>
        <w:jc w:val="left"/>
        <w:rPr>
          <w:rFonts w:ascii="Times New Roman" w:hAnsi="Times New Roman"/>
          <w:sz w:val="20"/>
        </w:rPr>
      </w:pPr>
      <w:r>
        <w:rPr>
          <w:rFonts w:ascii="Times New Roman" w:hAnsi="Times New Roman"/>
          <w:sz w:val="20"/>
        </w:rPr>
        <w:t xml:space="preserve">As described above, the 2019 EIP had 619,188 shares remaining available for grant as of April 28, 2023, </w:t>
      </w:r>
      <w:r>
        <w:rPr>
          <w:rFonts w:ascii="Times New Roman" w:hAnsi="Times New Roman"/>
          <w:i/>
          <w:sz w:val="20"/>
        </w:rPr>
        <w:t>plus</w:t>
      </w:r>
      <w:r>
        <w:rPr>
          <w:rFonts w:ascii="Times New Roman" w:hAnsi="Times New Roman"/>
          <w:sz w:val="20"/>
        </w:rPr>
        <w:t xml:space="preserve"> the Returning Shares (as defined and further described below under Summary of the 2023 EIP  Stock Subject to the 2023 EIP), as such shares become available from time to time. If this Proposal 2 is approved by our stockholders, then the 2023 EIP will succeed the 2019 EIP and we will have a total of approximately 3,263,781 shares available for grant under the 2023 EIP after our Annual Meeting, which includes 1,150,000 new shares available for grant pursuant to the 2023 EIP Share Increase, </w:t>
      </w:r>
      <w:r>
        <w:rPr>
          <w:rFonts w:ascii="Times New Roman" w:hAnsi="Times New Roman"/>
          <w:i/>
          <w:sz w:val="20"/>
        </w:rPr>
        <w:t xml:space="preserve">plus </w:t>
      </w:r>
      <w:r>
        <w:rPr>
          <w:rFonts w:ascii="Times New Roman" w:hAnsi="Times New Roman"/>
          <w:sz w:val="20"/>
        </w:rPr>
        <w:t>619,188 shares, which represent the shares remaining available for issuance under the 2019 EIP, which included any shares that were available for issuance under the Millendo Therapeutics, Inc. 2012 Stock Plan and the Ovascience, Inc. 2012 Stock Incentive Plan (together with the 2019 EIP, the </w:t>
      </w:r>
      <w:r>
        <w:rPr>
          <w:rFonts w:ascii="Times New Roman" w:hAnsi="Times New Roman"/>
          <w:b/>
          <w:i/>
          <w:sz w:val="20"/>
        </w:rPr>
        <w:t>Prior Plans</w:t>
      </w:r>
      <w:r>
        <w:rPr>
          <w:rFonts w:ascii="Times New Roman" w:hAnsi="Times New Roman"/>
          <w:sz w:val="20"/>
        </w:rPr>
        <w:t xml:space="preserve">) as of the 2023 EIP Effective Date (as defined below), </w:t>
      </w:r>
      <w:r>
        <w:rPr>
          <w:rFonts w:ascii="Times New Roman" w:hAnsi="Times New Roman"/>
          <w:i/>
          <w:sz w:val="20"/>
        </w:rPr>
        <w:t>plus</w:t>
      </w:r>
      <w:r>
        <w:rPr>
          <w:rFonts w:ascii="Times New Roman" w:hAnsi="Times New Roman"/>
          <w:sz w:val="20"/>
        </w:rPr>
        <w:t xml:space="preserve"> the Returning Shares, as such shares become available from time to time.</w:t>
      </w:r>
    </w:p>
    <w:p>
      <w:pPr>
        <w:pStyle w:val="TextBody"/>
        <w:spacing w:before="240" w:after="0"/>
        <w:jc w:val="left"/>
        <w:rPr>
          <w:rFonts w:ascii="Times New Roman" w:hAnsi="Times New Roman"/>
          <w:sz w:val="20"/>
        </w:rPr>
      </w:pPr>
      <w:r>
        <w:rPr>
          <w:rFonts w:ascii="Times New Roman" w:hAnsi="Times New Roman"/>
          <w:sz w:val="20"/>
        </w:rPr>
        <w:t xml:space="preserve">The 2023 EIP Share Increase will provide sufficient shares for issuance under the 2023 EIP to meet our estimated near-term equity compensation needs for our current and future employees, non-employee directors and consultants. We operate in a highly competitive industry and geographies for employee talent and do not expect required rates of compensation to decline. One alternative to using equity awards would be to significantly increase cash compensation. We do not believe this would be in our best interests or the best interests of our stockholders because it would significantly impact our financial resources to further advance our programs. As a biotechnology company located in the San Francisco Bay Area, we believe that a combination of equity and cash compensation is more appropriate and preferable and meets the expected regional recruiting standards needed to enable us to attract, retain and motivate employees. Any significant increase in cash compensation in lieu of equity awards would reduce the cash otherwise available for advancing the development of our product candidates. Furthermore, we do not believe a cash-oriented compensation program would provide the same value to us or our stockholders with respect to long-term employee retention or serve to align employees interests with those of our stockholders, in comparison to a program that includes equity awards.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Overhang and Burn Rate </w:t>
      </w:r>
    </w:p>
    <w:p>
      <w:pPr>
        <w:pStyle w:val="TextBody"/>
        <w:spacing w:before="120" w:after="0"/>
        <w:jc w:val="left"/>
        <w:rPr>
          <w:rFonts w:ascii="Times New Roman" w:hAnsi="Times New Roman"/>
          <w:sz w:val="20"/>
        </w:rPr>
      </w:pPr>
      <w:r>
        <w:rPr>
          <w:rFonts w:ascii="Times New Roman" w:hAnsi="Times New Roman"/>
          <w:sz w:val="20"/>
        </w:rPr>
        <w:t xml:space="preserve">The tables below show our historical overhang and burn rate percentages under the 2019 EIP and reflect the actions we have taken in the past regarding our stock option grants.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Equity Awards Outstanding and Overhang </w:t>
      </w:r>
    </w:p>
    <w:p>
      <w:pPr>
        <w:pStyle w:val="TextBody"/>
        <w:spacing w:before="120" w:after="0"/>
        <w:jc w:val="left"/>
        <w:rPr>
          <w:rFonts w:ascii="Times New Roman" w:hAnsi="Times New Roman"/>
          <w:sz w:val="20"/>
        </w:rPr>
      </w:pPr>
      <w:r>
        <w:rPr>
          <w:rFonts w:ascii="Times New Roman" w:hAnsi="Times New Roman"/>
          <w:sz w:val="20"/>
        </w:rPr>
        <w:t xml:space="preserve">The following table provides certain additional information regarding our equity incentive program: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4628"/>
        <w:gridCol w:w="774"/>
        <w:gridCol w:w="182"/>
        <w:gridCol w:w="1292"/>
        <w:gridCol w:w="63"/>
      </w:tblGrid>
      <w:tr>
        <w:trPr/>
        <w:tc>
          <w:tcPr>
            <w:tcW w:w="4628"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bottom"/>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292"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4628" w:type="dxa"/>
            <w:tcBorders/>
            <w:shd w:fill="auto" w:val="clear"/>
            <w:vAlign w:val="bottom"/>
          </w:tcPr>
          <w:p>
            <w:pPr>
              <w:pStyle w:val="TableContents"/>
              <w:spacing w:before="0" w:after="283"/>
              <w:jc w:val="center"/>
              <w:rPr>
                <w:b/>
              </w:rPr>
            </w:pPr>
            <w:r>
              <w:rPr>
                <w:b/>
              </w:rPr>
              <w:t>2019 EIP</w:t>
            </w:r>
          </w:p>
        </w:tc>
        <w:tc>
          <w:tcPr>
            <w:tcW w:w="774" w:type="dxa"/>
            <w:tcBorders/>
            <w:shd w:fill="auto" w:val="clear"/>
            <w:vAlign w:val="bottom"/>
          </w:tcPr>
          <w:p>
            <w:pPr>
              <w:pStyle w:val="TableContents"/>
              <w:spacing w:before="0" w:after="283"/>
              <w:rPr/>
            </w:pPr>
            <w:r>
              <w:rPr/>
              <w:t>  </w:t>
            </w:r>
          </w:p>
        </w:tc>
        <w:tc>
          <w:tcPr>
            <w:tcW w:w="147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w:t>
              <w:br/>
              <w:t>April 28, 2023</w:t>
            </w:r>
          </w:p>
        </w:tc>
        <w:tc>
          <w:tcPr>
            <w:tcW w:w="63" w:type="dxa"/>
            <w:tcBorders/>
            <w:shd w:fill="auto" w:val="clear"/>
            <w:vAlign w:val="bottom"/>
          </w:tcPr>
          <w:p>
            <w:pPr>
              <w:pStyle w:val="TableContents"/>
              <w:spacing w:before="0" w:after="283"/>
              <w:rPr/>
            </w:pPr>
            <w:r>
              <w:rPr/>
              <w:t> </w:t>
            </w:r>
          </w:p>
        </w:tc>
      </w:tr>
      <w:tr>
        <w:trPr/>
        <w:tc>
          <w:tcPr>
            <w:tcW w:w="4628" w:type="dxa"/>
            <w:tcBorders/>
            <w:shd w:fill="CCEEFF" w:val="clear"/>
          </w:tcPr>
          <w:p>
            <w:pPr>
              <w:pStyle w:val="TableContents"/>
              <w:spacing w:before="0" w:after="0"/>
              <w:rPr>
                <w:rFonts w:ascii="Times New Roman" w:hAnsi="Times New Roman"/>
                <w:sz w:val="20"/>
              </w:rPr>
            </w:pPr>
            <w:r>
              <w:rPr>
                <w:rFonts w:ascii="Times New Roman" w:hAnsi="Times New Roman"/>
                <w:sz w:val="20"/>
              </w:rPr>
              <w:t>Total number of shares of common stock subject to outstanding stock options(1)</w:t>
            </w:r>
          </w:p>
        </w:tc>
        <w:tc>
          <w:tcPr>
            <w:tcW w:w="774"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292" w:type="dxa"/>
            <w:tcBorders/>
            <w:shd w:fill="CCEEFF" w:val="clear"/>
            <w:vAlign w:val="bottom"/>
          </w:tcPr>
          <w:p>
            <w:pPr>
              <w:pStyle w:val="TableContents"/>
              <w:spacing w:before="0" w:after="283"/>
              <w:jc w:val="right"/>
              <w:rPr/>
            </w:pPr>
            <w:r>
              <w:rPr/>
              <w:t>1,492,193</w:t>
            </w:r>
          </w:p>
        </w:tc>
        <w:tc>
          <w:tcPr>
            <w:tcW w:w="63" w:type="dxa"/>
            <w:tcBorders/>
            <w:shd w:fill="CCEEFF" w:val="clear"/>
            <w:vAlign w:val="bottom"/>
          </w:tcPr>
          <w:p>
            <w:pPr>
              <w:pStyle w:val="TableContents"/>
              <w:spacing w:before="0" w:after="283"/>
              <w:rPr/>
            </w:pPr>
            <w:r>
              <w:rPr/>
              <w:t> </w:t>
            </w:r>
          </w:p>
        </w:tc>
      </w:tr>
      <w:tr>
        <w:trPr/>
        <w:tc>
          <w:tcPr>
            <w:tcW w:w="4628" w:type="dxa"/>
            <w:tcBorders/>
            <w:shd w:fill="auto" w:val="clear"/>
          </w:tcPr>
          <w:p>
            <w:pPr>
              <w:pStyle w:val="TableContents"/>
              <w:spacing w:before="0" w:after="0"/>
              <w:rPr>
                <w:rFonts w:ascii="Times New Roman" w:hAnsi="Times New Roman"/>
                <w:sz w:val="20"/>
              </w:rPr>
            </w:pPr>
            <w:r>
              <w:rPr>
                <w:rFonts w:ascii="Times New Roman" w:hAnsi="Times New Roman"/>
                <w:sz w:val="20"/>
              </w:rPr>
              <w:t>Weighted-average exercise price of outstanding stock options(1)</w:t>
            </w:r>
          </w:p>
        </w:tc>
        <w:tc>
          <w:tcPr>
            <w:tcW w:w="77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w:t>
            </w:r>
          </w:p>
        </w:tc>
        <w:tc>
          <w:tcPr>
            <w:tcW w:w="1292" w:type="dxa"/>
            <w:tcBorders/>
            <w:shd w:fill="auto" w:val="clear"/>
            <w:vAlign w:val="bottom"/>
          </w:tcPr>
          <w:p>
            <w:pPr>
              <w:pStyle w:val="TableContents"/>
              <w:spacing w:before="0" w:after="283"/>
              <w:jc w:val="right"/>
              <w:rPr/>
            </w:pPr>
            <w:r>
              <w:rPr/>
              <w:t>9.29</w:t>
            </w:r>
          </w:p>
        </w:tc>
        <w:tc>
          <w:tcPr>
            <w:tcW w:w="63" w:type="dxa"/>
            <w:tcBorders/>
            <w:shd w:fill="auto" w:val="clear"/>
            <w:vAlign w:val="bottom"/>
          </w:tcPr>
          <w:p>
            <w:pPr>
              <w:pStyle w:val="TableContents"/>
              <w:spacing w:before="0" w:after="283"/>
              <w:rPr/>
            </w:pPr>
            <w:r>
              <w:rPr/>
              <w:t> </w:t>
            </w:r>
          </w:p>
        </w:tc>
      </w:tr>
      <w:tr>
        <w:trPr/>
        <w:tc>
          <w:tcPr>
            <w:tcW w:w="4628" w:type="dxa"/>
            <w:tcBorders/>
            <w:shd w:fill="CCEEFF" w:val="clear"/>
          </w:tcPr>
          <w:p>
            <w:pPr>
              <w:pStyle w:val="TableContents"/>
              <w:spacing w:before="0" w:after="0"/>
              <w:rPr>
                <w:rFonts w:ascii="Times New Roman" w:hAnsi="Times New Roman"/>
                <w:sz w:val="20"/>
              </w:rPr>
            </w:pPr>
            <w:r>
              <w:rPr>
                <w:rFonts w:ascii="Times New Roman" w:hAnsi="Times New Roman"/>
                <w:sz w:val="20"/>
              </w:rPr>
              <w:t>Weighted-average remaining term of outstanding stock options(1)</w:t>
            </w:r>
          </w:p>
        </w:tc>
        <w:tc>
          <w:tcPr>
            <w:tcW w:w="774"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292" w:type="dxa"/>
            <w:tcBorders/>
            <w:shd w:fill="CCEEFF" w:val="clear"/>
            <w:vAlign w:val="bottom"/>
          </w:tcPr>
          <w:p>
            <w:pPr>
              <w:pStyle w:val="TableContents"/>
              <w:spacing w:before="0" w:after="283"/>
              <w:jc w:val="right"/>
              <w:rPr/>
            </w:pPr>
            <w:r>
              <w:rPr/>
              <w:t>2.48</w:t>
            </w:r>
          </w:p>
        </w:tc>
        <w:tc>
          <w:tcPr>
            <w:tcW w:w="63" w:type="dxa"/>
            <w:tcBorders/>
            <w:shd w:fill="CCEEFF" w:val="clear"/>
            <w:vAlign w:val="bottom"/>
          </w:tcPr>
          <w:p>
            <w:pPr>
              <w:pStyle w:val="TableContents"/>
              <w:spacing w:before="0" w:after="283"/>
              <w:rPr/>
            </w:pPr>
            <w:r>
              <w:rPr/>
              <w:t> </w:t>
            </w:r>
          </w:p>
        </w:tc>
      </w:tr>
      <w:tr>
        <w:trPr/>
        <w:tc>
          <w:tcPr>
            <w:tcW w:w="4628" w:type="dxa"/>
            <w:tcBorders/>
            <w:shd w:fill="auto" w:val="clear"/>
          </w:tcPr>
          <w:p>
            <w:pPr>
              <w:pStyle w:val="TableContents"/>
              <w:spacing w:before="0" w:after="0"/>
              <w:rPr>
                <w:rFonts w:ascii="Times New Roman" w:hAnsi="Times New Roman"/>
                <w:sz w:val="20"/>
              </w:rPr>
            </w:pPr>
            <w:r>
              <w:rPr>
                <w:rFonts w:ascii="Times New Roman" w:hAnsi="Times New Roman"/>
                <w:sz w:val="20"/>
              </w:rPr>
              <w:t>Total number of shares of common stock subject to outstanding full value awards</w:t>
            </w:r>
          </w:p>
        </w:tc>
        <w:tc>
          <w:tcPr>
            <w:tcW w:w="77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292" w:type="dxa"/>
            <w:tcBorders/>
            <w:shd w:fill="auto" w:val="clear"/>
            <w:vAlign w:val="bottom"/>
          </w:tcPr>
          <w:p>
            <w:pPr>
              <w:pStyle w:val="TableContents"/>
              <w:spacing w:before="0" w:after="283"/>
              <w:jc w:val="right"/>
              <w:rPr/>
            </w:pPr>
            <w:r>
              <w:rPr/>
              <w:t>  </w:t>
            </w:r>
          </w:p>
        </w:tc>
        <w:tc>
          <w:tcPr>
            <w:tcW w:w="63" w:type="dxa"/>
            <w:tcBorders/>
            <w:shd w:fill="auto" w:val="clear"/>
            <w:vAlign w:val="bottom"/>
          </w:tcPr>
          <w:p>
            <w:pPr>
              <w:pStyle w:val="TableContents"/>
              <w:spacing w:before="0" w:after="283"/>
              <w:rPr/>
            </w:pPr>
            <w:r>
              <w:rPr/>
              <w:t> </w:t>
            </w:r>
          </w:p>
        </w:tc>
      </w:tr>
      <w:tr>
        <w:trPr/>
        <w:tc>
          <w:tcPr>
            <w:tcW w:w="4628" w:type="dxa"/>
            <w:tcBorders/>
            <w:shd w:fill="CCEEFF" w:val="clear"/>
          </w:tcPr>
          <w:p>
            <w:pPr>
              <w:pStyle w:val="TableContents"/>
              <w:spacing w:before="0" w:after="0"/>
              <w:rPr>
                <w:rFonts w:ascii="Times New Roman" w:hAnsi="Times New Roman"/>
                <w:sz w:val="20"/>
              </w:rPr>
            </w:pPr>
            <w:r>
              <w:rPr>
                <w:rFonts w:ascii="Times New Roman" w:hAnsi="Times New Roman"/>
                <w:sz w:val="20"/>
              </w:rPr>
              <w:t>Total number of shares of common stock available for grant</w:t>
            </w:r>
          </w:p>
        </w:tc>
        <w:tc>
          <w:tcPr>
            <w:tcW w:w="774"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292" w:type="dxa"/>
            <w:tcBorders/>
            <w:shd w:fill="CCEEFF" w:val="clear"/>
            <w:vAlign w:val="bottom"/>
          </w:tcPr>
          <w:p>
            <w:pPr>
              <w:pStyle w:val="TableContents"/>
              <w:spacing w:before="0" w:after="283"/>
              <w:jc w:val="right"/>
              <w:rPr/>
            </w:pPr>
            <w:r>
              <w:rPr/>
              <w:t>619,188</w:t>
            </w:r>
          </w:p>
        </w:tc>
        <w:tc>
          <w:tcPr>
            <w:tcW w:w="63"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Excludes 2,400 options assumed in our merger with Millendo at a weighted-average exercise price of $74.90 per share. </w:t>
            </w:r>
          </w:p>
        </w:tc>
      </w:tr>
    </w:tbl>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4575"/>
        <w:gridCol w:w="835"/>
        <w:gridCol w:w="164"/>
        <w:gridCol w:w="1303"/>
        <w:gridCol w:w="62"/>
      </w:tblGrid>
      <w:tr>
        <w:trPr/>
        <w:tc>
          <w:tcPr>
            <w:tcW w:w="4575"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bottom"/>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457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rPr/>
            </w:pPr>
            <w:r>
              <w:rPr/>
              <w:t>  </w:t>
            </w:r>
          </w:p>
        </w:tc>
        <w:tc>
          <w:tcPr>
            <w:tcW w:w="146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w:t>
              <w:br/>
              <w:t>April 28, 2023</w:t>
            </w:r>
          </w:p>
        </w:tc>
        <w:tc>
          <w:tcPr>
            <w:tcW w:w="62" w:type="dxa"/>
            <w:tcBorders/>
            <w:shd w:fill="auto" w:val="clear"/>
            <w:vAlign w:val="bottom"/>
          </w:tcPr>
          <w:p>
            <w:pPr>
              <w:pStyle w:val="TableContents"/>
              <w:spacing w:before="0" w:after="283"/>
              <w:rPr/>
            </w:pPr>
            <w:r>
              <w:rPr/>
              <w:t> </w:t>
            </w:r>
          </w:p>
        </w:tc>
      </w:tr>
      <w:tr>
        <w:trPr/>
        <w:tc>
          <w:tcPr>
            <w:tcW w:w="4575" w:type="dxa"/>
            <w:tcBorders/>
            <w:shd w:fill="CCEEFF" w:val="clear"/>
          </w:tcPr>
          <w:p>
            <w:pPr>
              <w:pStyle w:val="TableContents"/>
              <w:spacing w:before="0" w:after="0"/>
              <w:rPr>
                <w:rFonts w:ascii="Times New Roman" w:hAnsi="Times New Roman"/>
                <w:sz w:val="20"/>
              </w:rPr>
            </w:pPr>
            <w:r>
              <w:rPr>
                <w:rFonts w:ascii="Times New Roman" w:hAnsi="Times New Roman"/>
                <w:sz w:val="20"/>
              </w:rPr>
              <w:t>Total number of shares of common stock outstanding</w:t>
            </w:r>
          </w:p>
        </w:tc>
        <w:tc>
          <w:tcPr>
            <w:tcW w:w="83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303" w:type="dxa"/>
            <w:tcBorders/>
            <w:shd w:fill="CCEEFF" w:val="clear"/>
            <w:vAlign w:val="bottom"/>
          </w:tcPr>
          <w:p>
            <w:pPr>
              <w:pStyle w:val="TableContents"/>
              <w:spacing w:before="0" w:after="283"/>
              <w:jc w:val="right"/>
              <w:rPr/>
            </w:pPr>
            <w:r>
              <w:rPr/>
              <w:t>10,561,700</w:t>
            </w:r>
          </w:p>
        </w:tc>
        <w:tc>
          <w:tcPr>
            <w:tcW w:w="62" w:type="dxa"/>
            <w:tcBorders/>
            <w:shd w:fill="CCEEFF" w:val="clear"/>
            <w:vAlign w:val="bottom"/>
          </w:tcPr>
          <w:p>
            <w:pPr>
              <w:pStyle w:val="TableContents"/>
              <w:spacing w:before="0" w:after="283"/>
              <w:rPr/>
            </w:pPr>
            <w:r>
              <w:rPr/>
              <w:t> </w:t>
            </w:r>
          </w:p>
        </w:tc>
      </w:tr>
      <w:tr>
        <w:trPr/>
        <w:tc>
          <w:tcPr>
            <w:tcW w:w="4575" w:type="dxa"/>
            <w:tcBorders/>
            <w:shd w:fill="auto" w:val="clear"/>
          </w:tcPr>
          <w:p>
            <w:pPr>
              <w:pStyle w:val="TableContents"/>
              <w:spacing w:before="0" w:after="0"/>
              <w:rPr>
                <w:rFonts w:ascii="Times New Roman" w:hAnsi="Times New Roman"/>
                <w:sz w:val="20"/>
              </w:rPr>
            </w:pPr>
            <w:r>
              <w:rPr>
                <w:rFonts w:ascii="Times New Roman" w:hAnsi="Times New Roman"/>
                <w:sz w:val="20"/>
              </w:rPr>
              <w:t>Per-share closing price of common stock as reported on the Nasdaq Capital Market</w:t>
            </w:r>
          </w:p>
        </w:tc>
        <w:tc>
          <w:tcPr>
            <w:tcW w:w="83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w:t>
            </w:r>
          </w:p>
        </w:tc>
        <w:tc>
          <w:tcPr>
            <w:tcW w:w="1303" w:type="dxa"/>
            <w:tcBorders/>
            <w:shd w:fill="auto" w:val="clear"/>
            <w:vAlign w:val="bottom"/>
          </w:tcPr>
          <w:p>
            <w:pPr>
              <w:pStyle w:val="TableContents"/>
              <w:spacing w:before="0" w:after="283"/>
              <w:jc w:val="right"/>
              <w:rPr/>
            </w:pPr>
            <w:r>
              <w:rPr/>
              <w:t>2.12</w:t>
            </w:r>
          </w:p>
        </w:tc>
        <w:tc>
          <w:tcPr>
            <w:tcW w:w="62" w:type="dxa"/>
            <w:tcBorders/>
            <w:shd w:fill="auto" w:val="clear"/>
            <w:vAlign w:val="bottom"/>
          </w:tcPr>
          <w:p>
            <w:pPr>
              <w:pStyle w:val="TableContents"/>
              <w:spacing w:before="0" w:after="283"/>
              <w:rPr/>
            </w:pPr>
            <w:r>
              <w:rPr/>
              <w:t> </w:t>
            </w:r>
          </w:p>
        </w:tc>
      </w:tr>
    </w:tbl>
    <w:p>
      <w:pPr>
        <w:pStyle w:val="TextBody"/>
        <w:spacing w:before="360" w:after="0"/>
        <w:jc w:val="left"/>
        <w:rPr>
          <w:rFonts w:ascii="Times New Roman" w:hAnsi="Times New Roman"/>
          <w:sz w:val="20"/>
          <w:u w:val="single"/>
        </w:rPr>
      </w:pPr>
      <w:r>
        <w:rPr>
          <w:rFonts w:ascii="Times New Roman" w:hAnsi="Times New Roman"/>
          <w:sz w:val="20"/>
          <w:u w:val="single"/>
        </w:rPr>
        <w:t xml:space="preserve">Burn Rate </w:t>
      </w:r>
    </w:p>
    <w:p>
      <w:pPr>
        <w:pStyle w:val="TextBody"/>
        <w:spacing w:before="120" w:after="0"/>
        <w:jc w:val="left"/>
        <w:rPr>
          <w:rFonts w:ascii="Times New Roman" w:hAnsi="Times New Roman"/>
          <w:sz w:val="20"/>
        </w:rPr>
      </w:pPr>
      <w:r>
        <w:rPr>
          <w:rFonts w:ascii="Times New Roman" w:hAnsi="Times New Roman"/>
          <w:sz w:val="20"/>
        </w:rPr>
        <w:t xml:space="preserve">The following table provides detailed information regarding the activity related to the 2019 EIP for the 2022 fiscal year.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4820"/>
        <w:gridCol w:w="413"/>
        <w:gridCol w:w="73"/>
        <w:gridCol w:w="1355"/>
        <w:gridCol w:w="278"/>
      </w:tblGrid>
      <w:tr>
        <w:trPr/>
        <w:tc>
          <w:tcPr>
            <w:tcW w:w="482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r>
      <w:tr>
        <w:trPr/>
        <w:tc>
          <w:tcPr>
            <w:tcW w:w="4820"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28"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w:t>
            </w:r>
            <w:r>
              <w:rPr/>
              <w:br/>
            </w:r>
            <w:r>
              <w:rPr>
                <w:b/>
              </w:rPr>
              <w:t>Year Ended</w:t>
            </w:r>
            <w:r>
              <w:rPr/>
              <w:br/>
            </w:r>
            <w:r>
              <w:rPr>
                <w:b/>
              </w:rPr>
              <w:t>December 31,</w:t>
              <w:br/>
              <w:t>2022</w:t>
            </w:r>
          </w:p>
        </w:tc>
        <w:tc>
          <w:tcPr>
            <w:tcW w:w="278" w:type="dxa"/>
            <w:tcBorders/>
            <w:shd w:fill="auto" w:val="clear"/>
            <w:vAlign w:val="bottom"/>
          </w:tcPr>
          <w:p>
            <w:pPr>
              <w:pStyle w:val="TableContents"/>
              <w:spacing w:before="0" w:after="283"/>
              <w:rPr/>
            </w:pPr>
            <w:r>
              <w:rPr/>
              <w:t> </w:t>
            </w:r>
          </w:p>
        </w:tc>
      </w:tr>
      <w:tr>
        <w:trPr/>
        <w:tc>
          <w:tcPr>
            <w:tcW w:w="4820" w:type="dxa"/>
            <w:tcBorders/>
            <w:shd w:fill="CCEEFF" w:val="clear"/>
          </w:tcPr>
          <w:p>
            <w:pPr>
              <w:pStyle w:val="TableContents"/>
              <w:spacing w:before="0" w:after="0"/>
              <w:rPr>
                <w:rFonts w:ascii="Times New Roman" w:hAnsi="Times New Roman"/>
                <w:sz w:val="20"/>
              </w:rPr>
            </w:pPr>
            <w:r>
              <w:rPr>
                <w:rFonts w:ascii="Times New Roman" w:hAnsi="Times New Roman"/>
                <w:sz w:val="20"/>
              </w:rPr>
              <w:t>Total number of shares of common stock subject to stock options granted</w:t>
            </w:r>
          </w:p>
        </w:tc>
        <w:tc>
          <w:tcPr>
            <w:tcW w:w="413"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355" w:type="dxa"/>
            <w:tcBorders/>
            <w:shd w:fill="CCEEFF" w:val="clear"/>
            <w:vAlign w:val="bottom"/>
          </w:tcPr>
          <w:p>
            <w:pPr>
              <w:pStyle w:val="TableContents"/>
              <w:spacing w:before="0" w:after="283"/>
              <w:jc w:val="right"/>
              <w:rPr/>
            </w:pPr>
            <w:r>
              <w:rPr/>
              <w:t>909,527</w:t>
            </w:r>
          </w:p>
        </w:tc>
        <w:tc>
          <w:tcPr>
            <w:tcW w:w="278" w:type="dxa"/>
            <w:tcBorders/>
            <w:shd w:fill="CCEEFF" w:val="clear"/>
            <w:vAlign w:val="bottom"/>
          </w:tcPr>
          <w:p>
            <w:pPr>
              <w:pStyle w:val="TableContents"/>
              <w:spacing w:before="0" w:after="283"/>
              <w:rPr/>
            </w:pPr>
            <w:r>
              <w:rPr/>
              <w:t> </w:t>
            </w:r>
          </w:p>
        </w:tc>
      </w:tr>
      <w:tr>
        <w:trPr/>
        <w:tc>
          <w:tcPr>
            <w:tcW w:w="4820" w:type="dxa"/>
            <w:tcBorders/>
            <w:shd w:fill="auto" w:val="clear"/>
          </w:tcPr>
          <w:p>
            <w:pPr>
              <w:pStyle w:val="TableContents"/>
              <w:spacing w:before="0" w:after="0"/>
              <w:rPr>
                <w:rFonts w:ascii="Times New Roman" w:hAnsi="Times New Roman"/>
                <w:sz w:val="20"/>
              </w:rPr>
            </w:pPr>
            <w:r>
              <w:rPr>
                <w:rFonts w:ascii="Times New Roman" w:hAnsi="Times New Roman"/>
                <w:sz w:val="20"/>
              </w:rPr>
              <w:t>Total number of shares of common stock subject to full value awards granted</w:t>
            </w:r>
          </w:p>
        </w:tc>
        <w:tc>
          <w:tcPr>
            <w:tcW w:w="413"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355" w:type="dxa"/>
            <w:tcBorders/>
            <w:shd w:fill="auto" w:val="clear"/>
            <w:vAlign w:val="bottom"/>
          </w:tcPr>
          <w:p>
            <w:pPr>
              <w:pStyle w:val="TableContents"/>
              <w:spacing w:before="0" w:after="283"/>
              <w:jc w:val="right"/>
              <w:rPr/>
            </w:pPr>
            <w:r>
              <w:rPr/>
              <w:t>  </w:t>
            </w:r>
          </w:p>
        </w:tc>
        <w:tc>
          <w:tcPr>
            <w:tcW w:w="278" w:type="dxa"/>
            <w:tcBorders/>
            <w:shd w:fill="auto" w:val="clear"/>
            <w:vAlign w:val="bottom"/>
          </w:tcPr>
          <w:p>
            <w:pPr>
              <w:pStyle w:val="TableContents"/>
              <w:spacing w:before="0" w:after="283"/>
              <w:rPr/>
            </w:pPr>
            <w:r>
              <w:rPr/>
              <w:t> </w:t>
            </w:r>
          </w:p>
        </w:tc>
      </w:tr>
      <w:tr>
        <w:trPr/>
        <w:tc>
          <w:tcPr>
            <w:tcW w:w="4820" w:type="dxa"/>
            <w:tcBorders/>
            <w:shd w:fill="CCEEFF" w:val="clear"/>
          </w:tcPr>
          <w:p>
            <w:pPr>
              <w:pStyle w:val="TableContents"/>
              <w:spacing w:before="0" w:after="0"/>
              <w:rPr>
                <w:rFonts w:ascii="Times New Roman" w:hAnsi="Times New Roman"/>
                <w:sz w:val="20"/>
              </w:rPr>
            </w:pPr>
            <w:r>
              <w:rPr>
                <w:rFonts w:ascii="Times New Roman" w:hAnsi="Times New Roman"/>
                <w:sz w:val="20"/>
              </w:rPr>
              <w:t>Weighted-average number of shares of common stock and pre-funded warrants outstanding</w:t>
            </w:r>
          </w:p>
        </w:tc>
        <w:tc>
          <w:tcPr>
            <w:tcW w:w="413"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355" w:type="dxa"/>
            <w:tcBorders/>
            <w:shd w:fill="CCEEFF" w:val="clear"/>
            <w:vAlign w:val="bottom"/>
          </w:tcPr>
          <w:p>
            <w:pPr>
              <w:pStyle w:val="TableContents"/>
              <w:spacing w:before="0" w:after="283"/>
              <w:jc w:val="right"/>
              <w:rPr/>
            </w:pPr>
            <w:r>
              <w:rPr/>
              <w:t>11,548,907</w:t>
            </w:r>
          </w:p>
        </w:tc>
        <w:tc>
          <w:tcPr>
            <w:tcW w:w="278" w:type="dxa"/>
            <w:tcBorders/>
            <w:shd w:fill="CCEEFF" w:val="clear"/>
            <w:vAlign w:val="bottom"/>
          </w:tcPr>
          <w:p>
            <w:pPr>
              <w:pStyle w:val="TableContents"/>
              <w:spacing w:before="0" w:after="283"/>
              <w:rPr/>
            </w:pPr>
            <w:r>
              <w:rPr/>
              <w:t> </w:t>
            </w:r>
          </w:p>
        </w:tc>
      </w:tr>
      <w:tr>
        <w:trPr/>
        <w:tc>
          <w:tcPr>
            <w:tcW w:w="4820" w:type="dxa"/>
            <w:tcBorders/>
            <w:shd w:fill="auto" w:val="clear"/>
          </w:tcPr>
          <w:p>
            <w:pPr>
              <w:pStyle w:val="TableContents"/>
              <w:spacing w:before="0" w:after="0"/>
              <w:rPr>
                <w:rFonts w:ascii="Times New Roman" w:hAnsi="Times New Roman"/>
                <w:sz w:val="20"/>
              </w:rPr>
            </w:pPr>
            <w:r>
              <w:rPr>
                <w:rFonts w:ascii="Times New Roman" w:hAnsi="Times New Roman"/>
                <w:sz w:val="20"/>
              </w:rPr>
              <w:t>Burn rate</w:t>
            </w:r>
          </w:p>
        </w:tc>
        <w:tc>
          <w:tcPr>
            <w:tcW w:w="413"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355" w:type="dxa"/>
            <w:tcBorders/>
            <w:shd w:fill="auto" w:val="clear"/>
            <w:vAlign w:val="bottom"/>
          </w:tcPr>
          <w:p>
            <w:pPr>
              <w:pStyle w:val="TableContents"/>
              <w:spacing w:before="0" w:after="283"/>
              <w:jc w:val="right"/>
              <w:rPr/>
            </w:pPr>
            <w:r>
              <w:rPr/>
              <w:t>7.9</w:t>
            </w:r>
          </w:p>
        </w:tc>
        <w:tc>
          <w:tcPr>
            <w:tcW w:w="278" w:type="dxa"/>
            <w:tcBorders/>
            <w:shd w:fill="auto" w:val="clear"/>
            <w:vAlign w:val="bottom"/>
          </w:tcPr>
          <w:p>
            <w:pPr>
              <w:pStyle w:val="TableContents"/>
              <w:spacing w:before="0" w:after="283"/>
              <w:rPr/>
            </w:pPr>
            <w:r>
              <w:rPr/>
              <w:t>% </w:t>
            </w:r>
          </w:p>
        </w:tc>
      </w:tr>
    </w:tbl>
    <w:p>
      <w:pPr>
        <w:pStyle w:val="TextBody"/>
        <w:spacing w:before="360" w:after="0"/>
        <w:jc w:val="left"/>
        <w:rPr>
          <w:rFonts w:ascii="Times New Roman" w:hAnsi="Times New Roman"/>
          <w:b/>
          <w:i/>
          <w:sz w:val="20"/>
        </w:rPr>
      </w:pPr>
      <w:r>
        <w:rPr>
          <w:rFonts w:ascii="Times New Roman" w:hAnsi="Times New Roman"/>
          <w:b/>
          <w:i/>
          <w:sz w:val="20"/>
        </w:rPr>
        <w:t xml:space="preserve">The 2023 EIP Combines Compensation and Governance Best Practices </w:t>
      </w:r>
    </w:p>
    <w:p>
      <w:pPr>
        <w:pStyle w:val="TextBody"/>
        <w:spacing w:before="120" w:after="0"/>
        <w:jc w:val="left"/>
        <w:rPr>
          <w:rFonts w:ascii="Times New Roman" w:hAnsi="Times New Roman"/>
          <w:sz w:val="20"/>
        </w:rPr>
      </w:pPr>
      <w:r>
        <w:rPr>
          <w:rFonts w:ascii="Times New Roman" w:hAnsi="Times New Roman"/>
          <w:sz w:val="20"/>
        </w:rPr>
        <w:t xml:space="preserve">The 2023 EIP includes provisions that are designed to protect our stockholders interests and to reflect corporate governance best practices including: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Repricing is not allowed.</w:t>
            </w:r>
            <w:r>
              <w:rPr>
                <w:rFonts w:ascii="Times New Roman" w:hAnsi="Times New Roman"/>
                <w:sz w:val="20"/>
              </w:rPr>
              <w:t xml:space="preserve"> The 2023 EIP prohibits the repricing of stock options and stock appreciation rights without prior stockholder approval.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No discounted stock options or stock appreciation rights.</w:t>
            </w:r>
            <w:r>
              <w:rPr>
                <w:rFonts w:ascii="Times New Roman" w:hAnsi="Times New Roman"/>
                <w:sz w:val="20"/>
              </w:rPr>
              <w:t xml:space="preserve"> All stock options and stock appreciation rights granted under the 2023 EIP must have an exercise price equal to or greater than the fair market value of our common stock on the date the stock option or stock appreciation right is granted.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306"/>
        <w:gridCol w:w="101"/>
        <w:gridCol w:w="9290"/>
      </w:tblGrid>
      <w:tr>
        <w:trPr/>
        <w:tc>
          <w:tcPr>
            <w:tcW w:w="5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Limit on</w:t>
            </w:r>
            <w:r>
              <w:rPr>
                <w:rFonts w:ascii="Times New Roman" w:hAnsi="Times New Roman"/>
                <w:sz w:val="20"/>
              </w:rPr>
              <w:t> </w:t>
            </w:r>
            <w:r>
              <w:rPr>
                <w:rFonts w:ascii="Times New Roman" w:hAnsi="Times New Roman"/>
                <w:i/>
                <w:sz w:val="20"/>
              </w:rPr>
              <w:t>non-employee</w:t>
            </w:r>
            <w:r>
              <w:rPr>
                <w:rFonts w:ascii="Times New Roman" w:hAnsi="Times New Roman"/>
                <w:sz w:val="20"/>
              </w:rPr>
              <w:t> </w:t>
            </w:r>
            <w:r>
              <w:rPr>
                <w:rFonts w:ascii="Times New Roman" w:hAnsi="Times New Roman"/>
                <w:i/>
                <w:sz w:val="20"/>
              </w:rPr>
              <w:t>director compensation.</w:t>
            </w:r>
            <w:r>
              <w:rPr>
                <w:rFonts w:ascii="Times New Roman" w:hAnsi="Times New Roman"/>
                <w:sz w:val="20"/>
              </w:rPr>
              <w:t xml:space="preserve"> The maximum number of shares subject to stock awards granted during any calendar year to any of our non-employee directors, taken together with any cash fees paid by us to such non-employee director during such calendar year, may not exceed $750,000 in total value, or $1,000,000 in total value with respect to the calendar year in which the individual is first appointed or elected to the Board (calculating the value of any such stock awards based on the grant date fair value of the stock awards for financial reporting purposes).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Awards subject to forfeiture/clawback.</w:t>
            </w:r>
            <w:r>
              <w:rPr>
                <w:rFonts w:ascii="Times New Roman" w:hAnsi="Times New Roman"/>
                <w:sz w:val="20"/>
              </w:rPr>
              <w:t xml:space="preserve"> Awards granted under the 2023 EIP are subject to recoupment in accordance with the terms of any clawback policy that our Board may adopt in the future, and in addition, any clawback policy that we are required to adopt pursuant to the listing standards of any national securities exchange or association on which our securities are listed or as is otherwise required by the Dodd-Frank Wall Street Reform and Consumer Protection Act or other applicable law. In addition, the Board may impose other clawback, recovery or recoupment provisions in an award agreement, including a reacquisition right in respect of previously acquired shares or other cash or property upon the occurrence of cause.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No liberal change in control definition.</w:t>
            </w:r>
            <w:r>
              <w:rPr>
                <w:rFonts w:ascii="Times New Roman" w:hAnsi="Times New Roman"/>
                <w:sz w:val="20"/>
              </w:rPr>
              <w:t xml:space="preserve"> The change in control definition in the 2023 EIP is not a liberal definition. A change in control transaction must actually occur in order for the change in control provisions in the 2023 EIP to be triggered. </w:t>
            </w:r>
          </w:p>
        </w:tc>
      </w:tr>
    </w:tbl>
    <w:p>
      <w:pPr>
        <w:pStyle w:val="TextBody"/>
        <w:spacing w:before="360" w:after="0"/>
        <w:jc w:val="left"/>
        <w:rPr>
          <w:rFonts w:ascii="Times New Roman" w:hAnsi="Times New Roman"/>
          <w:b/>
          <w:sz w:val="20"/>
        </w:rPr>
      </w:pPr>
      <w:r>
        <w:rPr>
          <w:rFonts w:ascii="Times New Roman" w:hAnsi="Times New Roman"/>
          <w:b/>
          <w:sz w:val="20"/>
        </w:rPr>
        <w:t xml:space="preserve">Summary of the 2023 EIP </w:t>
      </w:r>
    </w:p>
    <w:p>
      <w:pPr>
        <w:pStyle w:val="TextBody"/>
        <w:spacing w:before="120" w:after="0"/>
        <w:jc w:val="left"/>
        <w:rPr>
          <w:rFonts w:ascii="Times New Roman" w:hAnsi="Times New Roman"/>
          <w:sz w:val="20"/>
        </w:rPr>
      </w:pPr>
      <w:r>
        <w:rPr>
          <w:rFonts w:ascii="Times New Roman" w:hAnsi="Times New Roman"/>
          <w:sz w:val="20"/>
        </w:rPr>
        <w:t xml:space="preserve">The following is a summary of the principal features of the 2023 EIP, together with the applicable tax implications with respect to the 2023 EIP. The summary is qualified by reference to the full text of the 2023 EIP, which is attached as </w:t>
      </w:r>
      <w:r>
        <w:rPr>
          <w:rFonts w:ascii="Times New Roman" w:hAnsi="Times New Roman"/>
          <w:b/>
          <w:i/>
          <w:sz w:val="20"/>
        </w:rPr>
        <w:t>Appendix A</w:t>
      </w:r>
      <w:r>
        <w:rPr>
          <w:rFonts w:ascii="Times New Roman" w:hAnsi="Times New Roman"/>
          <w:sz w:val="20"/>
        </w:rPr>
        <w:t xml:space="preserve"> to this Proxy Statement. </w:t>
      </w:r>
    </w:p>
    <w:p>
      <w:pPr>
        <w:pStyle w:val="TextBody"/>
        <w:spacing w:before="360" w:after="0"/>
        <w:jc w:val="left"/>
        <w:rPr>
          <w:rFonts w:ascii="Times New Roman" w:hAnsi="Times New Roman"/>
          <w:b/>
          <w:i/>
          <w:sz w:val="20"/>
        </w:rPr>
      </w:pPr>
      <w:r>
        <w:rPr>
          <w:rFonts w:ascii="Times New Roman" w:hAnsi="Times New Roman"/>
          <w:b/>
          <w:i/>
          <w:sz w:val="20"/>
        </w:rPr>
        <w:t xml:space="preserve">Purpose </w:t>
      </w:r>
    </w:p>
    <w:p>
      <w:pPr>
        <w:pStyle w:val="TextBody"/>
        <w:spacing w:before="120" w:after="0"/>
        <w:jc w:val="left"/>
        <w:rPr>
          <w:rFonts w:ascii="Times New Roman" w:hAnsi="Times New Roman"/>
          <w:sz w:val="20"/>
        </w:rPr>
      </w:pPr>
      <w:r>
        <w:rPr>
          <w:rFonts w:ascii="Times New Roman" w:hAnsi="Times New Roman"/>
          <w:sz w:val="20"/>
        </w:rPr>
        <w:t>The 2023 EIP is designed to secure and retain the services of our employees and directors, provide incentives for our employees and directors to exert maximum efforts for the success of our Company and its affiliates, and provide a means by which our employees and directors may be given an opportunity to benefit from increases in the value of our common stock. From and after 12:01 a.m. Eastern time on the date of the approval of the 2023 EIP by our stockholders (the </w:t>
      </w:r>
      <w:r>
        <w:rPr>
          <w:rFonts w:ascii="Times New Roman" w:hAnsi="Times New Roman"/>
          <w:b/>
          <w:i/>
          <w:sz w:val="20"/>
        </w:rPr>
        <w:t>2023 EIP Effective Date</w:t>
      </w:r>
      <w:r>
        <w:rPr>
          <w:rFonts w:ascii="Times New Roman" w:hAnsi="Times New Roman"/>
          <w:sz w:val="20"/>
        </w:rPr>
        <w:t xml:space="preserve">), no additional stock awards will be granted under the 2019 EIP. </w:t>
      </w:r>
    </w:p>
    <w:p>
      <w:pPr>
        <w:pStyle w:val="TextBody"/>
        <w:spacing w:before="360" w:after="0"/>
        <w:jc w:val="left"/>
        <w:rPr>
          <w:rFonts w:ascii="Times New Roman" w:hAnsi="Times New Roman"/>
          <w:b/>
          <w:i/>
          <w:sz w:val="20"/>
        </w:rPr>
      </w:pPr>
      <w:r>
        <w:rPr>
          <w:rFonts w:ascii="Times New Roman" w:hAnsi="Times New Roman"/>
          <w:b/>
          <w:i/>
          <w:sz w:val="20"/>
        </w:rPr>
        <w:t xml:space="preserve">Types of Awards </w:t>
      </w:r>
    </w:p>
    <w:p>
      <w:pPr>
        <w:pStyle w:val="TextBody"/>
        <w:spacing w:before="120" w:after="0"/>
        <w:jc w:val="left"/>
        <w:rPr>
          <w:rFonts w:ascii="Times New Roman" w:hAnsi="Times New Roman"/>
          <w:sz w:val="20"/>
        </w:rPr>
      </w:pPr>
      <w:r>
        <w:rPr>
          <w:rFonts w:ascii="Times New Roman" w:hAnsi="Times New Roman"/>
          <w:sz w:val="20"/>
        </w:rPr>
        <w:t xml:space="preserve">The 2023 EIP provides for the grant of ISOs, nonstatutory stock options, stock appreciation rights, restricted stock awards, restricted stock unit awards, performance stock awards, and other stock awards. </w:t>
      </w:r>
    </w:p>
    <w:p>
      <w:pPr>
        <w:pStyle w:val="TextBody"/>
        <w:spacing w:before="360" w:after="0"/>
        <w:jc w:val="left"/>
        <w:rPr>
          <w:rFonts w:ascii="Times New Roman" w:hAnsi="Times New Roman"/>
          <w:b/>
          <w:i/>
          <w:sz w:val="20"/>
        </w:rPr>
      </w:pPr>
      <w:r>
        <w:rPr>
          <w:rFonts w:ascii="Times New Roman" w:hAnsi="Times New Roman"/>
          <w:b/>
          <w:i/>
          <w:sz w:val="20"/>
        </w:rPr>
        <w:t xml:space="preserve">Stock Subject to the 2023 EIP </w:t>
      </w:r>
    </w:p>
    <w:p>
      <w:pPr>
        <w:pStyle w:val="TextBody"/>
        <w:spacing w:before="120" w:after="0"/>
        <w:jc w:val="left"/>
        <w:rPr>
          <w:rFonts w:ascii="Times New Roman" w:hAnsi="Times New Roman"/>
          <w:sz w:val="20"/>
        </w:rPr>
      </w:pPr>
      <w:r>
        <w:rPr>
          <w:rFonts w:ascii="Times New Roman" w:hAnsi="Times New Roman"/>
          <w:sz w:val="20"/>
        </w:rPr>
        <w:t xml:space="preserve">Subject to adjustment for certain changes in our capitalization, if this Proposal 2 is approved by our stockholders, the aggregate number of shares of our common stock reserved for issuance under the 2023 EIP will be 3,263,781 shares, which number includes (1) 1,150,000 new shares available for grant pursuant to the 2023 EIP Share Increase, </w:t>
      </w:r>
      <w:r>
        <w:rPr>
          <w:rFonts w:ascii="Times New Roman" w:hAnsi="Times New Roman"/>
          <w:i/>
          <w:sz w:val="20"/>
        </w:rPr>
        <w:t xml:space="preserve">plus </w:t>
      </w:r>
      <w:r>
        <w:rPr>
          <w:rFonts w:ascii="Times New Roman" w:hAnsi="Times New Roman"/>
          <w:sz w:val="20"/>
        </w:rPr>
        <w:t xml:space="preserve">(2) 619,188 shares remaining available for issuance under the Prior Plans as of the 2023 EIP Effective Date, </w:t>
      </w:r>
      <w:r>
        <w:rPr>
          <w:rFonts w:ascii="Times New Roman" w:hAnsi="Times New Roman"/>
          <w:i/>
          <w:sz w:val="20"/>
        </w:rPr>
        <w:t>plus</w:t>
      </w:r>
      <w:r>
        <w:rPr>
          <w:rFonts w:ascii="Times New Roman" w:hAnsi="Times New Roman"/>
          <w:sz w:val="20"/>
        </w:rPr>
        <w:t xml:space="preserve"> (3) Returning Shares (as defined below), if any, as such shares become available from time to time. The number of shares of our common stock reserved for issuance under the 2023 EIP will automatically increase on January 1 of each year, for a period of 10 years, beginning on January 1, 2024 and continuing through January 1, 2033, by 4% of the total number of shares of our common stock outstanding on December 31 of the preceding calendar year, or a lesser number of shares as may be determined by our Board.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The following shares of our common stock (collectively, the </w:t>
      </w:r>
      <w:r>
        <w:rPr>
          <w:rFonts w:ascii="Times New Roman" w:hAnsi="Times New Roman"/>
          <w:b/>
          <w:i/>
          <w:sz w:val="20"/>
        </w:rPr>
        <w:t>Returning Shares</w:t>
      </w:r>
      <w:r>
        <w:rPr>
          <w:rFonts w:ascii="Times New Roman" w:hAnsi="Times New Roman"/>
          <w:sz w:val="20"/>
        </w:rPr>
        <w:t xml:space="preserve">) will become available again for issuance under the 2023 EIP: (i) any shares under the 2023 EIP and the Prior Plans subject to a stock award that are not issued because such stock award expires or otherwise terminates without all of the shares covered by such stock award having been issued; (ii) any shares under the 2023 EIP and the Prior Plans subject to a stock award that are not issued because such stock award is settled in cash; (iii) any shares under the 2023 EIP and the Prior Plans issued pursuant to a stock award that are forfeited back to or repurchased by us because of the failure to meet a contingency or condition required for the vesting of such shares; and (iv) any shares under the 2023 EIP and the Prior Plans reacquired by us in satisfaction of tax withholding obligations on a stock award or as consideration for the exercise or purchase price of a stock award. </w:t>
      </w:r>
    </w:p>
    <w:p>
      <w:pPr>
        <w:pStyle w:val="TextBody"/>
        <w:spacing w:before="240" w:after="0"/>
        <w:jc w:val="left"/>
        <w:rPr>
          <w:rFonts w:ascii="Times New Roman" w:hAnsi="Times New Roman"/>
          <w:sz w:val="20"/>
        </w:rPr>
      </w:pPr>
      <w:r>
        <w:rPr>
          <w:rFonts w:ascii="Times New Roman" w:hAnsi="Times New Roman"/>
          <w:sz w:val="20"/>
        </w:rPr>
        <w:t xml:space="preserve">As of April 28, 2023, and assuming stockholders approve this Proposal 2, the number of shares that will then be initially available for issuance will be 1,769,188. </w:t>
      </w:r>
    </w:p>
    <w:p>
      <w:pPr>
        <w:pStyle w:val="TextBody"/>
        <w:spacing w:before="360" w:after="0"/>
        <w:jc w:val="left"/>
        <w:rPr>
          <w:rFonts w:ascii="Times New Roman" w:hAnsi="Times New Roman"/>
          <w:b/>
          <w:i/>
          <w:sz w:val="20"/>
        </w:rPr>
      </w:pPr>
      <w:r>
        <w:rPr>
          <w:rFonts w:ascii="Times New Roman" w:hAnsi="Times New Roman"/>
          <w:b/>
          <w:i/>
          <w:sz w:val="20"/>
        </w:rPr>
        <w:t xml:space="preserve">Eligibility </w:t>
      </w:r>
    </w:p>
    <w:p>
      <w:pPr>
        <w:pStyle w:val="TextBody"/>
        <w:spacing w:before="120" w:after="0"/>
        <w:jc w:val="left"/>
        <w:rPr>
          <w:rFonts w:ascii="Times New Roman" w:hAnsi="Times New Roman"/>
          <w:sz w:val="20"/>
        </w:rPr>
      </w:pPr>
      <w:r>
        <w:rPr>
          <w:rFonts w:ascii="Times New Roman" w:hAnsi="Times New Roman"/>
          <w:sz w:val="20"/>
        </w:rPr>
        <w:t xml:space="preserve">All of our (including our affiliates) employees, consultants and non-employee directors are eligible to participate in the 2023 EIP and may receive all types of awards other than ISOs. ISOs may be granted under the 2023 EIP only to our (including our affiliates) employees. </w:t>
      </w:r>
    </w:p>
    <w:p>
      <w:pPr>
        <w:pStyle w:val="TextBody"/>
        <w:spacing w:before="240" w:after="0"/>
        <w:jc w:val="left"/>
        <w:rPr>
          <w:rFonts w:ascii="Times New Roman" w:hAnsi="Times New Roman"/>
          <w:sz w:val="20"/>
        </w:rPr>
      </w:pPr>
      <w:r>
        <w:rPr>
          <w:rFonts w:ascii="Times New Roman" w:hAnsi="Times New Roman"/>
          <w:sz w:val="20"/>
        </w:rPr>
        <w:t xml:space="preserve">As of April 28, 2023, we (including our affiliates) had 18 employees, 5 non-employee directors, and approximately 24 consultants. </w:t>
      </w:r>
    </w:p>
    <w:p>
      <w:pPr>
        <w:pStyle w:val="TextBody"/>
        <w:spacing w:before="360" w:after="0"/>
        <w:jc w:val="left"/>
        <w:rPr>
          <w:rFonts w:ascii="Times New Roman" w:hAnsi="Times New Roman"/>
          <w:b/>
          <w:i/>
          <w:sz w:val="20"/>
        </w:rPr>
      </w:pPr>
      <w:r>
        <w:rPr>
          <w:rFonts w:ascii="Times New Roman" w:hAnsi="Times New Roman"/>
          <w:b/>
          <w:i/>
          <w:sz w:val="20"/>
        </w:rPr>
        <w:t xml:space="preserve">Non-Employee Director Compensation Limit </w:t>
      </w:r>
    </w:p>
    <w:p>
      <w:pPr>
        <w:pStyle w:val="TextBody"/>
        <w:spacing w:before="120" w:after="0"/>
        <w:jc w:val="left"/>
        <w:rPr>
          <w:rFonts w:ascii="Times New Roman" w:hAnsi="Times New Roman"/>
          <w:sz w:val="20"/>
        </w:rPr>
      </w:pPr>
      <w:r>
        <w:rPr>
          <w:rFonts w:ascii="Times New Roman" w:hAnsi="Times New Roman"/>
          <w:sz w:val="20"/>
        </w:rPr>
        <w:t xml:space="preserve">Under the 2023 EIP, the maximum number of shares of our common stock subject to stock awards granted during any one calendar year to any of our non-employee directors, taken together with any cash fees paid by us to such non-employee director during such calendar year,will not exceed $750,000 in total value, or $1,000,000 with respect to the calendar year in which the individual is first appointed or elected to the Board (calculating the value of any such stock awards based on the grant date fair value of such stock awards for financial reporting purposes). </w:t>
      </w:r>
    </w:p>
    <w:p>
      <w:pPr>
        <w:pStyle w:val="TextBody"/>
        <w:spacing w:before="360" w:after="0"/>
        <w:jc w:val="left"/>
        <w:rPr>
          <w:rFonts w:ascii="Times New Roman" w:hAnsi="Times New Roman"/>
          <w:b/>
          <w:i/>
          <w:sz w:val="20"/>
        </w:rPr>
      </w:pPr>
      <w:r>
        <w:rPr>
          <w:rFonts w:ascii="Times New Roman" w:hAnsi="Times New Roman"/>
          <w:b/>
          <w:i/>
          <w:sz w:val="20"/>
        </w:rPr>
        <w:t xml:space="preserve">Administration </w:t>
      </w:r>
    </w:p>
    <w:p>
      <w:pPr>
        <w:pStyle w:val="TextBody"/>
        <w:spacing w:before="120" w:after="0"/>
        <w:jc w:val="left"/>
        <w:rPr>
          <w:rFonts w:ascii="Times New Roman" w:hAnsi="Times New Roman"/>
          <w:sz w:val="20"/>
        </w:rPr>
      </w:pPr>
      <w:r>
        <w:rPr>
          <w:rFonts w:ascii="Times New Roman" w:hAnsi="Times New Roman"/>
          <w:sz w:val="20"/>
        </w:rPr>
        <w:t xml:space="preserve">The 2023 EIP will be administered by our Board, which may in turn delegate authority to administer the 2023 EIP to a committee. Our Board has delegated concurrent authority to administer the 2023 EIP to our Compensation Committee, but may, at any time, revest in itself some or all of the power delegated to our Compensation Committee. Our Board and Compensation Committee are each considered to be a Plan Administrator for purposes of this Proposal 2. </w:t>
      </w:r>
    </w:p>
    <w:p>
      <w:pPr>
        <w:pStyle w:val="TextBody"/>
        <w:spacing w:before="240" w:after="0"/>
        <w:jc w:val="left"/>
        <w:rPr>
          <w:rFonts w:ascii="Times New Roman" w:hAnsi="Times New Roman"/>
          <w:sz w:val="20"/>
        </w:rPr>
      </w:pPr>
      <w:r>
        <w:rPr>
          <w:rFonts w:ascii="Times New Roman" w:hAnsi="Times New Roman"/>
          <w:sz w:val="20"/>
        </w:rPr>
        <w:t xml:space="preserve">Subject to the terms of the 2023 EIP, the Plan Administrator may determine the recipients, the types of awards to be granted, the number of shares of our common stock subject to or the cash value of awards, and the terms and conditions of awards granted under the 2023 EIP, including the period of their exercisability and vesting. The Plan Administrator also has the authority to provide for accelerated exercisability and vesting of awards. Subject to the limitations set forth below, the Plan Administrator also determines the fair market value applicable to a stock award and the exercise or strike price of stock options and stock appreciation rights granted under the 2023 EIP. </w:t>
      </w:r>
    </w:p>
    <w:p>
      <w:pPr>
        <w:pStyle w:val="TextBody"/>
        <w:spacing w:before="240" w:after="0"/>
        <w:jc w:val="left"/>
        <w:rPr>
          <w:rFonts w:ascii="Times New Roman" w:hAnsi="Times New Roman"/>
          <w:sz w:val="20"/>
        </w:rPr>
      </w:pPr>
      <w:r>
        <w:rPr>
          <w:rFonts w:ascii="Times New Roman" w:hAnsi="Times New Roman"/>
          <w:sz w:val="20"/>
        </w:rPr>
        <w:t xml:space="preserve">The Plan Administrator may also delegate to one or more persons or bodies the authority to designate employees who are not officers to be recipients of certain stock awards and the number of shares of our common stock subject to such stock awards. Under any such delegation, the Board will specify the total number of shares of our common stock that may be subject to the stock awards granted by such persons or bodies. Such persons or bodies may not grant a stock award to themself and neither the Board nor any committee may delegate authority to any person or body (who is not a member of the Board or such body that is not comprised solely of members of the Board) the authority to determine the fair market value of our common stock for purposes of the 2023 EIP.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Repricing; Cancellation and Re-Grant of Stock Awards </w:t>
      </w:r>
    </w:p>
    <w:p>
      <w:pPr>
        <w:pStyle w:val="TextBody"/>
        <w:spacing w:before="120" w:after="0"/>
        <w:jc w:val="left"/>
        <w:rPr>
          <w:rFonts w:ascii="Times New Roman" w:hAnsi="Times New Roman"/>
          <w:sz w:val="20"/>
        </w:rPr>
      </w:pPr>
      <w:r>
        <w:rPr>
          <w:rFonts w:ascii="Times New Roman" w:hAnsi="Times New Roman"/>
          <w:sz w:val="20"/>
        </w:rPr>
        <w:t xml:space="preserve">Under the 2023 EIP, the Plan Administrator does </w:t>
      </w:r>
      <w:r>
        <w:rPr>
          <w:rFonts w:ascii="Times New Roman" w:hAnsi="Times New Roman"/>
          <w:b/>
          <w:sz w:val="20"/>
        </w:rPr>
        <w:t>not</w:t>
      </w:r>
      <w:r>
        <w:rPr>
          <w:rFonts w:ascii="Times New Roman" w:hAnsi="Times New Roman"/>
          <w:sz w:val="20"/>
        </w:rPr>
        <w:t xml:space="preserve"> have the authority to reprice any outstanding stock option or stock appreciation right by reducing the exercise or strike price of the stock option or stock appreciation right or to cancel any outstanding stock option or stock appreciation right that has an exercise or strike price greater than the then-current fair market value of our common stock in exchange for cash or other stock awards without obtaining the approval of our stockholders. Such approval must be obtained within 12 months prior to such an event. </w:t>
      </w:r>
    </w:p>
    <w:p>
      <w:pPr>
        <w:pStyle w:val="TextBody"/>
        <w:spacing w:before="360" w:after="0"/>
        <w:jc w:val="left"/>
        <w:rPr>
          <w:rFonts w:ascii="Times New Roman" w:hAnsi="Times New Roman"/>
          <w:b/>
          <w:i/>
          <w:sz w:val="20"/>
        </w:rPr>
      </w:pPr>
      <w:r>
        <w:rPr>
          <w:rFonts w:ascii="Times New Roman" w:hAnsi="Times New Roman"/>
          <w:b/>
          <w:i/>
          <w:sz w:val="20"/>
        </w:rPr>
        <w:t xml:space="preserve">Stock Options </w:t>
      </w:r>
    </w:p>
    <w:p>
      <w:pPr>
        <w:pStyle w:val="TextBody"/>
        <w:spacing w:before="120" w:after="0"/>
        <w:jc w:val="left"/>
        <w:rPr>
          <w:rFonts w:ascii="Times New Roman" w:hAnsi="Times New Roman"/>
          <w:sz w:val="20"/>
        </w:rPr>
      </w:pPr>
      <w:r>
        <w:rPr>
          <w:rFonts w:ascii="Times New Roman" w:hAnsi="Times New Roman"/>
          <w:sz w:val="20"/>
        </w:rPr>
        <w:t>Stock options may be granted under the 2023 EIP pursuant to stock option agreements. The 2023 EIP permits the grant of stock options that are intended to qualify as ISOs and nonstatutory stock options (</w:t>
      </w:r>
      <w:r>
        <w:rPr>
          <w:rFonts w:ascii="Times New Roman" w:hAnsi="Times New Roman"/>
          <w:b/>
          <w:i/>
          <w:sz w:val="20"/>
        </w:rPr>
        <w:t>NSOs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The exercise price of a stock option granted under the 2023 EIP may not be less than 100% of the fair market value of our common stock on the date of grant and, in some cases (see </w:t>
      </w:r>
      <w:r>
        <w:rPr>
          <w:rFonts w:ascii="Times New Roman" w:hAnsi="Times New Roman"/>
          <w:i/>
          <w:sz w:val="20"/>
        </w:rPr>
        <w:t>Limitations on ISOs</w:t>
      </w:r>
      <w:r>
        <w:rPr>
          <w:rFonts w:ascii="Times New Roman" w:hAnsi="Times New Roman"/>
          <w:sz w:val="20"/>
        </w:rPr>
        <w:t xml:space="preserve"> below), may not be less than 110% of such fair market value. </w:t>
      </w:r>
    </w:p>
    <w:p>
      <w:pPr>
        <w:pStyle w:val="TextBody"/>
        <w:spacing w:before="240" w:after="0"/>
        <w:jc w:val="left"/>
        <w:rPr>
          <w:rFonts w:ascii="Times New Roman" w:hAnsi="Times New Roman"/>
          <w:sz w:val="20"/>
        </w:rPr>
      </w:pPr>
      <w:r>
        <w:rPr>
          <w:rFonts w:ascii="Times New Roman" w:hAnsi="Times New Roman"/>
          <w:sz w:val="20"/>
        </w:rPr>
        <w:t>The term of stock options granted under the 2023 EIP may not exceed 10 years and, in some cases (see </w:t>
      </w:r>
      <w:r>
        <w:rPr>
          <w:rFonts w:ascii="Times New Roman" w:hAnsi="Times New Roman"/>
          <w:i/>
          <w:sz w:val="20"/>
        </w:rPr>
        <w:t>Limitations on ISOs</w:t>
      </w:r>
      <w:r>
        <w:rPr>
          <w:rFonts w:ascii="Times New Roman" w:hAnsi="Times New Roman"/>
          <w:sz w:val="20"/>
        </w:rPr>
        <w:t xml:space="preserve"> below), may not exceed five years. </w:t>
      </w:r>
    </w:p>
    <w:p>
      <w:pPr>
        <w:pStyle w:val="TextBody"/>
        <w:spacing w:before="240" w:after="0"/>
        <w:jc w:val="left"/>
        <w:rPr>
          <w:rFonts w:ascii="Times New Roman" w:hAnsi="Times New Roman"/>
          <w:sz w:val="20"/>
        </w:rPr>
      </w:pPr>
      <w:r>
        <w:rPr>
          <w:rFonts w:ascii="Times New Roman" w:hAnsi="Times New Roman"/>
          <w:sz w:val="20"/>
        </w:rPr>
        <w:t xml:space="preserve">Except as otherwise provided in a participants stock option agreement or other written agreement with us or one of our affiliates, if a participants service relationship with us or any of our affiliates (referred to in this Proposal 2 as continuous service) terminates (other than for cause and other than upon the participants death or disability), the participant may exercise any vested stock options for up to three months following the participants termination of continuous service. </w:t>
      </w:r>
    </w:p>
    <w:p>
      <w:pPr>
        <w:pStyle w:val="TextBody"/>
        <w:spacing w:before="240" w:after="0"/>
        <w:jc w:val="left"/>
        <w:rPr>
          <w:rFonts w:ascii="Times New Roman" w:hAnsi="Times New Roman"/>
          <w:sz w:val="20"/>
        </w:rPr>
      </w:pPr>
      <w:r>
        <w:rPr>
          <w:rFonts w:ascii="Times New Roman" w:hAnsi="Times New Roman"/>
          <w:sz w:val="20"/>
        </w:rPr>
        <w:t xml:space="preserve">Except as otherwise provided in a participants stock option agreement or other written agreement with us or one of our affiliates, if a participants continuous service terminates due to the participants disability or death (or the participant dies within a specified period, if any, following termination of continuous service), the participant, or his or her beneficiary, as applicable, may exercise any vested stock options for up to 12 months following the participants termination due to the participants disability or for up to 18 months following the participants death. </w:t>
      </w:r>
    </w:p>
    <w:p>
      <w:pPr>
        <w:pStyle w:val="TextBody"/>
        <w:spacing w:before="240" w:after="0"/>
        <w:jc w:val="left"/>
        <w:rPr>
          <w:rFonts w:ascii="Times New Roman" w:hAnsi="Times New Roman"/>
          <w:sz w:val="20"/>
        </w:rPr>
      </w:pPr>
      <w:r>
        <w:rPr>
          <w:rFonts w:ascii="Times New Roman" w:hAnsi="Times New Roman"/>
          <w:sz w:val="20"/>
        </w:rPr>
        <w:t xml:space="preserve">Except as explicitly provided otherwise in a participants stock option agreement or other written agreement with us or one of our affiliates, if a participants continuous service is terminated for cause (as defined in the 2023 EIP), all stock options held by the participant will terminate upon the participants termination of continuous service and the participant will be prohibited from exercising any stock option from and after such termination date. </w:t>
      </w:r>
    </w:p>
    <w:p>
      <w:pPr>
        <w:pStyle w:val="TextBody"/>
        <w:spacing w:before="240" w:after="0"/>
        <w:jc w:val="left"/>
        <w:rPr>
          <w:rFonts w:ascii="Times New Roman" w:hAnsi="Times New Roman"/>
          <w:sz w:val="20"/>
        </w:rPr>
      </w:pPr>
      <w:r>
        <w:rPr>
          <w:rFonts w:ascii="Times New Roman" w:hAnsi="Times New Roman"/>
          <w:sz w:val="20"/>
        </w:rPr>
        <w:t xml:space="preserve">Except as otherwise provided in a participants stock option agreement or other written agreement with us or one of our affiliates, the term of a stock option may be extended if the exercise of the stock option following the participants termination of continuous service (other than for cause and other than upon the participants death or disability) would be prohibited by applicable securities laws or if the sale of any common stock received upon exercise of the stock option following the participants termination of continuous service (other than for cause) would violate our insider trading policy. In no event, however, may a stock option be exercised after its original expiration date. </w:t>
      </w:r>
    </w:p>
    <w:p>
      <w:pPr>
        <w:pStyle w:val="TextBody"/>
        <w:spacing w:before="240" w:after="0"/>
        <w:jc w:val="left"/>
        <w:rPr>
          <w:rFonts w:ascii="Times New Roman" w:hAnsi="Times New Roman"/>
          <w:sz w:val="20"/>
        </w:rPr>
      </w:pPr>
      <w:r>
        <w:rPr>
          <w:rFonts w:ascii="Times New Roman" w:hAnsi="Times New Roman"/>
          <w:sz w:val="20"/>
        </w:rPr>
        <w:t xml:space="preserve">Acceptable forms of consideration for the purchase of our common stock pursuant to the exercise of a stock option under the 2023 EIP will be determined by the Plan Administrator and may include payment: (i) by cash, check, bank draft or money order payable to us; (ii) pursuant to a program developed under Regulation T promulgated by the Federal Reserve Board; (iii) by delivery to us of shares of our common stock (either by actual delivery or attestation); (iv) by a net exercise arrangement (for NSOs only); or (v) in other legal consideration approved by the Plan Administrator.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Stock options granted under the 2023 EIP may vest and become exercisable in cumulative increments, as determined by the Plan Administrator at the rate specified in the stock option agreement. Shares covered by different stock options granted under the 2023 EIP may be subject to different vesting schedules as the Plan Administrator may determine. </w:t>
      </w:r>
    </w:p>
    <w:p>
      <w:pPr>
        <w:pStyle w:val="TextBody"/>
        <w:spacing w:before="240" w:after="0"/>
        <w:jc w:val="left"/>
        <w:rPr>
          <w:rFonts w:ascii="Times New Roman" w:hAnsi="Times New Roman"/>
          <w:sz w:val="20"/>
        </w:rPr>
      </w:pPr>
      <w:r>
        <w:rPr>
          <w:rFonts w:ascii="Times New Roman" w:hAnsi="Times New Roman"/>
          <w:sz w:val="20"/>
        </w:rPr>
        <w:t xml:space="preserve">The Plan Administrator may impose limitations on the transferability of stock options granted under the 2023 EIP in its discretion. Generally, a participant may not transfer a stock option granted under the 2023 EIP other than by will or the laws of descent and distribution or, subject to approval by the Plan Administrator, pursuant to a domestic relations order or an official marital settlement agreement. However, the Plan Administrator may permit transfer of a stock option in a manner that is not prohibited by applicable tax and securities laws. In addition, subject to approval by the Plan Administrator, a participant may designate a beneficiary who may exercise the stock option following the participants death. Notwithstanding the foregoing, no option may be transferred to any financial institution without prior stockholder approval. </w:t>
      </w:r>
    </w:p>
    <w:p>
      <w:pPr>
        <w:pStyle w:val="TextBody"/>
        <w:spacing w:before="360" w:after="0"/>
        <w:jc w:val="left"/>
        <w:rPr>
          <w:rFonts w:ascii="Times New Roman" w:hAnsi="Times New Roman"/>
          <w:b/>
          <w:i/>
          <w:sz w:val="20"/>
        </w:rPr>
      </w:pPr>
      <w:r>
        <w:rPr>
          <w:rFonts w:ascii="Times New Roman" w:hAnsi="Times New Roman"/>
          <w:b/>
          <w:i/>
          <w:sz w:val="20"/>
        </w:rPr>
        <w:t xml:space="preserve">Limitations on ISOs </w:t>
      </w:r>
    </w:p>
    <w:p>
      <w:pPr>
        <w:pStyle w:val="TextBody"/>
        <w:spacing w:before="120" w:after="0"/>
        <w:jc w:val="left"/>
        <w:rPr>
          <w:rFonts w:ascii="Times New Roman" w:hAnsi="Times New Roman"/>
          <w:sz w:val="20"/>
        </w:rPr>
      </w:pPr>
      <w:r>
        <w:rPr>
          <w:rFonts w:ascii="Times New Roman" w:hAnsi="Times New Roman"/>
          <w:sz w:val="20"/>
        </w:rPr>
        <w:t xml:space="preserve">The aggregate fair market value, determined at the time of grant, of shares of our common stock with respect to ISOs that are exercisable for the first time by a participant during any calendar year under all of our stock plans may not exceed $100,000. The stock options or portions of stock options that exceed this limit or otherwise fail to qualify as ISOs are treated as NSOs. No ISO may be granted to any person who, at the time of grant, owns or is deemed to own stock possessing more than 10% of our total combined voting power or that of any affiliate unless the exercise price of the ISO is at least 110% of the fair market value of our common stock on the date of grant, and the term of the ISO does exceed five years from the date of grant. </w:t>
      </w:r>
    </w:p>
    <w:p>
      <w:pPr>
        <w:pStyle w:val="TextBody"/>
        <w:spacing w:before="240" w:after="0"/>
        <w:jc w:val="left"/>
        <w:rPr>
          <w:rFonts w:ascii="Times New Roman" w:hAnsi="Times New Roman"/>
          <w:sz w:val="20"/>
        </w:rPr>
      </w:pPr>
      <w:r>
        <w:rPr>
          <w:rFonts w:ascii="Times New Roman" w:hAnsi="Times New Roman"/>
          <w:sz w:val="20"/>
        </w:rPr>
        <w:t xml:space="preserve">Subject to adjustment for certain changes in our capitalization, the aggregate maximum number of shares of our common stock that may be issued pursuant to the exercise of ISOs under the 2023 EIP is 10,000,000 shares, if the proposed amendments to the 2023 EIP are approved by stockholders under this Proposal 2, otherwise 5,000,000 shares under the 2019 EIP. </w:t>
      </w:r>
    </w:p>
    <w:p>
      <w:pPr>
        <w:pStyle w:val="TextBody"/>
        <w:spacing w:before="360" w:after="0"/>
        <w:jc w:val="left"/>
        <w:rPr>
          <w:rFonts w:ascii="Times New Roman" w:hAnsi="Times New Roman"/>
          <w:b/>
          <w:i/>
          <w:sz w:val="20"/>
        </w:rPr>
      </w:pPr>
      <w:r>
        <w:rPr>
          <w:rFonts w:ascii="Times New Roman" w:hAnsi="Times New Roman"/>
          <w:b/>
          <w:i/>
          <w:sz w:val="20"/>
        </w:rPr>
        <w:t xml:space="preserve">Stock Appreciation Rights </w:t>
      </w:r>
    </w:p>
    <w:p>
      <w:pPr>
        <w:pStyle w:val="TextBody"/>
        <w:spacing w:before="120" w:after="0"/>
        <w:jc w:val="left"/>
        <w:rPr>
          <w:rFonts w:ascii="Times New Roman" w:hAnsi="Times New Roman"/>
          <w:sz w:val="20"/>
        </w:rPr>
      </w:pPr>
      <w:r>
        <w:rPr>
          <w:rFonts w:ascii="Times New Roman" w:hAnsi="Times New Roman"/>
          <w:sz w:val="20"/>
        </w:rPr>
        <w:t xml:space="preserve">Stock appreciation rights may be granted under the 2023 EIP pursuant to stock appreciation right agreements. Each stock appreciation right is denominated in common stock share equivalents. The strike price of each stock appreciation right will be determined by the Plan Administrator, but will in no event be less than 100% of the fair market value of our common stock on the date of grant. The Plan Administrator may also impose restrictions or conditions upon the vesting of stock appreciation rights that it deems appropriate. The appreciation distribution payable upon exercise of a stock appreciation right may be paid in shares of our common stock, in cash, in a combination of cash and stock, or in any other form of consideration determined by the Plan Administrator and set forth in the stock appreciation right agreement. Stock appreciation rights will be subject to the same conditions upon termination of continuous service and restrictions on transfer as stock options under the 2023 EIP. </w:t>
      </w:r>
    </w:p>
    <w:p>
      <w:pPr>
        <w:pStyle w:val="TextBody"/>
        <w:spacing w:before="360" w:after="0"/>
        <w:jc w:val="left"/>
        <w:rPr>
          <w:rFonts w:ascii="Times New Roman" w:hAnsi="Times New Roman"/>
          <w:b/>
          <w:i/>
          <w:sz w:val="20"/>
        </w:rPr>
      </w:pPr>
      <w:r>
        <w:rPr>
          <w:rFonts w:ascii="Times New Roman" w:hAnsi="Times New Roman"/>
          <w:b/>
          <w:i/>
          <w:sz w:val="20"/>
        </w:rPr>
        <w:t xml:space="preserve">Restricted Stock Awards </w:t>
      </w:r>
    </w:p>
    <w:p>
      <w:pPr>
        <w:pStyle w:val="TextBody"/>
        <w:spacing w:before="120" w:after="0"/>
        <w:jc w:val="left"/>
        <w:rPr>
          <w:rFonts w:ascii="Times New Roman" w:hAnsi="Times New Roman"/>
          <w:sz w:val="20"/>
        </w:rPr>
      </w:pPr>
      <w:r>
        <w:rPr>
          <w:rFonts w:ascii="Times New Roman" w:hAnsi="Times New Roman"/>
          <w:sz w:val="20"/>
        </w:rPr>
        <w:t>Restricted stock awards may be granted under the 2023 EIP pursuant to restricted stock award agreements. A restricted stock award may be granted in consideration for cash, check, bank draft or money order payable to us, the participants services performed for us or any of our affiliates, or any other form of legal consideration acceptable to the Plan Administrator. Shares of our common stock acquired under a restricted stock award may be subject to forfeiture to or repurchase by us in accordance with a vesting schedule to be determined by the Plan Administrator. Rights to acquire shares of our common stock under a restricted stock award may be transferred only upon such terms and conditions as are set forth in the restricted stock award agreement; </w:t>
      </w:r>
      <w:r>
        <w:rPr>
          <w:rFonts w:ascii="Times New Roman" w:hAnsi="Times New Roman"/>
          <w:i/>
          <w:sz w:val="20"/>
        </w:rPr>
        <w:t>provided, however</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that no restricted stock award may be transferred to any financial institution without prior stockholder approval. Upon a participants termination of continuous service for any reason, any shares subject to restricted stock awards held by the participant that have not vested as of such termination date may be forfeited to or repurchased by us. </w:t>
      </w:r>
    </w:p>
    <w:p>
      <w:pPr>
        <w:pStyle w:val="TextBody"/>
        <w:spacing w:before="360" w:after="0"/>
        <w:jc w:val="left"/>
        <w:rPr>
          <w:rFonts w:ascii="Times New Roman" w:hAnsi="Times New Roman"/>
          <w:b/>
          <w:i/>
          <w:sz w:val="20"/>
        </w:rPr>
      </w:pPr>
      <w:r>
        <w:rPr>
          <w:rFonts w:ascii="Times New Roman" w:hAnsi="Times New Roman"/>
          <w:b/>
          <w:i/>
          <w:sz w:val="20"/>
        </w:rPr>
        <w:t xml:space="preserve">Restricted Stock Unit Awards </w:t>
      </w:r>
    </w:p>
    <w:p>
      <w:pPr>
        <w:pStyle w:val="TextBody"/>
        <w:spacing w:before="120" w:after="0"/>
        <w:jc w:val="left"/>
        <w:rPr>
          <w:rFonts w:ascii="Times New Roman" w:hAnsi="Times New Roman"/>
          <w:sz w:val="20"/>
        </w:rPr>
      </w:pPr>
      <w:r>
        <w:rPr>
          <w:rFonts w:ascii="Times New Roman" w:hAnsi="Times New Roman"/>
          <w:sz w:val="20"/>
        </w:rPr>
        <w:t xml:space="preserve">Restricted stock unit awards may be granted under the 2023 EIP pursuant to restricted stock unit award agreements. Payment of any purchase price may be made in any form of legal consideration acceptable to the Plan Administrator. A restricted stock unit award may be settled by the delivery of shares of our common stock, in cash, in a combination of cash and stock, or in any other form of consideration determined by the Plan Administrator and set forth in the restricted stock unit award agreement. Restricted stock unit awards may be subject to vesting in accordance with a vesting schedule to be determined by the Plan Administrator. Except as otherwise provided in a participants restricted stock unit award agreement or other written agreement with us or one of our affiliates, restricted stock units that have not vested will be forfeited upon the participants termination of continuous service for any reason. </w:t>
      </w:r>
    </w:p>
    <w:p>
      <w:pPr>
        <w:pStyle w:val="TextBody"/>
        <w:spacing w:before="360" w:after="0"/>
        <w:jc w:val="left"/>
        <w:rPr>
          <w:rFonts w:ascii="Times New Roman" w:hAnsi="Times New Roman"/>
          <w:b/>
          <w:i/>
          <w:sz w:val="20"/>
        </w:rPr>
      </w:pPr>
      <w:r>
        <w:rPr>
          <w:rFonts w:ascii="Times New Roman" w:hAnsi="Times New Roman"/>
          <w:b/>
          <w:i/>
          <w:sz w:val="20"/>
        </w:rPr>
        <w:t xml:space="preserve">Performance Stock Awards </w:t>
      </w:r>
    </w:p>
    <w:p>
      <w:pPr>
        <w:pStyle w:val="TextBody"/>
        <w:spacing w:before="120" w:after="0"/>
        <w:jc w:val="left"/>
        <w:rPr>
          <w:rFonts w:ascii="Times New Roman" w:hAnsi="Times New Roman"/>
          <w:sz w:val="20"/>
        </w:rPr>
      </w:pPr>
      <w:r>
        <w:rPr>
          <w:rFonts w:ascii="Times New Roman" w:hAnsi="Times New Roman"/>
          <w:sz w:val="20"/>
        </w:rPr>
        <w:t xml:space="preserve">A performance stock award is a stock award that is payable (including that may be granted, may vest, or may be exercised) contingent upon the attainment of pre-determined performance goals during a performance period. A performance stock award may require the completion of a specified period of continuous service. The length of any performance period, the performance goals to be achieved during the performance period, and the measure of whether and to what degree such performance goals have been attained will be determined by the Plan Administrator. In addition, to the extent permitted by applicable law and the performance stock award agreement, the Plan Administrator may determine that cash may be used in payment of performance stock awards. </w:t>
      </w:r>
    </w:p>
    <w:p>
      <w:pPr>
        <w:pStyle w:val="TextBody"/>
        <w:spacing w:before="360" w:after="0"/>
        <w:jc w:val="left"/>
        <w:rPr>
          <w:rFonts w:ascii="Times New Roman" w:hAnsi="Times New Roman"/>
          <w:b/>
          <w:i/>
          <w:sz w:val="20"/>
        </w:rPr>
      </w:pPr>
      <w:r>
        <w:rPr>
          <w:rFonts w:ascii="Times New Roman" w:hAnsi="Times New Roman"/>
          <w:b/>
          <w:i/>
          <w:sz w:val="20"/>
        </w:rPr>
        <w:t xml:space="preserve">Other Stock Awards </w:t>
      </w:r>
    </w:p>
    <w:p>
      <w:pPr>
        <w:pStyle w:val="TextBody"/>
        <w:spacing w:before="120" w:after="0"/>
        <w:jc w:val="left"/>
        <w:rPr>
          <w:rFonts w:ascii="Times New Roman" w:hAnsi="Times New Roman"/>
          <w:sz w:val="20"/>
        </w:rPr>
      </w:pPr>
      <w:r>
        <w:rPr>
          <w:rFonts w:ascii="Times New Roman" w:hAnsi="Times New Roman"/>
          <w:sz w:val="20"/>
        </w:rPr>
        <w:t xml:space="preserve">Other forms of stock awards valued in whole or in part by reference to, or otherwise based on, our common stock may be granted either alone or in addition to other stock awards under the 2023 EIP. Subject to the terms of the 2023 EIP, the Plan Administrator will have sole and complete authority to determine the persons to whom and the time or times at which such other stock awards will be granted, the number of shares of our common stock to be granted and all other terms and conditions of such other stock awards. </w:t>
      </w:r>
    </w:p>
    <w:p>
      <w:pPr>
        <w:pStyle w:val="TextBody"/>
        <w:spacing w:before="360" w:after="0"/>
        <w:jc w:val="left"/>
        <w:rPr>
          <w:rFonts w:ascii="Times New Roman" w:hAnsi="Times New Roman"/>
          <w:b/>
          <w:i/>
          <w:sz w:val="20"/>
        </w:rPr>
      </w:pPr>
      <w:r>
        <w:rPr>
          <w:rFonts w:ascii="Times New Roman" w:hAnsi="Times New Roman"/>
          <w:b/>
          <w:i/>
          <w:sz w:val="20"/>
        </w:rPr>
        <w:t xml:space="preserve">Clawback Policy </w:t>
      </w:r>
    </w:p>
    <w:p>
      <w:pPr>
        <w:pStyle w:val="TextBody"/>
        <w:spacing w:before="120" w:after="0"/>
        <w:jc w:val="left"/>
        <w:rPr>
          <w:rFonts w:ascii="Times New Roman" w:hAnsi="Times New Roman"/>
          <w:sz w:val="20"/>
        </w:rPr>
      </w:pPr>
      <w:r>
        <w:rPr>
          <w:rFonts w:ascii="Times New Roman" w:hAnsi="Times New Roman"/>
          <w:sz w:val="20"/>
        </w:rPr>
        <w:t xml:space="preserve">Awards granted under the 2023 EIP will be subject to recoupment in accordance with any clawback policy that our Board may adopt in the future, and with any other clawback policy that we are required to adopt pursuant to the listing standards of any national securities exchange or association on which our securities are listed or as is otherwise required by the Dodd-Frank Wall Street Reform and Consumer Protection Act or other applicable law. In addition, the Plan Administrator may impose other clawback, recovery or recoupment provisions in an award agreement, including a reacquisition right in respect of previously acquired shares or other cash or property upon the occurrence of cause. </w:t>
      </w:r>
    </w:p>
    <w:p>
      <w:pPr>
        <w:pStyle w:val="TextBody"/>
        <w:spacing w:before="360" w:after="0"/>
        <w:jc w:val="left"/>
        <w:rPr>
          <w:rFonts w:ascii="Times New Roman" w:hAnsi="Times New Roman"/>
          <w:b/>
          <w:i/>
          <w:sz w:val="20"/>
        </w:rPr>
      </w:pPr>
      <w:r>
        <w:rPr>
          <w:rFonts w:ascii="Times New Roman" w:hAnsi="Times New Roman"/>
          <w:b/>
          <w:i/>
          <w:sz w:val="20"/>
        </w:rPr>
        <w:t xml:space="preserve">Changes to Capital Structure </w:t>
      </w:r>
    </w:p>
    <w:p>
      <w:pPr>
        <w:pStyle w:val="TextBody"/>
        <w:spacing w:before="120" w:after="0"/>
        <w:jc w:val="left"/>
        <w:rPr>
          <w:rFonts w:ascii="Times New Roman" w:hAnsi="Times New Roman"/>
          <w:sz w:val="20"/>
        </w:rPr>
      </w:pPr>
      <w:r>
        <w:rPr>
          <w:rFonts w:ascii="Times New Roman" w:hAnsi="Times New Roman"/>
          <w:sz w:val="20"/>
        </w:rPr>
        <w:t xml:space="preserve">In the event of certain capitalization adjustments, the Plan Administrator will appropriately adjust: (i) the class(es) and maximum number of securities subject to the 2023 EIP; (ii) the class(es) and maximum number of securities that may be issued pursuant to the exercise of ISOs; (iii) the class(es) and number of securities and price per share of stock subject to outstanding stock awards; and (iv) the class(es) of securities by which the share reserve is to increase automatically each year.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Corporate Transaction and Change in Control </w:t>
      </w:r>
    </w:p>
    <w:p>
      <w:pPr>
        <w:pStyle w:val="TextBody"/>
        <w:spacing w:before="120" w:after="0"/>
        <w:jc w:val="left"/>
        <w:rPr>
          <w:rFonts w:ascii="Times New Roman" w:hAnsi="Times New Roman"/>
          <w:sz w:val="20"/>
        </w:rPr>
      </w:pPr>
      <w:r>
        <w:rPr>
          <w:rFonts w:ascii="Times New Roman" w:hAnsi="Times New Roman"/>
          <w:sz w:val="20"/>
        </w:rPr>
        <w:t xml:space="preserve">In the event of a corporate transaction (as defined in the 2023 EIP and described below) or a change in control (as defined in the 2023 EIP and described below), the Plan Administrator may take one or more of the following actions with respect to stock awards, contingent upon the closing or consummation of the corporate transaction, unless otherwise provided in the instrument evidencing the stock award, in any other written agreement between us or one of our affiliates and the participant or in our director compensation policy, or unless otherwise provided by the Plan Administrator at the time of grant of the stock award. For purposes of this Proposal 2, the term transaction will mean such corporate transaction or change in control: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arrange for the surviving or acquiring corporation (or its parent company) to assume or continue the stock award or to substitute a similar stock award for the stock award (including an award to acquire the same consideration paid to our stockholders pursuant to the transaction);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arrange for the assignment of any reacquisition or repurchase rights held by us in respect of our common stock issued pursuant to the stock award to the surviving or acquiring corporation (or its parent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accelerate the vesting (and, if applicable, the exercisability) of the stock award to a date prior to the effective time of the transaction as determined by the Plan Administrator (or, if the Plan Administrator does not determine such a date, to the date that is five days prior to the effective date of the transaction), with the stock award terminating if not exercised (if applicable) at or prior to the effective time of the transaction;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arrange for the lapse of any reacquisition or repurchase rights held by us with respect to the stock award;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cancel or arrange for the cancellation of the stock award, to the extent not vested or not exercised prior to the effective time of the transaction, in exchange for such cash consideration, if any, as the Plan Administrator may consider appropriate;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cancel or arrange for the cancellation of the stock award, to the extent not vested or not exercised prior to the effective time of the corporate transaction, in exchange for a payment, in such form as may be determined by the Plan Administrator equal to the excess, if any, of (i) the value of the property the participant would have received upon the exercise of the stock award immediately prior to the effective time of the transaction, over (ii) any exercise price payable in connection with such exercise, provided that payments may be delayed to the same extent that payment of consideration to the holders of our common stock is delayed as a result of escrows, earn outs, holdbacks or any other contingencies. </w:t>
            </w:r>
          </w:p>
        </w:tc>
      </w:tr>
    </w:tbl>
    <w:p>
      <w:pPr>
        <w:pStyle w:val="TextBody"/>
        <w:spacing w:before="240" w:after="0"/>
        <w:jc w:val="left"/>
        <w:rPr>
          <w:rFonts w:ascii="Times New Roman" w:hAnsi="Times New Roman"/>
          <w:sz w:val="20"/>
        </w:rPr>
      </w:pPr>
      <w:r>
        <w:rPr>
          <w:rFonts w:ascii="Times New Roman" w:hAnsi="Times New Roman"/>
          <w:sz w:val="20"/>
        </w:rPr>
        <w:t xml:space="preserve">In the event of a corporate transaction in which the surviving corporation or acquiring corporation (or its parent company) does not assume or continue outstanding stock awards or substitute similar awards for the outstanding awards, then with respect to awards that have not been assumed, continued or substituted and that are held by participants whose continuous service has not terminated prior to the effective time of the corporate transaction the vesting and (if applicable) exercisability of such awards will be accelerated in full to a date prior to the effective time of the corporate transaction (contingent upon the effectiveness of the corporate transaction) as the board of directors determines and the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Performance-based awards will accelerate at 100% of the target level upon the occurrence of the corporate transaction. </w:t>
      </w:r>
    </w:p>
    <w:p>
      <w:pPr>
        <w:pStyle w:val="TextBody"/>
        <w:spacing w:before="240" w:after="0"/>
        <w:jc w:val="left"/>
        <w:rPr>
          <w:rFonts w:ascii="Times New Roman" w:hAnsi="Times New Roman"/>
          <w:sz w:val="20"/>
        </w:rPr>
      </w:pPr>
      <w:r>
        <w:rPr>
          <w:rFonts w:ascii="Times New Roman" w:hAnsi="Times New Roman"/>
          <w:sz w:val="20"/>
        </w:rPr>
        <w:t xml:space="preserve">The Plan Administrator is not required to take the same action with respect to all stock awards or portions of stock awards or with respect to all participants. The Plan Administrator may take different actions with respect to the vested and unvested portions of a stock award.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Outstanding awards under the 2023 EIP may be subject to additional acceleration of vesting and exercisability upon or after a change in control as may be provided in the participants award agreement, in any other written agreement with us or one of our affiliates, or in our director compensation policy, but in the absence of such provision, no such acceleration will occur. </w:t>
      </w:r>
    </w:p>
    <w:p>
      <w:pPr>
        <w:pStyle w:val="TextBody"/>
        <w:spacing w:before="240" w:after="0"/>
        <w:jc w:val="left"/>
        <w:rPr>
          <w:rFonts w:ascii="Times New Roman" w:hAnsi="Times New Roman"/>
          <w:sz w:val="20"/>
        </w:rPr>
      </w:pPr>
      <w:r>
        <w:rPr>
          <w:rFonts w:ascii="Times New Roman" w:hAnsi="Times New Roman"/>
          <w:sz w:val="20"/>
        </w:rPr>
        <w:t xml:space="preserve">For purposes of the 2023 EIP, a corporate transaction generally will be deemed to occur in the event of the consummation of: (i) a sale or other disposition of all or substantially all of our consolidated assets; (ii) a sale or other disposition of at least 50% of our outstanding securities; (iii) a merger, consolidation or similar transaction following which we are not the surviving corporation; or (iv) a merger, consolidation or similar transaction following which we are the surviving corporation but the shares of our common stock outstanding immediately prior to the transaction are converted or exchanged into other property by virtue of the transaction. </w:t>
      </w:r>
    </w:p>
    <w:p>
      <w:pPr>
        <w:pStyle w:val="TextBody"/>
        <w:spacing w:before="240" w:after="0"/>
        <w:jc w:val="left"/>
        <w:rPr>
          <w:rFonts w:ascii="Times New Roman" w:hAnsi="Times New Roman"/>
          <w:sz w:val="20"/>
        </w:rPr>
      </w:pPr>
      <w:r>
        <w:rPr>
          <w:rFonts w:ascii="Times New Roman" w:hAnsi="Times New Roman"/>
          <w:sz w:val="20"/>
        </w:rPr>
        <w:t xml:space="preserve">For purposes of the 2023 EIP, a change in control generally will be deemed to occur in the event: (i) a person, entity or group acquires, directly or indirectly, our securities representing more than 50% of the combined voting power of our then outstanding securities, other than by virtue of a merger, consolidation, or similar transaction; (ii) there is consummated a merger, consolidation, or similar transaction and, immediately after the consummation of such transaction, our stockholders immediately prior thereto do not own, directly or indirectly, more than 50% of the combined outstanding voting power of the surviving entity or the parent of the surviving entity in substantially the same proportions as their ownership of our outstanding voting securities immediately prior to such transaction; (iii) there is consummated a sale or other disposition of all or substantially all of our consolidated assets, other than a sale or other disposition to an entity in which more than 50% of the entitys combined voting power is owned by our stockholders in substantially the same proportions as their ownership of our outstanding voting securities immediately prior to such sale or other disposition; (iv) our stockholders or our Board approve a plan of complete dissolution or liquidation, or a complete dissolution or liquidation will otherwise occur, except for a liquidation into a parent corporation; or (v) over a period of 12 months or less, a majority of our Board becomes comprised of individuals whose nomination, appointment, or election was not approved by a majority of the Board members or their approved successors. </w:t>
      </w:r>
    </w:p>
    <w:p>
      <w:pPr>
        <w:pStyle w:val="TextBody"/>
        <w:spacing w:before="360" w:after="0"/>
        <w:jc w:val="left"/>
        <w:rPr>
          <w:rFonts w:ascii="Times New Roman" w:hAnsi="Times New Roman"/>
          <w:b/>
          <w:i/>
          <w:sz w:val="20"/>
        </w:rPr>
      </w:pPr>
      <w:r>
        <w:rPr>
          <w:rFonts w:ascii="Times New Roman" w:hAnsi="Times New Roman"/>
          <w:b/>
          <w:i/>
          <w:sz w:val="20"/>
        </w:rPr>
        <w:t xml:space="preserve">Plan Amendments and Termination </w:t>
      </w:r>
    </w:p>
    <w:p>
      <w:pPr>
        <w:pStyle w:val="TextBody"/>
        <w:spacing w:before="120" w:after="0"/>
        <w:jc w:val="left"/>
        <w:rPr>
          <w:rFonts w:ascii="Times New Roman" w:hAnsi="Times New Roman"/>
          <w:sz w:val="20"/>
        </w:rPr>
      </w:pPr>
      <w:r>
        <w:rPr>
          <w:rFonts w:ascii="Times New Roman" w:hAnsi="Times New Roman"/>
          <w:sz w:val="20"/>
        </w:rPr>
        <w:t xml:space="preserve">The Board (or a committee of one or more directors delegated by the Board) will have the authority to amend or terminate the 2023 EIP at any time. However, except as otherwise provided in the 2023 EIP or an award agreement, no amendment or termination of the 2023 EIP may materially impair a participants rights under his or her outstanding awards without the participants consent. We will obtain stockholder approval of any amendment to the 2023 EIP as required by applicable law and listing requirements. No ISOs may be granted under the 2023 EIP after the tenth anniversary of the Amendment Date. </w:t>
      </w:r>
    </w:p>
    <w:p>
      <w:pPr>
        <w:pStyle w:val="TextBody"/>
        <w:spacing w:before="360" w:after="0"/>
        <w:jc w:val="left"/>
        <w:rPr>
          <w:rFonts w:ascii="Times New Roman" w:hAnsi="Times New Roman"/>
          <w:b/>
          <w:sz w:val="20"/>
        </w:rPr>
      </w:pPr>
      <w:r>
        <w:rPr>
          <w:rFonts w:ascii="Times New Roman" w:hAnsi="Times New Roman"/>
          <w:b/>
          <w:sz w:val="20"/>
        </w:rPr>
        <w:t xml:space="preserve">U.S. Federal Income Tax Consequences </w:t>
      </w:r>
    </w:p>
    <w:p>
      <w:pPr>
        <w:pStyle w:val="TextBody"/>
        <w:spacing w:before="120" w:after="0"/>
        <w:jc w:val="left"/>
        <w:rPr>
          <w:rFonts w:ascii="Times New Roman" w:hAnsi="Times New Roman"/>
          <w:sz w:val="20"/>
        </w:rPr>
      </w:pPr>
      <w:r>
        <w:rPr>
          <w:rFonts w:ascii="Times New Roman" w:hAnsi="Times New Roman"/>
          <w:sz w:val="20"/>
        </w:rPr>
        <w:t>The following is a summary of the principal United States federal income tax consequences to participants and us with respect to participation in the 2023 EIP. This summary is not intended to be exhaustive and does not discuss the income tax laws of any local, state or foreign jurisdiction in which a participant may reside. The information is based upon current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an award or the disposition of stock acquired the 2023 EIP. The 2023 EIP is not qualified under the provisions of Section 401(a) of the Internal Revenue Code of 1986, as amended (the </w:t>
      </w:r>
      <w:r>
        <w:rPr>
          <w:rFonts w:ascii="Times New Roman" w:hAnsi="Times New Roman"/>
          <w:b/>
          <w:i/>
          <w:sz w:val="20"/>
        </w:rPr>
        <w:t>Code</w:t>
      </w:r>
      <w:r>
        <w:rPr>
          <w:rFonts w:ascii="Times New Roman" w:hAnsi="Times New Roman"/>
          <w:sz w:val="20"/>
        </w:rPr>
        <w:t xml:space="preserve">), and is not subject to any of the provisions of the Employee Retirement Income Security Act of 1974. Our ability to realize the benefit of any tax deductions described below depends on our generation of taxable income as well as the requirement of reasonableness, the provisions of Section 162(m) of the Code and the satisfaction of our tax reporting obligations.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NSOs </w:t>
      </w:r>
    </w:p>
    <w:p>
      <w:pPr>
        <w:pStyle w:val="TextBody"/>
        <w:spacing w:before="120" w:after="0"/>
        <w:jc w:val="left"/>
        <w:rPr>
          <w:rFonts w:ascii="Times New Roman" w:hAnsi="Times New Roman"/>
          <w:sz w:val="20"/>
        </w:rPr>
      </w:pPr>
      <w:r>
        <w:rPr>
          <w:rFonts w:ascii="Times New Roman" w:hAnsi="Times New Roman"/>
          <w:sz w:val="20"/>
        </w:rPr>
        <w:t xml:space="preserve">Generally, there is no taxation upon the grant of an NSO if the stock option is granted with an exercise price equal to the fair market value of the underlying stock on the grant date. Upon exercise, a participant will recognize ordinary income equal to the excess, if any, of the fair market value of the underlying stock on the date of exercise of the stock option over the exercise price. If the participant is employed by us or one of our affiliates, that income will be subject to withholding taxes. The participants tax basis in those shares will be equal to their fair market value on the date of exercise of the stock option, and the participants capital gain holding period for those shares will begin on that date. </w:t>
      </w:r>
    </w:p>
    <w:p>
      <w:pPr>
        <w:pStyle w:val="TextBody"/>
        <w:spacing w:before="240" w:after="0"/>
        <w:jc w:val="left"/>
        <w:rPr>
          <w:rFonts w:ascii="Times New Roman" w:hAnsi="Times New Roman"/>
          <w:sz w:val="20"/>
        </w:rPr>
      </w:pPr>
      <w:r>
        <w:rPr>
          <w:rFonts w:ascii="Times New Roman" w:hAnsi="Times New Roman"/>
          <w:sz w:val="20"/>
        </w:rPr>
        <w:t xml:space="preserve">Subject to the requirement of reasonableness, the provisions of Section 162(m) of the Code and the satisfaction of our tax reporting obligation, we will generally be entitled to a tax deduction equal to the taxable ordinary income realized by the participant. </w:t>
      </w:r>
    </w:p>
    <w:p>
      <w:pPr>
        <w:pStyle w:val="TextBody"/>
        <w:spacing w:before="360" w:after="0"/>
        <w:jc w:val="left"/>
        <w:rPr>
          <w:rFonts w:ascii="Times New Roman" w:hAnsi="Times New Roman"/>
          <w:b/>
          <w:i/>
          <w:sz w:val="20"/>
        </w:rPr>
      </w:pPr>
      <w:r>
        <w:rPr>
          <w:rFonts w:ascii="Times New Roman" w:hAnsi="Times New Roman"/>
          <w:b/>
          <w:i/>
          <w:sz w:val="20"/>
        </w:rPr>
        <w:t xml:space="preserve">ISOs </w:t>
      </w:r>
    </w:p>
    <w:p>
      <w:pPr>
        <w:pStyle w:val="TextBody"/>
        <w:spacing w:before="120" w:after="0"/>
        <w:jc w:val="left"/>
        <w:rPr>
          <w:rFonts w:ascii="Times New Roman" w:hAnsi="Times New Roman"/>
          <w:sz w:val="20"/>
        </w:rPr>
      </w:pPr>
      <w:r>
        <w:rPr>
          <w:rFonts w:ascii="Times New Roman" w:hAnsi="Times New Roman"/>
          <w:sz w:val="20"/>
        </w:rPr>
        <w:t xml:space="preserve">The 2023 EIP provides for the grant of stock options that are intended to qualify as incentive stock options, as defined in Section 422 of the Code. Under the Code, a participant generally is not subject to ordinary income tax upon the grant or exercise of an ISO. If the participant holds a share received upon exercise of an ISO for more than two years from the date the stock option was granted and more than one year from the date the stock option was exercised, which is referred to as the required holding period, the difference, if any, between the amount realized on a sale or other taxable disposition of that share and the participants tax basis in that share will be long-term capital gain or loss. </w:t>
      </w:r>
    </w:p>
    <w:p>
      <w:pPr>
        <w:pStyle w:val="TextBody"/>
        <w:spacing w:before="240" w:after="0"/>
        <w:jc w:val="left"/>
        <w:rPr>
          <w:rFonts w:ascii="Times New Roman" w:hAnsi="Times New Roman"/>
          <w:sz w:val="20"/>
        </w:rPr>
      </w:pPr>
      <w:r>
        <w:rPr>
          <w:rFonts w:ascii="Times New Roman" w:hAnsi="Times New Roman"/>
          <w:sz w:val="20"/>
        </w:rPr>
        <w:t xml:space="preserve">If, however, a participant disposes of a share acquired upon exercise of an ISO before the end of the required holding period, which is referred to as a disqualifying disposition, the participant generally will recognize ordinary income in the year of the disqualifying disposition equal to the excess, if any, of the fair market value of the share on the date of exercise of the stock option over the exercise price. However, if the sales proceeds are less than the fair market value of the share on the date of exercise of the stock option, the amount of ordinary income recognized by the participant will not exceed the gain, if any, realized on the sale. If the amount realized on a disqualifying disposition exceeds the fair market value of the share on the date of exercise of the stock option, that excess will be short-term or long-term capital gain, depending on whether the holding period for the share exceeds one year. </w:t>
      </w:r>
    </w:p>
    <w:p>
      <w:pPr>
        <w:pStyle w:val="TextBody"/>
        <w:spacing w:before="240" w:after="0"/>
        <w:jc w:val="left"/>
        <w:rPr>
          <w:rFonts w:ascii="Times New Roman" w:hAnsi="Times New Roman"/>
          <w:sz w:val="20"/>
        </w:rPr>
      </w:pPr>
      <w:r>
        <w:rPr>
          <w:rFonts w:ascii="Times New Roman" w:hAnsi="Times New Roman"/>
          <w:sz w:val="20"/>
        </w:rPr>
        <w:t xml:space="preserve">For purposes of the alternative minimum tax, the amount by which the fair market value of a share of stock acquired upon exercise of an ISO exceeds the exercise price of the stock option generally will be an adjustment included in the participants alternative minimum taxable income for the year in which the stock option is exercised. If, however, there is a disqualifying disposition of the share in the year in which the stock option is exercised, there will be no adjustment for alternative minimum tax purposes with respect to that share. In computing alternative minimum taxable income, the tax basis of a share acquired upon exercise of an ISO is increased by the amount of the adjustment taken into account with respect to that share for alternative minimum tax purposes in the year the stock option is exercised. </w:t>
      </w:r>
    </w:p>
    <w:p>
      <w:pPr>
        <w:pStyle w:val="TextBody"/>
        <w:spacing w:before="240" w:after="0"/>
        <w:jc w:val="left"/>
        <w:rPr>
          <w:rFonts w:ascii="Times New Roman" w:hAnsi="Times New Roman"/>
          <w:sz w:val="20"/>
        </w:rPr>
      </w:pPr>
      <w:r>
        <w:rPr>
          <w:rFonts w:ascii="Times New Roman" w:hAnsi="Times New Roman"/>
          <w:sz w:val="20"/>
        </w:rPr>
        <w:t xml:space="preserve">We are not allowed a tax deduction with respect to the grant or exercise of an ISO or the disposition of a share acquired upon exercise of an ISO after the required holding period. If there is a disqualifying disposition of a share, however, we will generally be entitled to a tax deduction equal to the taxable ordinary income realized by the participant, subject to the requirement of reasonableness and the provisions of Section 162(m) of the Code, and provided that either the employee includes that amount in income or we timely satisfy our reporting requirements with respect to that amount.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Restricted Stock Awards </w:t>
      </w:r>
    </w:p>
    <w:p>
      <w:pPr>
        <w:pStyle w:val="TextBody"/>
        <w:spacing w:before="120" w:after="0"/>
        <w:jc w:val="left"/>
        <w:rPr>
          <w:rFonts w:ascii="Times New Roman" w:hAnsi="Times New Roman"/>
          <w:sz w:val="20"/>
        </w:rPr>
      </w:pPr>
      <w:r>
        <w:rPr>
          <w:rFonts w:ascii="Times New Roman" w:hAnsi="Times New Roman"/>
          <w:sz w:val="20"/>
        </w:rPr>
        <w:t xml:space="preserve">Generally, the recipient of a restricted stock award will recognize ordinary income at the time the stock is received equal to the excess, if any, of the fair market value of the stock received over any amount paid by the recipient in exchange for the stock. If, however, the stock is not vested when it is received (for example, if the employee is required to work for a period of time in order to have the right to sell the stock), the recipient generally will not recognize income until the stock becomes vested, at which time the recipient will recognize ordinary income equal to the excess, if any, of the fair market value of the stock on the date it becomes vested over any amount paid by the recipient in exchange for the stock. A recipient may, however, file an election with the Internal Revenue Service, within 30 days following his or her receipt of the stock award, to recognize ordinary income, as of the date the recipient receives the award, equal to the excess, if any, of the fair market value of the stock on the date the award is granted over any amount paid by the recipient for the stock. </w:t>
      </w:r>
    </w:p>
    <w:p>
      <w:pPr>
        <w:pStyle w:val="TextBody"/>
        <w:spacing w:before="240" w:after="0"/>
        <w:jc w:val="left"/>
        <w:rPr>
          <w:rFonts w:ascii="Times New Roman" w:hAnsi="Times New Roman"/>
          <w:sz w:val="20"/>
        </w:rPr>
      </w:pPr>
      <w:r>
        <w:rPr>
          <w:rFonts w:ascii="Times New Roman" w:hAnsi="Times New Roman"/>
          <w:sz w:val="20"/>
        </w:rPr>
        <w:t xml:space="preserve">The recipients basis for the determination of gain or loss upon the subsequent disposition of shares acquired from a restricted stock award will be the amount paid for such shares plus any ordinary income recognized either when the stock is received or when the stock becomes vested. </w:t>
      </w:r>
    </w:p>
    <w:p>
      <w:pPr>
        <w:pStyle w:val="TextBody"/>
        <w:spacing w:before="240" w:after="0"/>
        <w:jc w:val="left"/>
        <w:rPr>
          <w:rFonts w:ascii="Times New Roman" w:hAnsi="Times New Roman"/>
          <w:sz w:val="20"/>
        </w:rPr>
      </w:pPr>
      <w:r>
        <w:rPr>
          <w:rFonts w:ascii="Times New Roman" w:hAnsi="Times New Roman"/>
          <w:sz w:val="20"/>
        </w:rPr>
        <w:t xml:space="preserve">We will generally be entitled to a tax deduction equal to the taxable ordinary income realized by the recipient of the restricted stock award. </w:t>
      </w:r>
    </w:p>
    <w:p>
      <w:pPr>
        <w:pStyle w:val="TextBody"/>
        <w:spacing w:before="360" w:after="0"/>
        <w:jc w:val="left"/>
        <w:rPr>
          <w:rFonts w:ascii="Times New Roman" w:hAnsi="Times New Roman"/>
          <w:b/>
          <w:i/>
          <w:sz w:val="20"/>
        </w:rPr>
      </w:pPr>
      <w:r>
        <w:rPr>
          <w:rFonts w:ascii="Times New Roman" w:hAnsi="Times New Roman"/>
          <w:b/>
          <w:i/>
          <w:sz w:val="20"/>
        </w:rPr>
        <w:t xml:space="preserve">Restricted Stock Unit Awards </w:t>
      </w:r>
    </w:p>
    <w:p>
      <w:pPr>
        <w:pStyle w:val="TextBody"/>
        <w:spacing w:before="120" w:after="0"/>
        <w:jc w:val="left"/>
        <w:rPr>
          <w:rFonts w:ascii="Times New Roman" w:hAnsi="Times New Roman"/>
          <w:sz w:val="20"/>
        </w:rPr>
      </w:pPr>
      <w:r>
        <w:rPr>
          <w:rFonts w:ascii="Times New Roman" w:hAnsi="Times New Roman"/>
          <w:sz w:val="20"/>
        </w:rPr>
        <w:t xml:space="preserve">Generally, the recipient of a restricted stock unit award structured to comply with the requirements of Section 409A of the Code or an exemption to Section 409A of the Code will recognize ordinary income at the time the stock is delivered equal to the excess, if any, of the fair market value of the stock received over any amount paid by the recipient in exchange for the stock. To comply with the requirements of Section 409A of the Code, the stock subject to a restricted stock unit award may generally only be delivered upon one of the following events: a fixed calendar date (or dates), separation from service, death, disability or a change in control. If delivery occurs on another date, unless the restricted stock unit award otherwise complies with or qualifies for an exemption to the requirements of Section 409A of the Code, in addition to the tax treatment described above, the recipient will owe an additional 20% federal tax and interest on any taxes owed. </w:t>
      </w:r>
    </w:p>
    <w:p>
      <w:pPr>
        <w:pStyle w:val="TextBody"/>
        <w:spacing w:before="240" w:after="0"/>
        <w:jc w:val="left"/>
        <w:rPr>
          <w:rFonts w:ascii="Times New Roman" w:hAnsi="Times New Roman"/>
          <w:sz w:val="20"/>
        </w:rPr>
      </w:pPr>
      <w:r>
        <w:rPr>
          <w:rFonts w:ascii="Times New Roman" w:hAnsi="Times New Roman"/>
          <w:sz w:val="20"/>
        </w:rPr>
        <w:t xml:space="preserve">The recipients basis for the determination of gain or loss upon the subsequent disposition of shares acquired from a restricted stock unit award will be the amount paid for such shares plus any ordinary income recognized when the stock is delivered. </w:t>
      </w:r>
    </w:p>
    <w:p>
      <w:pPr>
        <w:pStyle w:val="TextBody"/>
        <w:spacing w:before="240" w:after="0"/>
        <w:jc w:val="left"/>
        <w:rPr>
          <w:rFonts w:ascii="Times New Roman" w:hAnsi="Times New Roman"/>
          <w:sz w:val="20"/>
        </w:rPr>
      </w:pPr>
      <w:r>
        <w:rPr>
          <w:rFonts w:ascii="Times New Roman" w:hAnsi="Times New Roman"/>
          <w:sz w:val="20"/>
        </w:rPr>
        <w:t xml:space="preserve">Subject to the requirement of reasonableness, the provisions of Section 162(m) of the Code and the satisfaction of our tax reporting obligation, we will generally be entitled to a tax deduction equal to the taxable ordinary income realized by the recipient of the restricted stock unit award. </w:t>
      </w:r>
    </w:p>
    <w:p>
      <w:pPr>
        <w:pStyle w:val="TextBody"/>
        <w:spacing w:before="360" w:after="0"/>
        <w:jc w:val="left"/>
        <w:rPr>
          <w:rFonts w:ascii="Times New Roman" w:hAnsi="Times New Roman"/>
          <w:b/>
          <w:i/>
          <w:sz w:val="20"/>
        </w:rPr>
      </w:pPr>
      <w:r>
        <w:rPr>
          <w:rFonts w:ascii="Times New Roman" w:hAnsi="Times New Roman"/>
          <w:b/>
          <w:i/>
          <w:sz w:val="20"/>
        </w:rPr>
        <w:t xml:space="preserve">Stock Appreciation Rights </w:t>
      </w:r>
    </w:p>
    <w:p>
      <w:pPr>
        <w:pStyle w:val="TextBody"/>
        <w:spacing w:before="120" w:after="0"/>
        <w:jc w:val="left"/>
        <w:rPr>
          <w:rFonts w:ascii="Times New Roman" w:hAnsi="Times New Roman"/>
          <w:sz w:val="20"/>
        </w:rPr>
      </w:pPr>
      <w:r>
        <w:rPr>
          <w:rFonts w:ascii="Times New Roman" w:hAnsi="Times New Roman"/>
          <w:sz w:val="20"/>
        </w:rPr>
        <w:t xml:space="preserve">Generally, if a stock appreciation right is granted with an exercise price equal to the fair market value of the underlying stock on the grant date, the recipient will recognize ordinary income equal to the fair market value of the stock or cash received upon such exercise. Subject to the requirement of reasonableness, the provisions of Section 162(m) of the Code, and the satisfaction of our tax reporting obligation, we will generally be entitled to a tax deduction equal to the taxable ordinary income realized by the recipient of the stock appreciation right. </w:t>
      </w:r>
    </w:p>
    <w:p>
      <w:pPr>
        <w:pStyle w:val="TextBody"/>
        <w:spacing w:before="360" w:after="0"/>
        <w:jc w:val="left"/>
        <w:rPr>
          <w:rFonts w:ascii="Times New Roman" w:hAnsi="Times New Roman"/>
          <w:b/>
          <w:i/>
          <w:sz w:val="20"/>
        </w:rPr>
      </w:pPr>
      <w:r>
        <w:rPr>
          <w:rFonts w:ascii="Times New Roman" w:hAnsi="Times New Roman"/>
          <w:b/>
          <w:i/>
          <w:sz w:val="20"/>
        </w:rPr>
        <w:t xml:space="preserve">Section 162(m) Limitations </w:t>
      </w:r>
    </w:p>
    <w:p>
      <w:pPr>
        <w:pStyle w:val="TextBody"/>
        <w:spacing w:before="120" w:after="0"/>
        <w:jc w:val="left"/>
        <w:rPr>
          <w:rFonts w:ascii="Times New Roman" w:hAnsi="Times New Roman"/>
          <w:sz w:val="20"/>
        </w:rPr>
      </w:pPr>
      <w:r>
        <w:rPr>
          <w:rFonts w:ascii="Times New Roman" w:hAnsi="Times New Roman"/>
          <w:sz w:val="20"/>
        </w:rPr>
        <w:t xml:space="preserve">Section 162(m) of the Code disallows a deduction to any publicly held corporation and its affiliates for certain compensation paid to covered employees in a taxable year to the extent that compensation paid to a covered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employee exceeds $1 million. As a result, compensation (including compensation pursuant to awards granted under the 2023 EIP) paid to any of our covered employees under Section 162(m) of the Code in excess of $1 million per taxable year generally will not be deductible. </w:t>
      </w:r>
    </w:p>
    <w:p>
      <w:pPr>
        <w:pStyle w:val="TextBody"/>
        <w:spacing w:before="360" w:after="0"/>
        <w:jc w:val="left"/>
        <w:rPr>
          <w:rFonts w:ascii="Times New Roman" w:hAnsi="Times New Roman"/>
          <w:b/>
          <w:sz w:val="20"/>
        </w:rPr>
      </w:pPr>
      <w:r>
        <w:rPr>
          <w:rFonts w:ascii="Times New Roman" w:hAnsi="Times New Roman"/>
          <w:b/>
          <w:sz w:val="20"/>
        </w:rPr>
        <w:t xml:space="preserve">Approval of French Sub-Plans </w:t>
      </w:r>
    </w:p>
    <w:p>
      <w:pPr>
        <w:pStyle w:val="TextBody"/>
        <w:spacing w:before="120" w:after="0"/>
        <w:jc w:val="left"/>
        <w:rPr>
          <w:rFonts w:ascii="Times New Roman" w:hAnsi="Times New Roman"/>
          <w:sz w:val="20"/>
        </w:rPr>
      </w:pPr>
      <w:r>
        <w:rPr>
          <w:rFonts w:ascii="Times New Roman" w:hAnsi="Times New Roman"/>
          <w:sz w:val="20"/>
        </w:rPr>
        <w:t xml:space="preserve">The 2023 EIP provides that the Board has the authority, in its sole discretion, to adopt any local country plans as sub-plans to the 2023 EIP as may be deemed necessary or advisable to comply with local laws or regulations, and to design any award to satisfy specific requirements of obtaining a tax benefit. The French Sub-Plans do not increase the number of shares otherwise available for issuance under the 2023 EIP or modify the group of eligible participants under the 2023 EIP. </w:t>
      </w:r>
    </w:p>
    <w:p>
      <w:pPr>
        <w:pStyle w:val="TextBody"/>
        <w:spacing w:before="240" w:after="0"/>
        <w:jc w:val="left"/>
        <w:rPr>
          <w:rFonts w:ascii="Times New Roman" w:hAnsi="Times New Roman"/>
          <w:sz w:val="20"/>
        </w:rPr>
      </w:pPr>
      <w:r>
        <w:rPr>
          <w:rFonts w:ascii="Times New Roman" w:hAnsi="Times New Roman"/>
          <w:sz w:val="20"/>
        </w:rPr>
        <w:t xml:space="preserve">For France, there is a specific income tax and social tax regime of French tax-qualified restricted stock units and French tax-qualified options. Foreign companies, including U.S. companies, have the possibility to grant French-qualified restricted stock units and French-qualified options, which may provide for more favorable income tax and social tax treatment for both French employers and their employees than the current non-qualified restricted stock unit awards granted under the Prior Plans. </w:t>
      </w:r>
    </w:p>
    <w:p>
      <w:pPr>
        <w:pStyle w:val="TextBody"/>
        <w:spacing w:before="240" w:after="0"/>
        <w:jc w:val="left"/>
        <w:rPr>
          <w:rFonts w:ascii="Times New Roman" w:hAnsi="Times New Roman"/>
          <w:sz w:val="20"/>
        </w:rPr>
      </w:pPr>
      <w:r>
        <w:rPr>
          <w:rFonts w:ascii="Times New Roman" w:hAnsi="Times New Roman"/>
          <w:sz w:val="20"/>
        </w:rPr>
        <w:t xml:space="preserve">In this context, the French Sub-Plans, attached to the 2023 EIP as Appendix I and Appendix II, are designed to permit the grant of French-qualified restricted stock units and French-qualified options. In addition to the approval of the Board or the Compensation Committee, French law requires that the French Sub-Plans must be authorized by stockholders at a meeting in order to realize potential tax benefits to employers and employees in France. Stockholder approval of the 2023 EIP, including the French Sub-Plans, is being requested, in part, in order to enable the Board or the Compensation Committee to grant French-qualified restricted stock units and French-qualified options under French law. The Board or Compensation Committee will not, however, be obligated to grant French-qualified restricted stock units or French-qualified options and may choose, at its discretion, to grant restricted stock units or options that are not considered French-qualified. </w:t>
      </w:r>
    </w:p>
    <w:p>
      <w:pPr>
        <w:pStyle w:val="TextBody"/>
        <w:spacing w:before="360" w:after="0"/>
        <w:jc w:val="left"/>
        <w:rPr>
          <w:rFonts w:ascii="Times New Roman" w:hAnsi="Times New Roman"/>
          <w:b/>
          <w:sz w:val="20"/>
        </w:rPr>
      </w:pPr>
      <w:r>
        <w:rPr>
          <w:rFonts w:ascii="Times New Roman" w:hAnsi="Times New Roman"/>
          <w:b/>
          <w:sz w:val="20"/>
        </w:rPr>
        <w:t xml:space="preserve">Plan Benefits Under 2019 EIP </w:t>
      </w:r>
    </w:p>
    <w:p>
      <w:pPr>
        <w:pStyle w:val="TextBody"/>
        <w:spacing w:before="120" w:after="0"/>
        <w:jc w:val="left"/>
        <w:rPr>
          <w:rFonts w:ascii="Times New Roman" w:hAnsi="Times New Roman"/>
          <w:sz w:val="20"/>
        </w:rPr>
      </w:pPr>
      <w:r>
        <w:rPr>
          <w:rFonts w:ascii="Times New Roman" w:hAnsi="Times New Roman"/>
          <w:sz w:val="20"/>
        </w:rPr>
        <w:t xml:space="preserve">The following table sets forth, for each of the individuals and various groups indicated, the total number of options to acquire our common stock that have been granted under the 2019 EIP as of April 28, 2023.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235"/>
        <w:gridCol w:w="425"/>
        <w:gridCol w:w="100"/>
        <w:gridCol w:w="1411"/>
        <w:gridCol w:w="60"/>
        <w:gridCol w:w="425"/>
        <w:gridCol w:w="241"/>
        <w:gridCol w:w="795"/>
        <w:gridCol w:w="63"/>
      </w:tblGrid>
      <w:tr>
        <w:trPr/>
        <w:tc>
          <w:tcPr>
            <w:tcW w:w="423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4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7692" w:type="dxa"/>
            <w:gridSpan w:val="8"/>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2019 EIP(1)</w:t>
            </w:r>
          </w:p>
        </w:tc>
        <w:tc>
          <w:tcPr>
            <w:tcW w:w="63" w:type="dxa"/>
            <w:tcBorders/>
            <w:shd w:fill="auto" w:val="clear"/>
            <w:vAlign w:val="bottom"/>
          </w:tcPr>
          <w:p>
            <w:pPr>
              <w:pStyle w:val="TableContents"/>
              <w:spacing w:before="0" w:after="283"/>
              <w:rPr/>
            </w:pPr>
            <w:r>
              <w:rPr/>
              <w:t> </w:t>
            </w:r>
          </w:p>
        </w:tc>
      </w:tr>
      <w:tr>
        <w:trPr/>
        <w:tc>
          <w:tcPr>
            <w:tcW w:w="4235" w:type="dxa"/>
            <w:tcBorders/>
            <w:shd w:fill="auto" w:val="clear"/>
            <w:vAlign w:val="bottom"/>
          </w:tcPr>
          <w:p>
            <w:pPr>
              <w:pStyle w:val="TableContents"/>
              <w:spacing w:before="0" w:after="283"/>
              <w:jc w:val="center"/>
              <w:rPr>
                <w:b/>
              </w:rPr>
            </w:pPr>
            <w:r>
              <w:rPr>
                <w:b/>
              </w:rPr>
              <w:t>Name and position</w:t>
            </w:r>
          </w:p>
        </w:tc>
        <w:tc>
          <w:tcPr>
            <w:tcW w:w="425" w:type="dxa"/>
            <w:tcBorders/>
            <w:shd w:fill="auto" w:val="clear"/>
            <w:vAlign w:val="bottom"/>
          </w:tcPr>
          <w:p>
            <w:pPr>
              <w:pStyle w:val="TableContents"/>
              <w:spacing w:before="0" w:after="283"/>
              <w:rPr/>
            </w:pPr>
            <w:r>
              <w:rPr/>
              <w:t>  </w:t>
            </w:r>
          </w:p>
        </w:tc>
        <w:tc>
          <w:tcPr>
            <w:tcW w:w="151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Stock Options</w:t>
              <w:br/>
              <w:t>Granted</w:t>
            </w:r>
          </w:p>
        </w:tc>
        <w:tc>
          <w:tcPr>
            <w:tcW w:w="60"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03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Weighted</w:t>
              <w:br/>
              <w:t>Average</w:t>
              <w:br/>
              <w:t>Exercise</w:t>
              <w:br/>
              <w:t>Price</w:t>
            </w:r>
          </w:p>
        </w:tc>
        <w:tc>
          <w:tcPr>
            <w:tcW w:w="63" w:type="dxa"/>
            <w:tcBorders/>
            <w:shd w:fill="auto" w:val="clear"/>
            <w:vAlign w:val="bottom"/>
          </w:tcPr>
          <w:p>
            <w:pPr>
              <w:pStyle w:val="TableContents"/>
              <w:spacing w:before="0" w:after="283"/>
              <w:rPr/>
            </w:pPr>
            <w:r>
              <w:rPr/>
              <w:t> </w:t>
            </w:r>
          </w:p>
        </w:tc>
      </w:tr>
      <w:tr>
        <w:trPr/>
        <w:tc>
          <w:tcPr>
            <w:tcW w:w="4235" w:type="dxa"/>
            <w:tcBorders/>
            <w:shd w:fill="CCEEFF" w:val="clear"/>
          </w:tcPr>
          <w:p>
            <w:pPr>
              <w:pStyle w:val="TableContents"/>
              <w:spacing w:before="0" w:after="0"/>
              <w:rPr>
                <w:rFonts w:ascii="Times New Roman" w:hAnsi="Times New Roman"/>
                <w:sz w:val="20"/>
              </w:rPr>
            </w:pPr>
            <w:r>
              <w:rPr>
                <w:rFonts w:ascii="Times New Roman" w:hAnsi="Times New Roman"/>
                <w:sz w:val="20"/>
              </w:rPr>
              <w:t>Stephen Brady, </w:t>
            </w:r>
            <w:r>
              <w:rPr>
                <w:rFonts w:ascii="Times New Roman" w:hAnsi="Times New Roman"/>
                <w:i/>
                <w:sz w:val="20"/>
              </w:rPr>
              <w:t>Chief Executive Officer</w:t>
            </w:r>
          </w:p>
        </w:tc>
        <w:tc>
          <w:tcPr>
            <w:tcW w:w="425" w:type="dxa"/>
            <w:tcBorders/>
            <w:shd w:fill="CCEEFF" w:val="clear"/>
            <w:vAlign w:val="bottom"/>
          </w:tcPr>
          <w:p>
            <w:pPr>
              <w:pStyle w:val="TableContents"/>
              <w:spacing w:before="0" w:after="283"/>
              <w:rPr/>
            </w:pPr>
            <w:r>
              <w:rPr/>
              <w:t>  </w:t>
            </w:r>
          </w:p>
        </w:tc>
        <w:tc>
          <w:tcPr>
            <w:tcW w:w="100" w:type="dxa"/>
            <w:tcBorders/>
            <w:shd w:fill="CCEEFF" w:val="clear"/>
          </w:tcPr>
          <w:p>
            <w:pPr>
              <w:pStyle w:val="TableContents"/>
              <w:spacing w:before="0" w:after="283"/>
              <w:rPr/>
            </w:pPr>
            <w:r>
              <w:rPr/>
              <w:t> </w:t>
            </w:r>
          </w:p>
        </w:tc>
        <w:tc>
          <w:tcPr>
            <w:tcW w:w="1411" w:type="dxa"/>
            <w:tcBorders/>
            <w:shd w:fill="CCEEFF" w:val="clear"/>
          </w:tcPr>
          <w:p>
            <w:pPr>
              <w:pStyle w:val="TableContents"/>
              <w:spacing w:before="0" w:after="283"/>
              <w:jc w:val="right"/>
              <w:rPr/>
            </w:pPr>
            <w:r>
              <w:rPr/>
              <w:t>445,333</w:t>
            </w:r>
          </w:p>
        </w:tc>
        <w:tc>
          <w:tcPr>
            <w:tcW w:w="60" w:type="dxa"/>
            <w:tcBorders/>
            <w:shd w:fill="CCEEFF" w:val="clear"/>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241" w:type="dxa"/>
            <w:tcBorders/>
            <w:shd w:fill="CCEEFF" w:val="clear"/>
          </w:tcPr>
          <w:p>
            <w:pPr>
              <w:pStyle w:val="TableContents"/>
              <w:spacing w:before="0" w:after="283"/>
              <w:rPr/>
            </w:pPr>
            <w:r>
              <w:rPr/>
              <w:t>$</w:t>
            </w:r>
          </w:p>
        </w:tc>
        <w:tc>
          <w:tcPr>
            <w:tcW w:w="795" w:type="dxa"/>
            <w:tcBorders/>
            <w:shd w:fill="CCEEFF" w:val="clear"/>
          </w:tcPr>
          <w:p>
            <w:pPr>
              <w:pStyle w:val="TableContents"/>
              <w:spacing w:before="0" w:after="283"/>
              <w:jc w:val="right"/>
              <w:rPr/>
            </w:pPr>
            <w:r>
              <w:rPr/>
              <w:t>2.56</w:t>
            </w:r>
          </w:p>
        </w:tc>
        <w:tc>
          <w:tcPr>
            <w:tcW w:w="63" w:type="dxa"/>
            <w:tcBorders/>
            <w:shd w:fill="CCEEFF" w:val="clear"/>
          </w:tcPr>
          <w:p>
            <w:pPr>
              <w:pStyle w:val="TableContents"/>
              <w:spacing w:before="0" w:after="283"/>
              <w:rPr/>
            </w:pPr>
            <w:r>
              <w:rPr/>
              <w:t> </w:t>
            </w:r>
          </w:p>
        </w:tc>
      </w:tr>
      <w:tr>
        <w:trPr/>
        <w:tc>
          <w:tcPr>
            <w:tcW w:w="4235" w:type="dxa"/>
            <w:tcBorders/>
            <w:shd w:fill="auto" w:val="clear"/>
          </w:tcPr>
          <w:p>
            <w:pPr>
              <w:pStyle w:val="TableContents"/>
              <w:spacing w:before="0" w:after="0"/>
              <w:rPr>
                <w:rFonts w:ascii="Times New Roman" w:hAnsi="Times New Roman"/>
                <w:sz w:val="20"/>
              </w:rPr>
            </w:pPr>
            <w:r>
              <w:rPr>
                <w:rFonts w:ascii="Times New Roman" w:hAnsi="Times New Roman"/>
                <w:sz w:val="20"/>
              </w:rPr>
              <w:t>Thomas Dubensky, </w:t>
            </w:r>
            <w:r>
              <w:rPr>
                <w:rFonts w:ascii="Times New Roman" w:hAnsi="Times New Roman"/>
                <w:i/>
                <w:sz w:val="20"/>
              </w:rPr>
              <w:t>President</w:t>
            </w:r>
          </w:p>
        </w:tc>
        <w:tc>
          <w:tcPr>
            <w:tcW w:w="425" w:type="dxa"/>
            <w:tcBorders/>
            <w:shd w:fill="auto" w:val="clear"/>
            <w:vAlign w:val="bottom"/>
          </w:tcPr>
          <w:p>
            <w:pPr>
              <w:pStyle w:val="TableContents"/>
              <w:spacing w:before="0" w:after="283"/>
              <w:rPr/>
            </w:pPr>
            <w:r>
              <w:rPr/>
              <w:t>  </w:t>
            </w:r>
          </w:p>
        </w:tc>
        <w:tc>
          <w:tcPr>
            <w:tcW w:w="100" w:type="dxa"/>
            <w:tcBorders/>
            <w:shd w:fill="auto" w:val="clear"/>
          </w:tcPr>
          <w:p>
            <w:pPr>
              <w:pStyle w:val="TableContents"/>
              <w:spacing w:before="0" w:after="283"/>
              <w:rPr/>
            </w:pPr>
            <w:r>
              <w:rPr/>
              <w:t> </w:t>
            </w:r>
          </w:p>
        </w:tc>
        <w:tc>
          <w:tcPr>
            <w:tcW w:w="1411" w:type="dxa"/>
            <w:tcBorders/>
            <w:shd w:fill="auto" w:val="clear"/>
          </w:tcPr>
          <w:p>
            <w:pPr>
              <w:pStyle w:val="TableContents"/>
              <w:spacing w:before="0" w:after="283"/>
              <w:jc w:val="right"/>
              <w:rPr/>
            </w:pPr>
            <w:r>
              <w:rPr/>
              <w:t>243,601</w:t>
            </w:r>
          </w:p>
        </w:tc>
        <w:tc>
          <w:tcPr>
            <w:tcW w:w="60" w:type="dxa"/>
            <w:tcBorders/>
            <w:shd w:fill="auto" w:val="clear"/>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41" w:type="dxa"/>
            <w:tcBorders/>
            <w:shd w:fill="auto" w:val="clear"/>
          </w:tcPr>
          <w:p>
            <w:pPr>
              <w:pStyle w:val="TableContents"/>
              <w:spacing w:before="0" w:after="283"/>
              <w:rPr/>
            </w:pPr>
            <w:r>
              <w:rPr/>
              <w:t>$</w:t>
            </w:r>
          </w:p>
        </w:tc>
        <w:tc>
          <w:tcPr>
            <w:tcW w:w="795" w:type="dxa"/>
            <w:tcBorders/>
            <w:shd w:fill="auto" w:val="clear"/>
          </w:tcPr>
          <w:p>
            <w:pPr>
              <w:pStyle w:val="TableContents"/>
              <w:spacing w:before="0" w:after="283"/>
              <w:jc w:val="right"/>
              <w:rPr/>
            </w:pPr>
            <w:r>
              <w:rPr/>
              <w:t>2.55</w:t>
            </w:r>
          </w:p>
        </w:tc>
        <w:tc>
          <w:tcPr>
            <w:tcW w:w="63" w:type="dxa"/>
            <w:tcBorders/>
            <w:shd w:fill="auto" w:val="clear"/>
          </w:tcPr>
          <w:p>
            <w:pPr>
              <w:pStyle w:val="TableContents"/>
              <w:spacing w:before="0" w:after="283"/>
              <w:rPr/>
            </w:pPr>
            <w:r>
              <w:rPr/>
              <w:t> </w:t>
            </w:r>
          </w:p>
        </w:tc>
      </w:tr>
      <w:tr>
        <w:trPr/>
        <w:tc>
          <w:tcPr>
            <w:tcW w:w="4235" w:type="dxa"/>
            <w:tcBorders/>
            <w:shd w:fill="CCEEFF" w:val="clear"/>
          </w:tcPr>
          <w:p>
            <w:pPr>
              <w:pStyle w:val="TableContents"/>
              <w:spacing w:before="0" w:after="0"/>
              <w:rPr>
                <w:rFonts w:ascii="Times New Roman" w:hAnsi="Times New Roman"/>
                <w:sz w:val="20"/>
              </w:rPr>
            </w:pPr>
            <w:r>
              <w:rPr>
                <w:rFonts w:ascii="Times New Roman" w:hAnsi="Times New Roman"/>
                <w:sz w:val="20"/>
              </w:rPr>
              <w:t>Samuel Whiting, </w:t>
            </w:r>
            <w:r>
              <w:rPr>
                <w:rFonts w:ascii="Times New Roman" w:hAnsi="Times New Roman"/>
                <w:i/>
                <w:sz w:val="20"/>
              </w:rPr>
              <w:t>Chief Medical Officer</w:t>
            </w:r>
          </w:p>
        </w:tc>
        <w:tc>
          <w:tcPr>
            <w:tcW w:w="425" w:type="dxa"/>
            <w:tcBorders/>
            <w:shd w:fill="CCEEFF" w:val="clear"/>
            <w:vAlign w:val="bottom"/>
          </w:tcPr>
          <w:p>
            <w:pPr>
              <w:pStyle w:val="TableContents"/>
              <w:spacing w:before="0" w:after="283"/>
              <w:rPr/>
            </w:pPr>
            <w:r>
              <w:rPr/>
              <w:t>  </w:t>
            </w:r>
          </w:p>
        </w:tc>
        <w:tc>
          <w:tcPr>
            <w:tcW w:w="100" w:type="dxa"/>
            <w:tcBorders/>
            <w:shd w:fill="CCEEFF" w:val="clear"/>
          </w:tcPr>
          <w:p>
            <w:pPr>
              <w:pStyle w:val="TableContents"/>
              <w:spacing w:before="0" w:after="283"/>
              <w:rPr/>
            </w:pPr>
            <w:r>
              <w:rPr/>
              <w:t> </w:t>
            </w:r>
          </w:p>
        </w:tc>
        <w:tc>
          <w:tcPr>
            <w:tcW w:w="1411" w:type="dxa"/>
            <w:tcBorders/>
            <w:shd w:fill="CCEEFF" w:val="clear"/>
          </w:tcPr>
          <w:p>
            <w:pPr>
              <w:pStyle w:val="TableContents"/>
              <w:spacing w:before="0" w:after="283"/>
              <w:jc w:val="right"/>
              <w:rPr/>
            </w:pPr>
            <w:r>
              <w:rPr/>
              <w:t>154,380</w:t>
            </w:r>
          </w:p>
        </w:tc>
        <w:tc>
          <w:tcPr>
            <w:tcW w:w="60" w:type="dxa"/>
            <w:tcBorders/>
            <w:shd w:fill="CCEEFF" w:val="clear"/>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241" w:type="dxa"/>
            <w:tcBorders/>
            <w:shd w:fill="CCEEFF" w:val="clear"/>
          </w:tcPr>
          <w:p>
            <w:pPr>
              <w:pStyle w:val="TableContents"/>
              <w:spacing w:before="0" w:after="283"/>
              <w:rPr/>
            </w:pPr>
            <w:r>
              <w:rPr/>
              <w:t>$</w:t>
            </w:r>
          </w:p>
        </w:tc>
        <w:tc>
          <w:tcPr>
            <w:tcW w:w="795" w:type="dxa"/>
            <w:tcBorders/>
            <w:shd w:fill="CCEEFF" w:val="clear"/>
          </w:tcPr>
          <w:p>
            <w:pPr>
              <w:pStyle w:val="TableContents"/>
              <w:spacing w:before="0" w:after="283"/>
              <w:jc w:val="right"/>
              <w:rPr/>
            </w:pPr>
            <w:r>
              <w:rPr/>
              <w:t>2.43</w:t>
            </w:r>
          </w:p>
        </w:tc>
        <w:tc>
          <w:tcPr>
            <w:tcW w:w="63" w:type="dxa"/>
            <w:tcBorders/>
            <w:shd w:fill="CCEEFF" w:val="clear"/>
          </w:tcPr>
          <w:p>
            <w:pPr>
              <w:pStyle w:val="TableContents"/>
              <w:spacing w:before="0" w:after="283"/>
              <w:rPr/>
            </w:pPr>
            <w:r>
              <w:rPr/>
              <w:t> </w:t>
            </w:r>
          </w:p>
        </w:tc>
      </w:tr>
      <w:tr>
        <w:trPr/>
        <w:tc>
          <w:tcPr>
            <w:tcW w:w="4235" w:type="dxa"/>
            <w:tcBorders/>
            <w:shd w:fill="auto" w:val="clear"/>
          </w:tcPr>
          <w:p>
            <w:pPr>
              <w:pStyle w:val="TableContents"/>
              <w:spacing w:before="0" w:after="0"/>
              <w:rPr>
                <w:rFonts w:ascii="Times New Roman" w:hAnsi="Times New Roman"/>
                <w:sz w:val="20"/>
              </w:rPr>
            </w:pPr>
            <w:r>
              <w:rPr>
                <w:rFonts w:ascii="Times New Roman" w:hAnsi="Times New Roman"/>
                <w:sz w:val="20"/>
              </w:rPr>
              <w:t>All current executive officers as a group</w:t>
            </w:r>
          </w:p>
        </w:tc>
        <w:tc>
          <w:tcPr>
            <w:tcW w:w="425" w:type="dxa"/>
            <w:tcBorders/>
            <w:shd w:fill="auto" w:val="clear"/>
            <w:vAlign w:val="bottom"/>
          </w:tcPr>
          <w:p>
            <w:pPr>
              <w:pStyle w:val="TableContents"/>
              <w:spacing w:before="0" w:after="283"/>
              <w:rPr/>
            </w:pPr>
            <w:r>
              <w:rPr/>
              <w:t>  </w:t>
            </w:r>
          </w:p>
        </w:tc>
        <w:tc>
          <w:tcPr>
            <w:tcW w:w="100" w:type="dxa"/>
            <w:tcBorders/>
            <w:shd w:fill="auto" w:val="clear"/>
          </w:tcPr>
          <w:p>
            <w:pPr>
              <w:pStyle w:val="TableContents"/>
              <w:spacing w:before="0" w:after="283"/>
              <w:rPr/>
            </w:pPr>
            <w:r>
              <w:rPr/>
              <w:t> </w:t>
            </w:r>
          </w:p>
        </w:tc>
        <w:tc>
          <w:tcPr>
            <w:tcW w:w="1411" w:type="dxa"/>
            <w:tcBorders/>
            <w:shd w:fill="auto" w:val="clear"/>
          </w:tcPr>
          <w:p>
            <w:pPr>
              <w:pStyle w:val="TableContents"/>
              <w:spacing w:before="0" w:after="283"/>
              <w:jc w:val="right"/>
              <w:rPr/>
            </w:pPr>
            <w:r>
              <w:rPr/>
              <w:t>952,509</w:t>
            </w:r>
          </w:p>
        </w:tc>
        <w:tc>
          <w:tcPr>
            <w:tcW w:w="60" w:type="dxa"/>
            <w:tcBorders/>
            <w:shd w:fill="auto" w:val="clear"/>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41" w:type="dxa"/>
            <w:tcBorders/>
            <w:shd w:fill="auto" w:val="clear"/>
          </w:tcPr>
          <w:p>
            <w:pPr>
              <w:pStyle w:val="TableContents"/>
              <w:spacing w:before="0" w:after="283"/>
              <w:rPr/>
            </w:pPr>
            <w:r>
              <w:rPr/>
              <w:t>$</w:t>
            </w:r>
          </w:p>
        </w:tc>
        <w:tc>
          <w:tcPr>
            <w:tcW w:w="795" w:type="dxa"/>
            <w:tcBorders/>
            <w:shd w:fill="auto" w:val="clear"/>
          </w:tcPr>
          <w:p>
            <w:pPr>
              <w:pStyle w:val="TableContents"/>
              <w:spacing w:before="0" w:after="283"/>
              <w:jc w:val="right"/>
              <w:rPr/>
            </w:pPr>
            <w:r>
              <w:rPr/>
              <w:t>2.53</w:t>
            </w:r>
          </w:p>
        </w:tc>
        <w:tc>
          <w:tcPr>
            <w:tcW w:w="63" w:type="dxa"/>
            <w:tcBorders/>
            <w:shd w:fill="auto" w:val="clear"/>
          </w:tcPr>
          <w:p>
            <w:pPr>
              <w:pStyle w:val="TableContents"/>
              <w:spacing w:before="0" w:after="283"/>
              <w:rPr/>
            </w:pPr>
            <w:r>
              <w:rPr/>
              <w:t> </w:t>
            </w:r>
          </w:p>
        </w:tc>
      </w:tr>
      <w:tr>
        <w:trPr/>
        <w:tc>
          <w:tcPr>
            <w:tcW w:w="4235" w:type="dxa"/>
            <w:tcBorders/>
            <w:shd w:fill="CCEEFF" w:val="clear"/>
          </w:tcPr>
          <w:p>
            <w:pPr>
              <w:pStyle w:val="TableContents"/>
              <w:spacing w:before="0" w:after="0"/>
              <w:rPr>
                <w:rFonts w:ascii="Times New Roman" w:hAnsi="Times New Roman"/>
                <w:sz w:val="20"/>
              </w:rPr>
            </w:pPr>
            <w:r>
              <w:rPr>
                <w:rFonts w:ascii="Times New Roman" w:hAnsi="Times New Roman"/>
                <w:sz w:val="20"/>
              </w:rPr>
              <w:t>All current directors who are not executive officers as a group</w:t>
            </w:r>
          </w:p>
        </w:tc>
        <w:tc>
          <w:tcPr>
            <w:tcW w:w="425" w:type="dxa"/>
            <w:tcBorders/>
            <w:shd w:fill="CCEEFF" w:val="clear"/>
            <w:vAlign w:val="bottom"/>
          </w:tcPr>
          <w:p>
            <w:pPr>
              <w:pStyle w:val="TableContents"/>
              <w:spacing w:before="0" w:after="283"/>
              <w:rPr/>
            </w:pPr>
            <w:r>
              <w:rPr/>
              <w:t>  </w:t>
            </w:r>
          </w:p>
        </w:tc>
        <w:tc>
          <w:tcPr>
            <w:tcW w:w="100" w:type="dxa"/>
            <w:tcBorders/>
            <w:shd w:fill="CCEEFF" w:val="clear"/>
          </w:tcPr>
          <w:p>
            <w:pPr>
              <w:pStyle w:val="TableContents"/>
              <w:spacing w:before="0" w:after="283"/>
              <w:rPr/>
            </w:pPr>
            <w:r>
              <w:rPr/>
              <w:t> </w:t>
            </w:r>
          </w:p>
        </w:tc>
        <w:tc>
          <w:tcPr>
            <w:tcW w:w="1411" w:type="dxa"/>
            <w:tcBorders/>
            <w:shd w:fill="CCEEFF" w:val="clear"/>
          </w:tcPr>
          <w:p>
            <w:pPr>
              <w:pStyle w:val="TableContents"/>
              <w:spacing w:before="0" w:after="283"/>
              <w:jc w:val="right"/>
              <w:rPr/>
            </w:pPr>
            <w:r>
              <w:rPr/>
              <w:t>17,500</w:t>
            </w:r>
          </w:p>
        </w:tc>
        <w:tc>
          <w:tcPr>
            <w:tcW w:w="60" w:type="dxa"/>
            <w:tcBorders/>
            <w:shd w:fill="CCEEFF" w:val="clear"/>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241" w:type="dxa"/>
            <w:tcBorders/>
            <w:shd w:fill="CCEEFF" w:val="clear"/>
          </w:tcPr>
          <w:p>
            <w:pPr>
              <w:pStyle w:val="TableContents"/>
              <w:spacing w:before="0" w:after="283"/>
              <w:rPr/>
            </w:pPr>
            <w:r>
              <w:rPr/>
              <w:t>$</w:t>
            </w:r>
          </w:p>
        </w:tc>
        <w:tc>
          <w:tcPr>
            <w:tcW w:w="795" w:type="dxa"/>
            <w:tcBorders/>
            <w:shd w:fill="CCEEFF" w:val="clear"/>
          </w:tcPr>
          <w:p>
            <w:pPr>
              <w:pStyle w:val="TableContents"/>
              <w:spacing w:before="0" w:after="283"/>
              <w:jc w:val="right"/>
              <w:rPr/>
            </w:pPr>
            <w:r>
              <w:rPr/>
              <w:t>2.08</w:t>
            </w:r>
          </w:p>
        </w:tc>
        <w:tc>
          <w:tcPr>
            <w:tcW w:w="63" w:type="dxa"/>
            <w:tcBorders/>
            <w:shd w:fill="CCEEFF" w:val="clear"/>
          </w:tcPr>
          <w:p>
            <w:pPr>
              <w:pStyle w:val="TableContents"/>
              <w:spacing w:before="0" w:after="283"/>
              <w:rPr/>
            </w:pPr>
            <w:r>
              <w:rPr/>
              <w:t> </w:t>
            </w:r>
          </w:p>
        </w:tc>
      </w:tr>
      <w:tr>
        <w:trPr/>
        <w:tc>
          <w:tcPr>
            <w:tcW w:w="4235" w:type="dxa"/>
            <w:tcBorders/>
            <w:shd w:fill="auto" w:val="clear"/>
          </w:tcPr>
          <w:p>
            <w:pPr>
              <w:pStyle w:val="TableContents"/>
              <w:spacing w:before="0" w:after="0"/>
              <w:rPr>
                <w:rFonts w:ascii="Times New Roman" w:hAnsi="Times New Roman"/>
                <w:sz w:val="20"/>
              </w:rPr>
            </w:pPr>
            <w:r>
              <w:rPr>
                <w:rFonts w:ascii="Times New Roman" w:hAnsi="Times New Roman"/>
                <w:sz w:val="20"/>
              </w:rPr>
              <w:t>All employees, including all current officers who are not executive officers, as a group</w:t>
            </w:r>
          </w:p>
        </w:tc>
        <w:tc>
          <w:tcPr>
            <w:tcW w:w="425" w:type="dxa"/>
            <w:tcBorders/>
            <w:shd w:fill="auto" w:val="clear"/>
            <w:vAlign w:val="bottom"/>
          </w:tcPr>
          <w:p>
            <w:pPr>
              <w:pStyle w:val="TableContents"/>
              <w:spacing w:before="0" w:after="283"/>
              <w:rPr/>
            </w:pPr>
            <w:r>
              <w:rPr/>
              <w:t>  </w:t>
            </w:r>
          </w:p>
        </w:tc>
        <w:tc>
          <w:tcPr>
            <w:tcW w:w="100" w:type="dxa"/>
            <w:tcBorders/>
            <w:shd w:fill="auto" w:val="clear"/>
          </w:tcPr>
          <w:p>
            <w:pPr>
              <w:pStyle w:val="TableContents"/>
              <w:spacing w:before="0" w:after="283"/>
              <w:rPr/>
            </w:pPr>
            <w:r>
              <w:rPr/>
              <w:t> </w:t>
            </w:r>
          </w:p>
        </w:tc>
        <w:tc>
          <w:tcPr>
            <w:tcW w:w="1411" w:type="dxa"/>
            <w:tcBorders/>
            <w:shd w:fill="auto" w:val="clear"/>
          </w:tcPr>
          <w:p>
            <w:pPr>
              <w:pStyle w:val="TableContents"/>
              <w:spacing w:before="0" w:after="283"/>
              <w:jc w:val="right"/>
              <w:rPr/>
            </w:pPr>
            <w:r>
              <w:rPr/>
              <w:t>640,763</w:t>
            </w:r>
          </w:p>
        </w:tc>
        <w:tc>
          <w:tcPr>
            <w:tcW w:w="60" w:type="dxa"/>
            <w:tcBorders/>
            <w:shd w:fill="auto" w:val="clear"/>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41" w:type="dxa"/>
            <w:tcBorders/>
            <w:shd w:fill="auto" w:val="clear"/>
          </w:tcPr>
          <w:p>
            <w:pPr>
              <w:pStyle w:val="TableContents"/>
              <w:spacing w:before="0" w:after="283"/>
              <w:rPr/>
            </w:pPr>
            <w:r>
              <w:rPr/>
              <w:t>$</w:t>
            </w:r>
          </w:p>
        </w:tc>
        <w:tc>
          <w:tcPr>
            <w:tcW w:w="795" w:type="dxa"/>
            <w:tcBorders/>
            <w:shd w:fill="auto" w:val="clear"/>
          </w:tcPr>
          <w:p>
            <w:pPr>
              <w:pStyle w:val="TableContents"/>
              <w:spacing w:before="0" w:after="283"/>
              <w:jc w:val="right"/>
              <w:rPr/>
            </w:pPr>
            <w:r>
              <w:rPr/>
              <w:t>2.33</w:t>
            </w:r>
          </w:p>
        </w:tc>
        <w:tc>
          <w:tcPr>
            <w:tcW w:w="63" w:type="dxa"/>
            <w:tcBorders/>
            <w:shd w:fill="auto" w:val="clea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This table does not include awards granted under our 2017 Equity Incentive Plan (the </w:t>
            </w:r>
            <w:r>
              <w:rPr>
                <w:rFonts w:ascii="Times New Roman" w:hAnsi="Times New Roman"/>
                <w:b/>
                <w:i/>
                <w:sz w:val="20"/>
              </w:rPr>
              <w:t>2017 Plan</w:t>
            </w:r>
            <w:r>
              <w:rPr>
                <w:rFonts w:ascii="Times New Roman" w:hAnsi="Times New Roman"/>
                <w:sz w:val="20"/>
              </w:rPr>
              <w:t xml:space="preserv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New Plan Benefits Under 2023 EIP</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736"/>
        <w:gridCol w:w="428"/>
        <w:gridCol w:w="105"/>
        <w:gridCol w:w="572"/>
        <w:gridCol w:w="350"/>
        <w:gridCol w:w="332"/>
        <w:gridCol w:w="138"/>
        <w:gridCol w:w="741"/>
        <w:gridCol w:w="353"/>
      </w:tblGrid>
      <w:tr>
        <w:trPr/>
        <w:tc>
          <w:tcPr>
            <w:tcW w:w="4736"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bottom"/>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r>
      <w:tr>
        <w:trPr/>
        <w:tc>
          <w:tcPr>
            <w:tcW w:w="7402" w:type="dxa"/>
            <w:gridSpan w:val="8"/>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2023 EIP</w:t>
            </w:r>
          </w:p>
        </w:tc>
        <w:tc>
          <w:tcPr>
            <w:tcW w:w="353" w:type="dxa"/>
            <w:tcBorders/>
            <w:shd w:fill="auto" w:val="clear"/>
            <w:vAlign w:val="bottom"/>
          </w:tcPr>
          <w:p>
            <w:pPr>
              <w:pStyle w:val="TableContents"/>
              <w:spacing w:before="0" w:after="283"/>
              <w:rPr/>
            </w:pPr>
            <w:r>
              <w:rPr/>
              <w:t> </w:t>
            </w:r>
          </w:p>
        </w:tc>
      </w:tr>
      <w:tr>
        <w:trPr/>
        <w:tc>
          <w:tcPr>
            <w:tcW w:w="4736" w:type="dxa"/>
            <w:tcBorders/>
            <w:shd w:fill="auto" w:val="clear"/>
            <w:vAlign w:val="bottom"/>
          </w:tcPr>
          <w:p>
            <w:pPr>
              <w:pStyle w:val="TableContents"/>
              <w:spacing w:before="0" w:after="283"/>
              <w:jc w:val="center"/>
              <w:rPr>
                <w:b/>
              </w:rPr>
            </w:pPr>
            <w:r>
              <w:rPr>
                <w:b/>
              </w:rPr>
              <w:t>Name and position</w:t>
            </w:r>
          </w:p>
        </w:tc>
        <w:tc>
          <w:tcPr>
            <w:tcW w:w="428" w:type="dxa"/>
            <w:tcBorders/>
            <w:shd w:fill="auto" w:val="clear"/>
            <w:vAlign w:val="bottom"/>
          </w:tcPr>
          <w:p>
            <w:pPr>
              <w:pStyle w:val="TableContents"/>
              <w:spacing w:before="0" w:after="283"/>
              <w:rPr/>
            </w:pPr>
            <w:r>
              <w:rPr/>
              <w:t>  </w:t>
            </w:r>
          </w:p>
        </w:tc>
        <w:tc>
          <w:tcPr>
            <w:tcW w:w="67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Dollar</w:t>
              <w:br/>
              <w:t>value</w:t>
            </w:r>
          </w:p>
        </w:tc>
        <w:tc>
          <w:tcPr>
            <w:tcW w:w="35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87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w:t>
              <w:br/>
              <w:t>of</w:t>
              <w:br/>
              <w:t>shares</w:t>
            </w:r>
          </w:p>
        </w:tc>
        <w:tc>
          <w:tcPr>
            <w:tcW w:w="353" w:type="dxa"/>
            <w:tcBorders/>
            <w:shd w:fill="auto" w:val="clear"/>
            <w:vAlign w:val="bottom"/>
          </w:tcPr>
          <w:p>
            <w:pPr>
              <w:pStyle w:val="TableContents"/>
              <w:spacing w:before="0" w:after="283"/>
              <w:rPr/>
            </w:pPr>
            <w:r>
              <w:rPr/>
              <w:t> </w:t>
            </w:r>
          </w:p>
        </w:tc>
      </w:tr>
      <w:tr>
        <w:trPr/>
        <w:tc>
          <w:tcPr>
            <w:tcW w:w="4736" w:type="dxa"/>
            <w:tcBorders/>
            <w:shd w:fill="CCEEFF" w:val="clear"/>
          </w:tcPr>
          <w:p>
            <w:pPr>
              <w:pStyle w:val="TableContents"/>
              <w:spacing w:before="0" w:after="0"/>
              <w:rPr>
                <w:rFonts w:ascii="Times New Roman" w:hAnsi="Times New Roman"/>
                <w:sz w:val="20"/>
              </w:rPr>
            </w:pPr>
            <w:r>
              <w:rPr>
                <w:rFonts w:ascii="Times New Roman" w:hAnsi="Times New Roman"/>
                <w:sz w:val="20"/>
              </w:rPr>
              <w:t>Stephen Brady, </w:t>
            </w:r>
            <w:r>
              <w:rPr>
                <w:rFonts w:ascii="Times New Roman" w:hAnsi="Times New Roman"/>
                <w:i/>
                <w:sz w:val="20"/>
              </w:rPr>
              <w:t>Chief Executive Officer</w:t>
            </w:r>
          </w:p>
        </w:tc>
        <w:tc>
          <w:tcPr>
            <w:tcW w:w="428"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pPr>
            <w:r>
              <w:rPr/>
              <w:t>  </w:t>
            </w:r>
          </w:p>
        </w:tc>
        <w:tc>
          <w:tcPr>
            <w:tcW w:w="350" w:type="dxa"/>
            <w:tcBorders/>
            <w:shd w:fill="CCEEFF" w:val="clear"/>
            <w:vAlign w:val="bottom"/>
          </w:tcPr>
          <w:p>
            <w:pPr>
              <w:pStyle w:val="TableContents"/>
              <w:spacing w:before="0" w:after="283"/>
              <w:rPr/>
            </w:pPr>
            <w:r>
              <w:rPr/>
              <w:t>(1) </w:t>
            </w:r>
          </w:p>
        </w:tc>
        <w:tc>
          <w:tcPr>
            <w:tcW w:w="332"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pPr>
            <w:r>
              <w:rPr/>
              <w:t>  </w:t>
            </w:r>
          </w:p>
        </w:tc>
        <w:tc>
          <w:tcPr>
            <w:tcW w:w="353" w:type="dxa"/>
            <w:tcBorders/>
            <w:shd w:fill="CCEEFF" w:val="clear"/>
            <w:vAlign w:val="bottom"/>
          </w:tcPr>
          <w:p>
            <w:pPr>
              <w:pStyle w:val="TableContents"/>
              <w:spacing w:before="0" w:after="283"/>
              <w:rPr/>
            </w:pPr>
            <w:r>
              <w:rPr/>
              <w:t>(1) </w:t>
            </w:r>
          </w:p>
        </w:tc>
      </w:tr>
      <w:tr>
        <w:trPr/>
        <w:tc>
          <w:tcPr>
            <w:tcW w:w="4736" w:type="dxa"/>
            <w:tcBorders/>
            <w:shd w:fill="auto" w:val="clear"/>
          </w:tcPr>
          <w:p>
            <w:pPr>
              <w:pStyle w:val="TableContents"/>
              <w:spacing w:before="0" w:after="0"/>
              <w:rPr>
                <w:rFonts w:ascii="Times New Roman" w:hAnsi="Times New Roman"/>
                <w:sz w:val="20"/>
              </w:rPr>
            </w:pPr>
            <w:r>
              <w:rPr>
                <w:rFonts w:ascii="Times New Roman" w:hAnsi="Times New Roman"/>
                <w:sz w:val="20"/>
              </w:rPr>
              <w:t>Thomas Dubensky, </w:t>
            </w:r>
            <w:r>
              <w:rPr>
                <w:rFonts w:ascii="Times New Roman" w:hAnsi="Times New Roman"/>
                <w:i/>
                <w:sz w:val="20"/>
              </w:rPr>
              <w:t>President</w:t>
            </w:r>
          </w:p>
        </w:tc>
        <w:tc>
          <w:tcPr>
            <w:tcW w:w="428"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572" w:type="dxa"/>
            <w:tcBorders/>
            <w:shd w:fill="auto" w:val="clear"/>
            <w:vAlign w:val="bottom"/>
          </w:tcPr>
          <w:p>
            <w:pPr>
              <w:pStyle w:val="TableContents"/>
              <w:spacing w:before="0" w:after="283"/>
              <w:jc w:val="right"/>
              <w:rPr/>
            </w:pPr>
            <w:r>
              <w:rPr/>
              <w:t>  </w:t>
            </w:r>
          </w:p>
        </w:tc>
        <w:tc>
          <w:tcPr>
            <w:tcW w:w="350" w:type="dxa"/>
            <w:tcBorders/>
            <w:shd w:fill="auto" w:val="clear"/>
            <w:vAlign w:val="bottom"/>
          </w:tcPr>
          <w:p>
            <w:pPr>
              <w:pStyle w:val="TableContents"/>
              <w:spacing w:before="0" w:after="283"/>
              <w:rPr/>
            </w:pPr>
            <w:r>
              <w:rPr/>
              <w:t>(1) </w:t>
            </w:r>
          </w:p>
        </w:tc>
        <w:tc>
          <w:tcPr>
            <w:tcW w:w="332"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pPr>
            <w:r>
              <w:rPr/>
              <w:t>  </w:t>
            </w:r>
          </w:p>
        </w:tc>
        <w:tc>
          <w:tcPr>
            <w:tcW w:w="353" w:type="dxa"/>
            <w:tcBorders/>
            <w:shd w:fill="auto" w:val="clear"/>
            <w:vAlign w:val="bottom"/>
          </w:tcPr>
          <w:p>
            <w:pPr>
              <w:pStyle w:val="TableContents"/>
              <w:spacing w:before="0" w:after="283"/>
              <w:rPr/>
            </w:pPr>
            <w:r>
              <w:rPr/>
              <w:t>(1) </w:t>
            </w:r>
          </w:p>
        </w:tc>
      </w:tr>
      <w:tr>
        <w:trPr/>
        <w:tc>
          <w:tcPr>
            <w:tcW w:w="4736" w:type="dxa"/>
            <w:tcBorders/>
            <w:shd w:fill="CCEEFF" w:val="clear"/>
          </w:tcPr>
          <w:p>
            <w:pPr>
              <w:pStyle w:val="TableContents"/>
              <w:spacing w:before="0" w:after="0"/>
              <w:rPr>
                <w:rFonts w:ascii="Times New Roman" w:hAnsi="Times New Roman"/>
                <w:sz w:val="20"/>
              </w:rPr>
            </w:pPr>
            <w:r>
              <w:rPr>
                <w:rFonts w:ascii="Times New Roman" w:hAnsi="Times New Roman"/>
                <w:sz w:val="20"/>
              </w:rPr>
              <w:t>Samuel Whiting, </w:t>
            </w:r>
            <w:r>
              <w:rPr>
                <w:rFonts w:ascii="Times New Roman" w:hAnsi="Times New Roman"/>
                <w:i/>
                <w:sz w:val="20"/>
              </w:rPr>
              <w:t>Chief Medical Officer</w:t>
            </w:r>
          </w:p>
        </w:tc>
        <w:tc>
          <w:tcPr>
            <w:tcW w:w="428"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pPr>
            <w:r>
              <w:rPr/>
              <w:t>  </w:t>
            </w:r>
          </w:p>
        </w:tc>
        <w:tc>
          <w:tcPr>
            <w:tcW w:w="350" w:type="dxa"/>
            <w:tcBorders/>
            <w:shd w:fill="CCEEFF" w:val="clear"/>
            <w:vAlign w:val="bottom"/>
          </w:tcPr>
          <w:p>
            <w:pPr>
              <w:pStyle w:val="TableContents"/>
              <w:spacing w:before="0" w:after="283"/>
              <w:rPr/>
            </w:pPr>
            <w:r>
              <w:rPr/>
              <w:t>(1) </w:t>
            </w:r>
          </w:p>
        </w:tc>
        <w:tc>
          <w:tcPr>
            <w:tcW w:w="332"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pPr>
            <w:r>
              <w:rPr/>
              <w:t>  </w:t>
            </w:r>
          </w:p>
        </w:tc>
        <w:tc>
          <w:tcPr>
            <w:tcW w:w="353" w:type="dxa"/>
            <w:tcBorders/>
            <w:shd w:fill="CCEEFF" w:val="clear"/>
            <w:vAlign w:val="bottom"/>
          </w:tcPr>
          <w:p>
            <w:pPr>
              <w:pStyle w:val="TableContents"/>
              <w:spacing w:before="0" w:after="283"/>
              <w:rPr/>
            </w:pPr>
            <w:r>
              <w:rPr/>
              <w:t>(1) </w:t>
            </w:r>
          </w:p>
        </w:tc>
      </w:tr>
      <w:tr>
        <w:trPr/>
        <w:tc>
          <w:tcPr>
            <w:tcW w:w="4736" w:type="dxa"/>
            <w:tcBorders/>
            <w:shd w:fill="auto" w:val="clear"/>
          </w:tcPr>
          <w:p>
            <w:pPr>
              <w:pStyle w:val="TableContents"/>
              <w:spacing w:before="0" w:after="0"/>
              <w:rPr>
                <w:rFonts w:ascii="Times New Roman" w:hAnsi="Times New Roman"/>
                <w:sz w:val="20"/>
              </w:rPr>
            </w:pPr>
            <w:r>
              <w:rPr>
                <w:rFonts w:ascii="Times New Roman" w:hAnsi="Times New Roman"/>
                <w:sz w:val="20"/>
              </w:rPr>
              <w:t>All current executive officers as a group</w:t>
            </w:r>
          </w:p>
        </w:tc>
        <w:tc>
          <w:tcPr>
            <w:tcW w:w="428"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572" w:type="dxa"/>
            <w:tcBorders/>
            <w:shd w:fill="auto" w:val="clear"/>
            <w:vAlign w:val="bottom"/>
          </w:tcPr>
          <w:p>
            <w:pPr>
              <w:pStyle w:val="TableContents"/>
              <w:spacing w:before="0" w:after="283"/>
              <w:jc w:val="right"/>
              <w:rPr/>
            </w:pPr>
            <w:r>
              <w:rPr/>
              <w:t>  </w:t>
            </w:r>
          </w:p>
        </w:tc>
        <w:tc>
          <w:tcPr>
            <w:tcW w:w="350" w:type="dxa"/>
            <w:tcBorders/>
            <w:shd w:fill="auto" w:val="clear"/>
            <w:vAlign w:val="bottom"/>
          </w:tcPr>
          <w:p>
            <w:pPr>
              <w:pStyle w:val="TableContents"/>
              <w:spacing w:before="0" w:after="283"/>
              <w:rPr/>
            </w:pPr>
            <w:r>
              <w:rPr/>
              <w:t>(1) </w:t>
            </w:r>
          </w:p>
        </w:tc>
        <w:tc>
          <w:tcPr>
            <w:tcW w:w="332"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pPr>
            <w:r>
              <w:rPr/>
              <w:t>  </w:t>
            </w:r>
          </w:p>
        </w:tc>
        <w:tc>
          <w:tcPr>
            <w:tcW w:w="353" w:type="dxa"/>
            <w:tcBorders/>
            <w:shd w:fill="auto" w:val="clear"/>
            <w:vAlign w:val="bottom"/>
          </w:tcPr>
          <w:p>
            <w:pPr>
              <w:pStyle w:val="TableContents"/>
              <w:spacing w:before="0" w:after="283"/>
              <w:rPr/>
            </w:pPr>
            <w:r>
              <w:rPr/>
              <w:t>(1) </w:t>
            </w:r>
          </w:p>
        </w:tc>
      </w:tr>
      <w:tr>
        <w:trPr/>
        <w:tc>
          <w:tcPr>
            <w:tcW w:w="4736" w:type="dxa"/>
            <w:tcBorders/>
            <w:shd w:fill="CCEEFF" w:val="clear"/>
          </w:tcPr>
          <w:p>
            <w:pPr>
              <w:pStyle w:val="TableContents"/>
              <w:spacing w:before="0" w:after="0"/>
              <w:rPr>
                <w:rFonts w:ascii="Times New Roman" w:hAnsi="Times New Roman"/>
                <w:sz w:val="20"/>
              </w:rPr>
            </w:pPr>
            <w:r>
              <w:rPr>
                <w:rFonts w:ascii="Times New Roman" w:hAnsi="Times New Roman"/>
                <w:sz w:val="20"/>
              </w:rPr>
              <w:t>All current directors who are not executive officers as a group</w:t>
            </w:r>
          </w:p>
        </w:tc>
        <w:tc>
          <w:tcPr>
            <w:tcW w:w="428"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pPr>
            <w:r>
              <w:rPr/>
              <w:t>  </w:t>
            </w:r>
          </w:p>
        </w:tc>
        <w:tc>
          <w:tcPr>
            <w:tcW w:w="350" w:type="dxa"/>
            <w:tcBorders/>
            <w:shd w:fill="CCEEFF" w:val="clear"/>
            <w:vAlign w:val="bottom"/>
          </w:tcPr>
          <w:p>
            <w:pPr>
              <w:pStyle w:val="TableContents"/>
              <w:spacing w:before="0" w:after="283"/>
              <w:rPr/>
            </w:pPr>
            <w:r>
              <w:rPr/>
              <w:t>(2) </w:t>
            </w:r>
          </w:p>
        </w:tc>
        <w:tc>
          <w:tcPr>
            <w:tcW w:w="332"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pPr>
            <w:r>
              <w:rPr/>
              <w:t>  </w:t>
            </w:r>
          </w:p>
        </w:tc>
        <w:tc>
          <w:tcPr>
            <w:tcW w:w="353" w:type="dxa"/>
            <w:tcBorders/>
            <w:shd w:fill="CCEEFF" w:val="clear"/>
            <w:vAlign w:val="bottom"/>
          </w:tcPr>
          <w:p>
            <w:pPr>
              <w:pStyle w:val="TableContents"/>
              <w:spacing w:before="0" w:after="283"/>
              <w:rPr/>
            </w:pPr>
            <w:r>
              <w:rPr/>
              <w:t>(2) </w:t>
            </w:r>
          </w:p>
        </w:tc>
      </w:tr>
      <w:tr>
        <w:trPr/>
        <w:tc>
          <w:tcPr>
            <w:tcW w:w="4736" w:type="dxa"/>
            <w:tcBorders/>
            <w:shd w:fill="auto" w:val="clear"/>
          </w:tcPr>
          <w:p>
            <w:pPr>
              <w:pStyle w:val="TableContents"/>
              <w:spacing w:before="0" w:after="0"/>
              <w:rPr>
                <w:rFonts w:ascii="Times New Roman" w:hAnsi="Times New Roman"/>
                <w:sz w:val="20"/>
              </w:rPr>
            </w:pPr>
            <w:r>
              <w:rPr>
                <w:rFonts w:ascii="Times New Roman" w:hAnsi="Times New Roman"/>
                <w:sz w:val="20"/>
              </w:rPr>
              <w:t>All employees, including all current officers who are not executive officers, as a group</w:t>
            </w:r>
          </w:p>
        </w:tc>
        <w:tc>
          <w:tcPr>
            <w:tcW w:w="428"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572" w:type="dxa"/>
            <w:tcBorders/>
            <w:shd w:fill="auto" w:val="clear"/>
            <w:vAlign w:val="bottom"/>
          </w:tcPr>
          <w:p>
            <w:pPr>
              <w:pStyle w:val="TableContents"/>
              <w:spacing w:before="0" w:after="283"/>
              <w:jc w:val="right"/>
              <w:rPr/>
            </w:pPr>
            <w:r>
              <w:rPr/>
              <w:t>  </w:t>
            </w:r>
          </w:p>
        </w:tc>
        <w:tc>
          <w:tcPr>
            <w:tcW w:w="350" w:type="dxa"/>
            <w:tcBorders/>
            <w:shd w:fill="auto" w:val="clear"/>
            <w:vAlign w:val="bottom"/>
          </w:tcPr>
          <w:p>
            <w:pPr>
              <w:pStyle w:val="TableContents"/>
              <w:spacing w:before="0" w:after="283"/>
              <w:rPr/>
            </w:pPr>
            <w:r>
              <w:rPr/>
              <w:t>(1) </w:t>
            </w:r>
          </w:p>
        </w:tc>
        <w:tc>
          <w:tcPr>
            <w:tcW w:w="332"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pPr>
            <w:r>
              <w:rPr/>
              <w:t>  </w:t>
            </w:r>
          </w:p>
        </w:tc>
        <w:tc>
          <w:tcPr>
            <w:tcW w:w="353" w:type="dxa"/>
            <w:tcBorders/>
            <w:shd w:fill="auto" w:val="clear"/>
            <w:vAlign w:val="bottom"/>
          </w:tcPr>
          <w:p>
            <w:pPr>
              <w:pStyle w:val="TableContents"/>
              <w:spacing w:before="0" w:after="283"/>
              <w:rPr/>
            </w:pPr>
            <w:r>
              <w:rPr/>
              <w:t>(1)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Awards granted under the 2023 EIP to our executive officers and other employees are discretionary and are not subject to set benefits or amounts under the terms of the 2023 EIP, and our Board and our Compensation Committee have not granted any awards under the 2023 EIP subject to stockholder approval of this Proposal 2. Accordingly, the benefits or amounts that will be received by or allocated to our executive officers and other employees under the 2023 EIP, as well as the benefits or amounts which would have been received by or allocated to our executive officers and other employees for fiscal year 2023 if the 2023 EIP had been in effect, are not determinable.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Non-employee directors are eligible for awards pursuant to our non-employee director compensation plan. After the date of the Annual Meeting, initial and annual awards under our non-employee director compensation plan will be granted under the 2023 EIP if this Proposal 2 is approved by our stockholders. For additional information regarding our compensation policy for non-employee directors, see the </w:t>
            </w:r>
            <w:r>
              <w:rPr>
                <w:rFonts w:ascii="Times New Roman" w:hAnsi="Times New Roman"/>
                <w:i/>
                <w:sz w:val="20"/>
              </w:rPr>
              <w:t>Executive and Director CompensationDirector Compensation</w:t>
            </w:r>
            <w:r>
              <w:rPr>
                <w:rFonts w:ascii="Times New Roman" w:hAnsi="Times New Roman"/>
                <w:sz w:val="20"/>
              </w:rPr>
              <w:t xml:space="preserve"> section below. </w:t>
            </w:r>
          </w:p>
        </w:tc>
      </w:tr>
    </w:tbl>
    <w:p>
      <w:pPr>
        <w:pStyle w:val="TextBody"/>
        <w:spacing w:before="360" w:after="0"/>
        <w:jc w:val="left"/>
        <w:rPr>
          <w:rFonts w:ascii="Times New Roman" w:hAnsi="Times New Roman"/>
          <w:b/>
          <w:sz w:val="20"/>
        </w:rPr>
      </w:pPr>
      <w:r>
        <w:rPr>
          <w:rFonts w:ascii="Times New Roman" w:hAnsi="Times New Roman"/>
          <w:b/>
          <w:sz w:val="20"/>
        </w:rPr>
        <w:t xml:space="preserve">Equity Compensation Plan Information </w:t>
      </w:r>
    </w:p>
    <w:p>
      <w:pPr>
        <w:pStyle w:val="TextBody"/>
        <w:spacing w:before="120" w:after="0"/>
        <w:jc w:val="left"/>
        <w:rPr>
          <w:rFonts w:ascii="Times New Roman" w:hAnsi="Times New Roman"/>
          <w:sz w:val="20"/>
        </w:rPr>
      </w:pPr>
      <w:r>
        <w:rPr>
          <w:rFonts w:ascii="Times New Roman" w:hAnsi="Times New Roman"/>
          <w:sz w:val="20"/>
        </w:rPr>
        <w:t xml:space="preserve">Please see the section of this Proxy Statement entitled Equity Compensation Plan Information for certain information with respect to compensation plans under which our equity securities are authorized for issuance. </w:t>
      </w:r>
    </w:p>
    <w:p>
      <w:pPr>
        <w:pStyle w:val="TextBody"/>
        <w:spacing w:before="360" w:after="0"/>
        <w:jc w:val="left"/>
        <w:rPr>
          <w:rFonts w:ascii="Times New Roman" w:hAnsi="Times New Roman"/>
          <w:b/>
          <w:sz w:val="20"/>
        </w:rPr>
      </w:pPr>
      <w:r>
        <w:rPr>
          <w:rFonts w:ascii="Times New Roman" w:hAnsi="Times New Roman"/>
          <w:b/>
          <w:sz w:val="20"/>
        </w:rPr>
        <w:t xml:space="preserve">Effectiveness of the Amended and Restated Plan </w:t>
      </w:r>
    </w:p>
    <w:p>
      <w:pPr>
        <w:pStyle w:val="TextBody"/>
        <w:spacing w:before="120" w:after="0"/>
        <w:jc w:val="left"/>
        <w:rPr>
          <w:rFonts w:ascii="Times New Roman" w:hAnsi="Times New Roman"/>
          <w:sz w:val="20"/>
        </w:rPr>
      </w:pPr>
      <w:r>
        <w:rPr>
          <w:rFonts w:ascii="Times New Roman" w:hAnsi="Times New Roman"/>
          <w:sz w:val="20"/>
        </w:rPr>
        <w:t>If this Proposal 2 is approved by our stockholders, the 2023 EIP will become effective as of the date of the Annual Meeting and no additional awards will be granted under the 2019 EIP. If this Proposal 2 is not approved by our stockholders, then the 2023 EIP will not become effective and the 2019 EIP will continue to be effective in accordance with its current terms.</w:t>
      </w:r>
    </w:p>
    <w:p>
      <w:pPr>
        <w:pStyle w:val="TextBody"/>
        <w:spacing w:before="360" w:after="0"/>
        <w:jc w:val="left"/>
        <w:rPr>
          <w:rFonts w:ascii="Times New Roman" w:hAnsi="Times New Roman"/>
          <w:b/>
          <w:sz w:val="20"/>
        </w:rPr>
      </w:pPr>
      <w:r>
        <w:rPr>
          <w:rFonts w:ascii="Times New Roman" w:hAnsi="Times New Roman"/>
          <w:b/>
          <w:sz w:val="20"/>
        </w:rPr>
        <w:t xml:space="preserve">Vote Required </w:t>
      </w:r>
    </w:p>
    <w:p>
      <w:pPr>
        <w:pStyle w:val="TextBody"/>
        <w:spacing w:before="120" w:after="0"/>
        <w:jc w:val="left"/>
        <w:rPr>
          <w:rFonts w:ascii="Times New Roman" w:hAnsi="Times New Roman"/>
          <w:sz w:val="20"/>
        </w:rPr>
      </w:pPr>
      <w:r>
        <w:rPr>
          <w:rFonts w:ascii="Times New Roman" w:hAnsi="Times New Roman"/>
          <w:sz w:val="20"/>
        </w:rPr>
        <w:t xml:space="preserve">The affirmative vote of a majority of the voting power of the votes cast by the holders of all the shares present or represented by proxy at the Annual Meeting and voting on such matter will be required to approve the Amended and Restated 2023 Equity Incentive Plan. </w:t>
      </w:r>
    </w:p>
    <w:p>
      <w:pPr>
        <w:pStyle w:val="TextBody"/>
        <w:spacing w:before="360" w:after="0"/>
        <w:jc w:val="left"/>
        <w:rPr>
          <w:rFonts w:ascii="Times New Roman" w:hAnsi="Times New Roman"/>
          <w:b/>
          <w:sz w:val="20"/>
        </w:rPr>
      </w:pPr>
      <w:r>
        <w:rPr>
          <w:rFonts w:ascii="Times New Roman" w:hAnsi="Times New Roman"/>
          <w:b/>
          <w:sz w:val="20"/>
        </w:rPr>
        <w:t xml:space="preserve">Our Recommendation </w:t>
      </w:r>
    </w:p>
    <w:p>
      <w:pPr>
        <w:pStyle w:val="TextBody"/>
        <w:spacing w:before="120" w:after="0"/>
        <w:jc w:val="center"/>
        <w:rPr>
          <w:rFonts w:ascii="Times New Roman" w:hAnsi="Times New Roman"/>
          <w:b/>
          <w:sz w:val="20"/>
        </w:rPr>
      </w:pPr>
      <w:r>
        <w:rPr>
          <w:rFonts w:ascii="Times New Roman" w:hAnsi="Times New Roman"/>
          <w:b/>
          <w:sz w:val="20"/>
        </w:rPr>
        <w:t xml:space="preserve">THE BOARD OF DIRECTORS RECOMMENDS </w:t>
      </w:r>
    </w:p>
    <w:p>
      <w:pPr>
        <w:pStyle w:val="TextBody"/>
        <w:spacing w:before="0" w:after="0"/>
        <w:jc w:val="center"/>
        <w:rPr>
          <w:rFonts w:ascii="Times New Roman" w:hAnsi="Times New Roman"/>
          <w:b/>
          <w:sz w:val="20"/>
        </w:rPr>
      </w:pPr>
      <w:r>
        <w:rPr>
          <w:rFonts w:ascii="Times New Roman" w:hAnsi="Times New Roman"/>
          <w:b/>
          <w:sz w:val="20"/>
        </w:rPr>
        <w:t xml:space="preserve">A VOTE IN FAVOR OF PROPOSAL 2.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8" w:name="tx456303_6"/>
      <w:bookmarkEnd w:id="8"/>
      <w:r>
        <w:rPr>
          <w:rFonts w:ascii="Times New Roman" w:hAnsi="Times New Roman"/>
          <w:b/>
          <w:sz w:val="20"/>
        </w:rPr>
        <w:t xml:space="preserve">PROPOSAL 3 </w:t>
      </w:r>
    </w:p>
    <w:p>
      <w:pPr>
        <w:pStyle w:val="TextBody"/>
        <w:spacing w:before="0" w:after="0"/>
        <w:jc w:val="center"/>
        <w:rPr>
          <w:rFonts w:ascii="Times New Roman" w:hAnsi="Times New Roman"/>
          <w:b/>
          <w:sz w:val="20"/>
        </w:rPr>
      </w:pPr>
      <w:r>
        <w:rPr>
          <w:rFonts w:ascii="Times New Roman" w:hAnsi="Times New Roman"/>
          <w:b/>
          <w:sz w:val="20"/>
        </w:rPr>
        <w:t xml:space="preserve">ADVISORY VOTE ON NAMED EXECUTIVE OFFICER COMPENSATION </w:t>
      </w:r>
    </w:p>
    <w:p>
      <w:pPr>
        <w:pStyle w:val="TextBody"/>
        <w:spacing w:before="240" w:after="0"/>
        <w:jc w:val="left"/>
        <w:rPr>
          <w:rFonts w:ascii="Times New Roman" w:hAnsi="Times New Roman"/>
          <w:sz w:val="20"/>
        </w:rPr>
      </w:pPr>
      <w:r>
        <w:rPr>
          <w:rFonts w:ascii="Times New Roman" w:hAnsi="Times New Roman"/>
          <w:sz w:val="20"/>
        </w:rPr>
        <w:t xml:space="preserve">At the 2022 Annual Meeting of Stockholders, the stockholders indicated their preference that we solicit a non-binding advisory vote on the compensation of the named executive officers, commonly referred to as a say-on-pay vote, every year. The Board has adopted a policy that is consistent with that preference. In accordance with that policy, this year, we are asking the stockholders to approve, on an advisory basis, the compensation of our named executive officers as disclosed in this proxy statement in accordance with SEC rules. </w:t>
      </w:r>
    </w:p>
    <w:p>
      <w:pPr>
        <w:pStyle w:val="TextBody"/>
        <w:spacing w:before="240" w:after="0"/>
        <w:jc w:val="left"/>
        <w:rPr>
          <w:rFonts w:ascii="Times New Roman" w:hAnsi="Times New Roman"/>
          <w:sz w:val="20"/>
        </w:rPr>
      </w:pPr>
      <w:r>
        <w:rPr>
          <w:rFonts w:ascii="Times New Roman" w:hAnsi="Times New Roman"/>
          <w:sz w:val="20"/>
        </w:rPr>
        <w:t xml:space="preserve">This vote is not intended to address any specific item of compensation, but rather the overall compensation of our named executive officers and the philosophy, policies and practices described in this proxy statement. The compensation of our named executive officers subject to the vote is disclosed in the compensation tables and the related narrative disclosure contained in this proxy statement. We believe that our compensation policies and decisions are strongly aligned with our stockholders interests and consistent with current market practices. Compensation of our named executive officers is designed to attract and retain talented and experienced executives to lead the Company successfully in a competitive environment. </w:t>
      </w:r>
    </w:p>
    <w:p>
      <w:pPr>
        <w:pStyle w:val="TextBody"/>
        <w:spacing w:before="240" w:after="0"/>
        <w:jc w:val="left"/>
        <w:rPr>
          <w:rFonts w:ascii="Times New Roman" w:hAnsi="Times New Roman"/>
          <w:sz w:val="20"/>
        </w:rPr>
      </w:pPr>
      <w:r>
        <w:rPr>
          <w:rFonts w:ascii="Times New Roman" w:hAnsi="Times New Roman"/>
          <w:sz w:val="20"/>
        </w:rPr>
        <w:t xml:space="preserve">Accordingly, the Board is asking the shareholders to indicate their support for the compensation of the Companys named executive officers as described in this proxy statement by casting a non-binding advisory vote FOR the following resolution: </w:t>
      </w:r>
    </w:p>
    <w:p>
      <w:pPr>
        <w:pStyle w:val="TextBody"/>
        <w:spacing w:before="120" w:after="0"/>
        <w:jc w:val="left"/>
        <w:rPr>
          <w:rFonts w:ascii="Times New Roman" w:hAnsi="Times New Roman"/>
          <w:sz w:val="20"/>
        </w:rPr>
      </w:pPr>
      <w:r>
        <w:rPr>
          <w:rFonts w:ascii="Times New Roman" w:hAnsi="Times New Roman"/>
          <w:sz w:val="20"/>
        </w:rPr>
        <w:t></w:t>
      </w:r>
      <w:r>
        <w:rPr>
          <w:rFonts w:ascii="Times New Roman" w:hAnsi="Times New Roman"/>
          <w:b/>
          <w:sz w:val="20"/>
        </w:rPr>
        <w:t>RESOLVED</w:t>
      </w:r>
      <w:r>
        <w:rPr>
          <w:rFonts w:ascii="Times New Roman" w:hAnsi="Times New Roman"/>
          <w:sz w:val="20"/>
        </w:rPr>
        <w:t xml:space="preserve">, that the compensation paid to the Companys named executive officers, as disclosed pursuant to Item 402 of Regulation S-K, including the compensation tables and narrative discussion, is hereby APPROVED. </w:t>
      </w:r>
    </w:p>
    <w:p>
      <w:pPr>
        <w:pStyle w:val="TextBody"/>
        <w:spacing w:before="240" w:after="0"/>
        <w:jc w:val="left"/>
        <w:rPr>
          <w:rFonts w:ascii="Times New Roman" w:hAnsi="Times New Roman"/>
          <w:sz w:val="20"/>
        </w:rPr>
      </w:pPr>
      <w:r>
        <w:rPr>
          <w:rFonts w:ascii="Times New Roman" w:hAnsi="Times New Roman"/>
          <w:sz w:val="20"/>
        </w:rPr>
        <w:t xml:space="preserve">The vote is advisory and therefore not binding on the Board or the Company. Nevertheless, the views expressed by our stockholders, whether through this vote or otherwise, are important to management and the Board and, accordingly, the Board and the Compensation Committee intend to consider the results of this vote in making determinations in the future regarding executive compensation arrangements. </w:t>
      </w:r>
    </w:p>
    <w:p>
      <w:pPr>
        <w:pStyle w:val="TextBody"/>
        <w:spacing w:before="240" w:after="0"/>
        <w:jc w:val="left"/>
        <w:rPr>
          <w:rFonts w:ascii="Times New Roman" w:hAnsi="Times New Roman"/>
          <w:sz w:val="20"/>
        </w:rPr>
      </w:pPr>
      <w:r>
        <w:rPr>
          <w:rFonts w:ascii="Times New Roman" w:hAnsi="Times New Roman"/>
          <w:sz w:val="20"/>
        </w:rPr>
        <w:t xml:space="preserve">Unless the Board decides to modify its policy regarding the frequency of soliciting say-on-pay votes on the compensation of our named executive officers, the next scheduled say-on-pay vote will be at the 2024 Annual Meeting of Stockholders. </w:t>
      </w:r>
    </w:p>
    <w:p>
      <w:pPr>
        <w:pStyle w:val="TextBody"/>
        <w:spacing w:before="240" w:after="0"/>
        <w:jc w:val="left"/>
        <w:rPr>
          <w:rFonts w:ascii="Times New Roman" w:hAnsi="Times New Roman"/>
          <w:b/>
          <w:sz w:val="20"/>
        </w:rPr>
      </w:pPr>
      <w:r>
        <w:rPr>
          <w:rFonts w:ascii="Times New Roman" w:hAnsi="Times New Roman"/>
          <w:b/>
          <w:sz w:val="20"/>
        </w:rPr>
        <w:t xml:space="preserve">Vote Required </w:t>
      </w:r>
    </w:p>
    <w:p>
      <w:pPr>
        <w:pStyle w:val="TextBody"/>
        <w:spacing w:before="120" w:after="0"/>
        <w:jc w:val="left"/>
        <w:rPr>
          <w:rFonts w:ascii="Times New Roman" w:hAnsi="Times New Roman"/>
          <w:sz w:val="20"/>
        </w:rPr>
      </w:pPr>
      <w:r>
        <w:rPr>
          <w:rFonts w:ascii="Times New Roman" w:hAnsi="Times New Roman"/>
          <w:sz w:val="20"/>
        </w:rPr>
        <w:t xml:space="preserve">Advisory (non-binding) approval of our executive compensation requires the affirmative vote of the majority of the voting power of the votes cast by the holders of all the shares present or represented by proxy at the Annual Meeting and voting on such matter. </w:t>
      </w:r>
    </w:p>
    <w:p>
      <w:pPr>
        <w:pStyle w:val="TextBody"/>
        <w:spacing w:before="360" w:after="0"/>
        <w:jc w:val="left"/>
        <w:rPr>
          <w:rFonts w:ascii="Times New Roman" w:hAnsi="Times New Roman"/>
          <w:b/>
          <w:sz w:val="20"/>
        </w:rPr>
      </w:pPr>
      <w:r>
        <w:rPr>
          <w:rFonts w:ascii="Times New Roman" w:hAnsi="Times New Roman"/>
          <w:b/>
          <w:sz w:val="20"/>
        </w:rPr>
        <w:t xml:space="preserve">Our Recommendation </w:t>
      </w:r>
    </w:p>
    <w:p>
      <w:pPr>
        <w:pStyle w:val="TextBody"/>
        <w:spacing w:before="240" w:after="0"/>
        <w:jc w:val="center"/>
        <w:rPr>
          <w:rFonts w:ascii="Times New Roman" w:hAnsi="Times New Roman"/>
          <w:b/>
          <w:sz w:val="20"/>
        </w:rPr>
      </w:pPr>
      <w:r>
        <w:rPr>
          <w:rFonts w:ascii="Times New Roman" w:hAnsi="Times New Roman"/>
          <w:b/>
          <w:sz w:val="20"/>
        </w:rPr>
        <w:t xml:space="preserve">THE BOARD OF DIRECTORS RECOMMENDS </w:t>
      </w:r>
    </w:p>
    <w:p>
      <w:pPr>
        <w:pStyle w:val="TextBody"/>
        <w:spacing w:before="0" w:after="0"/>
        <w:jc w:val="center"/>
        <w:rPr>
          <w:rFonts w:ascii="Times New Roman" w:hAnsi="Times New Roman"/>
          <w:b/>
          <w:sz w:val="20"/>
        </w:rPr>
      </w:pPr>
      <w:r>
        <w:rPr>
          <w:rFonts w:ascii="Times New Roman" w:hAnsi="Times New Roman"/>
          <w:b/>
          <w:sz w:val="20"/>
        </w:rPr>
        <w:t xml:space="preserve">A VOTE IN FAVOR OF PROPOSAL 3.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 w:name="tx456303_7"/>
      <w:bookmarkEnd w:id="9"/>
      <w:r>
        <w:rPr>
          <w:rFonts w:ascii="Times New Roman" w:hAnsi="Times New Roman"/>
          <w:b/>
          <w:sz w:val="20"/>
        </w:rPr>
        <w:t xml:space="preserve">PROPOSAL 4 </w:t>
      </w:r>
    </w:p>
    <w:p>
      <w:pPr>
        <w:pStyle w:val="TextBody"/>
        <w:spacing w:before="0" w:after="0"/>
        <w:jc w:val="center"/>
        <w:rPr>
          <w:rFonts w:ascii="Times New Roman" w:hAnsi="Times New Roman"/>
          <w:b/>
          <w:sz w:val="20"/>
        </w:rPr>
      </w:pPr>
      <w:r>
        <w:rPr>
          <w:rFonts w:ascii="Times New Roman" w:hAnsi="Times New Roman"/>
          <w:b/>
          <w:sz w:val="20"/>
        </w:rPr>
        <w:t xml:space="preserve">RATIFICATION OF SELECTION OF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The Audit Committee has selected Ernst &amp; Young LLP (</w:t>
      </w:r>
      <w:r>
        <w:rPr>
          <w:rFonts w:ascii="Times New Roman" w:hAnsi="Times New Roman"/>
          <w:b/>
          <w:i/>
          <w:sz w:val="20"/>
        </w:rPr>
        <w:t>Ernst</w:t>
      </w:r>
      <w:r>
        <w:rPr>
          <w:rFonts w:ascii="Times New Roman" w:hAnsi="Times New Roman"/>
          <w:sz w:val="20"/>
        </w:rPr>
        <w:t> </w:t>
      </w:r>
      <w:r>
        <w:rPr>
          <w:rFonts w:ascii="Times New Roman" w:hAnsi="Times New Roman"/>
          <w:b/>
          <w:i/>
          <w:sz w:val="20"/>
        </w:rPr>
        <w:t>&amp; Young</w:t>
      </w:r>
      <w:r>
        <w:rPr>
          <w:rFonts w:ascii="Times New Roman" w:hAnsi="Times New Roman"/>
          <w:sz w:val="20"/>
        </w:rPr>
        <w:t xml:space="preserve">) as our independent registered public accounting firm for the fiscal year ending December 31, 2023 and has further directed that management submit the selection of its independent registered public accounting firm for ratification by the stockholders at the Annual Meeting. Ernst &amp; Young has audited the financial statements of Tempest since 2021 and, prior to the completion of the Merger, was the independent registered public accounting firm for Millendo since 2016. Representatives of Ernst &amp; Young are expected to be present at the Annual Meeting. They will have an opportunity to make a statement if they so desire and will be available to respond to appropriate questions. </w:t>
      </w:r>
    </w:p>
    <w:p>
      <w:pPr>
        <w:pStyle w:val="TextBody"/>
        <w:spacing w:before="240" w:after="0"/>
        <w:jc w:val="left"/>
        <w:rPr>
          <w:rFonts w:ascii="Times New Roman" w:hAnsi="Times New Roman"/>
          <w:sz w:val="20"/>
        </w:rPr>
      </w:pPr>
      <w:r>
        <w:rPr>
          <w:rFonts w:ascii="Times New Roman" w:hAnsi="Times New Roman"/>
          <w:sz w:val="20"/>
        </w:rPr>
        <w:t xml:space="preserve">Neither our Bylaws nor other governing documents or law require stockholder ratification of the selection of Ernst &amp; Young as our independent registered public accounting firm. However, the Audit Committee is submitting the selection of Ernst &amp; Young to the stockholders for ratification as a matter of good corporate practice. If the stockholders fail to ratify the selection, the Audit Committee will reconsider whether or not to retain that firm. Even if the selection is ratified, the Audit Committee in its discretion may direct the appointment of different independent auditors at any time during the year if they determine that such a change would be in the best interests of Tempest and our stockholders. </w:t>
      </w:r>
    </w:p>
    <w:p>
      <w:pPr>
        <w:pStyle w:val="TextBody"/>
        <w:spacing w:before="360" w:after="0"/>
        <w:jc w:val="left"/>
        <w:rPr>
          <w:rFonts w:ascii="Times New Roman" w:hAnsi="Times New Roman"/>
          <w:b/>
          <w:sz w:val="20"/>
        </w:rPr>
      </w:pPr>
      <w:r>
        <w:rPr>
          <w:rFonts w:ascii="Times New Roman" w:hAnsi="Times New Roman"/>
          <w:b/>
          <w:sz w:val="20"/>
        </w:rPr>
        <w:t xml:space="preserve">PRINCIPAL ACCOUNTANT FEES AND SERVICES </w:t>
      </w:r>
    </w:p>
    <w:p>
      <w:pPr>
        <w:pStyle w:val="TextBody"/>
        <w:spacing w:before="120" w:after="0"/>
        <w:jc w:val="left"/>
        <w:rPr>
          <w:rFonts w:ascii="Times New Roman" w:hAnsi="Times New Roman"/>
          <w:sz w:val="20"/>
        </w:rPr>
      </w:pPr>
      <w:r>
        <w:rPr>
          <w:rFonts w:ascii="Times New Roman" w:hAnsi="Times New Roman"/>
          <w:sz w:val="20"/>
        </w:rPr>
        <w:t xml:space="preserve">The following table represents aggregate fees billed to the Company, including fees incurred by Millendo prior to the completion of the Merger, for the fiscal years ended December 31, 2022 and 2021 by Ernst &amp; Young, the Companys principal accountant.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343"/>
        <w:gridCol w:w="406"/>
        <w:gridCol w:w="140"/>
        <w:gridCol w:w="1097"/>
        <w:gridCol w:w="60"/>
        <w:gridCol w:w="406"/>
        <w:gridCol w:w="140"/>
        <w:gridCol w:w="1097"/>
        <w:gridCol w:w="66"/>
      </w:tblGrid>
      <w:tr>
        <w:trPr/>
        <w:tc>
          <w:tcPr>
            <w:tcW w:w="4343"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r>
      <w:tr>
        <w:trPr/>
        <w:tc>
          <w:tcPr>
            <w:tcW w:w="4343"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294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Fiscal Year Ended</w:t>
            </w:r>
          </w:p>
        </w:tc>
        <w:tc>
          <w:tcPr>
            <w:tcW w:w="66" w:type="dxa"/>
            <w:tcBorders/>
            <w:shd w:fill="auto" w:val="clear"/>
            <w:vAlign w:val="bottom"/>
          </w:tcPr>
          <w:p>
            <w:pPr>
              <w:pStyle w:val="TableContents"/>
              <w:spacing w:before="0" w:after="283"/>
              <w:rPr/>
            </w:pPr>
            <w:r>
              <w:rPr/>
              <w:t> </w:t>
            </w:r>
          </w:p>
        </w:tc>
      </w:tr>
      <w:tr>
        <w:trPr/>
        <w:tc>
          <w:tcPr>
            <w:tcW w:w="4343"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23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0"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23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66" w:type="dxa"/>
            <w:tcBorders/>
            <w:shd w:fill="auto" w:val="clear"/>
            <w:vAlign w:val="bottom"/>
          </w:tcPr>
          <w:p>
            <w:pPr>
              <w:pStyle w:val="TableContents"/>
              <w:spacing w:before="0" w:after="283"/>
              <w:rPr/>
            </w:pPr>
            <w:r>
              <w:rPr/>
              <w:t> </w:t>
            </w:r>
          </w:p>
        </w:tc>
      </w:tr>
      <w:tr>
        <w:trPr/>
        <w:tc>
          <w:tcPr>
            <w:tcW w:w="4343" w:type="dxa"/>
            <w:tcBorders/>
            <w:shd w:fill="CCEEFF" w:val="clear"/>
          </w:tcPr>
          <w:p>
            <w:pPr>
              <w:pStyle w:val="TableContents"/>
              <w:spacing w:before="0" w:after="0"/>
              <w:rPr>
                <w:rFonts w:ascii="Times New Roman" w:hAnsi="Times New Roman"/>
                <w:sz w:val="20"/>
              </w:rPr>
            </w:pPr>
            <w:r>
              <w:rPr>
                <w:rFonts w:ascii="Times New Roman" w:hAnsi="Times New Roman"/>
                <w:sz w:val="20"/>
              </w:rPr>
              <w:t>Audit Fees(1)</w:t>
            </w:r>
          </w:p>
        </w:tc>
        <w:tc>
          <w:tcPr>
            <w:tcW w:w="40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097" w:type="dxa"/>
            <w:tcBorders/>
            <w:shd w:fill="CCEEFF" w:val="clear"/>
            <w:vAlign w:val="bottom"/>
          </w:tcPr>
          <w:p>
            <w:pPr>
              <w:pStyle w:val="TableContents"/>
              <w:spacing w:before="0" w:after="283"/>
              <w:jc w:val="right"/>
              <w:rPr/>
            </w:pPr>
            <w:r>
              <w:rPr/>
              <w:t>1,015,000</w:t>
            </w:r>
          </w:p>
        </w:tc>
        <w:tc>
          <w:tcPr>
            <w:tcW w:w="60"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097" w:type="dxa"/>
            <w:tcBorders/>
            <w:shd w:fill="CCEEFF" w:val="clear"/>
            <w:vAlign w:val="bottom"/>
          </w:tcPr>
          <w:p>
            <w:pPr>
              <w:pStyle w:val="TableContents"/>
              <w:spacing w:before="0" w:after="283"/>
              <w:jc w:val="right"/>
              <w:rPr/>
            </w:pPr>
            <w:r>
              <w:rPr/>
              <w:t>1,059,000</w:t>
            </w:r>
          </w:p>
        </w:tc>
        <w:tc>
          <w:tcPr>
            <w:tcW w:w="66" w:type="dxa"/>
            <w:tcBorders/>
            <w:shd w:fill="CCEEFF" w:val="clear"/>
            <w:vAlign w:val="bottom"/>
          </w:tcPr>
          <w:p>
            <w:pPr>
              <w:pStyle w:val="TableContents"/>
              <w:spacing w:before="0" w:after="283"/>
              <w:rPr/>
            </w:pPr>
            <w:r>
              <w:rPr/>
              <w:t> </w:t>
            </w:r>
          </w:p>
        </w:tc>
      </w:tr>
      <w:tr>
        <w:trPr/>
        <w:tc>
          <w:tcPr>
            <w:tcW w:w="4343" w:type="dxa"/>
            <w:tcBorders/>
            <w:shd w:fill="auto" w:val="clear"/>
          </w:tcPr>
          <w:p>
            <w:pPr>
              <w:pStyle w:val="TableContents"/>
              <w:spacing w:before="0" w:after="0"/>
              <w:rPr>
                <w:rFonts w:ascii="Times New Roman" w:hAnsi="Times New Roman"/>
                <w:sz w:val="20"/>
              </w:rPr>
            </w:pPr>
            <w:r>
              <w:rPr>
                <w:rFonts w:ascii="Times New Roman" w:hAnsi="Times New Roman"/>
                <w:sz w:val="20"/>
              </w:rPr>
              <w:t>Audit-related Fees</w:t>
            </w:r>
          </w:p>
        </w:tc>
        <w:tc>
          <w:tcPr>
            <w:tcW w:w="4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pPr>
            <w:r>
              <w:rPr/>
              <w:t>  </w:t>
            </w:r>
          </w:p>
        </w:tc>
        <w:tc>
          <w:tcPr>
            <w:tcW w:w="66" w:type="dxa"/>
            <w:tcBorders/>
            <w:shd w:fill="auto" w:val="clear"/>
            <w:vAlign w:val="bottom"/>
          </w:tcPr>
          <w:p>
            <w:pPr>
              <w:pStyle w:val="TableContents"/>
              <w:spacing w:before="0" w:after="283"/>
              <w:rPr/>
            </w:pPr>
            <w:r>
              <w:rPr/>
              <w:t> </w:t>
            </w:r>
          </w:p>
        </w:tc>
      </w:tr>
      <w:tr>
        <w:trPr/>
        <w:tc>
          <w:tcPr>
            <w:tcW w:w="4343" w:type="dxa"/>
            <w:tcBorders/>
            <w:shd w:fill="CCEEFF" w:val="clear"/>
          </w:tcPr>
          <w:p>
            <w:pPr>
              <w:pStyle w:val="TableContents"/>
              <w:spacing w:before="0" w:after="0"/>
              <w:rPr>
                <w:rFonts w:ascii="Times New Roman" w:hAnsi="Times New Roman"/>
                <w:sz w:val="20"/>
              </w:rPr>
            </w:pPr>
            <w:r>
              <w:rPr>
                <w:rFonts w:ascii="Times New Roman" w:hAnsi="Times New Roman"/>
                <w:sz w:val="20"/>
              </w:rPr>
              <w:t>Tax Fees(2)</w:t>
            </w:r>
          </w:p>
        </w:tc>
        <w:tc>
          <w:tcPr>
            <w:tcW w:w="40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pPr>
            <w:r>
              <w:rPr/>
              <w:t>91,500</w:t>
            </w:r>
          </w:p>
        </w:tc>
        <w:tc>
          <w:tcPr>
            <w:tcW w:w="66" w:type="dxa"/>
            <w:tcBorders/>
            <w:shd w:fill="CCEEFF" w:val="clear"/>
            <w:vAlign w:val="bottom"/>
          </w:tcPr>
          <w:p>
            <w:pPr>
              <w:pStyle w:val="TableContents"/>
              <w:spacing w:before="0" w:after="283"/>
              <w:rPr/>
            </w:pPr>
            <w:r>
              <w:rPr/>
              <w:t> </w:t>
            </w:r>
          </w:p>
        </w:tc>
      </w:tr>
      <w:tr>
        <w:trPr/>
        <w:tc>
          <w:tcPr>
            <w:tcW w:w="4343" w:type="dxa"/>
            <w:tcBorders/>
            <w:shd w:fill="auto" w:val="clear"/>
          </w:tcPr>
          <w:p>
            <w:pPr>
              <w:pStyle w:val="TableContents"/>
              <w:spacing w:before="0" w:after="0"/>
              <w:rPr>
                <w:rFonts w:ascii="Times New Roman" w:hAnsi="Times New Roman"/>
                <w:sz w:val="20"/>
              </w:rPr>
            </w:pPr>
            <w:r>
              <w:rPr>
                <w:rFonts w:ascii="Times New Roman" w:hAnsi="Times New Roman"/>
                <w:sz w:val="20"/>
              </w:rPr>
              <w:t>All Other Fees</w:t>
            </w:r>
          </w:p>
        </w:tc>
        <w:tc>
          <w:tcPr>
            <w:tcW w:w="4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pPr>
            <w:r>
              <w:rPr/>
              <w:t>  </w:t>
            </w:r>
          </w:p>
        </w:tc>
        <w:tc>
          <w:tcPr>
            <w:tcW w:w="66" w:type="dxa"/>
            <w:tcBorders/>
            <w:shd w:fill="auto" w:val="clear"/>
            <w:vAlign w:val="bottom"/>
          </w:tcPr>
          <w:p>
            <w:pPr>
              <w:pStyle w:val="TableContents"/>
              <w:spacing w:before="0" w:after="283"/>
              <w:rPr/>
            </w:pPr>
            <w:r>
              <w:rPr/>
              <w:t> </w:t>
            </w:r>
          </w:p>
        </w:tc>
      </w:tr>
      <w:tr>
        <w:trPr/>
        <w:tc>
          <w:tcPr>
            <w:tcW w:w="4343" w:type="dxa"/>
            <w:tcBorders/>
            <w:shd w:fill="auto" w:val="clear"/>
            <w:vAlign w:val="bottom"/>
          </w:tcPr>
          <w:p>
            <w:pPr>
              <w:pStyle w:val="TableContents"/>
              <w:spacing w:before="0" w:after="283"/>
              <w:rPr>
                <w:sz w:val="4"/>
                <w:szCs w:val="4"/>
              </w:rPr>
            </w:pPr>
            <w:r>
              <w:rPr>
                <w:sz w:val="4"/>
                <w:szCs w:val="4"/>
              </w:rPr>
            </w:r>
          </w:p>
        </w:tc>
        <w:tc>
          <w:tcPr>
            <w:tcW w:w="4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9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97" w:type="dxa"/>
            <w:tcBorders/>
            <w:shd w:fill="auto" w:val="clear"/>
            <w:vAlign w:val="bottom"/>
          </w:tcPr>
          <w:p>
            <w:pPr>
              <w:pStyle w:val="TableContents"/>
              <w:pBdr>
                <w:top w:val="single" w:sz="2" w:space="1" w:color="000000"/>
              </w:pBdr>
              <w:spacing w:before="0" w:after="0"/>
              <w:rPr/>
            </w:pPr>
            <w:r>
              <w:rPr/>
              <w:t> </w:t>
            </w:r>
          </w:p>
        </w:tc>
        <w:tc>
          <w:tcPr>
            <w:tcW w:w="66" w:type="dxa"/>
            <w:tcBorders/>
            <w:shd w:fill="auto" w:val="clear"/>
            <w:vAlign w:val="center"/>
          </w:tcPr>
          <w:p>
            <w:pPr>
              <w:pStyle w:val="TableContents"/>
              <w:spacing w:before="0" w:after="283"/>
              <w:rPr/>
            </w:pPr>
            <w:r>
              <w:rPr/>
              <w:t> </w:t>
            </w:r>
          </w:p>
        </w:tc>
      </w:tr>
      <w:tr>
        <w:trPr/>
        <w:tc>
          <w:tcPr>
            <w:tcW w:w="4343" w:type="dxa"/>
            <w:tcBorders/>
            <w:shd w:fill="CCEEFF" w:val="clear"/>
          </w:tcPr>
          <w:p>
            <w:pPr>
              <w:pStyle w:val="TableContents"/>
              <w:spacing w:before="0" w:after="0"/>
              <w:rPr>
                <w:rFonts w:ascii="Times New Roman" w:hAnsi="Times New Roman"/>
                <w:sz w:val="20"/>
              </w:rPr>
            </w:pPr>
            <w:r>
              <w:rPr>
                <w:rFonts w:ascii="Times New Roman" w:hAnsi="Times New Roman"/>
                <w:sz w:val="20"/>
              </w:rPr>
              <w:t>Total Fees</w:t>
            </w:r>
          </w:p>
        </w:tc>
        <w:tc>
          <w:tcPr>
            <w:tcW w:w="40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097" w:type="dxa"/>
            <w:tcBorders/>
            <w:shd w:fill="CCEEFF" w:val="clear"/>
            <w:vAlign w:val="bottom"/>
          </w:tcPr>
          <w:p>
            <w:pPr>
              <w:pStyle w:val="TableContents"/>
              <w:spacing w:before="0" w:after="283"/>
              <w:jc w:val="right"/>
              <w:rPr/>
            </w:pPr>
            <w:r>
              <w:rPr/>
              <w:t>1,015,000</w:t>
            </w:r>
          </w:p>
        </w:tc>
        <w:tc>
          <w:tcPr>
            <w:tcW w:w="60"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097" w:type="dxa"/>
            <w:tcBorders/>
            <w:shd w:fill="CCEEFF" w:val="clear"/>
            <w:vAlign w:val="bottom"/>
          </w:tcPr>
          <w:p>
            <w:pPr>
              <w:pStyle w:val="TableContents"/>
              <w:spacing w:before="0" w:after="283"/>
              <w:jc w:val="right"/>
              <w:rPr/>
            </w:pPr>
            <w:r>
              <w:rPr/>
              <w:t>1,150,500</w:t>
            </w:r>
          </w:p>
        </w:tc>
        <w:tc>
          <w:tcPr>
            <w:tcW w:w="66" w:type="dxa"/>
            <w:tcBorders/>
            <w:shd w:fill="CCEEFF" w:val="clear"/>
            <w:vAlign w:val="bottom"/>
          </w:tcPr>
          <w:p>
            <w:pPr>
              <w:pStyle w:val="TableContents"/>
              <w:spacing w:before="0" w:after="283"/>
              <w:rPr/>
            </w:pPr>
            <w:r>
              <w:rPr/>
              <w:t> </w:t>
            </w:r>
          </w:p>
        </w:tc>
      </w:tr>
      <w:tr>
        <w:trPr/>
        <w:tc>
          <w:tcPr>
            <w:tcW w:w="4343" w:type="dxa"/>
            <w:tcBorders/>
            <w:shd w:fill="auto" w:val="clear"/>
            <w:vAlign w:val="bottom"/>
          </w:tcPr>
          <w:p>
            <w:pPr>
              <w:pStyle w:val="TableContents"/>
              <w:spacing w:before="0" w:after="283"/>
              <w:rPr>
                <w:sz w:val="4"/>
                <w:szCs w:val="4"/>
              </w:rPr>
            </w:pPr>
            <w:r>
              <w:rPr>
                <w:sz w:val="4"/>
                <w:szCs w:val="4"/>
              </w:rPr>
            </w:r>
          </w:p>
        </w:tc>
        <w:tc>
          <w:tcPr>
            <w:tcW w:w="4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097"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097" w:type="dxa"/>
            <w:tcBorders/>
            <w:shd w:fill="auto" w:val="clear"/>
            <w:vAlign w:val="bottom"/>
          </w:tcPr>
          <w:p>
            <w:pPr>
              <w:pStyle w:val="TableContents"/>
              <w:pBdr>
                <w:top w:val="double" w:sz="6" w:space="1" w:color="000000"/>
              </w:pBdr>
              <w:spacing w:before="0" w:after="0"/>
              <w:rPr/>
            </w:pPr>
            <w:r>
              <w:rPr/>
              <w:t> </w:t>
            </w:r>
          </w:p>
        </w:tc>
        <w:tc>
          <w:tcPr>
            <w:tcW w:w="66" w:type="dxa"/>
            <w:tcBorders/>
            <w:shd w:fill="auto"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Audit fees relate to the audit of our annual financial statements, review of interim financial statements and assistance with registration statements filed with the SEC.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Tax fees represent services related to tax compliance and tax advisory services. </w:t>
            </w:r>
          </w:p>
        </w:tc>
      </w:tr>
    </w:tbl>
    <w:p>
      <w:pPr>
        <w:pStyle w:val="TextBody"/>
        <w:spacing w:before="240" w:after="0"/>
        <w:jc w:val="left"/>
        <w:rPr>
          <w:rFonts w:ascii="Times New Roman" w:hAnsi="Times New Roman"/>
          <w:sz w:val="20"/>
        </w:rPr>
      </w:pPr>
      <w:r>
        <w:rPr>
          <w:rFonts w:ascii="Times New Roman" w:hAnsi="Times New Roman"/>
          <w:sz w:val="20"/>
        </w:rPr>
        <w:t xml:space="preserve">All fees described above were pre-approved by the Audit Committee. </w:t>
      </w:r>
    </w:p>
    <w:p>
      <w:pPr>
        <w:pStyle w:val="TextBody"/>
        <w:spacing w:before="360" w:after="0"/>
        <w:jc w:val="left"/>
        <w:rPr>
          <w:rFonts w:ascii="Times New Roman" w:hAnsi="Times New Roman"/>
          <w:b/>
          <w:sz w:val="20"/>
        </w:rPr>
      </w:pPr>
      <w:r>
        <w:rPr>
          <w:rFonts w:ascii="Times New Roman" w:hAnsi="Times New Roman"/>
          <w:b/>
          <w:sz w:val="20"/>
        </w:rPr>
        <w:t xml:space="preserve">PRE-APPROVAL POLICIES AND PROCEDURES </w:t>
      </w:r>
    </w:p>
    <w:p>
      <w:pPr>
        <w:pStyle w:val="TextBody"/>
        <w:spacing w:before="120" w:after="0"/>
        <w:jc w:val="left"/>
        <w:rPr>
          <w:rFonts w:ascii="Times New Roman" w:hAnsi="Times New Roman"/>
          <w:sz w:val="20"/>
        </w:rPr>
      </w:pPr>
      <w:r>
        <w:rPr>
          <w:rFonts w:ascii="Times New Roman" w:hAnsi="Times New Roman"/>
          <w:sz w:val="20"/>
        </w:rPr>
        <w:t xml:space="preserve">The Audit Committee has adopted a pre-approval policy under which the Audit Committee approves in advance all audit and permissible non-audit services to be performed by the independent accountants (subject to a de minimis exception). These services may include audit services, audit-related services, tax services, and other non-audit services. As part of its pre-approval policy, the Audit Committee considers whether the provision of any proposed non-audit services is consistent with the SECs rules on auditor independence. In accordance with its pre-approval policy, the Audit Committee has pre-approved certain specified audit and non-audit services to be provided by our independent auditor. If there are any additional services to be provided, a request for pre-approval must be submitted to the Audit Committee for its consideration under the policy. The Audit Committee generally pre-approves particular services or categories of services on a case-by-case basis. Finally, in accordance with the pre-approval policy, the Audit Committee has delegated pre-approval authority to the Chair of the Audit Committee. The Chair must report any pre-approval decisions to the Audit Committee at its next meeting. The Audit Committee has determined that the rendering of services other than audit services by Ernst &amp; Young is compatible with maintaining the principal accountants independence.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VOTE REQUIRED </w:t>
      </w:r>
    </w:p>
    <w:p>
      <w:pPr>
        <w:pStyle w:val="TextBody"/>
        <w:spacing w:before="120" w:after="0"/>
        <w:jc w:val="left"/>
        <w:rPr>
          <w:rFonts w:ascii="Times New Roman" w:hAnsi="Times New Roman"/>
          <w:sz w:val="20"/>
        </w:rPr>
      </w:pPr>
      <w:r>
        <w:rPr>
          <w:rFonts w:ascii="Times New Roman" w:hAnsi="Times New Roman"/>
          <w:sz w:val="20"/>
        </w:rPr>
        <w:t xml:space="preserve">The affirmative vote of a majority of the voting power of the votes cast by the holders of all the shares present or represented by proxy at the Annual Meeting and voting on such matter will be required to ratify the selection of Ernst &amp; Young. </w:t>
      </w:r>
    </w:p>
    <w:p>
      <w:pPr>
        <w:pStyle w:val="TextBody"/>
        <w:spacing w:before="360" w:after="0"/>
        <w:jc w:val="left"/>
        <w:rPr>
          <w:rFonts w:ascii="Times New Roman" w:hAnsi="Times New Roman"/>
          <w:b/>
          <w:sz w:val="20"/>
        </w:rPr>
      </w:pPr>
      <w:r>
        <w:rPr>
          <w:rFonts w:ascii="Times New Roman" w:hAnsi="Times New Roman"/>
          <w:b/>
          <w:sz w:val="20"/>
        </w:rPr>
        <w:t xml:space="preserve">OUR RECOMMENDATION </w:t>
      </w:r>
    </w:p>
    <w:p>
      <w:pPr>
        <w:pStyle w:val="TextBody"/>
        <w:spacing w:before="240" w:after="0"/>
        <w:jc w:val="center"/>
        <w:rPr>
          <w:rFonts w:ascii="Times New Roman" w:hAnsi="Times New Roman"/>
          <w:b/>
          <w:sz w:val="20"/>
        </w:rPr>
      </w:pPr>
      <w:r>
        <w:rPr>
          <w:rFonts w:ascii="Times New Roman" w:hAnsi="Times New Roman"/>
          <w:b/>
          <w:sz w:val="20"/>
        </w:rPr>
        <w:t xml:space="preserve">THE BOARD OF DIRECTORS RECOMMENDS </w:t>
      </w:r>
    </w:p>
    <w:p>
      <w:pPr>
        <w:pStyle w:val="TextBody"/>
        <w:spacing w:before="0" w:after="0"/>
        <w:jc w:val="center"/>
        <w:rPr>
          <w:rFonts w:ascii="Times New Roman" w:hAnsi="Times New Roman"/>
          <w:b/>
          <w:sz w:val="20"/>
        </w:rPr>
      </w:pPr>
      <w:r>
        <w:rPr>
          <w:rFonts w:ascii="Times New Roman" w:hAnsi="Times New Roman"/>
          <w:b/>
          <w:sz w:val="20"/>
        </w:rPr>
        <w:t xml:space="preserve">A VOTE IN FAVOR OF PROPOSAL 4.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0" w:name="tx456303_8"/>
      <w:bookmarkEnd w:id="10"/>
      <w:r>
        <w:rPr>
          <w:rFonts w:ascii="Times New Roman" w:hAnsi="Times New Roman"/>
          <w:b/>
          <w:sz w:val="20"/>
        </w:rPr>
        <w:t xml:space="preserve">EXECUTIVE OFFICERS </w:t>
      </w:r>
    </w:p>
    <w:p>
      <w:pPr>
        <w:pStyle w:val="TextBody"/>
        <w:spacing w:before="240" w:after="0"/>
        <w:jc w:val="left"/>
        <w:rPr>
          <w:rFonts w:ascii="Times New Roman" w:hAnsi="Times New Roman"/>
          <w:sz w:val="20"/>
        </w:rPr>
      </w:pPr>
      <w:r>
        <w:rPr>
          <w:rFonts w:ascii="Times New Roman" w:hAnsi="Times New Roman"/>
          <w:sz w:val="20"/>
        </w:rPr>
        <w:t xml:space="preserve">The following table sets forth information regarding our executive officers as of the date of this proxy statement.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675"/>
        <w:gridCol w:w="205"/>
        <w:gridCol w:w="312"/>
        <w:gridCol w:w="205"/>
        <w:gridCol w:w="5808"/>
      </w:tblGrid>
      <w:tr>
        <w:trPr/>
        <w:tc>
          <w:tcPr>
            <w:tcW w:w="367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sz w:val="4"/>
                <w:szCs w:val="4"/>
              </w:rPr>
            </w:pPr>
            <w:r>
              <w:rPr>
                <w:sz w:val="4"/>
                <w:szCs w:val="4"/>
              </w:rPr>
            </w:r>
          </w:p>
        </w:tc>
        <w:tc>
          <w:tcPr>
            <w:tcW w:w="5808" w:type="dxa"/>
            <w:tcBorders/>
            <w:shd w:fill="auto" w:val="clear"/>
            <w:vAlign w:val="center"/>
          </w:tcPr>
          <w:p>
            <w:pPr>
              <w:pStyle w:val="TableContents"/>
              <w:spacing w:before="0" w:after="283"/>
              <w:rPr>
                <w:sz w:val="4"/>
                <w:szCs w:val="4"/>
              </w:rPr>
            </w:pPr>
            <w:r>
              <w:rPr>
                <w:sz w:val="4"/>
                <w:szCs w:val="4"/>
              </w:rPr>
            </w:r>
          </w:p>
        </w:tc>
      </w:tr>
      <w:tr>
        <w:trPr/>
        <w:tc>
          <w:tcPr>
            <w:tcW w:w="3675"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Name</w:t>
            </w:r>
          </w:p>
        </w:tc>
        <w:tc>
          <w:tcPr>
            <w:tcW w:w="205" w:type="dxa"/>
            <w:tcBorders/>
            <w:shd w:fill="auto" w:val="clear"/>
            <w:vAlign w:val="bottom"/>
          </w:tcPr>
          <w:p>
            <w:pPr>
              <w:pStyle w:val="TableContents"/>
              <w:spacing w:before="0" w:after="283"/>
              <w:rPr/>
            </w:pPr>
            <w:r>
              <w:rPr/>
              <w:t>  </w:t>
            </w:r>
          </w:p>
        </w:tc>
        <w:tc>
          <w:tcPr>
            <w:tcW w:w="312"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Age</w:t>
            </w:r>
          </w:p>
        </w:tc>
        <w:tc>
          <w:tcPr>
            <w:tcW w:w="205" w:type="dxa"/>
            <w:tcBorders/>
            <w:shd w:fill="auto" w:val="clear"/>
            <w:vAlign w:val="bottom"/>
          </w:tcPr>
          <w:p>
            <w:pPr>
              <w:pStyle w:val="TableContents"/>
              <w:spacing w:before="0" w:after="283"/>
              <w:rPr/>
            </w:pPr>
            <w:r>
              <w:rPr/>
              <w:t>  </w:t>
            </w:r>
          </w:p>
        </w:tc>
        <w:tc>
          <w:tcPr>
            <w:tcW w:w="5808"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Position</w:t>
            </w:r>
          </w:p>
        </w:tc>
      </w:tr>
      <w:tr>
        <w:trPr/>
        <w:tc>
          <w:tcPr>
            <w:tcW w:w="3675" w:type="dxa"/>
            <w:tcBorders/>
            <w:shd w:fill="auto" w:val="clear"/>
          </w:tcPr>
          <w:p>
            <w:pPr>
              <w:pStyle w:val="TableContents"/>
              <w:spacing w:before="0" w:after="283"/>
              <w:rPr/>
            </w:pPr>
            <w:r>
              <w:rPr/>
              <w:t>Stephen Brady</w:t>
            </w:r>
          </w:p>
        </w:tc>
        <w:tc>
          <w:tcPr>
            <w:tcW w:w="205" w:type="dxa"/>
            <w:tcBorders/>
            <w:shd w:fill="auto" w:val="clear"/>
            <w:vAlign w:val="bottom"/>
          </w:tcPr>
          <w:p>
            <w:pPr>
              <w:pStyle w:val="TableContents"/>
              <w:spacing w:before="0" w:after="283"/>
              <w:rPr/>
            </w:pPr>
            <w:r>
              <w:rPr/>
              <w:t>  </w:t>
            </w:r>
          </w:p>
        </w:tc>
        <w:tc>
          <w:tcPr>
            <w:tcW w:w="312" w:type="dxa"/>
            <w:tcBorders/>
            <w:shd w:fill="auto" w:val="clear"/>
          </w:tcPr>
          <w:p>
            <w:pPr>
              <w:pStyle w:val="TableContents"/>
              <w:spacing w:before="0" w:after="283"/>
              <w:rPr/>
            </w:pPr>
            <w:r>
              <w:rPr/>
              <w:t>53</w:t>
            </w:r>
          </w:p>
        </w:tc>
        <w:tc>
          <w:tcPr>
            <w:tcW w:w="205" w:type="dxa"/>
            <w:tcBorders/>
            <w:shd w:fill="auto" w:val="clear"/>
            <w:vAlign w:val="bottom"/>
          </w:tcPr>
          <w:p>
            <w:pPr>
              <w:pStyle w:val="TableContents"/>
              <w:spacing w:before="0" w:after="283"/>
              <w:rPr/>
            </w:pPr>
            <w:r>
              <w:rPr/>
              <w:t>  </w:t>
            </w:r>
          </w:p>
        </w:tc>
        <w:tc>
          <w:tcPr>
            <w:tcW w:w="5808" w:type="dxa"/>
            <w:tcBorders/>
            <w:shd w:fill="auto" w:val="clear"/>
          </w:tcPr>
          <w:p>
            <w:pPr>
              <w:pStyle w:val="TableContents"/>
              <w:spacing w:before="0" w:after="283"/>
              <w:rPr/>
            </w:pPr>
            <w:r>
              <w:rPr/>
              <w:t>Chief Executive Officer and Director</w:t>
            </w:r>
          </w:p>
        </w:tc>
      </w:tr>
      <w:tr>
        <w:trPr/>
        <w:tc>
          <w:tcPr>
            <w:tcW w:w="3675" w:type="dxa"/>
            <w:tcBorders/>
            <w:shd w:fill="auto" w:val="clear"/>
          </w:tcPr>
          <w:p>
            <w:pPr>
              <w:pStyle w:val="TableContents"/>
              <w:spacing w:before="0" w:after="283"/>
              <w:rPr/>
            </w:pPr>
            <w:r>
              <w:rPr/>
              <w:t>Thomas Dubensky</w:t>
            </w:r>
          </w:p>
        </w:tc>
        <w:tc>
          <w:tcPr>
            <w:tcW w:w="205" w:type="dxa"/>
            <w:tcBorders/>
            <w:shd w:fill="auto" w:val="clear"/>
            <w:vAlign w:val="bottom"/>
          </w:tcPr>
          <w:p>
            <w:pPr>
              <w:pStyle w:val="TableContents"/>
              <w:spacing w:before="0" w:after="283"/>
              <w:rPr/>
            </w:pPr>
            <w:r>
              <w:rPr/>
              <w:t>  </w:t>
            </w:r>
          </w:p>
        </w:tc>
        <w:tc>
          <w:tcPr>
            <w:tcW w:w="312" w:type="dxa"/>
            <w:tcBorders/>
            <w:shd w:fill="auto" w:val="clear"/>
          </w:tcPr>
          <w:p>
            <w:pPr>
              <w:pStyle w:val="TableContents"/>
              <w:spacing w:before="0" w:after="283"/>
              <w:rPr/>
            </w:pPr>
            <w:r>
              <w:rPr/>
              <w:t>65</w:t>
            </w:r>
          </w:p>
        </w:tc>
        <w:tc>
          <w:tcPr>
            <w:tcW w:w="205" w:type="dxa"/>
            <w:tcBorders/>
            <w:shd w:fill="auto" w:val="clear"/>
            <w:vAlign w:val="bottom"/>
          </w:tcPr>
          <w:p>
            <w:pPr>
              <w:pStyle w:val="TableContents"/>
              <w:spacing w:before="0" w:after="283"/>
              <w:rPr/>
            </w:pPr>
            <w:r>
              <w:rPr/>
              <w:t>  </w:t>
            </w:r>
          </w:p>
        </w:tc>
        <w:tc>
          <w:tcPr>
            <w:tcW w:w="5808" w:type="dxa"/>
            <w:tcBorders/>
            <w:shd w:fill="auto" w:val="clear"/>
          </w:tcPr>
          <w:p>
            <w:pPr>
              <w:pStyle w:val="TableContents"/>
              <w:spacing w:before="0" w:after="283"/>
              <w:rPr/>
            </w:pPr>
            <w:r>
              <w:rPr/>
              <w:t>President and Director</w:t>
            </w:r>
          </w:p>
        </w:tc>
      </w:tr>
      <w:tr>
        <w:trPr/>
        <w:tc>
          <w:tcPr>
            <w:tcW w:w="3675" w:type="dxa"/>
            <w:tcBorders/>
            <w:shd w:fill="auto" w:val="clear"/>
          </w:tcPr>
          <w:p>
            <w:pPr>
              <w:pStyle w:val="TableContents"/>
              <w:spacing w:before="0" w:after="283"/>
              <w:rPr/>
            </w:pPr>
            <w:r>
              <w:rPr/>
              <w:t>Samuel Whiting</w:t>
            </w:r>
          </w:p>
        </w:tc>
        <w:tc>
          <w:tcPr>
            <w:tcW w:w="205" w:type="dxa"/>
            <w:tcBorders/>
            <w:shd w:fill="auto" w:val="clear"/>
            <w:vAlign w:val="bottom"/>
          </w:tcPr>
          <w:p>
            <w:pPr>
              <w:pStyle w:val="TableContents"/>
              <w:spacing w:before="0" w:after="283"/>
              <w:rPr/>
            </w:pPr>
            <w:r>
              <w:rPr/>
              <w:t>  </w:t>
            </w:r>
          </w:p>
        </w:tc>
        <w:tc>
          <w:tcPr>
            <w:tcW w:w="312" w:type="dxa"/>
            <w:tcBorders/>
            <w:shd w:fill="auto" w:val="clear"/>
          </w:tcPr>
          <w:p>
            <w:pPr>
              <w:pStyle w:val="TableContents"/>
              <w:spacing w:before="0" w:after="283"/>
              <w:rPr/>
            </w:pPr>
            <w:r>
              <w:rPr/>
              <w:t>57</w:t>
            </w:r>
          </w:p>
        </w:tc>
        <w:tc>
          <w:tcPr>
            <w:tcW w:w="205" w:type="dxa"/>
            <w:tcBorders/>
            <w:shd w:fill="auto" w:val="clear"/>
            <w:vAlign w:val="bottom"/>
          </w:tcPr>
          <w:p>
            <w:pPr>
              <w:pStyle w:val="TableContents"/>
              <w:spacing w:before="0" w:after="283"/>
              <w:rPr/>
            </w:pPr>
            <w:r>
              <w:rPr/>
              <w:t>  </w:t>
            </w:r>
          </w:p>
        </w:tc>
        <w:tc>
          <w:tcPr>
            <w:tcW w:w="5808" w:type="dxa"/>
            <w:tcBorders/>
            <w:shd w:fill="auto" w:val="clear"/>
          </w:tcPr>
          <w:p>
            <w:pPr>
              <w:pStyle w:val="TableContents"/>
              <w:spacing w:before="0" w:after="283"/>
              <w:rPr/>
            </w:pPr>
            <w:r>
              <w:rPr/>
              <w:t>Executive Vice President and Chief Medical Officer</w:t>
            </w:r>
          </w:p>
        </w:tc>
      </w:tr>
      <w:tr>
        <w:trPr/>
        <w:tc>
          <w:tcPr>
            <w:tcW w:w="3675" w:type="dxa"/>
            <w:tcBorders/>
            <w:shd w:fill="auto" w:val="clear"/>
          </w:tcPr>
          <w:p>
            <w:pPr>
              <w:pStyle w:val="TableContents"/>
              <w:spacing w:before="0" w:after="283"/>
              <w:rPr/>
            </w:pPr>
            <w:r>
              <w:rPr/>
              <w:t>Nicholas Maestas</w:t>
            </w:r>
          </w:p>
        </w:tc>
        <w:tc>
          <w:tcPr>
            <w:tcW w:w="205" w:type="dxa"/>
            <w:tcBorders/>
            <w:shd w:fill="auto" w:val="clear"/>
            <w:vAlign w:val="bottom"/>
          </w:tcPr>
          <w:p>
            <w:pPr>
              <w:pStyle w:val="TableContents"/>
              <w:spacing w:before="0" w:after="283"/>
              <w:rPr/>
            </w:pPr>
            <w:r>
              <w:rPr/>
              <w:t>  </w:t>
            </w:r>
          </w:p>
        </w:tc>
        <w:tc>
          <w:tcPr>
            <w:tcW w:w="312" w:type="dxa"/>
            <w:tcBorders/>
            <w:shd w:fill="auto" w:val="clear"/>
          </w:tcPr>
          <w:p>
            <w:pPr>
              <w:pStyle w:val="TableContents"/>
              <w:spacing w:before="0" w:after="283"/>
              <w:rPr/>
            </w:pPr>
            <w:r>
              <w:rPr/>
              <w:t>43</w:t>
            </w:r>
          </w:p>
        </w:tc>
        <w:tc>
          <w:tcPr>
            <w:tcW w:w="205" w:type="dxa"/>
            <w:tcBorders/>
            <w:shd w:fill="auto" w:val="clear"/>
            <w:vAlign w:val="bottom"/>
          </w:tcPr>
          <w:p>
            <w:pPr>
              <w:pStyle w:val="TableContents"/>
              <w:spacing w:before="0" w:after="283"/>
              <w:rPr/>
            </w:pPr>
            <w:r>
              <w:rPr/>
              <w:t>  </w:t>
            </w:r>
          </w:p>
        </w:tc>
        <w:tc>
          <w:tcPr>
            <w:tcW w:w="5808" w:type="dxa"/>
            <w:tcBorders/>
            <w:shd w:fill="auto" w:val="clear"/>
          </w:tcPr>
          <w:p>
            <w:pPr>
              <w:pStyle w:val="TableContents"/>
              <w:spacing w:before="0" w:after="283"/>
              <w:rPr/>
            </w:pPr>
            <w:r>
              <w:rPr/>
              <w:t>Vice President, Strategy and Finance and Corporate Secretary</w:t>
            </w:r>
          </w:p>
        </w:tc>
      </w:tr>
    </w:tbl>
    <w:p>
      <w:pPr>
        <w:pStyle w:val="TextBody"/>
        <w:spacing w:before="240" w:after="0"/>
        <w:jc w:val="left"/>
        <w:rPr>
          <w:rFonts w:ascii="Times New Roman" w:hAnsi="Times New Roman"/>
          <w:sz w:val="20"/>
        </w:rPr>
      </w:pPr>
      <w:r>
        <w:rPr>
          <w:rFonts w:ascii="Times New Roman" w:hAnsi="Times New Roman"/>
          <w:sz w:val="20"/>
        </w:rPr>
        <w:t xml:space="preserve">Biographical information for Mr. Brady and Dr. Dubensky are included above with the director biographies under the caption Information Regarding Director Nominees and Continuing Directors. </w:t>
      </w:r>
    </w:p>
    <w:p>
      <w:pPr>
        <w:pStyle w:val="TextBody"/>
        <w:spacing w:before="360" w:after="0"/>
        <w:jc w:val="left"/>
        <w:rPr>
          <w:rFonts w:ascii="Times New Roman" w:hAnsi="Times New Roman"/>
          <w:b/>
          <w:sz w:val="20"/>
        </w:rPr>
      </w:pPr>
      <w:r>
        <w:rPr>
          <w:rFonts w:ascii="Times New Roman" w:hAnsi="Times New Roman"/>
          <w:b/>
          <w:sz w:val="20"/>
        </w:rPr>
        <w:t xml:space="preserve">SAMUEL WHITING, M.D., PH.D. </w:t>
      </w:r>
    </w:p>
    <w:p>
      <w:pPr>
        <w:pStyle w:val="TextBody"/>
        <w:spacing w:before="120" w:after="0"/>
        <w:jc w:val="left"/>
        <w:rPr>
          <w:rFonts w:ascii="Times New Roman" w:hAnsi="Times New Roman"/>
          <w:sz w:val="20"/>
        </w:rPr>
      </w:pPr>
      <w:r>
        <w:rPr>
          <w:rFonts w:ascii="Times New Roman" w:hAnsi="Times New Roman"/>
          <w:sz w:val="20"/>
        </w:rPr>
        <w:t xml:space="preserve">Dr. Whiting has served as our Executive Vice President and Chief Medical Officer since November 2020. Prior to joining us, Dr. Whiting served as Senior Vice President of Clinical Development at Calithera Biosciences, a clinical-stage biotech company focused on developing treatments for cancer and other life-threatening diseases, from January 2019 to November 2020 and as Vice President, Clinical Development, from May 2016 to December 2018. Before Calithera, Dr. Whiting served as Vice President of Research and Clinical Development at Gradalis and worked in development of small molecule targeted and immuno-oncology agents at VentiRx Pharmaceuticals and Oncothyreon. Prior to joining industry, Dr. Whiting served as Assistant Professor of Medical Oncology at the University of Washington, Assistant Member of Clinical Research at the Fred Hutchinson Cancer Research Center, and Clinical Head of Gastrointestinal Oncology at the Seattle Cancer Care Alliance. Dr. Whiting completed fellowship training in medical oncology at the Fred Hutchinson Cancer Research Center. His training in internal medicine was through the ABIM Research Pathway at the University of Washington. Dr. Whiting received his B.S. with Honors in Chemistry from Lewis and Clark College and his M.D. and Ph.D. in the Medical Scientist Training Program at the University of Washington. </w:t>
      </w:r>
    </w:p>
    <w:p>
      <w:pPr>
        <w:pStyle w:val="TextBody"/>
        <w:spacing w:before="360" w:after="0"/>
        <w:jc w:val="left"/>
        <w:rPr>
          <w:rFonts w:ascii="Times New Roman" w:hAnsi="Times New Roman"/>
          <w:b/>
          <w:sz w:val="20"/>
        </w:rPr>
      </w:pPr>
      <w:r>
        <w:rPr>
          <w:rFonts w:ascii="Times New Roman" w:hAnsi="Times New Roman"/>
          <w:b/>
          <w:sz w:val="20"/>
        </w:rPr>
        <w:t xml:space="preserve">NICHOLAS MAESTAS </w:t>
      </w:r>
    </w:p>
    <w:p>
      <w:pPr>
        <w:pStyle w:val="TextBody"/>
        <w:spacing w:before="120" w:after="0"/>
        <w:jc w:val="left"/>
        <w:rPr>
          <w:rFonts w:ascii="Times New Roman" w:hAnsi="Times New Roman"/>
          <w:sz w:val="20"/>
        </w:rPr>
      </w:pPr>
      <w:r>
        <w:rPr>
          <w:rFonts w:ascii="Times New Roman" w:hAnsi="Times New Roman"/>
          <w:sz w:val="20"/>
        </w:rPr>
        <w:t xml:space="preserve">Mr. Maestas has served as our Vice President, Strategy and Finance since July 2021 and as our Corporate Secretary since September 2022. Prior to joining us, Mr. Maestas served as the head of FP&amp;A and strategic finance at Alector, a biopharmaceutical company that develops therapies for the treatment of neurodegeneration diseases, from July 2019 to July 2021. Prior to joining Alector, from November 2014 to July 2019, Mr. Maestas served in a variety of roles at Immune Design, an oncology immunotherapy company that was acquired by Merck &amp; Co in 2019, including as Senior Director, Corporate Development &amp; Operations from January to July 2019 and Director, Corporate Development &amp; Operations from January 2017 to December 2018. Mr. Maestas received a B.A. in Molecular and Cell Biology from the University of California at Berkeley and an M.B.A from The Wharton School, University of Pennsylvania.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1" w:name="tx456303_9"/>
      <w:bookmarkEnd w:id="11"/>
      <w:r>
        <w:rPr>
          <w:rFonts w:ascii="Times New Roman" w:hAnsi="Times New Roman"/>
          <w:b/>
          <w:sz w:val="20"/>
        </w:rPr>
        <w:t xml:space="preserve">EXECUTIVE AND DIRECTOR COMPENSATION </w:t>
      </w:r>
    </w:p>
    <w:p>
      <w:pPr>
        <w:pStyle w:val="TextBody"/>
        <w:spacing w:before="240" w:after="0"/>
        <w:jc w:val="left"/>
        <w:rPr>
          <w:rFonts w:ascii="Times New Roman" w:hAnsi="Times New Roman"/>
          <w:b/>
          <w:sz w:val="20"/>
        </w:rPr>
      </w:pPr>
      <w:r>
        <w:rPr>
          <w:rFonts w:ascii="Times New Roman" w:hAnsi="Times New Roman"/>
          <w:b/>
          <w:sz w:val="20"/>
        </w:rPr>
        <w:t xml:space="preserve">EXECUTIVE COMPENSATION </w:t>
      </w:r>
    </w:p>
    <w:p>
      <w:pPr>
        <w:pStyle w:val="TextBody"/>
        <w:spacing w:before="120" w:after="0"/>
        <w:jc w:val="left"/>
        <w:rPr>
          <w:rFonts w:ascii="Times New Roman" w:hAnsi="Times New Roman"/>
          <w:b/>
          <w:sz w:val="20"/>
        </w:rPr>
      </w:pPr>
      <w:r>
        <w:rPr>
          <w:rFonts w:ascii="Times New Roman" w:hAnsi="Times New Roman"/>
          <w:b/>
          <w:sz w:val="20"/>
        </w:rPr>
        <w:t xml:space="preserve">Summary Compensation Table </w:t>
      </w:r>
    </w:p>
    <w:p>
      <w:pPr>
        <w:pStyle w:val="TextBody"/>
        <w:spacing w:before="120" w:after="0"/>
        <w:jc w:val="left"/>
        <w:rPr>
          <w:rFonts w:ascii="Times New Roman" w:hAnsi="Times New Roman"/>
          <w:sz w:val="20"/>
        </w:rPr>
      </w:pPr>
      <w:r>
        <w:rPr>
          <w:rFonts w:ascii="Times New Roman" w:hAnsi="Times New Roman"/>
          <w:sz w:val="20"/>
        </w:rPr>
        <w:t>The following table sets forth information for each of the last two completed fiscal years regarding compensation awarded to or earned by all individuals who served as the Companys Chief Executive Officer and the Companys two other most highly compensated executive officers (each a </w:t>
      </w:r>
      <w:r>
        <w:rPr>
          <w:rFonts w:ascii="Times New Roman" w:hAnsi="Times New Roman"/>
          <w:b/>
          <w:i/>
          <w:sz w:val="20"/>
        </w:rPr>
        <w:t>Named Executive Officer</w:t>
      </w:r>
      <w:r>
        <w:rPr>
          <w:rFonts w:ascii="Times New Roman" w:hAnsi="Times New Roman"/>
          <w:sz w:val="20"/>
        </w:rPr>
        <w:t> and collectively, the </w:t>
      </w:r>
      <w:r>
        <w:rPr>
          <w:rFonts w:ascii="Times New Roman" w:hAnsi="Times New Roman"/>
          <w:b/>
          <w:i/>
          <w:sz w:val="20"/>
        </w:rPr>
        <w:t>Named Executive Officers</w:t>
      </w:r>
      <w:r>
        <w:rPr>
          <w:rFonts w:ascii="Times New Roman" w:hAnsi="Times New Roman"/>
          <w:sz w:val="20"/>
        </w:rPr>
        <w:t xml:space="preserve">) during the fiscal years indicated.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448"/>
        <w:gridCol w:w="133"/>
        <w:gridCol w:w="60"/>
        <w:gridCol w:w="500"/>
        <w:gridCol w:w="60"/>
        <w:gridCol w:w="133"/>
        <w:gridCol w:w="60"/>
        <w:gridCol w:w="807"/>
        <w:gridCol w:w="60"/>
        <w:gridCol w:w="133"/>
        <w:gridCol w:w="60"/>
        <w:gridCol w:w="807"/>
        <w:gridCol w:w="60"/>
        <w:gridCol w:w="133"/>
        <w:gridCol w:w="103"/>
        <w:gridCol w:w="1401"/>
        <w:gridCol w:w="60"/>
        <w:gridCol w:w="133"/>
        <w:gridCol w:w="103"/>
        <w:gridCol w:w="1401"/>
        <w:gridCol w:w="355"/>
        <w:gridCol w:w="74"/>
        <w:gridCol w:w="60"/>
        <w:gridCol w:w="990"/>
        <w:gridCol w:w="71"/>
      </w:tblGrid>
      <w:tr>
        <w:trPr/>
        <w:tc>
          <w:tcPr>
            <w:tcW w:w="2448"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140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1401"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7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r>
      <w:tr>
        <w:trPr/>
        <w:tc>
          <w:tcPr>
            <w:tcW w:w="2448"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Name and Principal Position</w:t>
            </w:r>
          </w:p>
        </w:tc>
        <w:tc>
          <w:tcPr>
            <w:tcW w:w="133" w:type="dxa"/>
            <w:tcBorders/>
            <w:shd w:fill="auto" w:val="clear"/>
            <w:vAlign w:val="bottom"/>
          </w:tcPr>
          <w:p>
            <w:pPr>
              <w:pStyle w:val="TableContents"/>
              <w:spacing w:before="0" w:after="283"/>
              <w:rPr/>
            </w:pPr>
            <w:r>
              <w:rPr/>
              <w:t>  </w:t>
            </w:r>
          </w:p>
        </w:tc>
        <w:tc>
          <w:tcPr>
            <w:tcW w:w="5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Year</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6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Salary</w:t>
              <w:br/>
              <w:t>($)</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6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Option</w:t>
              <w:br/>
              <w:t>Awards</w:t>
              <w:br/>
              <w:t>($)(1)(2)</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50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Non-Equity</w:t>
              <w:br/>
              <w:t>Incentive Plan</w:t>
              <w:br/>
              <w:t>Compensation</w:t>
              <w:br/>
              <w:t>($)(3)</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50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All Other</w:t>
              <w:br/>
              <w:t>Compensation</w:t>
              <w:br/>
              <w:t>($)</w:t>
            </w:r>
          </w:p>
        </w:tc>
        <w:tc>
          <w:tcPr>
            <w:tcW w:w="355"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05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br/>
              <w:t>($)</w:t>
            </w:r>
          </w:p>
        </w:tc>
        <w:tc>
          <w:tcPr>
            <w:tcW w:w="71" w:type="dxa"/>
            <w:tcBorders/>
            <w:shd w:fill="auto" w:val="clear"/>
            <w:vAlign w:val="bottom"/>
          </w:tcPr>
          <w:p>
            <w:pPr>
              <w:pStyle w:val="TableContents"/>
              <w:spacing w:before="0" w:after="283"/>
              <w:rPr/>
            </w:pPr>
            <w:r>
              <w:rPr/>
              <w:t> </w:t>
            </w:r>
          </w:p>
        </w:tc>
      </w:tr>
      <w:tr>
        <w:trPr/>
        <w:tc>
          <w:tcPr>
            <w:tcW w:w="2448" w:type="dxa"/>
            <w:tcBorders/>
            <w:shd w:fill="CCEEFF" w:val="clear"/>
          </w:tcPr>
          <w:p>
            <w:pPr>
              <w:pStyle w:val="TableContents"/>
              <w:spacing w:before="0" w:after="0"/>
              <w:rPr>
                <w:rFonts w:ascii="Times New Roman" w:hAnsi="Times New Roman"/>
                <w:sz w:val="20"/>
              </w:rPr>
            </w:pPr>
            <w:r>
              <w:rPr>
                <w:rFonts w:ascii="Times New Roman" w:hAnsi="Times New Roman"/>
                <w:sz w:val="20"/>
              </w:rPr>
              <w:t>Stephen Brady</w:t>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2022</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530,000</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773,416</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401" w:type="dxa"/>
            <w:tcBorders/>
            <w:shd w:fill="CCEEFF" w:val="clear"/>
            <w:vAlign w:val="bottom"/>
          </w:tcPr>
          <w:p>
            <w:pPr>
              <w:pStyle w:val="TableContents"/>
              <w:spacing w:before="0" w:after="283"/>
              <w:jc w:val="right"/>
              <w:rPr/>
            </w:pPr>
            <w:r>
              <w:rPr/>
              <w:t>198,750</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401" w:type="dxa"/>
            <w:tcBorders/>
            <w:shd w:fill="CCEEFF" w:val="clear"/>
            <w:vAlign w:val="bottom"/>
          </w:tcPr>
          <w:p>
            <w:pPr>
              <w:pStyle w:val="TableContents"/>
              <w:spacing w:before="0" w:after="283"/>
              <w:jc w:val="right"/>
              <w:rPr/>
            </w:pPr>
            <w:r>
              <w:rPr/>
              <w:t>12,200</w:t>
            </w:r>
          </w:p>
        </w:tc>
        <w:tc>
          <w:tcPr>
            <w:tcW w:w="355" w:type="dxa"/>
            <w:tcBorders/>
            <w:shd w:fill="CCEEFF" w:val="clear"/>
            <w:vAlign w:val="bottom"/>
          </w:tcPr>
          <w:p>
            <w:pPr>
              <w:pStyle w:val="TableContents"/>
              <w:spacing w:before="0" w:after="283"/>
              <w:rPr/>
            </w:pPr>
            <w:r>
              <w:rPr/>
              <w:t>(4) </w:t>
            </w:r>
          </w:p>
        </w:tc>
        <w:tc>
          <w:tcPr>
            <w:tcW w:w="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0" w:type="dxa"/>
            <w:tcBorders/>
            <w:shd w:fill="CCEEFF" w:val="clear"/>
            <w:vAlign w:val="bottom"/>
          </w:tcPr>
          <w:p>
            <w:pPr>
              <w:pStyle w:val="TableContents"/>
              <w:spacing w:before="0" w:after="283"/>
              <w:jc w:val="right"/>
              <w:rPr/>
            </w:pPr>
            <w:r>
              <w:rPr/>
              <w:t>1,514,366</w:t>
            </w:r>
          </w:p>
        </w:tc>
        <w:tc>
          <w:tcPr>
            <w:tcW w:w="71" w:type="dxa"/>
            <w:tcBorders/>
            <w:shd w:fill="CCEEFF" w:val="clear"/>
            <w:vAlign w:val="bottom"/>
          </w:tcPr>
          <w:p>
            <w:pPr>
              <w:pStyle w:val="TableContents"/>
              <w:spacing w:before="0" w:after="283"/>
              <w:rPr/>
            </w:pPr>
            <w:r>
              <w:rPr/>
              <w:t> </w:t>
            </w:r>
          </w:p>
        </w:tc>
      </w:tr>
      <w:tr>
        <w:trPr/>
        <w:tc>
          <w:tcPr>
            <w:tcW w:w="2448" w:type="dxa"/>
            <w:tcBorders/>
            <w:shd w:fill="auto" w:val="clear"/>
          </w:tcPr>
          <w:p>
            <w:pPr>
              <w:pStyle w:val="TableContents"/>
              <w:spacing w:before="0" w:after="0"/>
              <w:rPr>
                <w:rFonts w:ascii="Times New Roman" w:hAnsi="Times New Roman"/>
                <w:i/>
                <w:sz w:val="20"/>
              </w:rPr>
            </w:pPr>
            <w:r>
              <w:rPr>
                <w:rFonts w:ascii="Times New Roman" w:hAnsi="Times New Roman"/>
                <w:i/>
                <w:sz w:val="20"/>
              </w:rPr>
              <w:t>Chief Executive Officer</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2021</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475,283</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49,325</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401" w:type="dxa"/>
            <w:tcBorders/>
            <w:shd w:fill="auto" w:val="clear"/>
            <w:vAlign w:val="bottom"/>
          </w:tcPr>
          <w:p>
            <w:pPr>
              <w:pStyle w:val="TableContents"/>
              <w:spacing w:before="0" w:after="283"/>
              <w:jc w:val="right"/>
              <w:rPr/>
            </w:pPr>
            <w:r>
              <w:rPr/>
              <w:t>190,113</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401" w:type="dxa"/>
            <w:tcBorders/>
            <w:shd w:fill="auto" w:val="clear"/>
            <w:vAlign w:val="bottom"/>
          </w:tcPr>
          <w:p>
            <w:pPr>
              <w:pStyle w:val="TableContents"/>
              <w:spacing w:before="0" w:after="283"/>
              <w:jc w:val="right"/>
              <w:rPr/>
            </w:pPr>
            <w:r>
              <w:rPr/>
              <w:t>  </w:t>
            </w:r>
          </w:p>
        </w:tc>
        <w:tc>
          <w:tcPr>
            <w:tcW w:w="355"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0" w:type="dxa"/>
            <w:tcBorders/>
            <w:shd w:fill="auto" w:val="clear"/>
            <w:vAlign w:val="bottom"/>
          </w:tcPr>
          <w:p>
            <w:pPr>
              <w:pStyle w:val="TableContents"/>
              <w:spacing w:before="0" w:after="283"/>
              <w:jc w:val="right"/>
              <w:rPr/>
            </w:pPr>
            <w:r>
              <w:rPr/>
              <w:t>714,721</w:t>
            </w:r>
          </w:p>
        </w:tc>
        <w:tc>
          <w:tcPr>
            <w:tcW w:w="71" w:type="dxa"/>
            <w:tcBorders/>
            <w:shd w:fill="auto" w:val="clear"/>
            <w:vAlign w:val="bottom"/>
          </w:tcPr>
          <w:p>
            <w:pPr>
              <w:pStyle w:val="TableContents"/>
              <w:spacing w:before="0" w:after="283"/>
              <w:rPr/>
            </w:pPr>
            <w:r>
              <w:rPr/>
              <w:t> </w:t>
            </w:r>
          </w:p>
        </w:tc>
      </w:tr>
      <w:tr>
        <w:trPr/>
        <w:tc>
          <w:tcPr>
            <w:tcW w:w="2448" w:type="dxa"/>
            <w:tcBorders/>
            <w:shd w:fill="CCEEFF" w:val="clear"/>
          </w:tcPr>
          <w:p>
            <w:pPr>
              <w:pStyle w:val="TableContents"/>
              <w:spacing w:before="0" w:after="0"/>
              <w:rPr>
                <w:rFonts w:ascii="Times New Roman" w:hAnsi="Times New Roman"/>
                <w:sz w:val="20"/>
              </w:rPr>
            </w:pPr>
            <w:r>
              <w:rPr>
                <w:rFonts w:ascii="Times New Roman" w:hAnsi="Times New Roman"/>
                <w:sz w:val="20"/>
              </w:rPr>
              <w:t>Thomas Dubensky</w:t>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2022</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489,541</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415,267</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401" w:type="dxa"/>
            <w:tcBorders/>
            <w:shd w:fill="CCEEFF" w:val="clear"/>
            <w:vAlign w:val="bottom"/>
          </w:tcPr>
          <w:p>
            <w:pPr>
              <w:pStyle w:val="TableContents"/>
              <w:spacing w:before="0" w:after="283"/>
              <w:jc w:val="right"/>
              <w:rPr/>
            </w:pPr>
            <w:r>
              <w:rPr/>
              <w:t>183,578</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401" w:type="dxa"/>
            <w:tcBorders/>
            <w:shd w:fill="CCEEFF" w:val="clear"/>
            <w:vAlign w:val="bottom"/>
          </w:tcPr>
          <w:p>
            <w:pPr>
              <w:pStyle w:val="TableContents"/>
              <w:spacing w:before="0" w:after="283"/>
              <w:jc w:val="right"/>
              <w:rPr/>
            </w:pPr>
            <w:r>
              <w:rPr/>
              <w:t>12,200</w:t>
            </w:r>
          </w:p>
        </w:tc>
        <w:tc>
          <w:tcPr>
            <w:tcW w:w="355" w:type="dxa"/>
            <w:tcBorders/>
            <w:shd w:fill="CCEEFF" w:val="clear"/>
            <w:vAlign w:val="bottom"/>
          </w:tcPr>
          <w:p>
            <w:pPr>
              <w:pStyle w:val="TableContents"/>
              <w:spacing w:before="0" w:after="283"/>
              <w:rPr/>
            </w:pPr>
            <w:r>
              <w:rPr/>
              <w:t>(4) </w:t>
            </w:r>
          </w:p>
        </w:tc>
        <w:tc>
          <w:tcPr>
            <w:tcW w:w="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0" w:type="dxa"/>
            <w:tcBorders/>
            <w:shd w:fill="CCEEFF" w:val="clear"/>
            <w:vAlign w:val="bottom"/>
          </w:tcPr>
          <w:p>
            <w:pPr>
              <w:pStyle w:val="TableContents"/>
              <w:spacing w:before="0" w:after="283"/>
              <w:jc w:val="right"/>
              <w:rPr/>
            </w:pPr>
            <w:r>
              <w:rPr/>
              <w:t>1,100,586</w:t>
            </w:r>
          </w:p>
        </w:tc>
        <w:tc>
          <w:tcPr>
            <w:tcW w:w="71" w:type="dxa"/>
            <w:tcBorders/>
            <w:shd w:fill="CCEEFF" w:val="clear"/>
            <w:vAlign w:val="bottom"/>
          </w:tcPr>
          <w:p>
            <w:pPr>
              <w:pStyle w:val="TableContents"/>
              <w:spacing w:before="0" w:after="283"/>
              <w:rPr/>
            </w:pPr>
            <w:r>
              <w:rPr/>
              <w:t> </w:t>
            </w:r>
          </w:p>
        </w:tc>
      </w:tr>
      <w:tr>
        <w:trPr/>
        <w:tc>
          <w:tcPr>
            <w:tcW w:w="2448" w:type="dxa"/>
            <w:tcBorders/>
            <w:shd w:fill="auto" w:val="clear"/>
          </w:tcPr>
          <w:p>
            <w:pPr>
              <w:pStyle w:val="TableContents"/>
              <w:spacing w:before="0" w:after="0"/>
              <w:rPr>
                <w:rFonts w:ascii="Times New Roman" w:hAnsi="Times New Roman"/>
                <w:i/>
                <w:sz w:val="20"/>
              </w:rPr>
            </w:pPr>
            <w:r>
              <w:rPr>
                <w:rFonts w:ascii="Times New Roman" w:hAnsi="Times New Roman"/>
                <w:i/>
                <w:sz w:val="20"/>
              </w:rPr>
              <w:t>President</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2021</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475,283</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562,094</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401" w:type="dxa"/>
            <w:tcBorders/>
            <w:shd w:fill="auto" w:val="clear"/>
            <w:vAlign w:val="bottom"/>
          </w:tcPr>
          <w:p>
            <w:pPr>
              <w:pStyle w:val="TableContents"/>
              <w:spacing w:before="0" w:after="283"/>
              <w:jc w:val="right"/>
              <w:rPr/>
            </w:pPr>
            <w:r>
              <w:rPr/>
              <w:t>190,113</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401" w:type="dxa"/>
            <w:tcBorders/>
            <w:shd w:fill="auto" w:val="clear"/>
            <w:vAlign w:val="bottom"/>
          </w:tcPr>
          <w:p>
            <w:pPr>
              <w:pStyle w:val="TableContents"/>
              <w:spacing w:before="0" w:after="283"/>
              <w:jc w:val="right"/>
              <w:rPr/>
            </w:pPr>
            <w:r>
              <w:rPr/>
              <w:t>272,677</w:t>
            </w:r>
          </w:p>
        </w:tc>
        <w:tc>
          <w:tcPr>
            <w:tcW w:w="355"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0" w:type="dxa"/>
            <w:tcBorders/>
            <w:shd w:fill="auto" w:val="clear"/>
            <w:vAlign w:val="bottom"/>
          </w:tcPr>
          <w:p>
            <w:pPr>
              <w:pStyle w:val="TableContents"/>
              <w:spacing w:before="0" w:after="283"/>
              <w:jc w:val="right"/>
              <w:rPr/>
            </w:pPr>
            <w:r>
              <w:rPr/>
              <w:t>1,500,167</w:t>
            </w:r>
          </w:p>
        </w:tc>
        <w:tc>
          <w:tcPr>
            <w:tcW w:w="71" w:type="dxa"/>
            <w:tcBorders/>
            <w:shd w:fill="auto" w:val="clear"/>
            <w:vAlign w:val="bottom"/>
          </w:tcPr>
          <w:p>
            <w:pPr>
              <w:pStyle w:val="TableContents"/>
              <w:spacing w:before="0" w:after="283"/>
              <w:rPr/>
            </w:pPr>
            <w:r>
              <w:rPr/>
              <w:t> </w:t>
            </w:r>
          </w:p>
        </w:tc>
      </w:tr>
      <w:tr>
        <w:trPr/>
        <w:tc>
          <w:tcPr>
            <w:tcW w:w="2448" w:type="dxa"/>
            <w:tcBorders/>
            <w:shd w:fill="CCEEFF" w:val="clear"/>
          </w:tcPr>
          <w:p>
            <w:pPr>
              <w:pStyle w:val="TableContents"/>
              <w:spacing w:before="0" w:after="0"/>
              <w:rPr>
                <w:rFonts w:ascii="Times New Roman" w:hAnsi="Times New Roman"/>
                <w:sz w:val="20"/>
              </w:rPr>
            </w:pPr>
            <w:r>
              <w:rPr>
                <w:rFonts w:ascii="Times New Roman" w:hAnsi="Times New Roman"/>
                <w:sz w:val="20"/>
              </w:rPr>
              <w:t>Samuel Whiting</w:t>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2022</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437,000</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242,173</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401" w:type="dxa"/>
            <w:tcBorders/>
            <w:shd w:fill="CCEEFF" w:val="clear"/>
            <w:vAlign w:val="bottom"/>
          </w:tcPr>
          <w:p>
            <w:pPr>
              <w:pStyle w:val="TableContents"/>
              <w:spacing w:before="0" w:after="283"/>
              <w:jc w:val="right"/>
              <w:rPr/>
            </w:pPr>
            <w:r>
              <w:rPr/>
              <w:t>142,025</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401" w:type="dxa"/>
            <w:tcBorders/>
            <w:shd w:fill="CCEEFF" w:val="clear"/>
            <w:vAlign w:val="bottom"/>
          </w:tcPr>
          <w:p>
            <w:pPr>
              <w:pStyle w:val="TableContents"/>
              <w:spacing w:before="0" w:after="283"/>
              <w:jc w:val="right"/>
              <w:rPr/>
            </w:pPr>
            <w:r>
              <w:rPr/>
              <w:t>12,200</w:t>
            </w:r>
          </w:p>
        </w:tc>
        <w:tc>
          <w:tcPr>
            <w:tcW w:w="355" w:type="dxa"/>
            <w:tcBorders/>
            <w:shd w:fill="CCEEFF" w:val="clear"/>
            <w:vAlign w:val="bottom"/>
          </w:tcPr>
          <w:p>
            <w:pPr>
              <w:pStyle w:val="TableContents"/>
              <w:spacing w:before="0" w:after="283"/>
              <w:rPr/>
            </w:pPr>
            <w:r>
              <w:rPr/>
              <w:t>(4) </w:t>
            </w:r>
          </w:p>
        </w:tc>
        <w:tc>
          <w:tcPr>
            <w:tcW w:w="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0" w:type="dxa"/>
            <w:tcBorders/>
            <w:shd w:fill="CCEEFF" w:val="clear"/>
            <w:vAlign w:val="bottom"/>
          </w:tcPr>
          <w:p>
            <w:pPr>
              <w:pStyle w:val="TableContents"/>
              <w:spacing w:before="0" w:after="283"/>
              <w:jc w:val="right"/>
              <w:rPr/>
            </w:pPr>
            <w:r>
              <w:rPr/>
              <w:t>833,398</w:t>
            </w:r>
          </w:p>
        </w:tc>
        <w:tc>
          <w:tcPr>
            <w:tcW w:w="71" w:type="dxa"/>
            <w:tcBorders/>
            <w:shd w:fill="CCEEFF" w:val="clear"/>
            <w:vAlign w:val="bottom"/>
          </w:tcPr>
          <w:p>
            <w:pPr>
              <w:pStyle w:val="TableContents"/>
              <w:spacing w:before="0" w:after="283"/>
              <w:rPr/>
            </w:pPr>
            <w:r>
              <w:rPr/>
              <w:t> </w:t>
            </w:r>
          </w:p>
        </w:tc>
      </w:tr>
      <w:tr>
        <w:trPr/>
        <w:tc>
          <w:tcPr>
            <w:tcW w:w="2448" w:type="dxa"/>
            <w:tcBorders/>
            <w:shd w:fill="auto" w:val="clear"/>
          </w:tcPr>
          <w:p>
            <w:pPr>
              <w:pStyle w:val="TableContents"/>
              <w:spacing w:before="0" w:after="0"/>
              <w:rPr>
                <w:rFonts w:ascii="Times New Roman" w:hAnsi="Times New Roman"/>
                <w:i/>
                <w:sz w:val="20"/>
              </w:rPr>
            </w:pPr>
            <w:r>
              <w:rPr>
                <w:rFonts w:ascii="Times New Roman" w:hAnsi="Times New Roman"/>
                <w:i/>
                <w:sz w:val="20"/>
              </w:rPr>
              <w:t>Chief Medical Officer</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2021</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400,000</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296,737</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401" w:type="dxa"/>
            <w:tcBorders/>
            <w:shd w:fill="auto" w:val="clear"/>
            <w:vAlign w:val="bottom"/>
          </w:tcPr>
          <w:p>
            <w:pPr>
              <w:pStyle w:val="TableContents"/>
              <w:spacing w:before="0" w:after="283"/>
              <w:jc w:val="right"/>
              <w:rPr/>
            </w:pPr>
            <w:r>
              <w:rPr/>
              <w:t>140,000</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401" w:type="dxa"/>
            <w:tcBorders/>
            <w:shd w:fill="auto" w:val="clear"/>
            <w:vAlign w:val="bottom"/>
          </w:tcPr>
          <w:p>
            <w:pPr>
              <w:pStyle w:val="TableContents"/>
              <w:spacing w:before="0" w:after="283"/>
              <w:jc w:val="right"/>
              <w:rPr/>
            </w:pPr>
            <w:r>
              <w:rPr/>
              <w:t>  </w:t>
            </w:r>
          </w:p>
        </w:tc>
        <w:tc>
          <w:tcPr>
            <w:tcW w:w="355"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0" w:type="dxa"/>
            <w:tcBorders/>
            <w:shd w:fill="auto" w:val="clear"/>
            <w:vAlign w:val="bottom"/>
          </w:tcPr>
          <w:p>
            <w:pPr>
              <w:pStyle w:val="TableContents"/>
              <w:spacing w:before="0" w:after="283"/>
              <w:jc w:val="right"/>
              <w:rPr/>
            </w:pPr>
            <w:r>
              <w:rPr/>
              <w:t>836,737</w:t>
            </w:r>
          </w:p>
        </w:tc>
        <w:tc>
          <w:tcPr>
            <w:tcW w:w="71"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Amounts reflect the aggregate grant date fair value of the option awards granted to our named executive officers during the relevant fiscal years under our equity incentive plans, computed in accordance with Financial Accounting Standards Board Accounting Standards Codification Topic 718 (</w:t>
            </w:r>
            <w:r>
              <w:rPr>
                <w:rFonts w:ascii="Times New Roman" w:hAnsi="Times New Roman"/>
                <w:b/>
                <w:i/>
                <w:sz w:val="20"/>
              </w:rPr>
              <w:t>ASC 718</w:t>
            </w:r>
            <w:r>
              <w:rPr>
                <w:rFonts w:ascii="Times New Roman" w:hAnsi="Times New Roman"/>
                <w:sz w:val="20"/>
              </w:rPr>
              <w:t xml:space="preserve">). The assumptions used in calculating the grant date fair value of the options are set forth in the notes to our audited consolidated financial statements included in our Annual Report on Form 10-K for the fiscal year ended December 31, 2022. These amounts do not reflect the actual economic value that may be realized by our named executive officers.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See Narrative Disclosure to Summary Compensation TableEquity-Based Incentive Awards below for a description of the material terms of the program pursuant to which this compensation was awarded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amounts reported in this column represent annual performance-based bonuses earned based on the achievement of company and individual performance goals and other factors deemed relevant by our Board and Compensation Committee. For additional information, see Narrative Disclosure to Summary Compensation Table  Annual Performance-Based Cash Compensation.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amounts reported represent Company matching contributions made by us to the named executive officers 401(k) plan account. </w:t>
            </w:r>
          </w:p>
        </w:tc>
      </w:tr>
    </w:tbl>
    <w:p>
      <w:pPr>
        <w:pStyle w:val="TextBody"/>
        <w:spacing w:before="240" w:after="0"/>
        <w:jc w:val="left"/>
        <w:rPr>
          <w:rFonts w:ascii="Times New Roman" w:hAnsi="Times New Roman"/>
          <w:b/>
          <w:sz w:val="20"/>
        </w:rPr>
      </w:pPr>
      <w:r>
        <w:rPr>
          <w:rFonts w:ascii="Times New Roman" w:hAnsi="Times New Roman"/>
          <w:b/>
          <w:sz w:val="20"/>
        </w:rPr>
        <w:t xml:space="preserve">Narrative Disclosure to the Summary Compensation Table </w:t>
      </w:r>
    </w:p>
    <w:p>
      <w:pPr>
        <w:pStyle w:val="TextBody"/>
        <w:spacing w:before="120" w:after="0"/>
        <w:jc w:val="left"/>
        <w:rPr>
          <w:rFonts w:ascii="Times New Roman" w:hAnsi="Times New Roman"/>
          <w:i/>
          <w:sz w:val="20"/>
        </w:rPr>
      </w:pPr>
      <w:r>
        <w:rPr>
          <w:rFonts w:ascii="Times New Roman" w:hAnsi="Times New Roman"/>
          <w:i/>
          <w:sz w:val="20"/>
        </w:rPr>
        <w:t xml:space="preserve">Annual Base Salary </w:t>
      </w:r>
    </w:p>
    <w:p>
      <w:pPr>
        <w:pStyle w:val="TextBody"/>
        <w:spacing w:before="120" w:after="0"/>
        <w:jc w:val="left"/>
        <w:rPr>
          <w:rFonts w:ascii="Times New Roman" w:hAnsi="Times New Roman"/>
          <w:sz w:val="20"/>
        </w:rPr>
      </w:pPr>
      <w:r>
        <w:rPr>
          <w:rFonts w:ascii="Times New Roman" w:hAnsi="Times New Roman"/>
          <w:sz w:val="20"/>
        </w:rPr>
        <w:t xml:space="preserve">Our named executive officers receive a base salary to compensate them for services rendered to us. The base salary payable to each named executive officer is intended to provide a fixed component of compensation reflecting the executives skill set, experience, role and responsibilities. None of our named executive officers is currently party to an employment agreement or other agreement or arrangement that provides for automatic or scheduled increases in base salary. See Employment Arrangements for additional information. </w:t>
      </w:r>
    </w:p>
    <w:p>
      <w:pPr>
        <w:pStyle w:val="TextBody"/>
        <w:spacing w:before="360" w:after="0"/>
        <w:jc w:val="left"/>
        <w:rPr>
          <w:rFonts w:ascii="Times New Roman" w:hAnsi="Times New Roman"/>
          <w:i/>
          <w:sz w:val="20"/>
        </w:rPr>
      </w:pPr>
      <w:r>
        <w:rPr>
          <w:rFonts w:ascii="Times New Roman" w:hAnsi="Times New Roman"/>
          <w:i/>
          <w:sz w:val="20"/>
        </w:rPr>
        <w:t xml:space="preserve">Equity-Based Incentive Awards </w:t>
      </w:r>
    </w:p>
    <w:p>
      <w:pPr>
        <w:pStyle w:val="TextBody"/>
        <w:spacing w:before="120" w:after="0"/>
        <w:jc w:val="left"/>
        <w:rPr>
          <w:rFonts w:ascii="Times New Roman" w:hAnsi="Times New Roman"/>
          <w:sz w:val="20"/>
        </w:rPr>
      </w:pPr>
      <w:r>
        <w:rPr>
          <w:rFonts w:ascii="Times New Roman" w:hAnsi="Times New Roman"/>
          <w:sz w:val="20"/>
        </w:rPr>
        <w:t xml:space="preserve">Our equity award program is the primary vehicle for offering long-term incentives to our executives. We believe that equity awards provide our executives with a strong link to our long-term performance, create an ownership culture and help to align the interests of our executives and our stockholders. The use of options also can provide tax and other advantages to our executive officers relative to other forms of equity compensation.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We award equity grants broadly to our employees, including to our non-executive employees. Grants to our executives and other employees are made at the discretion of the Board and are generally made upon commencement of employment, promotion or annually during the first quarter of each year. We believe that our equity awards are an important retention tool for our executive officers, as well as for our other employees. </w:t>
      </w:r>
    </w:p>
    <w:p>
      <w:pPr>
        <w:pStyle w:val="TextBody"/>
        <w:spacing w:before="240" w:after="0"/>
        <w:jc w:val="left"/>
        <w:rPr>
          <w:rFonts w:ascii="Times New Roman" w:hAnsi="Times New Roman"/>
          <w:sz w:val="20"/>
        </w:rPr>
      </w:pPr>
      <w:r>
        <w:rPr>
          <w:rFonts w:ascii="Times New Roman" w:hAnsi="Times New Roman"/>
          <w:sz w:val="20"/>
        </w:rPr>
        <w:t xml:space="preserve">In connection with our annual grant process, on January 4, 2022, our Compensation Committee granted each of Mr. Brady, Dr. Dubensky and Dr. Whiting an option to purchase 94,500, 53,100 and 29,000 shares of our common stock, respectively, at an exercise price of $5.45 per share under the 2019 EIP. Each option vests in equal monthly installments over a four-year period, subject to the executives continuous service to us through each vesting date. </w:t>
      </w:r>
    </w:p>
    <w:p>
      <w:pPr>
        <w:pStyle w:val="TextBody"/>
        <w:spacing w:before="240" w:after="0"/>
        <w:jc w:val="left"/>
        <w:rPr>
          <w:rFonts w:ascii="Times New Roman" w:hAnsi="Times New Roman"/>
          <w:sz w:val="20"/>
        </w:rPr>
      </w:pPr>
      <w:r>
        <w:rPr>
          <w:rFonts w:ascii="Times New Roman" w:hAnsi="Times New Roman"/>
          <w:sz w:val="20"/>
        </w:rPr>
        <w:t xml:space="preserve">In June 2022, to enhance motivation and address retention concerns as a result of the general economic pressures and stock volatility and to align our strategic priorities, the Compensation Committee granted retention awards to our employees, including our named executive officers, in the form of stock option awards. Each of Mr. Brady, Dr. Dubensky and Dr. Whiting an option to purchase 173,533, 87,801 and 55,680 shares of our common stock, respectively, at an exercise price of $2.35 per share under the 2019 EIP. Each option vests one-fourth (1/4th) on the first anniversary of the date of grant with the remainder of the award vesting in 36 equal monthly installments thereafter, subject to the executives continuous service to us through each vesting date. </w:t>
      </w:r>
    </w:p>
    <w:p>
      <w:pPr>
        <w:pStyle w:val="TextBody"/>
        <w:spacing w:before="360" w:after="0"/>
        <w:jc w:val="left"/>
        <w:rPr>
          <w:rFonts w:ascii="Times New Roman" w:hAnsi="Times New Roman"/>
          <w:i/>
          <w:sz w:val="20"/>
        </w:rPr>
      </w:pPr>
      <w:r>
        <w:rPr>
          <w:rFonts w:ascii="Times New Roman" w:hAnsi="Times New Roman"/>
          <w:i/>
          <w:sz w:val="20"/>
        </w:rPr>
        <w:t xml:space="preserve">Annual Performance-Based Cash Compensation </w:t>
      </w:r>
    </w:p>
    <w:p>
      <w:pPr>
        <w:pStyle w:val="TextBody"/>
        <w:spacing w:before="120" w:after="0"/>
        <w:jc w:val="left"/>
        <w:rPr>
          <w:rFonts w:ascii="Times New Roman" w:hAnsi="Times New Roman"/>
          <w:sz w:val="20"/>
        </w:rPr>
      </w:pPr>
      <w:r>
        <w:rPr>
          <w:rFonts w:ascii="Times New Roman" w:hAnsi="Times New Roman"/>
          <w:sz w:val="20"/>
        </w:rPr>
        <w:t xml:space="preserve">We develop a performance-based bonus program annually. Under the 2022 annual performance bonus program, each named executive officer was eligible for an annual performance bonus based on (1) the individuals target bonus, as a percentage of annual base salary, and (2) the percentage attainment of our 2022 corporate goals established by our Board in its sole discretion and communicated to each officer. Each named executive officer is assigned a target performance bonus expressed as a percentage of their annual base salary, which for 2022 was 50% for Mr. Brady and Dr. Dubensky and 40% for Dr. Whiting. For 2022, the Compensation Committee recommended and the Board approved a 2022 annual performance-based bonus for each of Mr. Brady, Dr. Dubensky and Dr. Whiting equal to approximately 37.5%, 37.5% and 30%, respectively, of their 2022 annual base salary, which represented achievement of 75% of their respective target bonuses of 50%, 50% and 40%, respectively. These performance-based bonuses are reflected above in the column of the Summary Compensation Table above entitled Non-Equity Incentive Plan Compensation. </w:t>
      </w:r>
    </w:p>
    <w:p>
      <w:pPr>
        <w:pStyle w:val="TextBody"/>
        <w:spacing w:before="360" w:after="0"/>
        <w:jc w:val="left"/>
        <w:rPr>
          <w:rFonts w:ascii="Times New Roman" w:hAnsi="Times New Roman"/>
          <w:b/>
          <w:sz w:val="20"/>
        </w:rPr>
      </w:pPr>
      <w:r>
        <w:rPr>
          <w:rFonts w:ascii="Times New Roman" w:hAnsi="Times New Roman"/>
          <w:b/>
          <w:sz w:val="20"/>
        </w:rPr>
        <w:t xml:space="preserve">Outstanding Equity Awards at Fiscal Year End </w:t>
      </w:r>
    </w:p>
    <w:p>
      <w:pPr>
        <w:pStyle w:val="TextBody"/>
        <w:spacing w:before="120" w:after="0"/>
        <w:jc w:val="left"/>
        <w:rPr>
          <w:rFonts w:ascii="Times New Roman" w:hAnsi="Times New Roman"/>
          <w:sz w:val="20"/>
        </w:rPr>
      </w:pPr>
      <w:r>
        <w:rPr>
          <w:rFonts w:ascii="Times New Roman" w:hAnsi="Times New Roman"/>
          <w:sz w:val="20"/>
        </w:rPr>
        <w:t xml:space="preserve">The following table shows for the fiscal year ended December 31, 2022, certain information regarding outstanding equity awards for the Named Executive Officers.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493"/>
        <w:gridCol w:w="210"/>
        <w:gridCol w:w="88"/>
        <w:gridCol w:w="1104"/>
        <w:gridCol w:w="60"/>
        <w:gridCol w:w="210"/>
        <w:gridCol w:w="125"/>
        <w:gridCol w:w="1576"/>
        <w:gridCol w:w="350"/>
        <w:gridCol w:w="153"/>
        <w:gridCol w:w="102"/>
        <w:gridCol w:w="1176"/>
        <w:gridCol w:w="60"/>
        <w:gridCol w:w="210"/>
        <w:gridCol w:w="99"/>
        <w:gridCol w:w="1368"/>
        <w:gridCol w:w="60"/>
        <w:gridCol w:w="210"/>
        <w:gridCol w:w="141"/>
        <w:gridCol w:w="1343"/>
        <w:gridCol w:w="67"/>
      </w:tblGrid>
      <w:tr>
        <w:trPr/>
        <w:tc>
          <w:tcPr>
            <w:tcW w:w="1493"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76"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136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343"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r>
      <w:tr>
        <w:trPr/>
        <w:tc>
          <w:tcPr>
            <w:tcW w:w="1493"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8435" w:type="dxa"/>
            <w:gridSpan w:val="18"/>
            <w:tcBorders>
              <w:bottom w:val="single" w:sz="8" w:space="0" w:color="000000"/>
            </w:tcBorders>
            <w:shd w:fill="auto" w:val="clear"/>
            <w:tcMar>
              <w:bottom w:w="28" w:type="dxa"/>
            </w:tcMar>
            <w:vAlign w:val="bottom"/>
          </w:tcPr>
          <w:p>
            <w:pPr>
              <w:pStyle w:val="TableContents"/>
              <w:spacing w:before="0" w:after="283"/>
              <w:jc w:val="center"/>
              <w:rPr>
                <w:b/>
              </w:rPr>
            </w:pPr>
            <w:r>
              <w:rPr>
                <w:b/>
              </w:rPr>
              <w:t>Option Awards</w:t>
            </w:r>
          </w:p>
        </w:tc>
        <w:tc>
          <w:tcPr>
            <w:tcW w:w="67" w:type="dxa"/>
            <w:tcBorders/>
            <w:shd w:fill="auto" w:val="clear"/>
            <w:vAlign w:val="bottom"/>
          </w:tcPr>
          <w:p>
            <w:pPr>
              <w:pStyle w:val="TableContents"/>
              <w:spacing w:before="0" w:after="283"/>
              <w:rPr/>
            </w:pPr>
            <w:r>
              <w:rPr/>
              <w:t> </w:t>
            </w:r>
          </w:p>
        </w:tc>
      </w:tr>
      <w:tr>
        <w:trPr/>
        <w:tc>
          <w:tcPr>
            <w:tcW w:w="1493"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Name</w:t>
            </w:r>
          </w:p>
        </w:tc>
        <w:tc>
          <w:tcPr>
            <w:tcW w:w="210" w:type="dxa"/>
            <w:tcBorders/>
            <w:shd w:fill="auto" w:val="clear"/>
            <w:vAlign w:val="bottom"/>
          </w:tcPr>
          <w:p>
            <w:pPr>
              <w:pStyle w:val="TableContents"/>
              <w:spacing w:before="0" w:after="283"/>
              <w:rPr/>
            </w:pPr>
            <w:r>
              <w:rPr/>
              <w:t>  </w:t>
            </w:r>
          </w:p>
        </w:tc>
        <w:tc>
          <w:tcPr>
            <w:tcW w:w="119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Grant Date</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70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Vesting</w:t>
              <w:br/>
              <w:t>Commencement</w:t>
              <w:br/>
              <w:t>Date</w:t>
            </w:r>
          </w:p>
        </w:tc>
        <w:tc>
          <w:tcPr>
            <w:tcW w:w="35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27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w:t>
              <w:br/>
              <w:t>Securities</w:t>
              <w:br/>
              <w:t>Underlying</w:t>
              <w:br/>
              <w:t>Unexercised</w:t>
              <w:br/>
              <w:t>Options</w:t>
              <w:br/>
              <w:t>(#)</w:t>
              <w:br/>
              <w:t>Exercisable</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46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w:t>
              <w:br/>
              <w:t>Securities</w:t>
              <w:br/>
              <w:t>Underlying</w:t>
              <w:br/>
              <w:t>Unexercised</w:t>
              <w:br/>
              <w:t>Options</w:t>
              <w:br/>
              <w:t>(#)</w:t>
              <w:br/>
              <w:t>Unexercisable</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48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Option</w:t>
              <w:br/>
              <w:t>Exercise Price</w:t>
              <w:br/>
              <w:t>($)</w:t>
            </w:r>
          </w:p>
        </w:tc>
        <w:tc>
          <w:tcPr>
            <w:tcW w:w="67" w:type="dxa"/>
            <w:tcBorders/>
            <w:shd w:fill="auto" w:val="clear"/>
            <w:vAlign w:val="bottom"/>
          </w:tcPr>
          <w:p>
            <w:pPr>
              <w:pStyle w:val="TableContents"/>
              <w:spacing w:before="0" w:after="283"/>
              <w:rPr/>
            </w:pPr>
            <w:r>
              <w:rPr/>
              <w:t> </w:t>
            </w:r>
          </w:p>
        </w:tc>
      </w:tr>
      <w:tr>
        <w:trPr/>
        <w:tc>
          <w:tcPr>
            <w:tcW w:w="1493" w:type="dxa"/>
            <w:tcBorders/>
            <w:shd w:fill="CCEEFF" w:val="clear"/>
          </w:tcPr>
          <w:p>
            <w:pPr>
              <w:pStyle w:val="TableContents"/>
              <w:spacing w:before="0" w:after="0"/>
              <w:rPr>
                <w:rFonts w:ascii="Times New Roman" w:hAnsi="Times New Roman"/>
                <w:sz w:val="20"/>
              </w:rPr>
            </w:pPr>
            <w:r>
              <w:rPr>
                <w:rFonts w:ascii="Times New Roman" w:hAnsi="Times New Roman"/>
                <w:sz w:val="20"/>
              </w:rPr>
              <w:t>Stephen Brady</w:t>
            </w:r>
          </w:p>
        </w:tc>
        <w:tc>
          <w:tcPr>
            <w:tcW w:w="21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pPr>
            <w:r>
              <w:rPr/>
              <w:t>6/21/22</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spacing w:before="0" w:after="283"/>
              <w:jc w:val="right"/>
              <w:rPr/>
            </w:pPr>
            <w:r>
              <w:rPr/>
              <w:t>6/21/22</w:t>
            </w:r>
          </w:p>
        </w:tc>
        <w:tc>
          <w:tcPr>
            <w:tcW w:w="350" w:type="dxa"/>
            <w:tcBorders/>
            <w:shd w:fill="CCEEFF" w:val="clear"/>
            <w:vAlign w:val="bottom"/>
          </w:tcPr>
          <w:p>
            <w:pPr>
              <w:pStyle w:val="TableContents"/>
              <w:spacing w:before="0" w:after="283"/>
              <w:rPr/>
            </w:pPr>
            <w:r>
              <w:rPr/>
              <w:t>(4) </w:t>
            </w:r>
          </w:p>
        </w:tc>
        <w:tc>
          <w:tcPr>
            <w:tcW w:w="153"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17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rPr/>
            </w:pPr>
            <w:r>
              <w:rPr/>
              <w:t> </w:t>
            </w:r>
          </w:p>
        </w:tc>
        <w:tc>
          <w:tcPr>
            <w:tcW w:w="1368" w:type="dxa"/>
            <w:tcBorders/>
            <w:shd w:fill="CCEEFF" w:val="clear"/>
            <w:vAlign w:val="bottom"/>
          </w:tcPr>
          <w:p>
            <w:pPr>
              <w:pStyle w:val="TableContents"/>
              <w:spacing w:before="0" w:after="283"/>
              <w:jc w:val="right"/>
              <w:rPr/>
            </w:pPr>
            <w:r>
              <w:rPr/>
              <w:t>173,533</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343" w:type="dxa"/>
            <w:tcBorders/>
            <w:shd w:fill="CCEEFF" w:val="clear"/>
            <w:vAlign w:val="bottom"/>
          </w:tcPr>
          <w:p>
            <w:pPr>
              <w:pStyle w:val="TableContents"/>
              <w:spacing w:before="0" w:after="283"/>
              <w:jc w:val="right"/>
              <w:rPr/>
            </w:pPr>
            <w:r>
              <w:rPr/>
              <w:t>2.35</w:t>
            </w:r>
          </w:p>
        </w:tc>
        <w:tc>
          <w:tcPr>
            <w:tcW w:w="67" w:type="dxa"/>
            <w:tcBorders/>
            <w:shd w:fill="CCEEFF" w:val="clear"/>
            <w:vAlign w:val="bottom"/>
          </w:tcPr>
          <w:p>
            <w:pPr>
              <w:pStyle w:val="TableContents"/>
              <w:spacing w:before="0" w:after="283"/>
              <w:rPr/>
            </w:pPr>
            <w:r>
              <w:rPr/>
              <w:t> </w:t>
            </w:r>
          </w:p>
        </w:tc>
      </w:tr>
      <w:tr>
        <w:trPr/>
        <w:tc>
          <w:tcPr>
            <w:tcW w:w="1493" w:type="dxa"/>
            <w:tcBorders/>
            <w:shd w:fill="auto" w:val="clea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jc w:val="right"/>
              <w:rPr/>
            </w:pPr>
            <w:r>
              <w:rPr/>
              <w:t>1/4/22</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spacing w:before="0" w:after="283"/>
              <w:jc w:val="right"/>
              <w:rPr/>
            </w:pPr>
            <w:r>
              <w:rPr/>
              <w:t>1/4/22</w:t>
            </w:r>
          </w:p>
        </w:tc>
        <w:tc>
          <w:tcPr>
            <w:tcW w:w="350" w:type="dxa"/>
            <w:tcBorders/>
            <w:shd w:fill="auto" w:val="clear"/>
            <w:vAlign w:val="bottom"/>
          </w:tcPr>
          <w:p>
            <w:pPr>
              <w:pStyle w:val="TableContents"/>
              <w:spacing w:before="0" w:after="283"/>
              <w:rPr/>
            </w:pPr>
            <w:r>
              <w:rPr/>
              <w:t>(1) </w:t>
            </w:r>
          </w:p>
        </w:tc>
        <w:tc>
          <w:tcPr>
            <w:tcW w:w="153"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176" w:type="dxa"/>
            <w:tcBorders/>
            <w:shd w:fill="auto" w:val="clear"/>
            <w:vAlign w:val="bottom"/>
          </w:tcPr>
          <w:p>
            <w:pPr>
              <w:pStyle w:val="TableContents"/>
              <w:spacing w:before="0" w:after="283"/>
              <w:jc w:val="right"/>
              <w:rPr/>
            </w:pPr>
            <w:r>
              <w:rPr/>
              <w:t>21,656</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368" w:type="dxa"/>
            <w:tcBorders/>
            <w:shd w:fill="auto" w:val="clear"/>
            <w:vAlign w:val="bottom"/>
          </w:tcPr>
          <w:p>
            <w:pPr>
              <w:pStyle w:val="TableContents"/>
              <w:spacing w:before="0" w:after="283"/>
              <w:jc w:val="right"/>
              <w:rPr/>
            </w:pPr>
            <w:r>
              <w:rPr/>
              <w:t>72,844</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343" w:type="dxa"/>
            <w:tcBorders/>
            <w:shd w:fill="auto" w:val="clear"/>
            <w:vAlign w:val="bottom"/>
          </w:tcPr>
          <w:p>
            <w:pPr>
              <w:pStyle w:val="TableContents"/>
              <w:spacing w:before="0" w:after="283"/>
              <w:jc w:val="right"/>
              <w:rPr/>
            </w:pPr>
            <w:r>
              <w:rPr/>
              <w:t>5.45</w:t>
            </w:r>
          </w:p>
        </w:tc>
        <w:tc>
          <w:tcPr>
            <w:tcW w:w="67" w:type="dxa"/>
            <w:tcBorders/>
            <w:shd w:fill="auto" w:val="clear"/>
            <w:vAlign w:val="bottom"/>
          </w:tcPr>
          <w:p>
            <w:pPr>
              <w:pStyle w:val="TableContents"/>
              <w:spacing w:before="0" w:after="283"/>
              <w:rPr/>
            </w:pPr>
            <w:r>
              <w:rPr/>
              <w:t> </w:t>
            </w:r>
          </w:p>
        </w:tc>
      </w:tr>
      <w:tr>
        <w:trPr/>
        <w:tc>
          <w:tcPr>
            <w:tcW w:w="1493" w:type="dxa"/>
            <w:tcBorders/>
            <w:shd w:fill="CCEEFF" w:val="clear"/>
          </w:tcPr>
          <w:p>
            <w:pPr>
              <w:pStyle w:val="TableContents"/>
              <w:spacing w:before="0" w:after="283"/>
              <w:rPr>
                <w:sz w:val="4"/>
                <w:szCs w:val="4"/>
              </w:rPr>
            </w:pPr>
            <w:r>
              <w:rPr>
                <w:sz w:val="4"/>
                <w:szCs w:val="4"/>
              </w:rPr>
            </w:r>
          </w:p>
        </w:tc>
        <w:tc>
          <w:tcPr>
            <w:tcW w:w="21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pPr>
            <w:r>
              <w:rPr/>
              <w:t>4/29/21</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spacing w:before="0" w:after="283"/>
              <w:jc w:val="right"/>
              <w:rPr/>
            </w:pPr>
            <w:r>
              <w:rPr/>
              <w:t>6/25/21</w:t>
            </w:r>
          </w:p>
        </w:tc>
        <w:tc>
          <w:tcPr>
            <w:tcW w:w="350" w:type="dxa"/>
            <w:tcBorders/>
            <w:shd w:fill="CCEEFF" w:val="clear"/>
            <w:vAlign w:val="bottom"/>
          </w:tcPr>
          <w:p>
            <w:pPr>
              <w:pStyle w:val="TableContents"/>
              <w:spacing w:before="0" w:after="283"/>
              <w:rPr/>
            </w:pPr>
            <w:r>
              <w:rPr/>
              <w:t>(1) </w:t>
            </w:r>
          </w:p>
        </w:tc>
        <w:tc>
          <w:tcPr>
            <w:tcW w:w="153"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176" w:type="dxa"/>
            <w:tcBorders/>
            <w:shd w:fill="CCEEFF" w:val="clear"/>
            <w:vAlign w:val="bottom"/>
          </w:tcPr>
          <w:p>
            <w:pPr>
              <w:pStyle w:val="TableContents"/>
              <w:spacing w:before="0" w:after="283"/>
              <w:jc w:val="right"/>
              <w:rPr/>
            </w:pPr>
            <w:r>
              <w:rPr/>
              <w:t>23,935</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rPr/>
            </w:pPr>
            <w:r>
              <w:rPr/>
              <w:t> </w:t>
            </w:r>
          </w:p>
        </w:tc>
        <w:tc>
          <w:tcPr>
            <w:tcW w:w="1368" w:type="dxa"/>
            <w:tcBorders/>
            <w:shd w:fill="CCEEFF" w:val="clear"/>
            <w:vAlign w:val="bottom"/>
          </w:tcPr>
          <w:p>
            <w:pPr>
              <w:pStyle w:val="TableContents"/>
              <w:spacing w:before="0" w:after="283"/>
              <w:jc w:val="right"/>
              <w:rPr/>
            </w:pPr>
            <w:r>
              <w:rPr/>
              <w:t>39,893</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343" w:type="dxa"/>
            <w:tcBorders/>
            <w:shd w:fill="CCEEFF" w:val="clear"/>
            <w:vAlign w:val="bottom"/>
          </w:tcPr>
          <w:p>
            <w:pPr>
              <w:pStyle w:val="TableContents"/>
              <w:spacing w:before="0" w:after="283"/>
              <w:jc w:val="right"/>
              <w:rPr/>
            </w:pPr>
            <w:r>
              <w:rPr/>
              <w:t>26.40</w:t>
            </w:r>
          </w:p>
        </w:tc>
        <w:tc>
          <w:tcPr>
            <w:tcW w:w="67" w:type="dxa"/>
            <w:tcBorders/>
            <w:shd w:fill="CCEEFF" w:val="clear"/>
            <w:vAlign w:val="bottom"/>
          </w:tcPr>
          <w:p>
            <w:pPr>
              <w:pStyle w:val="TableContents"/>
              <w:spacing w:before="0" w:after="283"/>
              <w:rPr/>
            </w:pPr>
            <w:r>
              <w:rPr/>
              <w:t> </w:t>
            </w:r>
          </w:p>
        </w:tc>
      </w:tr>
      <w:tr>
        <w:trPr/>
        <w:tc>
          <w:tcPr>
            <w:tcW w:w="1493" w:type="dxa"/>
            <w:tcBorders/>
            <w:shd w:fill="auto" w:val="clea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jc w:val="right"/>
              <w:rPr/>
            </w:pPr>
            <w:r>
              <w:rPr/>
              <w:t>3/10/21</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spacing w:before="0" w:after="283"/>
              <w:jc w:val="right"/>
              <w:rPr/>
            </w:pPr>
            <w:r>
              <w:rPr/>
              <w:t>3/5/21</w:t>
            </w:r>
          </w:p>
        </w:tc>
        <w:tc>
          <w:tcPr>
            <w:tcW w:w="350" w:type="dxa"/>
            <w:tcBorders/>
            <w:shd w:fill="auto" w:val="clear"/>
            <w:vAlign w:val="bottom"/>
          </w:tcPr>
          <w:p>
            <w:pPr>
              <w:pStyle w:val="TableContents"/>
              <w:spacing w:before="0" w:after="283"/>
              <w:rPr/>
            </w:pPr>
            <w:r>
              <w:rPr/>
              <w:t>(1) </w:t>
            </w:r>
          </w:p>
        </w:tc>
        <w:tc>
          <w:tcPr>
            <w:tcW w:w="153"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176" w:type="dxa"/>
            <w:tcBorders/>
            <w:shd w:fill="auto" w:val="clear"/>
            <w:vAlign w:val="bottom"/>
          </w:tcPr>
          <w:p>
            <w:pPr>
              <w:pStyle w:val="TableContents"/>
              <w:spacing w:before="0" w:after="283"/>
              <w:jc w:val="right"/>
              <w:rPr/>
            </w:pPr>
            <w:r>
              <w:rPr/>
              <w:t>3,521</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368" w:type="dxa"/>
            <w:tcBorders/>
            <w:shd w:fill="auto" w:val="clear"/>
            <w:vAlign w:val="bottom"/>
          </w:tcPr>
          <w:p>
            <w:pPr>
              <w:pStyle w:val="TableContents"/>
              <w:spacing w:before="0" w:after="283"/>
              <w:jc w:val="right"/>
              <w:rPr/>
            </w:pPr>
            <w:r>
              <w:rPr/>
              <w:t>4,529</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343" w:type="dxa"/>
            <w:tcBorders/>
            <w:shd w:fill="auto" w:val="clear"/>
            <w:vAlign w:val="bottom"/>
          </w:tcPr>
          <w:p>
            <w:pPr>
              <w:pStyle w:val="TableContents"/>
              <w:spacing w:before="0" w:after="283"/>
              <w:jc w:val="right"/>
              <w:rPr/>
            </w:pPr>
            <w:r>
              <w:rPr/>
              <w:t>10.25</w:t>
            </w:r>
          </w:p>
        </w:tc>
        <w:tc>
          <w:tcPr>
            <w:tcW w:w="67" w:type="dxa"/>
            <w:tcBorders/>
            <w:shd w:fill="auto" w:val="clear"/>
            <w:vAlign w:val="bottom"/>
          </w:tcPr>
          <w:p>
            <w:pPr>
              <w:pStyle w:val="TableContents"/>
              <w:spacing w:before="0" w:after="283"/>
              <w:rPr/>
            </w:pPr>
            <w:r>
              <w:rPr/>
              <w:t> </w:t>
            </w:r>
          </w:p>
        </w:tc>
      </w:tr>
      <w:tr>
        <w:trPr/>
        <w:tc>
          <w:tcPr>
            <w:tcW w:w="1493" w:type="dxa"/>
            <w:tcBorders/>
            <w:shd w:fill="CCEEFF" w:val="clear"/>
          </w:tcPr>
          <w:p>
            <w:pPr>
              <w:pStyle w:val="TableContents"/>
              <w:spacing w:before="0" w:after="283"/>
              <w:rPr>
                <w:sz w:val="4"/>
                <w:szCs w:val="4"/>
              </w:rPr>
            </w:pPr>
            <w:r>
              <w:rPr>
                <w:sz w:val="4"/>
                <w:szCs w:val="4"/>
              </w:rPr>
            </w:r>
          </w:p>
        </w:tc>
        <w:tc>
          <w:tcPr>
            <w:tcW w:w="21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pPr>
            <w:r>
              <w:rPr/>
              <w:t>3/30/20</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spacing w:before="0" w:after="283"/>
              <w:jc w:val="right"/>
              <w:rPr/>
            </w:pPr>
            <w:r>
              <w:rPr/>
              <w:t>2/20/20</w:t>
            </w:r>
          </w:p>
        </w:tc>
        <w:tc>
          <w:tcPr>
            <w:tcW w:w="350" w:type="dxa"/>
            <w:tcBorders/>
            <w:shd w:fill="CCEEFF" w:val="clear"/>
            <w:vAlign w:val="bottom"/>
          </w:tcPr>
          <w:p>
            <w:pPr>
              <w:pStyle w:val="TableContents"/>
              <w:spacing w:before="0" w:after="283"/>
              <w:rPr/>
            </w:pPr>
            <w:r>
              <w:rPr/>
              <w:t>(1) </w:t>
            </w:r>
          </w:p>
        </w:tc>
        <w:tc>
          <w:tcPr>
            <w:tcW w:w="153"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176" w:type="dxa"/>
            <w:tcBorders/>
            <w:shd w:fill="CCEEFF" w:val="clear"/>
            <w:vAlign w:val="bottom"/>
          </w:tcPr>
          <w:p>
            <w:pPr>
              <w:pStyle w:val="TableContents"/>
              <w:spacing w:before="0" w:after="283"/>
              <w:jc w:val="right"/>
              <w:rPr/>
            </w:pPr>
            <w:r>
              <w:rPr/>
              <w:t>49,764</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rPr/>
            </w:pPr>
            <w:r>
              <w:rPr/>
              <w:t> </w:t>
            </w:r>
          </w:p>
        </w:tc>
        <w:tc>
          <w:tcPr>
            <w:tcW w:w="1368" w:type="dxa"/>
            <w:tcBorders/>
            <w:shd w:fill="CCEEFF" w:val="clear"/>
            <w:vAlign w:val="bottom"/>
          </w:tcPr>
          <w:p>
            <w:pPr>
              <w:pStyle w:val="TableContents"/>
              <w:spacing w:before="0" w:after="283"/>
              <w:jc w:val="right"/>
              <w:rPr/>
            </w:pPr>
            <w:r>
              <w:rPr/>
              <w:t>20,492</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343" w:type="dxa"/>
            <w:tcBorders/>
            <w:shd w:fill="CCEEFF" w:val="clear"/>
            <w:vAlign w:val="bottom"/>
          </w:tcPr>
          <w:p>
            <w:pPr>
              <w:pStyle w:val="TableContents"/>
              <w:spacing w:before="0" w:after="283"/>
              <w:jc w:val="right"/>
              <w:rPr/>
            </w:pPr>
            <w:r>
              <w:rPr/>
              <w:t>5.90</w:t>
            </w:r>
          </w:p>
        </w:tc>
        <w:tc>
          <w:tcPr>
            <w:tcW w:w="67" w:type="dxa"/>
            <w:tcBorders/>
            <w:shd w:fill="CCEEFF" w:val="clear"/>
            <w:vAlign w:val="bottom"/>
          </w:tcPr>
          <w:p>
            <w:pPr>
              <w:pStyle w:val="TableContents"/>
              <w:spacing w:before="0" w:after="283"/>
              <w:rPr/>
            </w:pPr>
            <w:r>
              <w:rPr/>
              <w:t> </w:t>
            </w:r>
          </w:p>
        </w:tc>
      </w:tr>
      <w:tr>
        <w:trPr/>
        <w:tc>
          <w:tcPr>
            <w:tcW w:w="1493" w:type="dxa"/>
            <w:tcBorders/>
            <w:shd w:fill="auto" w:val="clea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jc w:val="right"/>
              <w:rPr/>
            </w:pPr>
            <w:r>
              <w:rPr/>
              <w:t>9/16/19</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spacing w:before="0" w:after="283"/>
              <w:jc w:val="right"/>
              <w:rPr/>
            </w:pPr>
            <w:r>
              <w:rPr/>
              <w:t>9/9/19</w:t>
            </w:r>
          </w:p>
        </w:tc>
        <w:tc>
          <w:tcPr>
            <w:tcW w:w="350" w:type="dxa"/>
            <w:tcBorders/>
            <w:shd w:fill="auto" w:val="clear"/>
            <w:vAlign w:val="bottom"/>
          </w:tcPr>
          <w:p>
            <w:pPr>
              <w:pStyle w:val="TableContents"/>
              <w:spacing w:before="0" w:after="283"/>
              <w:rPr/>
            </w:pPr>
            <w:r>
              <w:rPr/>
              <w:t>(2) </w:t>
            </w:r>
          </w:p>
        </w:tc>
        <w:tc>
          <w:tcPr>
            <w:tcW w:w="153"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176" w:type="dxa"/>
            <w:tcBorders/>
            <w:shd w:fill="auto" w:val="clear"/>
            <w:vAlign w:val="bottom"/>
          </w:tcPr>
          <w:p>
            <w:pPr>
              <w:pStyle w:val="TableContents"/>
              <w:spacing w:before="0" w:after="283"/>
              <w:jc w:val="right"/>
              <w:rPr/>
            </w:pPr>
            <w:r>
              <w:rPr/>
              <w:t>89,726</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368" w:type="dxa"/>
            <w:tcBorders/>
            <w:shd w:fill="auto" w:val="clear"/>
            <w:vAlign w:val="bottom"/>
          </w:tcPr>
          <w:p>
            <w:pPr>
              <w:pStyle w:val="TableContents"/>
              <w:spacing w:before="0" w:after="283"/>
              <w:jc w:val="right"/>
              <w:rPr/>
            </w:pPr>
            <w:r>
              <w:rPr/>
              <w:t>20,706</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343" w:type="dxa"/>
            <w:tcBorders/>
            <w:shd w:fill="auto" w:val="clear"/>
            <w:vAlign w:val="bottom"/>
          </w:tcPr>
          <w:p>
            <w:pPr>
              <w:pStyle w:val="TableContents"/>
              <w:spacing w:before="0" w:after="283"/>
              <w:jc w:val="right"/>
              <w:rPr/>
            </w:pPr>
            <w:r>
              <w:rPr/>
              <w:t>4.97</w:t>
            </w:r>
          </w:p>
        </w:tc>
        <w:tc>
          <w:tcPr>
            <w:tcW w:w="67"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547"/>
        <w:gridCol w:w="200"/>
        <w:gridCol w:w="76"/>
        <w:gridCol w:w="1115"/>
        <w:gridCol w:w="60"/>
        <w:gridCol w:w="200"/>
        <w:gridCol w:w="108"/>
        <w:gridCol w:w="1590"/>
        <w:gridCol w:w="350"/>
        <w:gridCol w:w="143"/>
        <w:gridCol w:w="102"/>
        <w:gridCol w:w="1176"/>
        <w:gridCol w:w="60"/>
        <w:gridCol w:w="200"/>
        <w:gridCol w:w="117"/>
        <w:gridCol w:w="1350"/>
        <w:gridCol w:w="60"/>
        <w:gridCol w:w="200"/>
        <w:gridCol w:w="140"/>
        <w:gridCol w:w="1342"/>
        <w:gridCol w:w="69"/>
      </w:tblGrid>
      <w:tr>
        <w:trPr/>
        <w:tc>
          <w:tcPr>
            <w:tcW w:w="154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rPr>
                <w:sz w:val="4"/>
                <w:szCs w:val="4"/>
              </w:rPr>
            </w:pPr>
            <w:r>
              <w:rPr>
                <w:sz w:val="4"/>
                <w:szCs w:val="4"/>
              </w:rPr>
            </w:r>
          </w:p>
        </w:tc>
        <w:tc>
          <w:tcPr>
            <w:tcW w:w="159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3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r>
      <w:tr>
        <w:trPr/>
        <w:tc>
          <w:tcPr>
            <w:tcW w:w="1547"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8389" w:type="dxa"/>
            <w:gridSpan w:val="18"/>
            <w:tcBorders>
              <w:bottom w:val="single" w:sz="8" w:space="0" w:color="000000"/>
            </w:tcBorders>
            <w:shd w:fill="auto" w:val="clear"/>
            <w:tcMar>
              <w:bottom w:w="28" w:type="dxa"/>
            </w:tcMar>
            <w:vAlign w:val="bottom"/>
          </w:tcPr>
          <w:p>
            <w:pPr>
              <w:pStyle w:val="TableContents"/>
              <w:spacing w:before="0" w:after="283"/>
              <w:jc w:val="center"/>
              <w:rPr>
                <w:b/>
              </w:rPr>
            </w:pPr>
            <w:r>
              <w:rPr>
                <w:b/>
              </w:rPr>
              <w:t>Option Awards</w:t>
            </w:r>
          </w:p>
        </w:tc>
        <w:tc>
          <w:tcPr>
            <w:tcW w:w="69" w:type="dxa"/>
            <w:tcBorders/>
            <w:shd w:fill="auto" w:val="clear"/>
            <w:vAlign w:val="bottom"/>
          </w:tcPr>
          <w:p>
            <w:pPr>
              <w:pStyle w:val="TableContents"/>
              <w:spacing w:before="0" w:after="283"/>
              <w:rPr/>
            </w:pPr>
            <w:r>
              <w:rPr/>
              <w:t> </w:t>
            </w:r>
          </w:p>
        </w:tc>
      </w:tr>
      <w:tr>
        <w:trPr/>
        <w:tc>
          <w:tcPr>
            <w:tcW w:w="1547"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Name</w:t>
            </w:r>
          </w:p>
        </w:tc>
        <w:tc>
          <w:tcPr>
            <w:tcW w:w="200" w:type="dxa"/>
            <w:tcBorders/>
            <w:shd w:fill="auto" w:val="clear"/>
            <w:vAlign w:val="bottom"/>
          </w:tcPr>
          <w:p>
            <w:pPr>
              <w:pStyle w:val="TableContents"/>
              <w:spacing w:before="0" w:after="283"/>
              <w:rPr/>
            </w:pPr>
            <w:r>
              <w:rPr/>
              <w:t>  </w:t>
            </w:r>
          </w:p>
        </w:tc>
        <w:tc>
          <w:tcPr>
            <w:tcW w:w="119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Grant Date</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69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Vesting</w:t>
              <w:br/>
              <w:t>Commencement</w:t>
              <w:br/>
              <w:t>Date</w:t>
            </w:r>
          </w:p>
        </w:tc>
        <w:tc>
          <w:tcPr>
            <w:tcW w:w="35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27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w:t>
              <w:br/>
              <w:t>Securities</w:t>
              <w:br/>
              <w:t>Underlying</w:t>
              <w:br/>
              <w:t>Unexercised</w:t>
              <w:br/>
              <w:t>Options</w:t>
              <w:br/>
              <w:t>(#)</w:t>
              <w:br/>
              <w:t>Exercisable</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46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w:t>
              <w:br/>
              <w:t>Securities</w:t>
              <w:br/>
              <w:t>Underlying</w:t>
              <w:br/>
              <w:t>Unexercised</w:t>
              <w:br/>
              <w:t>Options</w:t>
              <w:br/>
              <w:t>(#)</w:t>
              <w:br/>
              <w:t>Unexercisable</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48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Option</w:t>
              <w:br/>
              <w:t>Exercise Price</w:t>
              <w:br/>
              <w:t>($)</w:t>
            </w:r>
          </w:p>
        </w:tc>
        <w:tc>
          <w:tcPr>
            <w:tcW w:w="69" w:type="dxa"/>
            <w:tcBorders/>
            <w:shd w:fill="auto" w:val="clear"/>
            <w:vAlign w:val="bottom"/>
          </w:tcPr>
          <w:p>
            <w:pPr>
              <w:pStyle w:val="TableContents"/>
              <w:spacing w:before="0" w:after="283"/>
              <w:rPr/>
            </w:pPr>
            <w:r>
              <w:rPr/>
              <w:t> </w:t>
            </w:r>
          </w:p>
        </w:tc>
      </w:tr>
      <w:tr>
        <w:trPr>
          <w:trHeight w:val="120" w:hRule="atLeast"/>
        </w:trPr>
        <w:tc>
          <w:tcPr>
            <w:tcW w:w="1547" w:type="dxa"/>
            <w:tcBorders/>
            <w:shd w:fill="auto" w:val="clear"/>
            <w:vAlign w:val="center"/>
          </w:tcPr>
          <w:p>
            <w:pPr>
              <w:pStyle w:val="TableContents"/>
              <w:spacing w:before="0" w:after="283"/>
              <w:rPr>
                <w:sz w:val="4"/>
                <w:szCs w:val="4"/>
              </w:rPr>
            </w:pPr>
            <w:r>
              <w:rPr>
                <w:sz w:val="4"/>
                <w:szCs w:val="4"/>
              </w:rPr>
            </w:r>
          </w:p>
        </w:tc>
        <w:tc>
          <w:tcPr>
            <w:tcW w:w="1451" w:type="dxa"/>
            <w:gridSpan w:val="4"/>
            <w:tcBorders/>
            <w:shd w:fill="auto" w:val="clear"/>
            <w:vAlign w:val="center"/>
          </w:tcPr>
          <w:p>
            <w:pPr>
              <w:pStyle w:val="TableContents"/>
              <w:spacing w:before="0" w:after="283"/>
              <w:rPr>
                <w:sz w:val="4"/>
                <w:szCs w:val="4"/>
              </w:rPr>
            </w:pPr>
            <w:r>
              <w:rPr>
                <w:sz w:val="4"/>
                <w:szCs w:val="4"/>
              </w:rPr>
            </w:r>
          </w:p>
        </w:tc>
        <w:tc>
          <w:tcPr>
            <w:tcW w:w="2248" w:type="dxa"/>
            <w:gridSpan w:val="4"/>
            <w:tcBorders/>
            <w:shd w:fill="auto" w:val="clear"/>
            <w:vAlign w:val="center"/>
          </w:tcPr>
          <w:p>
            <w:pPr>
              <w:pStyle w:val="TableContents"/>
              <w:spacing w:before="0" w:after="283"/>
              <w:rPr>
                <w:sz w:val="4"/>
                <w:szCs w:val="4"/>
              </w:rPr>
            </w:pPr>
            <w:r>
              <w:rPr>
                <w:sz w:val="4"/>
                <w:szCs w:val="4"/>
              </w:rPr>
            </w:r>
          </w:p>
        </w:tc>
        <w:tc>
          <w:tcPr>
            <w:tcW w:w="1481" w:type="dxa"/>
            <w:gridSpan w:val="4"/>
            <w:tcBorders/>
            <w:shd w:fill="auto" w:val="clear"/>
            <w:vAlign w:val="center"/>
          </w:tcPr>
          <w:p>
            <w:pPr>
              <w:pStyle w:val="TableContents"/>
              <w:spacing w:before="0" w:after="283"/>
              <w:rPr>
                <w:sz w:val="4"/>
                <w:szCs w:val="4"/>
              </w:rPr>
            </w:pPr>
            <w:r>
              <w:rPr>
                <w:sz w:val="4"/>
                <w:szCs w:val="4"/>
              </w:rPr>
            </w:r>
          </w:p>
        </w:tc>
        <w:tc>
          <w:tcPr>
            <w:tcW w:w="1727" w:type="dxa"/>
            <w:gridSpan w:val="4"/>
            <w:tcBorders/>
            <w:shd w:fill="auto" w:val="clear"/>
            <w:vAlign w:val="center"/>
          </w:tcPr>
          <w:p>
            <w:pPr>
              <w:pStyle w:val="TableContents"/>
              <w:spacing w:before="0" w:after="283"/>
              <w:rPr>
                <w:sz w:val="4"/>
                <w:szCs w:val="4"/>
              </w:rPr>
            </w:pPr>
            <w:r>
              <w:rPr>
                <w:sz w:val="4"/>
                <w:szCs w:val="4"/>
              </w:rPr>
            </w:r>
          </w:p>
        </w:tc>
        <w:tc>
          <w:tcPr>
            <w:tcW w:w="1751" w:type="dxa"/>
            <w:gridSpan w:val="4"/>
            <w:tcBorders/>
            <w:shd w:fill="auto" w:val="clear"/>
            <w:vAlign w:val="center"/>
          </w:tcPr>
          <w:p>
            <w:pPr>
              <w:pStyle w:val="TableContents"/>
              <w:spacing w:before="0" w:after="283"/>
              <w:rPr>
                <w:sz w:val="4"/>
                <w:szCs w:val="4"/>
              </w:rPr>
            </w:pPr>
            <w:r>
              <w:rPr>
                <w:sz w:val="4"/>
                <w:szCs w:val="4"/>
              </w:rPr>
            </w:r>
          </w:p>
        </w:tc>
      </w:tr>
      <w:tr>
        <w:trPr/>
        <w:tc>
          <w:tcPr>
            <w:tcW w:w="1547" w:type="dxa"/>
            <w:tcBorders/>
            <w:shd w:fill="CCEEFF" w:val="clear"/>
          </w:tcPr>
          <w:p>
            <w:pPr>
              <w:pStyle w:val="TableContents"/>
              <w:spacing w:before="0" w:after="0"/>
              <w:rPr>
                <w:rFonts w:ascii="Times New Roman" w:hAnsi="Times New Roman"/>
                <w:sz w:val="20"/>
              </w:rPr>
            </w:pPr>
            <w:r>
              <w:rPr>
                <w:rFonts w:ascii="Times New Roman" w:hAnsi="Times New Roman"/>
                <w:sz w:val="20"/>
              </w:rPr>
              <w:t>Thomas Dubensky</w:t>
            </w:r>
          </w:p>
        </w:tc>
        <w:tc>
          <w:tcPr>
            <w:tcW w:w="200"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pPr>
            <w:r>
              <w:rPr/>
              <w:t>6/21/22</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1590" w:type="dxa"/>
            <w:tcBorders/>
            <w:shd w:fill="CCEEFF" w:val="clear"/>
            <w:vAlign w:val="bottom"/>
          </w:tcPr>
          <w:p>
            <w:pPr>
              <w:pStyle w:val="TableContents"/>
              <w:spacing w:before="0" w:after="283"/>
              <w:jc w:val="right"/>
              <w:rPr/>
            </w:pPr>
            <w:r>
              <w:rPr/>
              <w:t>6/21/22</w:t>
            </w:r>
          </w:p>
        </w:tc>
        <w:tc>
          <w:tcPr>
            <w:tcW w:w="350" w:type="dxa"/>
            <w:tcBorders/>
            <w:shd w:fill="CCEEFF" w:val="clear"/>
            <w:vAlign w:val="bottom"/>
          </w:tcPr>
          <w:p>
            <w:pPr>
              <w:pStyle w:val="TableContents"/>
              <w:spacing w:before="0" w:after="283"/>
              <w:rPr/>
            </w:pPr>
            <w:r>
              <w:rPr/>
              <w:t>(4) </w:t>
            </w:r>
          </w:p>
        </w:tc>
        <w:tc>
          <w:tcPr>
            <w:tcW w:w="143"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17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1350" w:type="dxa"/>
            <w:tcBorders/>
            <w:shd w:fill="CCEEFF" w:val="clear"/>
            <w:vAlign w:val="bottom"/>
          </w:tcPr>
          <w:p>
            <w:pPr>
              <w:pStyle w:val="TableContents"/>
              <w:spacing w:before="0" w:after="283"/>
              <w:jc w:val="right"/>
              <w:rPr/>
            </w:pPr>
            <w:r>
              <w:rPr/>
              <w:t>87,801</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42" w:type="dxa"/>
            <w:tcBorders/>
            <w:shd w:fill="CCEEFF" w:val="clear"/>
            <w:vAlign w:val="bottom"/>
          </w:tcPr>
          <w:p>
            <w:pPr>
              <w:pStyle w:val="TableContents"/>
              <w:spacing w:before="0" w:after="283"/>
              <w:jc w:val="right"/>
              <w:rPr/>
            </w:pPr>
            <w:r>
              <w:rPr/>
              <w:t>2.35</w:t>
            </w:r>
          </w:p>
        </w:tc>
        <w:tc>
          <w:tcPr>
            <w:tcW w:w="69" w:type="dxa"/>
            <w:tcBorders/>
            <w:shd w:fill="CCEEFF" w:val="clear"/>
            <w:vAlign w:val="bottom"/>
          </w:tcPr>
          <w:p>
            <w:pPr>
              <w:pStyle w:val="TableContents"/>
              <w:spacing w:before="0" w:after="283"/>
              <w:rPr/>
            </w:pPr>
            <w:r>
              <w:rPr/>
              <w:t> </w:t>
            </w:r>
          </w:p>
        </w:tc>
      </w:tr>
      <w:tr>
        <w:trPr/>
        <w:tc>
          <w:tcPr>
            <w:tcW w:w="1547" w:type="dxa"/>
            <w:tcBorders/>
            <w:shd w:fill="auto" w:val="clea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right"/>
              <w:rPr/>
            </w:pPr>
            <w:r>
              <w:rPr/>
              <w:t>1/4/22</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590" w:type="dxa"/>
            <w:tcBorders/>
            <w:shd w:fill="auto" w:val="clear"/>
            <w:vAlign w:val="bottom"/>
          </w:tcPr>
          <w:p>
            <w:pPr>
              <w:pStyle w:val="TableContents"/>
              <w:spacing w:before="0" w:after="283"/>
              <w:jc w:val="right"/>
              <w:rPr/>
            </w:pPr>
            <w:r>
              <w:rPr/>
              <w:t>1/4/22</w:t>
            </w:r>
          </w:p>
        </w:tc>
        <w:tc>
          <w:tcPr>
            <w:tcW w:w="350" w:type="dxa"/>
            <w:tcBorders/>
            <w:shd w:fill="auto" w:val="clear"/>
            <w:vAlign w:val="bottom"/>
          </w:tcPr>
          <w:p>
            <w:pPr>
              <w:pStyle w:val="TableContents"/>
              <w:spacing w:before="0" w:after="283"/>
              <w:rPr/>
            </w:pPr>
            <w:r>
              <w:rPr/>
              <w:t>(1) </w:t>
            </w:r>
          </w:p>
        </w:tc>
        <w:tc>
          <w:tcPr>
            <w:tcW w:w="143"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176" w:type="dxa"/>
            <w:tcBorders/>
            <w:shd w:fill="auto" w:val="clear"/>
            <w:vAlign w:val="bottom"/>
          </w:tcPr>
          <w:p>
            <w:pPr>
              <w:pStyle w:val="TableContents"/>
              <w:spacing w:before="0" w:after="283"/>
              <w:jc w:val="right"/>
              <w:rPr/>
            </w:pPr>
            <w:r>
              <w:rPr/>
              <w:t>12,169</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350" w:type="dxa"/>
            <w:tcBorders/>
            <w:shd w:fill="auto" w:val="clear"/>
            <w:vAlign w:val="bottom"/>
          </w:tcPr>
          <w:p>
            <w:pPr>
              <w:pStyle w:val="TableContents"/>
              <w:spacing w:before="0" w:after="283"/>
              <w:jc w:val="right"/>
              <w:rPr/>
            </w:pPr>
            <w:r>
              <w:rPr/>
              <w:t>40,931</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42" w:type="dxa"/>
            <w:tcBorders/>
            <w:shd w:fill="auto" w:val="clear"/>
            <w:vAlign w:val="bottom"/>
          </w:tcPr>
          <w:p>
            <w:pPr>
              <w:pStyle w:val="TableContents"/>
              <w:spacing w:before="0" w:after="283"/>
              <w:jc w:val="right"/>
              <w:rPr/>
            </w:pPr>
            <w:r>
              <w:rPr/>
              <w:t>5.45</w:t>
            </w:r>
          </w:p>
        </w:tc>
        <w:tc>
          <w:tcPr>
            <w:tcW w:w="69" w:type="dxa"/>
            <w:tcBorders/>
            <w:shd w:fill="auto" w:val="clear"/>
            <w:vAlign w:val="bottom"/>
          </w:tcPr>
          <w:p>
            <w:pPr>
              <w:pStyle w:val="TableContents"/>
              <w:spacing w:before="0" w:after="283"/>
              <w:rPr/>
            </w:pPr>
            <w:r>
              <w:rPr/>
              <w:t> </w:t>
            </w:r>
          </w:p>
        </w:tc>
      </w:tr>
      <w:tr>
        <w:trPr/>
        <w:tc>
          <w:tcPr>
            <w:tcW w:w="1547" w:type="dxa"/>
            <w:tcBorders/>
            <w:shd w:fill="CCEEFF" w:val="clear"/>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pPr>
            <w:r>
              <w:rPr/>
              <w:t>4/29/21</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1590" w:type="dxa"/>
            <w:tcBorders/>
            <w:shd w:fill="CCEEFF" w:val="clear"/>
            <w:vAlign w:val="bottom"/>
          </w:tcPr>
          <w:p>
            <w:pPr>
              <w:pStyle w:val="TableContents"/>
              <w:spacing w:before="0" w:after="283"/>
              <w:jc w:val="right"/>
              <w:rPr/>
            </w:pPr>
            <w:r>
              <w:rPr/>
              <w:t>6/25/21</w:t>
            </w:r>
          </w:p>
        </w:tc>
        <w:tc>
          <w:tcPr>
            <w:tcW w:w="350" w:type="dxa"/>
            <w:tcBorders/>
            <w:shd w:fill="CCEEFF" w:val="clear"/>
            <w:vAlign w:val="bottom"/>
          </w:tcPr>
          <w:p>
            <w:pPr>
              <w:pStyle w:val="TableContents"/>
              <w:spacing w:before="0" w:after="283"/>
              <w:rPr/>
            </w:pPr>
            <w:r>
              <w:rPr/>
              <w:t>(1) </w:t>
            </w:r>
          </w:p>
        </w:tc>
        <w:tc>
          <w:tcPr>
            <w:tcW w:w="143"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176" w:type="dxa"/>
            <w:tcBorders/>
            <w:shd w:fill="CCEEFF" w:val="clear"/>
            <w:vAlign w:val="bottom"/>
          </w:tcPr>
          <w:p>
            <w:pPr>
              <w:pStyle w:val="TableContents"/>
              <w:spacing w:before="0" w:after="283"/>
              <w:jc w:val="right"/>
              <w:rPr/>
            </w:pPr>
            <w:r>
              <w:rPr/>
              <w:t>12,075</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1350" w:type="dxa"/>
            <w:tcBorders/>
            <w:shd w:fill="CCEEFF" w:val="clear"/>
            <w:vAlign w:val="bottom"/>
          </w:tcPr>
          <w:p>
            <w:pPr>
              <w:pStyle w:val="TableContents"/>
              <w:spacing w:before="0" w:after="283"/>
              <w:jc w:val="right"/>
              <w:rPr/>
            </w:pPr>
            <w:r>
              <w:rPr/>
              <w:t>20,175</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42" w:type="dxa"/>
            <w:tcBorders/>
            <w:shd w:fill="CCEEFF" w:val="clear"/>
            <w:vAlign w:val="bottom"/>
          </w:tcPr>
          <w:p>
            <w:pPr>
              <w:pStyle w:val="TableContents"/>
              <w:spacing w:before="0" w:after="283"/>
              <w:jc w:val="right"/>
              <w:rPr/>
            </w:pPr>
            <w:r>
              <w:rPr/>
              <w:t>26.40</w:t>
            </w:r>
          </w:p>
        </w:tc>
        <w:tc>
          <w:tcPr>
            <w:tcW w:w="69" w:type="dxa"/>
            <w:tcBorders/>
            <w:shd w:fill="CCEEFF" w:val="clear"/>
            <w:vAlign w:val="bottom"/>
          </w:tcPr>
          <w:p>
            <w:pPr>
              <w:pStyle w:val="TableContents"/>
              <w:spacing w:before="0" w:after="283"/>
              <w:rPr/>
            </w:pPr>
            <w:r>
              <w:rPr/>
              <w:t> </w:t>
            </w:r>
          </w:p>
        </w:tc>
      </w:tr>
      <w:tr>
        <w:trPr/>
        <w:tc>
          <w:tcPr>
            <w:tcW w:w="1547" w:type="dxa"/>
            <w:tcBorders/>
            <w:shd w:fill="auto" w:val="clea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right"/>
              <w:rPr/>
            </w:pPr>
            <w:r>
              <w:rPr/>
              <w:t>3/10/21</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590" w:type="dxa"/>
            <w:tcBorders/>
            <w:shd w:fill="auto" w:val="clear"/>
            <w:vAlign w:val="bottom"/>
          </w:tcPr>
          <w:p>
            <w:pPr>
              <w:pStyle w:val="TableContents"/>
              <w:spacing w:before="0" w:after="283"/>
              <w:jc w:val="right"/>
              <w:rPr/>
            </w:pPr>
            <w:r>
              <w:rPr/>
              <w:t>3/5/21</w:t>
            </w:r>
          </w:p>
        </w:tc>
        <w:tc>
          <w:tcPr>
            <w:tcW w:w="350" w:type="dxa"/>
            <w:tcBorders/>
            <w:shd w:fill="auto" w:val="clear"/>
            <w:vAlign w:val="bottom"/>
          </w:tcPr>
          <w:p>
            <w:pPr>
              <w:pStyle w:val="TableContents"/>
              <w:spacing w:before="0" w:after="283"/>
              <w:rPr/>
            </w:pPr>
            <w:r>
              <w:rPr/>
              <w:t>(1) </w:t>
            </w:r>
          </w:p>
        </w:tc>
        <w:tc>
          <w:tcPr>
            <w:tcW w:w="143"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176" w:type="dxa"/>
            <w:tcBorders/>
            <w:shd w:fill="auto" w:val="clear"/>
            <w:vAlign w:val="bottom"/>
          </w:tcPr>
          <w:p>
            <w:pPr>
              <w:pStyle w:val="TableContents"/>
              <w:spacing w:before="0" w:after="283"/>
              <w:jc w:val="right"/>
              <w:rPr/>
            </w:pPr>
            <w:r>
              <w:rPr/>
              <w:t>3,521</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350" w:type="dxa"/>
            <w:tcBorders/>
            <w:shd w:fill="auto" w:val="clear"/>
            <w:vAlign w:val="bottom"/>
          </w:tcPr>
          <w:p>
            <w:pPr>
              <w:pStyle w:val="TableContents"/>
              <w:spacing w:before="0" w:after="283"/>
              <w:jc w:val="right"/>
              <w:rPr/>
            </w:pPr>
            <w:r>
              <w:rPr/>
              <w:t>4,529</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42" w:type="dxa"/>
            <w:tcBorders/>
            <w:shd w:fill="auto" w:val="clear"/>
            <w:vAlign w:val="bottom"/>
          </w:tcPr>
          <w:p>
            <w:pPr>
              <w:pStyle w:val="TableContents"/>
              <w:spacing w:before="0" w:after="283"/>
              <w:jc w:val="right"/>
              <w:rPr/>
            </w:pPr>
            <w:r>
              <w:rPr/>
              <w:t>10.25</w:t>
            </w:r>
          </w:p>
        </w:tc>
        <w:tc>
          <w:tcPr>
            <w:tcW w:w="69" w:type="dxa"/>
            <w:tcBorders/>
            <w:shd w:fill="auto" w:val="clear"/>
            <w:vAlign w:val="bottom"/>
          </w:tcPr>
          <w:p>
            <w:pPr>
              <w:pStyle w:val="TableContents"/>
              <w:spacing w:before="0" w:after="283"/>
              <w:rPr/>
            </w:pPr>
            <w:r>
              <w:rPr/>
              <w:t> </w:t>
            </w:r>
          </w:p>
        </w:tc>
      </w:tr>
      <w:tr>
        <w:trPr/>
        <w:tc>
          <w:tcPr>
            <w:tcW w:w="1547" w:type="dxa"/>
            <w:tcBorders/>
            <w:shd w:fill="CCEEFF" w:val="clear"/>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pPr>
            <w:r>
              <w:rPr/>
              <w:t>3/30/20</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1590" w:type="dxa"/>
            <w:tcBorders/>
            <w:shd w:fill="CCEEFF" w:val="clear"/>
            <w:vAlign w:val="bottom"/>
          </w:tcPr>
          <w:p>
            <w:pPr>
              <w:pStyle w:val="TableContents"/>
              <w:spacing w:before="0" w:after="283"/>
              <w:jc w:val="right"/>
              <w:rPr/>
            </w:pPr>
            <w:r>
              <w:rPr/>
              <w:t>2/20/20</w:t>
            </w:r>
          </w:p>
        </w:tc>
        <w:tc>
          <w:tcPr>
            <w:tcW w:w="350" w:type="dxa"/>
            <w:tcBorders/>
            <w:shd w:fill="CCEEFF" w:val="clear"/>
            <w:vAlign w:val="bottom"/>
          </w:tcPr>
          <w:p>
            <w:pPr>
              <w:pStyle w:val="TableContents"/>
              <w:spacing w:before="0" w:after="283"/>
              <w:rPr/>
            </w:pPr>
            <w:r>
              <w:rPr/>
              <w:t>(1) </w:t>
            </w:r>
          </w:p>
        </w:tc>
        <w:tc>
          <w:tcPr>
            <w:tcW w:w="143"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176" w:type="dxa"/>
            <w:tcBorders/>
            <w:shd w:fill="CCEEFF" w:val="clear"/>
            <w:vAlign w:val="bottom"/>
          </w:tcPr>
          <w:p>
            <w:pPr>
              <w:pStyle w:val="TableContents"/>
              <w:spacing w:before="0" w:after="283"/>
              <w:jc w:val="right"/>
              <w:rPr/>
            </w:pPr>
            <w:r>
              <w:rPr/>
              <w:t>32,574</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1350" w:type="dxa"/>
            <w:tcBorders/>
            <w:shd w:fill="CCEEFF" w:val="clear"/>
            <w:vAlign w:val="bottom"/>
          </w:tcPr>
          <w:p>
            <w:pPr>
              <w:pStyle w:val="TableContents"/>
              <w:spacing w:before="0" w:after="283"/>
              <w:jc w:val="right"/>
              <w:rPr/>
            </w:pPr>
            <w:r>
              <w:rPr/>
              <w:t>12,075</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42" w:type="dxa"/>
            <w:tcBorders/>
            <w:shd w:fill="CCEEFF" w:val="clear"/>
            <w:vAlign w:val="bottom"/>
          </w:tcPr>
          <w:p>
            <w:pPr>
              <w:pStyle w:val="TableContents"/>
              <w:spacing w:before="0" w:after="283"/>
              <w:jc w:val="right"/>
              <w:rPr/>
            </w:pPr>
            <w:r>
              <w:rPr/>
              <w:t>5.90</w:t>
            </w:r>
          </w:p>
        </w:tc>
        <w:tc>
          <w:tcPr>
            <w:tcW w:w="69" w:type="dxa"/>
            <w:tcBorders/>
            <w:shd w:fill="CCEEFF" w:val="clear"/>
            <w:vAlign w:val="bottom"/>
          </w:tcPr>
          <w:p>
            <w:pPr>
              <w:pStyle w:val="TableContents"/>
              <w:spacing w:before="0" w:after="283"/>
              <w:rPr/>
            </w:pPr>
            <w:r>
              <w:rPr/>
              <w:t> </w:t>
            </w:r>
          </w:p>
        </w:tc>
      </w:tr>
      <w:tr>
        <w:trPr/>
        <w:tc>
          <w:tcPr>
            <w:tcW w:w="1547" w:type="dxa"/>
            <w:tcBorders/>
            <w:shd w:fill="auto" w:val="clea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right"/>
              <w:rPr/>
            </w:pPr>
            <w:r>
              <w:rPr/>
              <w:t>10/3/18</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590" w:type="dxa"/>
            <w:tcBorders/>
            <w:shd w:fill="auto" w:val="clear"/>
            <w:vAlign w:val="bottom"/>
          </w:tcPr>
          <w:p>
            <w:pPr>
              <w:pStyle w:val="TableContents"/>
              <w:spacing w:before="0" w:after="283"/>
              <w:jc w:val="right"/>
              <w:rPr/>
            </w:pPr>
            <w:r>
              <w:rPr/>
              <w:t>9/9/19</w:t>
            </w:r>
          </w:p>
        </w:tc>
        <w:tc>
          <w:tcPr>
            <w:tcW w:w="350" w:type="dxa"/>
            <w:tcBorders/>
            <w:shd w:fill="auto" w:val="clear"/>
            <w:vAlign w:val="bottom"/>
          </w:tcPr>
          <w:p>
            <w:pPr>
              <w:pStyle w:val="TableContents"/>
              <w:spacing w:before="0" w:after="283"/>
              <w:rPr/>
            </w:pPr>
            <w:r>
              <w:rPr/>
              <w:t>(3) </w:t>
            </w:r>
          </w:p>
        </w:tc>
        <w:tc>
          <w:tcPr>
            <w:tcW w:w="143"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176" w:type="dxa"/>
            <w:tcBorders/>
            <w:shd w:fill="auto" w:val="clear"/>
            <w:vAlign w:val="bottom"/>
          </w:tcPr>
          <w:p>
            <w:pPr>
              <w:pStyle w:val="TableContents"/>
              <w:spacing w:before="0" w:after="283"/>
              <w:jc w:val="right"/>
              <w:rPr/>
            </w:pPr>
            <w:r>
              <w:rPr/>
              <w:t>36,263</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35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42" w:type="dxa"/>
            <w:tcBorders/>
            <w:shd w:fill="auto" w:val="clear"/>
            <w:vAlign w:val="bottom"/>
          </w:tcPr>
          <w:p>
            <w:pPr>
              <w:pStyle w:val="TableContents"/>
              <w:spacing w:before="0" w:after="283"/>
              <w:jc w:val="right"/>
              <w:rPr/>
            </w:pPr>
            <w:r>
              <w:rPr/>
              <w:t>4.97</w:t>
            </w:r>
          </w:p>
        </w:tc>
        <w:tc>
          <w:tcPr>
            <w:tcW w:w="69" w:type="dxa"/>
            <w:tcBorders/>
            <w:shd w:fill="auto" w:val="clear"/>
            <w:vAlign w:val="bottom"/>
          </w:tcPr>
          <w:p>
            <w:pPr>
              <w:pStyle w:val="TableContents"/>
              <w:spacing w:before="0" w:after="283"/>
              <w:rPr/>
            </w:pPr>
            <w:r>
              <w:rPr/>
              <w:t> </w:t>
            </w:r>
          </w:p>
        </w:tc>
      </w:tr>
      <w:tr>
        <w:trPr>
          <w:trHeight w:val="120" w:hRule="atLeast"/>
        </w:trPr>
        <w:tc>
          <w:tcPr>
            <w:tcW w:w="1547" w:type="dxa"/>
            <w:tcBorders/>
            <w:shd w:fill="auto" w:val="clear"/>
            <w:vAlign w:val="center"/>
          </w:tcPr>
          <w:p>
            <w:pPr>
              <w:pStyle w:val="TableContents"/>
              <w:spacing w:before="0" w:after="283"/>
              <w:rPr>
                <w:sz w:val="4"/>
                <w:szCs w:val="4"/>
              </w:rPr>
            </w:pPr>
            <w:r>
              <w:rPr>
                <w:sz w:val="4"/>
                <w:szCs w:val="4"/>
              </w:rPr>
            </w:r>
          </w:p>
        </w:tc>
        <w:tc>
          <w:tcPr>
            <w:tcW w:w="1451" w:type="dxa"/>
            <w:gridSpan w:val="4"/>
            <w:tcBorders/>
            <w:shd w:fill="auto" w:val="clear"/>
            <w:vAlign w:val="center"/>
          </w:tcPr>
          <w:p>
            <w:pPr>
              <w:pStyle w:val="TableContents"/>
              <w:spacing w:before="0" w:after="283"/>
              <w:rPr>
                <w:sz w:val="4"/>
                <w:szCs w:val="4"/>
              </w:rPr>
            </w:pPr>
            <w:r>
              <w:rPr>
                <w:sz w:val="4"/>
                <w:szCs w:val="4"/>
              </w:rPr>
            </w:r>
          </w:p>
        </w:tc>
        <w:tc>
          <w:tcPr>
            <w:tcW w:w="2248" w:type="dxa"/>
            <w:gridSpan w:val="4"/>
            <w:tcBorders/>
            <w:shd w:fill="auto" w:val="clear"/>
            <w:vAlign w:val="center"/>
          </w:tcPr>
          <w:p>
            <w:pPr>
              <w:pStyle w:val="TableContents"/>
              <w:spacing w:before="0" w:after="283"/>
              <w:rPr>
                <w:sz w:val="4"/>
                <w:szCs w:val="4"/>
              </w:rPr>
            </w:pPr>
            <w:r>
              <w:rPr>
                <w:sz w:val="4"/>
                <w:szCs w:val="4"/>
              </w:rPr>
            </w:r>
          </w:p>
        </w:tc>
        <w:tc>
          <w:tcPr>
            <w:tcW w:w="1481" w:type="dxa"/>
            <w:gridSpan w:val="4"/>
            <w:tcBorders/>
            <w:shd w:fill="auto" w:val="clear"/>
            <w:vAlign w:val="center"/>
          </w:tcPr>
          <w:p>
            <w:pPr>
              <w:pStyle w:val="TableContents"/>
              <w:spacing w:before="0" w:after="283"/>
              <w:rPr>
                <w:sz w:val="4"/>
                <w:szCs w:val="4"/>
              </w:rPr>
            </w:pPr>
            <w:r>
              <w:rPr>
                <w:sz w:val="4"/>
                <w:szCs w:val="4"/>
              </w:rPr>
            </w:r>
          </w:p>
        </w:tc>
        <w:tc>
          <w:tcPr>
            <w:tcW w:w="1727" w:type="dxa"/>
            <w:gridSpan w:val="4"/>
            <w:tcBorders/>
            <w:shd w:fill="auto" w:val="clear"/>
            <w:vAlign w:val="center"/>
          </w:tcPr>
          <w:p>
            <w:pPr>
              <w:pStyle w:val="TableContents"/>
              <w:spacing w:before="0" w:after="283"/>
              <w:rPr>
                <w:sz w:val="4"/>
                <w:szCs w:val="4"/>
              </w:rPr>
            </w:pPr>
            <w:r>
              <w:rPr>
                <w:sz w:val="4"/>
                <w:szCs w:val="4"/>
              </w:rPr>
            </w:r>
          </w:p>
        </w:tc>
        <w:tc>
          <w:tcPr>
            <w:tcW w:w="1751" w:type="dxa"/>
            <w:gridSpan w:val="4"/>
            <w:tcBorders/>
            <w:shd w:fill="auto" w:val="clear"/>
            <w:vAlign w:val="center"/>
          </w:tcPr>
          <w:p>
            <w:pPr>
              <w:pStyle w:val="TableContents"/>
              <w:spacing w:before="0" w:after="283"/>
              <w:rPr>
                <w:sz w:val="4"/>
                <w:szCs w:val="4"/>
              </w:rPr>
            </w:pPr>
            <w:r>
              <w:rPr>
                <w:sz w:val="4"/>
                <w:szCs w:val="4"/>
              </w:rPr>
            </w:r>
          </w:p>
        </w:tc>
      </w:tr>
      <w:tr>
        <w:trPr/>
        <w:tc>
          <w:tcPr>
            <w:tcW w:w="1547" w:type="dxa"/>
            <w:tcBorders/>
            <w:shd w:fill="CCEEFF" w:val="clear"/>
          </w:tcPr>
          <w:p>
            <w:pPr>
              <w:pStyle w:val="TableContents"/>
              <w:spacing w:before="0" w:after="0"/>
              <w:rPr>
                <w:rFonts w:ascii="Times New Roman" w:hAnsi="Times New Roman"/>
                <w:sz w:val="20"/>
              </w:rPr>
            </w:pPr>
            <w:r>
              <w:rPr>
                <w:rFonts w:ascii="Times New Roman" w:hAnsi="Times New Roman"/>
                <w:sz w:val="20"/>
              </w:rPr>
              <w:t>Samuel Whiting</w:t>
            </w:r>
          </w:p>
        </w:tc>
        <w:tc>
          <w:tcPr>
            <w:tcW w:w="200"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pPr>
            <w:r>
              <w:rPr/>
              <w:t>6/21/22</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1590" w:type="dxa"/>
            <w:tcBorders/>
            <w:shd w:fill="CCEEFF" w:val="clear"/>
            <w:vAlign w:val="bottom"/>
          </w:tcPr>
          <w:p>
            <w:pPr>
              <w:pStyle w:val="TableContents"/>
              <w:spacing w:before="0" w:after="283"/>
              <w:jc w:val="right"/>
              <w:rPr/>
            </w:pPr>
            <w:r>
              <w:rPr/>
              <w:t>6/21/22</w:t>
            </w:r>
          </w:p>
        </w:tc>
        <w:tc>
          <w:tcPr>
            <w:tcW w:w="350" w:type="dxa"/>
            <w:tcBorders/>
            <w:shd w:fill="CCEEFF" w:val="clear"/>
            <w:vAlign w:val="bottom"/>
          </w:tcPr>
          <w:p>
            <w:pPr>
              <w:pStyle w:val="TableContents"/>
              <w:spacing w:before="0" w:after="283"/>
              <w:rPr/>
            </w:pPr>
            <w:r>
              <w:rPr/>
              <w:t>(4) </w:t>
            </w:r>
          </w:p>
        </w:tc>
        <w:tc>
          <w:tcPr>
            <w:tcW w:w="143"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17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1350" w:type="dxa"/>
            <w:tcBorders/>
            <w:shd w:fill="CCEEFF" w:val="clear"/>
            <w:vAlign w:val="bottom"/>
          </w:tcPr>
          <w:p>
            <w:pPr>
              <w:pStyle w:val="TableContents"/>
              <w:spacing w:before="0" w:after="283"/>
              <w:jc w:val="right"/>
              <w:rPr/>
            </w:pPr>
            <w:r>
              <w:rPr/>
              <w:t>55,680</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42" w:type="dxa"/>
            <w:tcBorders/>
            <w:shd w:fill="CCEEFF" w:val="clear"/>
            <w:vAlign w:val="bottom"/>
          </w:tcPr>
          <w:p>
            <w:pPr>
              <w:pStyle w:val="TableContents"/>
              <w:spacing w:before="0" w:after="283"/>
              <w:jc w:val="right"/>
              <w:rPr/>
            </w:pPr>
            <w:r>
              <w:rPr/>
              <w:t>2.35</w:t>
            </w:r>
          </w:p>
        </w:tc>
        <w:tc>
          <w:tcPr>
            <w:tcW w:w="69" w:type="dxa"/>
            <w:tcBorders/>
            <w:shd w:fill="CCEEFF" w:val="clear"/>
            <w:vAlign w:val="bottom"/>
          </w:tcPr>
          <w:p>
            <w:pPr>
              <w:pStyle w:val="TableContents"/>
              <w:spacing w:before="0" w:after="283"/>
              <w:rPr/>
            </w:pPr>
            <w:r>
              <w:rPr/>
              <w:t> </w:t>
            </w:r>
          </w:p>
        </w:tc>
      </w:tr>
      <w:tr>
        <w:trPr/>
        <w:tc>
          <w:tcPr>
            <w:tcW w:w="1547" w:type="dxa"/>
            <w:tcBorders/>
            <w:shd w:fill="auto" w:val="clea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right"/>
              <w:rPr/>
            </w:pPr>
            <w:r>
              <w:rPr/>
              <w:t>1/4/22</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590" w:type="dxa"/>
            <w:tcBorders/>
            <w:shd w:fill="auto" w:val="clear"/>
            <w:vAlign w:val="bottom"/>
          </w:tcPr>
          <w:p>
            <w:pPr>
              <w:pStyle w:val="TableContents"/>
              <w:spacing w:before="0" w:after="283"/>
              <w:jc w:val="right"/>
              <w:rPr/>
            </w:pPr>
            <w:r>
              <w:rPr/>
              <w:t>1/4/22</w:t>
            </w:r>
          </w:p>
        </w:tc>
        <w:tc>
          <w:tcPr>
            <w:tcW w:w="350" w:type="dxa"/>
            <w:tcBorders/>
            <w:shd w:fill="auto" w:val="clear"/>
            <w:vAlign w:val="bottom"/>
          </w:tcPr>
          <w:p>
            <w:pPr>
              <w:pStyle w:val="TableContents"/>
              <w:spacing w:before="0" w:after="283"/>
              <w:rPr/>
            </w:pPr>
            <w:r>
              <w:rPr/>
              <w:t>(1) </w:t>
            </w:r>
          </w:p>
        </w:tc>
        <w:tc>
          <w:tcPr>
            <w:tcW w:w="143"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176" w:type="dxa"/>
            <w:tcBorders/>
            <w:shd w:fill="auto" w:val="clear"/>
            <w:vAlign w:val="bottom"/>
          </w:tcPr>
          <w:p>
            <w:pPr>
              <w:pStyle w:val="TableContents"/>
              <w:spacing w:before="0" w:after="283"/>
              <w:jc w:val="right"/>
              <w:rPr/>
            </w:pPr>
            <w:r>
              <w:rPr/>
              <w:t>6,646</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350" w:type="dxa"/>
            <w:tcBorders/>
            <w:shd w:fill="auto" w:val="clear"/>
            <w:vAlign w:val="bottom"/>
          </w:tcPr>
          <w:p>
            <w:pPr>
              <w:pStyle w:val="TableContents"/>
              <w:spacing w:before="0" w:after="283"/>
              <w:jc w:val="right"/>
              <w:rPr/>
            </w:pPr>
            <w:r>
              <w:rPr/>
              <w:t>22,354</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42" w:type="dxa"/>
            <w:tcBorders/>
            <w:shd w:fill="auto" w:val="clear"/>
            <w:vAlign w:val="bottom"/>
          </w:tcPr>
          <w:p>
            <w:pPr>
              <w:pStyle w:val="TableContents"/>
              <w:spacing w:before="0" w:after="283"/>
              <w:jc w:val="right"/>
              <w:rPr/>
            </w:pPr>
            <w:r>
              <w:rPr/>
              <w:t>5.45</w:t>
            </w:r>
          </w:p>
        </w:tc>
        <w:tc>
          <w:tcPr>
            <w:tcW w:w="69" w:type="dxa"/>
            <w:tcBorders/>
            <w:shd w:fill="auto" w:val="clear"/>
            <w:vAlign w:val="bottom"/>
          </w:tcPr>
          <w:p>
            <w:pPr>
              <w:pStyle w:val="TableContents"/>
              <w:spacing w:before="0" w:after="283"/>
              <w:rPr/>
            </w:pPr>
            <w:r>
              <w:rPr/>
              <w:t> </w:t>
            </w:r>
          </w:p>
        </w:tc>
      </w:tr>
      <w:tr>
        <w:trPr/>
        <w:tc>
          <w:tcPr>
            <w:tcW w:w="1547" w:type="dxa"/>
            <w:tcBorders/>
            <w:shd w:fill="CCEEFF" w:val="clear"/>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pPr>
            <w:r>
              <w:rPr/>
              <w:t>4/29/21</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1590" w:type="dxa"/>
            <w:tcBorders/>
            <w:shd w:fill="CCEEFF" w:val="clear"/>
            <w:vAlign w:val="bottom"/>
          </w:tcPr>
          <w:p>
            <w:pPr>
              <w:pStyle w:val="TableContents"/>
              <w:spacing w:before="0" w:after="283"/>
              <w:jc w:val="right"/>
              <w:rPr/>
            </w:pPr>
            <w:r>
              <w:rPr/>
              <w:t>6/25/21</w:t>
            </w:r>
          </w:p>
        </w:tc>
        <w:tc>
          <w:tcPr>
            <w:tcW w:w="350" w:type="dxa"/>
            <w:tcBorders/>
            <w:shd w:fill="CCEEFF" w:val="clear"/>
            <w:vAlign w:val="bottom"/>
          </w:tcPr>
          <w:p>
            <w:pPr>
              <w:pStyle w:val="TableContents"/>
              <w:spacing w:before="0" w:after="283"/>
              <w:rPr/>
            </w:pPr>
            <w:r>
              <w:rPr/>
              <w:t>(1) </w:t>
            </w:r>
          </w:p>
        </w:tc>
        <w:tc>
          <w:tcPr>
            <w:tcW w:w="143"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176" w:type="dxa"/>
            <w:tcBorders/>
            <w:shd w:fill="CCEEFF" w:val="clear"/>
            <w:vAlign w:val="bottom"/>
          </w:tcPr>
          <w:p>
            <w:pPr>
              <w:pStyle w:val="TableContents"/>
              <w:spacing w:before="0" w:after="283"/>
              <w:jc w:val="right"/>
              <w:rPr/>
            </w:pPr>
            <w:r>
              <w:rPr/>
              <w:t>6,523</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1350" w:type="dxa"/>
            <w:tcBorders/>
            <w:shd w:fill="CCEEFF" w:val="clear"/>
            <w:vAlign w:val="bottom"/>
          </w:tcPr>
          <w:p>
            <w:pPr>
              <w:pStyle w:val="TableContents"/>
              <w:spacing w:before="0" w:after="283"/>
              <w:jc w:val="right"/>
              <w:rPr/>
            </w:pPr>
            <w:r>
              <w:rPr/>
              <w:t>10,872</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42" w:type="dxa"/>
            <w:tcBorders/>
            <w:shd w:fill="CCEEFF" w:val="clear"/>
            <w:vAlign w:val="bottom"/>
          </w:tcPr>
          <w:p>
            <w:pPr>
              <w:pStyle w:val="TableContents"/>
              <w:spacing w:before="0" w:after="283"/>
              <w:jc w:val="right"/>
              <w:rPr/>
            </w:pPr>
            <w:r>
              <w:rPr/>
              <w:t>26.40</w:t>
            </w:r>
          </w:p>
        </w:tc>
        <w:tc>
          <w:tcPr>
            <w:tcW w:w="69" w:type="dxa"/>
            <w:tcBorders/>
            <w:shd w:fill="CCEEFF" w:val="clear"/>
            <w:vAlign w:val="bottom"/>
          </w:tcPr>
          <w:p>
            <w:pPr>
              <w:pStyle w:val="TableContents"/>
              <w:spacing w:before="0" w:after="283"/>
              <w:rPr/>
            </w:pPr>
            <w:r>
              <w:rPr/>
              <w:t> </w:t>
            </w:r>
          </w:p>
        </w:tc>
      </w:tr>
      <w:tr>
        <w:trPr/>
        <w:tc>
          <w:tcPr>
            <w:tcW w:w="1547" w:type="dxa"/>
            <w:tcBorders/>
            <w:shd w:fill="auto" w:val="clea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right"/>
              <w:rPr/>
            </w:pPr>
            <w:r>
              <w:rPr/>
              <w:t>3/10/21</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590" w:type="dxa"/>
            <w:tcBorders/>
            <w:shd w:fill="auto" w:val="clear"/>
            <w:vAlign w:val="bottom"/>
          </w:tcPr>
          <w:p>
            <w:pPr>
              <w:pStyle w:val="TableContents"/>
              <w:spacing w:before="0" w:after="283"/>
              <w:jc w:val="right"/>
              <w:rPr/>
            </w:pPr>
            <w:r>
              <w:rPr/>
              <w:t>3/5/21</w:t>
            </w:r>
          </w:p>
        </w:tc>
        <w:tc>
          <w:tcPr>
            <w:tcW w:w="350" w:type="dxa"/>
            <w:tcBorders/>
            <w:shd w:fill="auto" w:val="clear"/>
            <w:vAlign w:val="bottom"/>
          </w:tcPr>
          <w:p>
            <w:pPr>
              <w:pStyle w:val="TableContents"/>
              <w:spacing w:before="0" w:after="283"/>
              <w:rPr/>
            </w:pPr>
            <w:r>
              <w:rPr/>
              <w:t>(1) </w:t>
            </w:r>
          </w:p>
        </w:tc>
        <w:tc>
          <w:tcPr>
            <w:tcW w:w="143"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176" w:type="dxa"/>
            <w:tcBorders/>
            <w:shd w:fill="auto" w:val="clear"/>
            <w:vAlign w:val="bottom"/>
          </w:tcPr>
          <w:p>
            <w:pPr>
              <w:pStyle w:val="TableContents"/>
              <w:spacing w:before="0" w:after="283"/>
              <w:jc w:val="right"/>
              <w:rPr/>
            </w:pPr>
            <w:r>
              <w:rPr/>
              <w:t>1,207</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350" w:type="dxa"/>
            <w:tcBorders/>
            <w:shd w:fill="auto" w:val="clear"/>
            <w:vAlign w:val="bottom"/>
          </w:tcPr>
          <w:p>
            <w:pPr>
              <w:pStyle w:val="TableContents"/>
              <w:spacing w:before="0" w:after="283"/>
              <w:jc w:val="right"/>
              <w:rPr/>
            </w:pPr>
            <w:r>
              <w:rPr/>
              <w:t>1,812</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42" w:type="dxa"/>
            <w:tcBorders/>
            <w:shd w:fill="auto" w:val="clear"/>
            <w:vAlign w:val="bottom"/>
          </w:tcPr>
          <w:p>
            <w:pPr>
              <w:pStyle w:val="TableContents"/>
              <w:spacing w:before="0" w:after="283"/>
              <w:jc w:val="right"/>
              <w:rPr/>
            </w:pPr>
            <w:r>
              <w:rPr/>
              <w:t>10.25</w:t>
            </w:r>
          </w:p>
        </w:tc>
        <w:tc>
          <w:tcPr>
            <w:tcW w:w="69" w:type="dxa"/>
            <w:tcBorders/>
            <w:shd w:fill="auto" w:val="clear"/>
            <w:vAlign w:val="bottom"/>
          </w:tcPr>
          <w:p>
            <w:pPr>
              <w:pStyle w:val="TableContents"/>
              <w:spacing w:before="0" w:after="283"/>
              <w:rPr/>
            </w:pPr>
            <w:r>
              <w:rPr/>
              <w:t> </w:t>
            </w:r>
          </w:p>
        </w:tc>
      </w:tr>
      <w:tr>
        <w:trPr/>
        <w:tc>
          <w:tcPr>
            <w:tcW w:w="1547" w:type="dxa"/>
            <w:tcBorders/>
            <w:shd w:fill="CCEEFF" w:val="clear"/>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pPr>
            <w:r>
              <w:rPr/>
              <w:t>11/16/20</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1590" w:type="dxa"/>
            <w:tcBorders/>
            <w:shd w:fill="CCEEFF" w:val="clear"/>
            <w:vAlign w:val="bottom"/>
          </w:tcPr>
          <w:p>
            <w:pPr>
              <w:pStyle w:val="TableContents"/>
              <w:spacing w:before="0" w:after="283"/>
              <w:jc w:val="right"/>
              <w:rPr/>
            </w:pPr>
            <w:r>
              <w:rPr/>
              <w:t>11/16/20</w:t>
            </w:r>
          </w:p>
        </w:tc>
        <w:tc>
          <w:tcPr>
            <w:tcW w:w="350" w:type="dxa"/>
            <w:tcBorders/>
            <w:shd w:fill="CCEEFF" w:val="clear"/>
            <w:vAlign w:val="bottom"/>
          </w:tcPr>
          <w:p>
            <w:pPr>
              <w:pStyle w:val="TableContents"/>
              <w:spacing w:before="0" w:after="283"/>
              <w:rPr/>
            </w:pPr>
            <w:r>
              <w:rPr/>
              <w:t>(4) </w:t>
            </w:r>
          </w:p>
        </w:tc>
        <w:tc>
          <w:tcPr>
            <w:tcW w:w="143"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176" w:type="dxa"/>
            <w:tcBorders/>
            <w:shd w:fill="CCEEFF" w:val="clear"/>
            <w:vAlign w:val="bottom"/>
          </w:tcPr>
          <w:p>
            <w:pPr>
              <w:pStyle w:val="TableContents"/>
              <w:spacing w:before="0" w:after="283"/>
              <w:jc w:val="right"/>
              <w:rPr/>
            </w:pPr>
            <w:r>
              <w:rPr/>
              <w:t>32,263</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1350" w:type="dxa"/>
            <w:tcBorders/>
            <w:shd w:fill="CCEEFF" w:val="clear"/>
            <w:vAlign w:val="bottom"/>
          </w:tcPr>
          <w:p>
            <w:pPr>
              <w:pStyle w:val="TableContents"/>
              <w:spacing w:before="0" w:after="283"/>
              <w:jc w:val="right"/>
              <w:rPr/>
            </w:pPr>
            <w:r>
              <w:rPr/>
              <w:t>29,682</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42" w:type="dxa"/>
            <w:tcBorders/>
            <w:shd w:fill="CCEEFF" w:val="clear"/>
            <w:vAlign w:val="bottom"/>
          </w:tcPr>
          <w:p>
            <w:pPr>
              <w:pStyle w:val="TableContents"/>
              <w:spacing w:before="0" w:after="283"/>
              <w:jc w:val="right"/>
              <w:rPr/>
            </w:pPr>
            <w:r>
              <w:rPr/>
              <w:t>5.90</w:t>
            </w:r>
          </w:p>
        </w:tc>
        <w:tc>
          <w:tcPr>
            <w:tcW w:w="69"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Shares of common stock underlying the options vest in a series of 48 equal monthly installments measured from the vesting commencement date, subject to the executives continued service. Notwithstanding the foregoing, if, within 3 months prior to or 12 months following a change in control, the Company terminates the executives employment without cause or the executive resigns for certain good reasons, then the vesting of all of the shares of common stock subject to the option will be immediately accelerated such that all shares of common stock subject to the option will be deemed fully vested and exercisable as of the executives last day of employment, provided that the executive satisfies certain severance conditions.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One-fourth of the shares of common stock underlying this option vested on the one-year anniversary of the Vesting Commencement Date, and the remaining shares vest in a series of 36 equal monthly installments thereafter, subject to the executives continued service. Notwithstanding the foregoing, 100% of the unvested shares subject to this option vest immediately on the earliest of (i) the date that is 12 months following a change in control of the Company, (ii) the date the Company terminates the executives status as a service provider upon or following the closing of the change in control for any reason other than cause or the executives death or disability, in each case within the period beginning three months before and ending 12 months after the closing of the change in control, and (iii) the date the executive terminates his status as a service provider for certain good reasons within the period beginning three months before and ending 12 months after the closing of the change in control (</w:t>
            </w:r>
            <w:r>
              <w:rPr>
                <w:rFonts w:ascii="Times New Roman" w:hAnsi="Times New Roman"/>
                <w:b/>
                <w:i/>
                <w:sz w:val="20"/>
              </w:rPr>
              <w:t>Brady Double-Trigger</w:t>
            </w:r>
            <w:r>
              <w:rPr>
                <w:rFonts w:ascii="Times New Roman" w:hAnsi="Times New Roman"/>
                <w:sz w:val="20"/>
              </w:rPr>
              <w:t xml:space="preserve">). If the successor corporation in a change in control does not assume the Brady Double-Trigger obligation, 100% of the unvested shares of common stock subject to this option will vest immediately prior to such change in control.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(3)</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Shares of common stock underlying the option vested upon completion of the Merger.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One-fourth of the shares of common stock underlying this option vested on the one-year anniversary of the Vesting Commencement Date, and the remaining shares vest in a series of 36 equal monthly installments thereafter, subject to the executives continued service. Notwithstanding the foregoing, if within 3 months prior to or 12 months following a change in control we terminate the executives employment without cause or the executive resigns for certain good reasons, then the vesting of all of the shares of common stock subject to this option will be immediately accelerated such that all shares will be deemed fully vested and exercisable as of the executives last day of employment, provided that the executive satisfies certain conditions.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Employment Arrangements </w:t>
      </w:r>
    </w:p>
    <w:p>
      <w:pPr>
        <w:pStyle w:val="TextBody"/>
        <w:spacing w:before="120" w:after="0"/>
        <w:jc w:val="left"/>
        <w:rPr>
          <w:rFonts w:ascii="Times New Roman" w:hAnsi="Times New Roman"/>
          <w:i/>
          <w:sz w:val="20"/>
        </w:rPr>
      </w:pPr>
      <w:r>
        <w:rPr>
          <w:rFonts w:ascii="Times New Roman" w:hAnsi="Times New Roman"/>
          <w:i/>
          <w:sz w:val="20"/>
        </w:rPr>
        <w:t xml:space="preserve">Employment Arrangements </w:t>
      </w:r>
    </w:p>
    <w:p>
      <w:pPr>
        <w:pStyle w:val="TextBody"/>
        <w:spacing w:before="120" w:after="0"/>
        <w:jc w:val="left"/>
        <w:rPr>
          <w:rFonts w:ascii="Times New Roman" w:hAnsi="Times New Roman"/>
          <w:sz w:val="20"/>
        </w:rPr>
      </w:pPr>
      <w:r>
        <w:rPr>
          <w:rFonts w:ascii="Times New Roman" w:hAnsi="Times New Roman"/>
          <w:sz w:val="20"/>
        </w:rPr>
        <w:t xml:space="preserve">Each of our Named Executive Officers employment is at will and may be terminated at any time. Below is a description of our employment arrangements with each of our Named Executive Officers. </w:t>
      </w:r>
    </w:p>
    <w:p>
      <w:pPr>
        <w:pStyle w:val="TextBody"/>
        <w:spacing w:before="360" w:after="0"/>
        <w:jc w:val="left"/>
        <w:rPr>
          <w:rFonts w:ascii="Times New Roman" w:hAnsi="Times New Roman"/>
          <w:b/>
          <w:i/>
          <w:sz w:val="20"/>
        </w:rPr>
      </w:pPr>
      <w:r>
        <w:rPr>
          <w:rFonts w:ascii="Times New Roman" w:hAnsi="Times New Roman"/>
          <w:b/>
          <w:i/>
          <w:sz w:val="20"/>
        </w:rPr>
        <w:t xml:space="preserve">Stephen Brady </w:t>
      </w:r>
    </w:p>
    <w:p>
      <w:pPr>
        <w:pStyle w:val="TextBody"/>
        <w:spacing w:before="120" w:after="0"/>
        <w:jc w:val="left"/>
        <w:rPr>
          <w:rFonts w:ascii="Times New Roman" w:hAnsi="Times New Roman"/>
          <w:sz w:val="20"/>
        </w:rPr>
      </w:pPr>
      <w:r>
        <w:rPr>
          <w:rFonts w:ascii="Times New Roman" w:hAnsi="Times New Roman"/>
          <w:sz w:val="20"/>
        </w:rPr>
        <w:t>Mr. Brady entered into an employment agreement dated January 12, 2022, that superseded, amended and restated his offer letter agreement with us, dated September 2, 2019 (the </w:t>
      </w:r>
      <w:r>
        <w:rPr>
          <w:rFonts w:ascii="Times New Roman" w:hAnsi="Times New Roman"/>
          <w:b/>
          <w:i/>
          <w:sz w:val="20"/>
        </w:rPr>
        <w:t>Brady Agreement</w:t>
      </w:r>
      <w:r>
        <w:rPr>
          <w:rFonts w:ascii="Times New Roman" w:hAnsi="Times New Roman"/>
          <w:sz w:val="20"/>
        </w:rPr>
        <w:t xml:space="preserve">). Under the terms of the Brady Agreement, Mr. Brady is entitled to an annual base salary of $530,000, to an annual bonus equal to 50% of his base salary, as determined by the Board in its sole discretion and to certain change in control and severance benefits as discussed below in Change in Control and Severance Arrangements. Effective for 2023, Mr. Brady will receive an annual base salary of $567,000. </w:t>
      </w:r>
    </w:p>
    <w:p>
      <w:pPr>
        <w:pStyle w:val="TextBody"/>
        <w:spacing w:before="360" w:after="0"/>
        <w:jc w:val="left"/>
        <w:rPr>
          <w:rFonts w:ascii="Times New Roman" w:hAnsi="Times New Roman"/>
          <w:b/>
          <w:i/>
          <w:sz w:val="20"/>
        </w:rPr>
      </w:pPr>
      <w:r>
        <w:rPr>
          <w:rFonts w:ascii="Times New Roman" w:hAnsi="Times New Roman"/>
          <w:b/>
          <w:i/>
          <w:sz w:val="20"/>
        </w:rPr>
        <w:t xml:space="preserve">Thomas Dubensky </w:t>
      </w:r>
    </w:p>
    <w:p>
      <w:pPr>
        <w:pStyle w:val="TextBody"/>
        <w:spacing w:before="120" w:after="0"/>
        <w:jc w:val="left"/>
        <w:rPr>
          <w:rFonts w:ascii="Times New Roman" w:hAnsi="Times New Roman"/>
          <w:sz w:val="20"/>
        </w:rPr>
      </w:pPr>
      <w:r>
        <w:rPr>
          <w:rFonts w:ascii="Times New Roman" w:hAnsi="Times New Roman"/>
          <w:sz w:val="20"/>
        </w:rPr>
        <w:t>Dr. Dubensky entered into an employment agreement dated January 12, 2022, that superseded, amended and restated his amended and restated offer letter agreement with us dated October 31, 2020 (the </w:t>
      </w:r>
      <w:r>
        <w:rPr>
          <w:rFonts w:ascii="Times New Roman" w:hAnsi="Times New Roman"/>
          <w:b/>
          <w:i/>
          <w:sz w:val="20"/>
        </w:rPr>
        <w:t>Dubensky Agreement</w:t>
      </w:r>
      <w:r>
        <w:rPr>
          <w:rFonts w:ascii="Times New Roman" w:hAnsi="Times New Roman"/>
          <w:sz w:val="20"/>
        </w:rPr>
        <w:t xml:space="preserve">). Under the terms of the Dubensky Agreement, Dr. Dubensky is entitled to an annual base salary of $489,541, is eligible for an annual bonus equal to 50% of his base salary, as determined by the Board in its sole discretion and to certain change in control and severance benefits as discussed below in Change in Control and Severance Arrangements. Effective for 2023, Dr. Dubensky will receive an annual base salary of $509,123. </w:t>
      </w:r>
    </w:p>
    <w:p>
      <w:pPr>
        <w:pStyle w:val="TextBody"/>
        <w:spacing w:before="360" w:after="0"/>
        <w:jc w:val="left"/>
        <w:rPr>
          <w:rFonts w:ascii="Times New Roman" w:hAnsi="Times New Roman"/>
          <w:b/>
          <w:i/>
          <w:sz w:val="20"/>
        </w:rPr>
      </w:pPr>
      <w:r>
        <w:rPr>
          <w:rFonts w:ascii="Times New Roman" w:hAnsi="Times New Roman"/>
          <w:b/>
          <w:i/>
          <w:sz w:val="20"/>
        </w:rPr>
        <w:t xml:space="preserve">Sam Whiting </w:t>
      </w:r>
    </w:p>
    <w:p>
      <w:pPr>
        <w:pStyle w:val="TextBody"/>
        <w:spacing w:before="120" w:after="0"/>
        <w:jc w:val="left"/>
        <w:rPr>
          <w:rFonts w:ascii="Times New Roman" w:hAnsi="Times New Roman"/>
          <w:sz w:val="20"/>
        </w:rPr>
      </w:pPr>
      <w:r>
        <w:rPr>
          <w:rFonts w:ascii="Times New Roman" w:hAnsi="Times New Roman"/>
          <w:sz w:val="20"/>
        </w:rPr>
        <w:t>Dr. Whiting entered into an employment agreement dated January 12, 2022, that superseded, amended and restated his amended and restated offer letter agreement with us dated October 7, 2020 (the </w:t>
      </w:r>
      <w:r>
        <w:rPr>
          <w:rFonts w:ascii="Times New Roman" w:hAnsi="Times New Roman"/>
          <w:b/>
          <w:i/>
          <w:sz w:val="20"/>
        </w:rPr>
        <w:t>Whiting Agreement</w:t>
      </w:r>
      <w:r>
        <w:rPr>
          <w:rFonts w:ascii="Times New Roman" w:hAnsi="Times New Roman"/>
          <w:sz w:val="20"/>
        </w:rPr>
        <w:t xml:space="preserve">). Under the terms of the Whiting Agreement, Dr. Whiting is entitled to an annual base salary of $437,000, is eligible for an annual bonus equal to 40% of his base salary, as determined by the Board in its sole discretion and to certain change in control and severance benefits as discussed below in Change in Control and Severance Arrangements. Effective for 2023, Dr. Whiting will receive an annual base salary of $454,480. </w:t>
      </w:r>
    </w:p>
    <w:p>
      <w:pPr>
        <w:pStyle w:val="TextBody"/>
        <w:spacing w:before="360" w:after="0"/>
        <w:jc w:val="left"/>
        <w:rPr>
          <w:rFonts w:ascii="Times New Roman" w:hAnsi="Times New Roman"/>
          <w:i/>
          <w:sz w:val="20"/>
        </w:rPr>
      </w:pPr>
      <w:r>
        <w:rPr>
          <w:rFonts w:ascii="Times New Roman" w:hAnsi="Times New Roman"/>
          <w:i/>
          <w:sz w:val="20"/>
        </w:rPr>
        <w:t xml:space="preserve">Change in Control and Severance Arrangements </w:t>
      </w:r>
    </w:p>
    <w:p>
      <w:pPr>
        <w:pStyle w:val="TextBody"/>
        <w:spacing w:before="120" w:after="0"/>
        <w:jc w:val="left"/>
        <w:rPr>
          <w:rFonts w:ascii="Times New Roman" w:hAnsi="Times New Roman"/>
          <w:sz w:val="20"/>
        </w:rPr>
      </w:pPr>
      <w:r>
        <w:rPr>
          <w:rFonts w:ascii="Times New Roman" w:hAnsi="Times New Roman"/>
          <w:sz w:val="20"/>
        </w:rPr>
        <w:t xml:space="preserve">Pursuant to the Brady Agreement, the Dubensky Agreement and the Whiting Agreement, if a Named Executive Officers employment is terminated by us without Cause or if a Named Executive Officer resigns for Good Reason (each as defined below), they will be entitled to receive (i) bi-weekly payments equal to the sum of 12 months of base salary (or 9 months for Dr. Dubensky and Dr. Whiting) plus a prorated portion of the executives target annual bonus for the calendar year in which termination occurs and (ii) if the executive elects to continue health insurance coverage under COBRA, the payment of the monthly premium under COBRA until the earlier of 12 months (or 9 months for Dr. Dubensky and Dr. Whiting) following termination date or the date on which the executive commences full-time employment or employment that provides eligibility for healthcare benefits substantially comparable to those provided by us. </w:t>
      </w:r>
    </w:p>
    <w:p>
      <w:pPr>
        <w:pStyle w:val="TextBody"/>
        <w:spacing w:before="240" w:after="0"/>
        <w:jc w:val="left"/>
        <w:rPr>
          <w:rFonts w:ascii="Times New Roman" w:hAnsi="Times New Roman"/>
          <w:sz w:val="20"/>
        </w:rPr>
      </w:pPr>
      <w:r>
        <w:rPr>
          <w:rFonts w:ascii="Times New Roman" w:hAnsi="Times New Roman"/>
          <w:sz w:val="20"/>
        </w:rPr>
        <w:t xml:space="preserve">Moreover, if a Named Executive Officers employment is terminated by us without Cause or a Named Executive Officer resigns for Good Reason within three months prior to or 12 months following a Change in Control (as defined below), then in lieu of the severance benefits described above the Named Executive Officer will be entitled to receive (x) a lump-sum amount equal to the sum of 18 months (12 months for Dr. Dubensky and Dr. Whiting) of base salary plus 100% of the executives annual target bonus (150% for Mr. Brady) and (y) payment of COBRA premiums as described above for up to 18 months (12 months for Dr. Dubensky and Dr. Whiting).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Our Named Executive Officers receipt of any severance benefits is subject to the execution and non-revocation of a separation agreement containing, among other things a general release of claims in favor of us and our related persons and entities, confidentiality, return of property and non-solicitation and non-disparagement covenants. </w:t>
      </w:r>
    </w:p>
    <w:p>
      <w:pPr>
        <w:pStyle w:val="TextBody"/>
        <w:spacing w:before="240" w:after="0"/>
        <w:jc w:val="left"/>
        <w:rPr>
          <w:rFonts w:ascii="Times New Roman" w:hAnsi="Times New Roman"/>
          <w:sz w:val="20"/>
        </w:rPr>
      </w:pPr>
      <w:r>
        <w:rPr>
          <w:rFonts w:ascii="Times New Roman" w:hAnsi="Times New Roman"/>
          <w:sz w:val="20"/>
        </w:rPr>
        <w:t xml:space="preserve">Further, if we are subject to a Change in Control prior to the termination of a Named Executive Officers service, then 100% of any unvested shares subject to any stock options then held by the Named Executive Officer shall vest and become exercisable in full. </w:t>
      </w:r>
    </w:p>
    <w:p>
      <w:pPr>
        <w:pStyle w:val="TextBody"/>
        <w:spacing w:before="240" w:after="0"/>
        <w:jc w:val="left"/>
        <w:rPr>
          <w:rFonts w:ascii="Times New Roman" w:hAnsi="Times New Roman"/>
          <w:sz w:val="20"/>
        </w:rPr>
      </w:pPr>
      <w:r>
        <w:rPr>
          <w:rFonts w:ascii="Times New Roman" w:hAnsi="Times New Roman"/>
          <w:sz w:val="20"/>
        </w:rPr>
        <w:t xml:space="preserve">For purposes of each Named Executive Officers offer letter agreements, each of the following terms has the meaning ascribed to such term in the applicable offer letter agreement but are summarized below: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Cause means conduct involving one or more of the following by the Named Executive Officer: (i) certain failures or refusals to perform the duties required by the Named Executive Officer in the Named Executive Officers position with Company, which such failure continues for (or is not permanently cured within), a period of 30 days after written notice is given to him by the Company (except in the case of physical or mental illness); (ii) gross negligence, willful misconduct or similar contact in connection with the performance of the Named Executive Officers duties; (iii) conviction of a felony, or a misdemeanor involving moral turpitude or fraud; (iv) commission of an act of embezzlement or fraud; or (v) material breach of any agreement with us. A termination of employment by reason of Disability shall not be treated as an involuntary termination without Cause.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Change in Control has the meaning ascribed to such term in our 2017 Equity Incentive Plan (</w:t>
            </w:r>
            <w:r>
              <w:rPr>
                <w:rFonts w:ascii="Times New Roman" w:hAnsi="Times New Roman"/>
                <w:b/>
                <w:i/>
                <w:sz w:val="20"/>
              </w:rPr>
              <w:t>2017 EIP</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Disability means the inability to materially engage in duties and responsibilities by reason of any medically determinable physical or mental impairment for a period of not less than 120 consecutive days or not less than 180 days during any one-year period.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Good Reason means, without the Named Executive Officers express written consent: (i) any reduction in annual base salary other than a reduction that is proportional to general reductions affecting other senior executive officers generally; (ii) (1) with respect to Mr. Brady, a material diminution in responsibilities, authority or duties and (2) with respect to Drs. Dubensky and Whiting, a material diminution in title or scope of responsibilities (but excluding removal from our Board); and (iii) with respect only to Mr. Brady: (w) a material change in the geographic location at which he provides services to us; (x) a material breach of the Brady Agreement by us; (y) appointing an officer of the Company whose responsibilities, function, title, reports and reporting would indicate that he is subordinate to such officer; or (z) no longer serving as an officer with a similar title or responsibilities at the top level corporate entity following our Change in Control. </w:t>
            </w:r>
          </w:p>
        </w:tc>
      </w:tr>
    </w:tbl>
    <w:p>
      <w:pPr>
        <w:pStyle w:val="TextBody"/>
        <w:spacing w:before="360" w:after="0"/>
        <w:jc w:val="left"/>
        <w:rPr>
          <w:rFonts w:ascii="Times New Roman" w:hAnsi="Times New Roman"/>
          <w:b/>
          <w:sz w:val="20"/>
        </w:rPr>
      </w:pPr>
      <w:r>
        <w:rPr>
          <w:rFonts w:ascii="Times New Roman" w:hAnsi="Times New Roman"/>
          <w:b/>
          <w:sz w:val="20"/>
        </w:rPr>
        <w:t xml:space="preserve">Health and Welfare Benefits; Perquisites </w:t>
      </w:r>
    </w:p>
    <w:p>
      <w:pPr>
        <w:pStyle w:val="TextBody"/>
        <w:spacing w:before="120" w:after="0"/>
        <w:jc w:val="left"/>
        <w:rPr>
          <w:rFonts w:ascii="Times New Roman" w:hAnsi="Times New Roman"/>
          <w:sz w:val="20"/>
        </w:rPr>
      </w:pPr>
      <w:r>
        <w:rPr>
          <w:rFonts w:ascii="Times New Roman" w:hAnsi="Times New Roman"/>
          <w:sz w:val="20"/>
        </w:rPr>
        <w:t xml:space="preserve">Our Named Executive Officers are eligible to participate in our employee benefit plans, including medical, dental, vision, disability and life insurance plans, in each case on the same basis as all of our other full-time employees. Any part-time employees we hire would not be eligible to participate in our employee benefit plans. We generally do not provide perquisites or personal benefits to our Named Executive Officers, except in limited circumstances, and we did not provide any perquisites or personal benefits to our Named Executive Officers in 2022. </w:t>
      </w:r>
    </w:p>
    <w:p>
      <w:pPr>
        <w:pStyle w:val="TextBody"/>
        <w:spacing w:before="360" w:after="0"/>
        <w:jc w:val="left"/>
        <w:rPr>
          <w:rFonts w:ascii="Times New Roman" w:hAnsi="Times New Roman"/>
          <w:b/>
          <w:sz w:val="20"/>
        </w:rPr>
      </w:pPr>
      <w:r>
        <w:rPr>
          <w:rFonts w:ascii="Times New Roman" w:hAnsi="Times New Roman"/>
          <w:b/>
          <w:sz w:val="20"/>
        </w:rPr>
        <w:t xml:space="preserve">401(k) Plan </w:t>
      </w:r>
    </w:p>
    <w:p>
      <w:pPr>
        <w:pStyle w:val="TextBody"/>
        <w:spacing w:before="120" w:after="0"/>
        <w:jc w:val="left"/>
        <w:rPr>
          <w:rFonts w:ascii="Times New Roman" w:hAnsi="Times New Roman"/>
          <w:sz w:val="20"/>
        </w:rPr>
      </w:pPr>
      <w:r>
        <w:rPr>
          <w:rFonts w:ascii="Times New Roman" w:hAnsi="Times New Roman"/>
          <w:sz w:val="20"/>
        </w:rPr>
        <w:t xml:space="preserve">We participate in a multiple employer tax-qualified 401(k) savings plan which allows participants to defer eligible compensation up to the maximum amount allowed under Internal Revenue Service guidelines. Under our 401(k) plan, we currently make matching contributions of 100% on up to 4% of an employees eligible contributions to the plan, up to a maximum of $12,200 per year.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Item 402(v) Pay Versus Performance </w:t>
      </w:r>
    </w:p>
    <w:p>
      <w:pPr>
        <w:pStyle w:val="TextBody"/>
        <w:spacing w:before="120" w:after="0"/>
        <w:jc w:val="left"/>
        <w:rPr>
          <w:rFonts w:ascii="Times New Roman" w:hAnsi="Times New Roman"/>
          <w:sz w:val="20"/>
        </w:rPr>
      </w:pPr>
      <w:r>
        <w:rPr>
          <w:rFonts w:ascii="Times New Roman" w:hAnsi="Times New Roman"/>
          <w:sz w:val="20"/>
        </w:rPr>
        <w:t>In accordance with Item 402(v) of Regulation S-K, we are providing the following disclosure regarding executive compensation for each principal executive officer (</w:t>
      </w:r>
      <w:r>
        <w:rPr>
          <w:rFonts w:ascii="Times New Roman" w:hAnsi="Times New Roman"/>
          <w:b/>
          <w:i/>
          <w:sz w:val="20"/>
        </w:rPr>
        <w:t>PEO</w:t>
      </w:r>
      <w:r>
        <w:rPr>
          <w:rFonts w:ascii="Times New Roman" w:hAnsi="Times New Roman"/>
          <w:sz w:val="20"/>
        </w:rPr>
        <w:t>), and non-PEO named executive officers (</w:t>
      </w:r>
      <w:r>
        <w:rPr>
          <w:rFonts w:ascii="Times New Roman" w:hAnsi="Times New Roman"/>
          <w:b/>
          <w:i/>
          <w:sz w:val="20"/>
        </w:rPr>
        <w:t>Non-PEO NEOs</w:t>
      </w:r>
      <w:r>
        <w:rPr>
          <w:rFonts w:ascii="Times New Roman" w:hAnsi="Times New Roman"/>
          <w:sz w:val="20"/>
        </w:rPr>
        <w:t xml:space="preserve">) and Company performance for the fiscal years listed below. The Compensation Committee did not consider the pay versus performance disclosure below in making its pay decisions for any of the years shown. </w:t>
      </w:r>
    </w:p>
    <w:p>
      <w:pPr>
        <w:pStyle w:val="TextBody"/>
        <w:spacing w:before="240" w:after="0"/>
        <w:jc w:val="left"/>
        <w:rPr>
          <w:rFonts w:ascii="Times New Roman" w:hAnsi="Times New Roman"/>
          <w:sz w:val="20"/>
        </w:rPr>
      </w:pPr>
      <w:r>
        <w:rPr>
          <w:rFonts w:ascii="Times New Roman" w:hAnsi="Times New Roman"/>
          <w:sz w:val="20"/>
        </w:rPr>
        <w:t>The amounts set forth below under the headings Compensation Actually Paid to PEO for each PEO and Average Compensation Actually Paid to Non-PEO NEOs have been calculated in a manner consistent with Item 402(v) of Regulation S-K. Use of the term compensation actually paid (</w:t>
      </w:r>
      <w:r>
        <w:rPr>
          <w:rFonts w:ascii="Times New Roman" w:hAnsi="Times New Roman"/>
          <w:b/>
          <w:i/>
          <w:sz w:val="20"/>
        </w:rPr>
        <w:t>CAP</w:t>
      </w:r>
      <w:r>
        <w:rPr>
          <w:rFonts w:ascii="Times New Roman" w:hAnsi="Times New Roman"/>
          <w:sz w:val="20"/>
        </w:rPr>
        <w:t xml:space="preserve">) is required by the SECs rules, and as a result of the calculation methodology required by the SEC, such amounts differ from compensation actually received by the individuals for the fiscal years listed below. </w:t>
      </w:r>
    </w:p>
    <w:p>
      <w:pPr>
        <w:pStyle w:val="TextBody"/>
        <w:spacing w:before="0" w:after="0"/>
        <w:jc w:val="left"/>
        <w:rPr/>
      </w:pPr>
      <w:r>
        <w:rPr/>
        <w:t> </w:t>
      </w:r>
    </w:p>
    <w:tbl>
      <w:tblPr>
        <w:tblW w:w="16545" w:type="dxa"/>
        <w:jc w:val="center"/>
        <w:tblInd w:w="0" w:type="dxa"/>
        <w:tblCellMar>
          <w:top w:w="0" w:type="dxa"/>
          <w:left w:w="0" w:type="dxa"/>
          <w:bottom w:w="0" w:type="dxa"/>
          <w:right w:w="0" w:type="dxa"/>
        </w:tblCellMar>
      </w:tblPr>
      <w:tblGrid>
        <w:gridCol w:w="590"/>
        <w:gridCol w:w="60"/>
        <w:gridCol w:w="186"/>
        <w:gridCol w:w="1304"/>
        <w:gridCol w:w="60"/>
        <w:gridCol w:w="60"/>
        <w:gridCol w:w="221"/>
        <w:gridCol w:w="1269"/>
        <w:gridCol w:w="60"/>
        <w:gridCol w:w="60"/>
        <w:gridCol w:w="186"/>
        <w:gridCol w:w="1304"/>
        <w:gridCol w:w="60"/>
        <w:gridCol w:w="60"/>
        <w:gridCol w:w="221"/>
        <w:gridCol w:w="1269"/>
        <w:gridCol w:w="60"/>
        <w:gridCol w:w="60"/>
        <w:gridCol w:w="186"/>
        <w:gridCol w:w="1304"/>
        <w:gridCol w:w="60"/>
        <w:gridCol w:w="60"/>
        <w:gridCol w:w="186"/>
        <w:gridCol w:w="1304"/>
        <w:gridCol w:w="60"/>
        <w:gridCol w:w="60"/>
        <w:gridCol w:w="186"/>
        <w:gridCol w:w="1304"/>
        <w:gridCol w:w="60"/>
        <w:gridCol w:w="60"/>
        <w:gridCol w:w="221"/>
        <w:gridCol w:w="1269"/>
        <w:gridCol w:w="60"/>
        <w:gridCol w:w="60"/>
        <w:gridCol w:w="256"/>
        <w:gridCol w:w="1024"/>
        <w:gridCol w:w="60"/>
        <w:gridCol w:w="60"/>
        <w:gridCol w:w="350"/>
        <w:gridCol w:w="1110"/>
        <w:gridCol w:w="155"/>
      </w:tblGrid>
      <w:tr>
        <w:trPr/>
        <w:tc>
          <w:tcPr>
            <w:tcW w:w="5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90"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Year(1)</w:t>
            </w:r>
          </w:p>
        </w:tc>
        <w:tc>
          <w:tcPr>
            <w:tcW w:w="60" w:type="dxa"/>
            <w:tcBorders/>
            <w:shd w:fill="auto" w:val="clear"/>
            <w:vAlign w:val="bottom"/>
          </w:tcPr>
          <w:p>
            <w:pPr>
              <w:pStyle w:val="TableContents"/>
              <w:spacing w:before="0" w:after="283"/>
              <w:rPr/>
            </w:pPr>
            <w:r>
              <w:rPr/>
              <w:t> </w:t>
            </w:r>
          </w:p>
        </w:tc>
        <w:tc>
          <w:tcPr>
            <w:tcW w:w="149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Summary</w:t>
            </w:r>
            <w:r>
              <w:rPr/>
              <w:br/>
            </w:r>
            <w:r>
              <w:rPr>
                <w:b/>
              </w:rPr>
              <w:t>Compensation</w:t>
              <w:br/>
              <w:t>Table Total</w:t>
            </w:r>
            <w:r>
              <w:rPr/>
              <w:br/>
            </w:r>
            <w:r>
              <w:rPr>
                <w:b/>
              </w:rPr>
              <w:t>for PEO 1(2)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Compensation</w:t>
              <w:br/>
              <w:t>Actually</w:t>
            </w:r>
            <w:r>
              <w:rPr/>
              <w:br/>
            </w:r>
            <w:r>
              <w:rPr>
                <w:b/>
              </w:rPr>
              <w:t>Paid to PEO</w:t>
              <w:br/>
              <w:t>1(2)(3)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Summary</w:t>
              <w:br/>
              <w:t>Compensation</w:t>
              <w:br/>
              <w:t>Table Total</w:t>
              <w:br/>
              <w:t xml:space="preserve">for PEO 2(2)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Compensation</w:t>
              <w:br/>
              <w:t>Actually</w:t>
            </w:r>
            <w:r>
              <w:rPr/>
              <w:br/>
            </w:r>
            <w:r>
              <w:rPr>
                <w:b/>
              </w:rPr>
              <w:t>Paid to</w:t>
            </w:r>
            <w:r>
              <w:rPr/>
              <w:br/>
            </w:r>
            <w:r>
              <w:rPr>
                <w:b/>
              </w:rPr>
              <w:t>PEO 2(2)(3)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Summary</w:t>
              <w:br/>
              <w:t>Compensation</w:t>
              <w:br/>
              <w:t>Table Total</w:t>
              <w:br/>
              <w:t xml:space="preserve">for PEO 3(2)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Compensation</w:t>
              <w:br/>
              <w:t>Actually Paid</w:t>
              <w:br/>
              <w:t>to PEO 3(2)(3)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Average</w:t>
              <w:br/>
              <w:t>Summary</w:t>
              <w:br/>
              <w:t>Compensation</w:t>
              <w:br/>
              <w:t>Table</w:t>
            </w:r>
            <w:r>
              <w:rPr/>
              <w:br/>
            </w:r>
            <w:r>
              <w:rPr>
                <w:b/>
              </w:rPr>
              <w:t>Total for</w:t>
            </w:r>
            <w:r>
              <w:rPr/>
              <w:br/>
            </w:r>
            <w:r>
              <w:rPr>
                <w:b/>
              </w:rPr>
              <w:t>Non-PEO</w:t>
              <w:br/>
              <w:t xml:space="preserve">NEOs(4)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Average</w:t>
              <w:br/>
              <w:t>Compensation</w:t>
              <w:br/>
              <w:t>Actually</w:t>
            </w:r>
            <w:r>
              <w:rPr/>
              <w:br/>
            </w:r>
            <w:r>
              <w:rPr>
                <w:b/>
              </w:rPr>
              <w:t>Paid to Non-</w:t>
              <w:br/>
              <w:t>PEO</w:t>
              <w:br/>
              <w:t>NEOs(3)(4)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Value of</w:t>
              <w:br/>
              <w:t>Initial</w:t>
            </w:r>
            <w:r>
              <w:rPr/>
              <w:br/>
            </w:r>
            <w:r>
              <w:rPr>
                <w:b/>
              </w:rPr>
              <w:t>Fixed $100</w:t>
              <w:br/>
              <w:t>Investment</w:t>
              <w:br/>
              <w:t>Based on</w:t>
              <w:br/>
              <w:t>Total</w:t>
              <w:br/>
              <w:t>Shareholder</w:t>
              <w:br/>
              <w:t xml:space="preserve">Return(5)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Net</w:t>
            </w:r>
            <w:r>
              <w:rPr/>
              <w:br/>
            </w:r>
            <w:r>
              <w:rPr>
                <w:b/>
              </w:rPr>
              <w:t>Income</w:t>
              <w:br/>
              <w:t>(Loss)</w:t>
            </w:r>
            <w:r>
              <w:rPr/>
              <w:br/>
            </w:r>
            <w:r>
              <w:rPr>
                <w:b/>
              </w:rPr>
              <w:t>(in millions) (6)</w:t>
            </w:r>
          </w:p>
        </w:tc>
        <w:tc>
          <w:tcPr>
            <w:tcW w:w="155" w:type="dxa"/>
            <w:tcBorders/>
            <w:shd w:fill="auto" w:val="clear"/>
            <w:vAlign w:val="bottom"/>
          </w:tcPr>
          <w:p>
            <w:pPr>
              <w:pStyle w:val="TableContents"/>
              <w:spacing w:before="0" w:after="283"/>
              <w:rPr/>
            </w:pPr>
            <w:r>
              <w:rPr/>
              <w:t> </w:t>
            </w:r>
          </w:p>
        </w:tc>
      </w:tr>
      <w:tr>
        <w:trPr/>
        <w:tc>
          <w:tcPr>
            <w:tcW w:w="590" w:type="dxa"/>
            <w:tcBorders/>
            <w:shd w:fill="CCEEFF" w:val="clear"/>
          </w:tcPr>
          <w:p>
            <w:pPr>
              <w:pStyle w:val="TableContents"/>
              <w:spacing w:before="0" w:after="0"/>
              <w:rPr>
                <w:rFonts w:ascii="Times New Roman" w:hAnsi="Times New Roman"/>
                <w:sz w:val="18"/>
              </w:rPr>
            </w:pPr>
            <w:r>
              <w:rPr>
                <w:rFonts w:ascii="Times New Roman" w:hAnsi="Times New Roman"/>
                <w:sz w:val="18"/>
              </w:rPr>
              <w:t>2022</w:t>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w:t>
            </w:r>
          </w:p>
        </w:tc>
        <w:tc>
          <w:tcPr>
            <w:tcW w:w="1304" w:type="dxa"/>
            <w:tcBorders/>
            <w:shd w:fill="CCEEFF" w:val="clear"/>
            <w:vAlign w:val="bottom"/>
          </w:tcPr>
          <w:p>
            <w:pPr>
              <w:pStyle w:val="TableContents"/>
              <w:spacing w:before="0" w:after="283"/>
              <w:jc w:val="right"/>
              <w:rPr/>
            </w:pPr>
            <w:r>
              <w:rPr/>
              <w:t>1,514,366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w:t>
            </w:r>
          </w:p>
        </w:tc>
        <w:tc>
          <w:tcPr>
            <w:tcW w:w="1269" w:type="dxa"/>
            <w:tcBorders/>
            <w:shd w:fill="CCEEFF" w:val="clear"/>
            <w:vAlign w:val="bottom"/>
          </w:tcPr>
          <w:p>
            <w:pPr>
              <w:pStyle w:val="TableContents"/>
              <w:spacing w:before="0" w:after="283"/>
              <w:jc w:val="right"/>
              <w:rPr/>
            </w:pPr>
            <w:r>
              <w:rPr/>
              <w:t>596,713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304" w:type="dxa"/>
            <w:tcBorders/>
            <w:shd w:fill="CCEEFF" w:val="clear"/>
            <w:vAlign w:val="bottom"/>
          </w:tcPr>
          <w:p>
            <w:pPr>
              <w:pStyle w:val="TableContents"/>
              <w:spacing w:before="0" w:after="283"/>
              <w:jc w:val="right"/>
              <w:rPr/>
            </w:pPr>
            <w:r>
              <w:rPr/>
              <w:t>N/A</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269" w:type="dxa"/>
            <w:tcBorders/>
            <w:shd w:fill="CCEEFF" w:val="clear"/>
            <w:vAlign w:val="bottom"/>
          </w:tcPr>
          <w:p>
            <w:pPr>
              <w:pStyle w:val="TableContents"/>
              <w:spacing w:before="0" w:after="283"/>
              <w:jc w:val="right"/>
              <w:rPr/>
            </w:pPr>
            <w:r>
              <w:rPr/>
              <w:t>N/A</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304" w:type="dxa"/>
            <w:tcBorders/>
            <w:shd w:fill="CCEEFF" w:val="clear"/>
            <w:vAlign w:val="bottom"/>
          </w:tcPr>
          <w:p>
            <w:pPr>
              <w:pStyle w:val="TableContents"/>
              <w:spacing w:before="0" w:after="283"/>
              <w:jc w:val="right"/>
              <w:rPr/>
            </w:pPr>
            <w:r>
              <w:rPr/>
              <w:t>N/A</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304" w:type="dxa"/>
            <w:tcBorders/>
            <w:shd w:fill="CCEEFF" w:val="clear"/>
            <w:vAlign w:val="bottom"/>
          </w:tcPr>
          <w:p>
            <w:pPr>
              <w:pStyle w:val="TableContents"/>
              <w:spacing w:before="0" w:after="283"/>
              <w:jc w:val="right"/>
              <w:rPr/>
            </w:pPr>
            <w:r>
              <w:rPr/>
              <w:t>N/A</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w:t>
            </w:r>
          </w:p>
        </w:tc>
        <w:tc>
          <w:tcPr>
            <w:tcW w:w="1304" w:type="dxa"/>
            <w:tcBorders/>
            <w:shd w:fill="CCEEFF" w:val="clear"/>
            <w:vAlign w:val="bottom"/>
          </w:tcPr>
          <w:p>
            <w:pPr>
              <w:pStyle w:val="TableContents"/>
              <w:spacing w:before="0" w:after="283"/>
              <w:jc w:val="right"/>
              <w:rPr/>
            </w:pPr>
            <w:r>
              <w:rPr/>
              <w:t>966,992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w:t>
            </w:r>
          </w:p>
        </w:tc>
        <w:tc>
          <w:tcPr>
            <w:tcW w:w="1269" w:type="dxa"/>
            <w:tcBorders/>
            <w:shd w:fill="CCEEFF" w:val="clear"/>
            <w:vAlign w:val="bottom"/>
          </w:tcPr>
          <w:p>
            <w:pPr>
              <w:pStyle w:val="TableContents"/>
              <w:spacing w:before="0" w:after="283"/>
              <w:jc w:val="right"/>
              <w:rPr/>
            </w:pPr>
            <w:r>
              <w:rPr/>
              <w:t>573,978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w:t>
            </w:r>
          </w:p>
        </w:tc>
        <w:tc>
          <w:tcPr>
            <w:tcW w:w="1024" w:type="dxa"/>
            <w:tcBorders/>
            <w:shd w:fill="CCEEFF" w:val="clear"/>
            <w:vAlign w:val="bottom"/>
          </w:tcPr>
          <w:p>
            <w:pPr>
              <w:pStyle w:val="TableContents"/>
              <w:spacing w:before="0" w:after="283"/>
              <w:jc w:val="right"/>
              <w:rPr/>
            </w:pPr>
            <w:r>
              <w:rPr/>
              <w:t>8.61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w:t>
            </w:r>
          </w:p>
        </w:tc>
        <w:tc>
          <w:tcPr>
            <w:tcW w:w="1110" w:type="dxa"/>
            <w:tcBorders/>
            <w:shd w:fill="CCEEFF" w:val="clear"/>
            <w:vAlign w:val="bottom"/>
          </w:tcPr>
          <w:p>
            <w:pPr>
              <w:pStyle w:val="TableContents"/>
              <w:spacing w:before="0" w:after="283"/>
              <w:jc w:val="right"/>
              <w:rPr/>
            </w:pPr>
            <w:r>
              <w:rPr/>
              <w:t>35,709</w:t>
            </w:r>
          </w:p>
        </w:tc>
        <w:tc>
          <w:tcPr>
            <w:tcW w:w="155" w:type="dxa"/>
            <w:tcBorders/>
            <w:shd w:fill="CCEEFF" w:val="clear"/>
            <w:vAlign w:val="bottom"/>
          </w:tcPr>
          <w:p>
            <w:pPr>
              <w:pStyle w:val="TableContents"/>
              <w:spacing w:before="0" w:after="283"/>
              <w:rPr/>
            </w:pPr>
            <w:r>
              <w:rPr/>
              <w:t>) </w:t>
            </w:r>
          </w:p>
        </w:tc>
      </w:tr>
      <w:tr>
        <w:trPr/>
        <w:tc>
          <w:tcPr>
            <w:tcW w:w="590" w:type="dxa"/>
            <w:tcBorders/>
            <w:shd w:fill="auto" w:val="clear"/>
          </w:tcPr>
          <w:p>
            <w:pPr>
              <w:pStyle w:val="TableContents"/>
              <w:spacing w:before="0" w:after="0"/>
              <w:rPr>
                <w:rFonts w:ascii="Times New Roman" w:hAnsi="Times New Roman"/>
                <w:sz w:val="18"/>
              </w:rPr>
            </w:pPr>
            <w:r>
              <w:rPr>
                <w:rFonts w:ascii="Times New Roman" w:hAnsi="Times New Roman"/>
                <w:sz w:val="18"/>
              </w:rPr>
              <w:t>2021</w:t>
            </w:r>
          </w:p>
        </w:tc>
        <w:tc>
          <w:tcPr>
            <w:tcW w:w="6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w:t>
            </w:r>
          </w:p>
        </w:tc>
        <w:tc>
          <w:tcPr>
            <w:tcW w:w="1304" w:type="dxa"/>
            <w:tcBorders/>
            <w:shd w:fill="auto" w:val="clear"/>
            <w:vAlign w:val="bottom"/>
          </w:tcPr>
          <w:p>
            <w:pPr>
              <w:pStyle w:val="TableContents"/>
              <w:spacing w:before="0" w:after="283"/>
              <w:jc w:val="right"/>
              <w:rPr/>
            </w:pPr>
            <w:r>
              <w:rPr/>
              <w:t>714,721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w:t>
            </w:r>
          </w:p>
        </w:tc>
        <w:tc>
          <w:tcPr>
            <w:tcW w:w="1269" w:type="dxa"/>
            <w:tcBorders/>
            <w:shd w:fill="auto" w:val="clear"/>
            <w:vAlign w:val="bottom"/>
          </w:tcPr>
          <w:p>
            <w:pPr>
              <w:pStyle w:val="TableContents"/>
              <w:spacing w:before="0" w:after="283"/>
              <w:jc w:val="right"/>
              <w:rPr/>
            </w:pPr>
            <w:r>
              <w:rPr/>
              <w:t>727,317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w:t>
            </w:r>
          </w:p>
        </w:tc>
        <w:tc>
          <w:tcPr>
            <w:tcW w:w="1304" w:type="dxa"/>
            <w:tcBorders/>
            <w:shd w:fill="auto" w:val="clear"/>
            <w:vAlign w:val="bottom"/>
          </w:tcPr>
          <w:p>
            <w:pPr>
              <w:pStyle w:val="TableContents"/>
              <w:spacing w:before="0" w:after="283"/>
              <w:jc w:val="right"/>
              <w:rPr/>
            </w:pPr>
            <w:r>
              <w:rPr/>
              <w:t>1,339,793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w:t>
            </w:r>
          </w:p>
        </w:tc>
        <w:tc>
          <w:tcPr>
            <w:tcW w:w="1269" w:type="dxa"/>
            <w:tcBorders/>
            <w:shd w:fill="auto" w:val="clear"/>
            <w:vAlign w:val="bottom"/>
          </w:tcPr>
          <w:p>
            <w:pPr>
              <w:pStyle w:val="TableContents"/>
              <w:spacing w:before="0" w:after="283"/>
              <w:jc w:val="right"/>
              <w:rPr/>
            </w:pPr>
            <w:r>
              <w:rPr/>
              <w:t>743,582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w:t>
            </w:r>
          </w:p>
        </w:tc>
        <w:tc>
          <w:tcPr>
            <w:tcW w:w="1304" w:type="dxa"/>
            <w:tcBorders/>
            <w:shd w:fill="auto" w:val="clear"/>
            <w:vAlign w:val="bottom"/>
          </w:tcPr>
          <w:p>
            <w:pPr>
              <w:pStyle w:val="TableContents"/>
              <w:spacing w:before="0" w:after="283"/>
              <w:jc w:val="right"/>
              <w:rPr/>
            </w:pPr>
            <w:r>
              <w:rPr/>
              <w:t>1,632,690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w:t>
            </w:r>
          </w:p>
        </w:tc>
        <w:tc>
          <w:tcPr>
            <w:tcW w:w="1304" w:type="dxa"/>
            <w:tcBorders/>
            <w:shd w:fill="auto" w:val="clear"/>
            <w:vAlign w:val="bottom"/>
          </w:tcPr>
          <w:p>
            <w:pPr>
              <w:pStyle w:val="TableContents"/>
              <w:spacing w:before="0" w:after="283"/>
              <w:jc w:val="right"/>
              <w:rPr/>
            </w:pPr>
            <w:r>
              <w:rPr/>
              <w:t>1,288,323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w:t>
            </w:r>
          </w:p>
        </w:tc>
        <w:tc>
          <w:tcPr>
            <w:tcW w:w="1304" w:type="dxa"/>
            <w:tcBorders/>
            <w:shd w:fill="auto" w:val="clear"/>
            <w:vAlign w:val="bottom"/>
          </w:tcPr>
          <w:p>
            <w:pPr>
              <w:pStyle w:val="TableContents"/>
              <w:spacing w:before="0" w:after="283"/>
              <w:jc w:val="right"/>
              <w:rPr/>
            </w:pPr>
            <w:r>
              <w:rPr/>
              <w:t>1,168,452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w:t>
            </w:r>
          </w:p>
        </w:tc>
        <w:tc>
          <w:tcPr>
            <w:tcW w:w="1269" w:type="dxa"/>
            <w:tcBorders/>
            <w:shd w:fill="auto" w:val="clear"/>
            <w:vAlign w:val="bottom"/>
          </w:tcPr>
          <w:p>
            <w:pPr>
              <w:pStyle w:val="TableContents"/>
              <w:spacing w:before="0" w:after="283"/>
              <w:jc w:val="right"/>
              <w:rPr/>
            </w:pPr>
            <w:r>
              <w:rPr/>
              <w:t>980,666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w:t>
            </w:r>
          </w:p>
        </w:tc>
        <w:tc>
          <w:tcPr>
            <w:tcW w:w="1024" w:type="dxa"/>
            <w:tcBorders/>
            <w:shd w:fill="auto" w:val="clear"/>
            <w:vAlign w:val="bottom"/>
          </w:tcPr>
          <w:p>
            <w:pPr>
              <w:pStyle w:val="TableContents"/>
              <w:spacing w:before="0" w:after="283"/>
              <w:jc w:val="right"/>
              <w:rPr/>
            </w:pPr>
            <w:r>
              <w:rPr/>
              <w:t>39.52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w:t>
            </w:r>
          </w:p>
        </w:tc>
        <w:tc>
          <w:tcPr>
            <w:tcW w:w="1110" w:type="dxa"/>
            <w:tcBorders/>
            <w:shd w:fill="auto" w:val="clear"/>
            <w:vAlign w:val="bottom"/>
          </w:tcPr>
          <w:p>
            <w:pPr>
              <w:pStyle w:val="TableContents"/>
              <w:spacing w:before="0" w:after="283"/>
              <w:jc w:val="right"/>
              <w:rPr/>
            </w:pPr>
            <w:r>
              <w:rPr/>
              <w:t>28,302</w:t>
            </w:r>
          </w:p>
        </w:tc>
        <w:tc>
          <w:tcPr>
            <w:tcW w:w="155"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are a smaller reporting company pursuant to Rule 405 of the Securities Act of 1933, and as such, we are only required to include information for the past two fiscal years in this table.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PEO 1 reflected in these columns and for each of the applicable fiscal years is Mr. Brady. Our PEO 2 reflected in these columns for each of the applicable fiscal years is Julia C. Owens, who was the Chief Executive Officer and President of Millendo until her resignation on January 31, 2021. Our PEO 3 reflected in these columns and for each of the applicable fiscal years is Louis Arcudi III, who was the Chief Executive Officer and President of Millendo from February 1, 2021 until his resignation in June 2021.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(3)</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calculating the CAP amounts reflected in these columns, the fair value or change in fair value, as applicable, of the equity award adjustments included in such calculations was computed in accordance with FASB ASC Topic 718.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Non-PEO NEOs reflected in these columns are (a) for fiscal year 2022, Mr. Dubensky and Dr. Whiting, and (b) for fiscal year 2021, Mr. Dubensky and Dr. Whiting.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(5)</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Total Shareholder Return (</w:t>
            </w:r>
            <w:r>
              <w:rPr>
                <w:rFonts w:ascii="Times New Roman" w:hAnsi="Times New Roman"/>
                <w:b/>
                <w:i/>
                <w:sz w:val="20"/>
              </w:rPr>
              <w:t>TSR</w:t>
            </w:r>
            <w:r>
              <w:rPr>
                <w:rFonts w:ascii="Times New Roman" w:hAnsi="Times New Roman"/>
                <w:sz w:val="20"/>
              </w:rPr>
              <w:t xml:space="preserve">) reflected in this column for each applicable fiscal year is calculated based on a fixed investment of $100 through the end of the applicable fiscal year on the same cumulative basis as is used in Item 201(e) of Regulation S-K.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(6)</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amounts reflected in this column represent the net income (loss) reflected in our audited financial statements for each applicable fiscal year.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(7)</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For fiscal years 2022 and 2021, calculation of our PEO 1s CAP reflects the adjustments made to the total compensation amounts reported in the Summary Compensation Table (</w:t>
            </w:r>
            <w:r>
              <w:rPr>
                <w:rFonts w:ascii="Times New Roman" w:hAnsi="Times New Roman"/>
                <w:b/>
                <w:i/>
                <w:sz w:val="20"/>
              </w:rPr>
              <w:t>SCT</w:t>
            </w:r>
            <w:r>
              <w:rPr>
                <w:rFonts w:ascii="Times New Roman" w:hAnsi="Times New Roman"/>
                <w:sz w:val="20"/>
              </w:rPr>
              <w:t xml:space="preserve">) for fiscal years 2022 and 2021, and for fiscal year 2021, calculation of our PEO 2s and PEO 3s CAP reflects the adjustments made to the total compensation amounts reported in the SCT for fiscal year 2021, in each case, computed in accordance with Item 402(v) of Regulation S-K reflected below: </w:t>
            </w:r>
          </w:p>
        </w:tc>
      </w:tr>
    </w:tbl>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131"/>
        <w:gridCol w:w="436"/>
        <w:gridCol w:w="216"/>
        <w:gridCol w:w="1107"/>
        <w:gridCol w:w="169"/>
        <w:gridCol w:w="436"/>
        <w:gridCol w:w="216"/>
        <w:gridCol w:w="868"/>
        <w:gridCol w:w="176"/>
      </w:tblGrid>
      <w:tr>
        <w:trPr/>
        <w:tc>
          <w:tcPr>
            <w:tcW w:w="413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bottom"/>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bottom"/>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4131"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Fiscal Year</w:t>
            </w:r>
          </w:p>
        </w:tc>
        <w:tc>
          <w:tcPr>
            <w:tcW w:w="436" w:type="dxa"/>
            <w:tcBorders/>
            <w:shd w:fill="auto" w:val="clear"/>
            <w:vAlign w:val="bottom"/>
          </w:tcPr>
          <w:p>
            <w:pPr>
              <w:pStyle w:val="TableContents"/>
              <w:spacing w:before="0" w:after="283"/>
              <w:rPr/>
            </w:pPr>
            <w:r>
              <w:rPr/>
              <w:t>  </w:t>
            </w:r>
          </w:p>
        </w:tc>
        <w:tc>
          <w:tcPr>
            <w:tcW w:w="132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69"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08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176" w:type="dxa"/>
            <w:tcBorders/>
            <w:shd w:fill="auto" w:val="clear"/>
            <w:vAlign w:val="bottom"/>
          </w:tcPr>
          <w:p>
            <w:pPr>
              <w:pStyle w:val="TableContents"/>
              <w:spacing w:before="0" w:after="283"/>
              <w:rPr/>
            </w:pPr>
            <w:r>
              <w:rPr/>
              <w:t> </w:t>
            </w:r>
          </w:p>
        </w:tc>
      </w:tr>
      <w:tr>
        <w:trPr/>
        <w:tc>
          <w:tcPr>
            <w:tcW w:w="4131" w:type="dxa"/>
            <w:tcBorders/>
            <w:shd w:fill="CCEEFF" w:val="clear"/>
          </w:tcPr>
          <w:p>
            <w:pPr>
              <w:pStyle w:val="TableContents"/>
              <w:spacing w:before="0" w:after="0"/>
              <w:rPr>
                <w:rFonts w:ascii="Times New Roman" w:hAnsi="Times New Roman"/>
                <w:b/>
                <w:sz w:val="20"/>
              </w:rPr>
            </w:pPr>
            <w:r>
              <w:rPr>
                <w:rFonts w:ascii="Times New Roman" w:hAnsi="Times New Roman"/>
                <w:b/>
                <w:sz w:val="20"/>
              </w:rPr>
              <w:t>PEO SCT Total</w:t>
            </w:r>
          </w:p>
        </w:tc>
        <w:tc>
          <w:tcPr>
            <w:tcW w:w="436"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w:t>
            </w:r>
          </w:p>
        </w:tc>
        <w:tc>
          <w:tcPr>
            <w:tcW w:w="1107" w:type="dxa"/>
            <w:tcBorders/>
            <w:shd w:fill="CCEEFF" w:val="clear"/>
            <w:vAlign w:val="bottom"/>
          </w:tcPr>
          <w:p>
            <w:pPr>
              <w:pStyle w:val="TableContents"/>
              <w:spacing w:before="0" w:after="283"/>
              <w:jc w:val="right"/>
              <w:rPr/>
            </w:pPr>
            <w:r>
              <w:rPr/>
              <w:t>1,514,366</w:t>
            </w:r>
          </w:p>
        </w:tc>
        <w:tc>
          <w:tcPr>
            <w:tcW w:w="169"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w:t>
            </w:r>
          </w:p>
        </w:tc>
        <w:tc>
          <w:tcPr>
            <w:tcW w:w="868" w:type="dxa"/>
            <w:tcBorders/>
            <w:shd w:fill="CCEEFF" w:val="clear"/>
            <w:vAlign w:val="bottom"/>
          </w:tcPr>
          <w:p>
            <w:pPr>
              <w:pStyle w:val="TableContents"/>
              <w:spacing w:before="0" w:after="283"/>
              <w:jc w:val="right"/>
              <w:rPr/>
            </w:pPr>
            <w:r>
              <w:rPr/>
              <w:t>714,721</w:t>
            </w:r>
          </w:p>
        </w:tc>
        <w:tc>
          <w:tcPr>
            <w:tcW w:w="176" w:type="dxa"/>
            <w:tcBorders/>
            <w:shd w:fill="CCEEFF" w:val="clear"/>
            <w:vAlign w:val="bottom"/>
          </w:tcPr>
          <w:p>
            <w:pPr>
              <w:pStyle w:val="TableContents"/>
              <w:spacing w:before="0" w:after="283"/>
              <w:rPr/>
            </w:pPr>
            <w:r>
              <w:rPr/>
              <w:t> </w:t>
            </w:r>
          </w:p>
        </w:tc>
      </w:tr>
      <w:tr>
        <w:trPr/>
        <w:tc>
          <w:tcPr>
            <w:tcW w:w="4131" w:type="dxa"/>
            <w:tcBorders/>
            <w:shd w:fill="auto" w:val="clear"/>
          </w:tcPr>
          <w:p>
            <w:pPr>
              <w:pStyle w:val="TableContents"/>
              <w:spacing w:before="0" w:after="0"/>
              <w:rPr>
                <w:rFonts w:ascii="Times New Roman" w:hAnsi="Times New Roman"/>
                <w:sz w:val="20"/>
              </w:rPr>
            </w:pPr>
            <w:r>
              <w:rPr>
                <w:rFonts w:ascii="Times New Roman" w:hAnsi="Times New Roman"/>
                <w:sz w:val="20"/>
              </w:rPr>
              <w:t>- Grant Date Fair Value of Option Awards and Stock Awards Granted in Fiscal Year</w:t>
            </w:r>
          </w:p>
        </w:tc>
        <w:tc>
          <w:tcPr>
            <w:tcW w:w="436"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w:t>
            </w:r>
          </w:p>
        </w:tc>
        <w:tc>
          <w:tcPr>
            <w:tcW w:w="1107" w:type="dxa"/>
            <w:tcBorders/>
            <w:shd w:fill="auto" w:val="clear"/>
            <w:vAlign w:val="bottom"/>
          </w:tcPr>
          <w:p>
            <w:pPr>
              <w:pStyle w:val="TableContents"/>
              <w:spacing w:before="0" w:after="283"/>
              <w:jc w:val="right"/>
              <w:rPr/>
            </w:pPr>
            <w:r>
              <w:rPr/>
              <w:t>773,416</w:t>
            </w:r>
          </w:p>
        </w:tc>
        <w:tc>
          <w:tcPr>
            <w:tcW w:w="169"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w:t>
            </w:r>
          </w:p>
        </w:tc>
        <w:tc>
          <w:tcPr>
            <w:tcW w:w="868" w:type="dxa"/>
            <w:tcBorders/>
            <w:shd w:fill="auto" w:val="clear"/>
            <w:vAlign w:val="bottom"/>
          </w:tcPr>
          <w:p>
            <w:pPr>
              <w:pStyle w:val="TableContents"/>
              <w:spacing w:before="0" w:after="283"/>
              <w:jc w:val="right"/>
              <w:rPr/>
            </w:pPr>
            <w:r>
              <w:rPr/>
              <w:t>49,325</w:t>
            </w:r>
          </w:p>
        </w:tc>
        <w:tc>
          <w:tcPr>
            <w:tcW w:w="176" w:type="dxa"/>
            <w:tcBorders/>
            <w:shd w:fill="auto" w:val="clear"/>
            <w:vAlign w:val="bottom"/>
          </w:tcPr>
          <w:p>
            <w:pPr>
              <w:pStyle w:val="TableContents"/>
              <w:spacing w:before="0" w:after="283"/>
              <w:rPr/>
            </w:pPr>
            <w:r>
              <w:rPr/>
              <w:t>) </w:t>
            </w:r>
          </w:p>
        </w:tc>
      </w:tr>
      <w:tr>
        <w:trPr/>
        <w:tc>
          <w:tcPr>
            <w:tcW w:w="4131" w:type="dxa"/>
            <w:tcBorders/>
            <w:shd w:fill="CCEEFF" w:val="clear"/>
          </w:tcPr>
          <w:p>
            <w:pPr>
              <w:pStyle w:val="TableContents"/>
              <w:spacing w:before="0" w:after="0"/>
              <w:rPr>
                <w:rFonts w:ascii="Times New Roman" w:hAnsi="Times New Roman"/>
                <w:sz w:val="20"/>
              </w:rPr>
            </w:pPr>
            <w:r>
              <w:rPr>
                <w:rFonts w:ascii="Times New Roman" w:hAnsi="Times New Roman"/>
                <w:sz w:val="20"/>
              </w:rPr>
              <w:t>+ Fair Value at Fiscal Year-End of Outstanding and Unvested Option Awards and Stock Awards Granted in Fiscal Year</w:t>
            </w:r>
          </w:p>
        </w:tc>
        <w:tc>
          <w:tcPr>
            <w:tcW w:w="436"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w:t>
            </w:r>
          </w:p>
        </w:tc>
        <w:tc>
          <w:tcPr>
            <w:tcW w:w="1107" w:type="dxa"/>
            <w:tcBorders/>
            <w:shd w:fill="CCEEFF" w:val="clear"/>
            <w:vAlign w:val="bottom"/>
          </w:tcPr>
          <w:p>
            <w:pPr>
              <w:pStyle w:val="TableContents"/>
              <w:spacing w:before="0" w:after="283"/>
              <w:jc w:val="right"/>
              <w:rPr/>
            </w:pPr>
            <w:r>
              <w:rPr/>
              <w:t>195,313</w:t>
            </w:r>
          </w:p>
        </w:tc>
        <w:tc>
          <w:tcPr>
            <w:tcW w:w="169"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w:t>
            </w:r>
          </w:p>
        </w:tc>
        <w:tc>
          <w:tcPr>
            <w:tcW w:w="868" w:type="dxa"/>
            <w:tcBorders/>
            <w:shd w:fill="CCEEFF" w:val="clear"/>
            <w:vAlign w:val="bottom"/>
          </w:tcPr>
          <w:p>
            <w:pPr>
              <w:pStyle w:val="TableContents"/>
              <w:spacing w:before="0" w:after="283"/>
              <w:jc w:val="right"/>
              <w:rPr/>
            </w:pPr>
            <w:r>
              <w:rPr/>
              <w:t>184,975</w:t>
            </w:r>
          </w:p>
        </w:tc>
        <w:tc>
          <w:tcPr>
            <w:tcW w:w="176" w:type="dxa"/>
            <w:tcBorders/>
            <w:shd w:fill="CCEEFF"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3800" w:type="pct"/>
        <w:jc w:val="center"/>
        <w:tblInd w:w="0" w:type="dxa"/>
        <w:tblCellMar>
          <w:top w:w="0" w:type="dxa"/>
          <w:left w:w="0" w:type="dxa"/>
          <w:bottom w:w="0" w:type="dxa"/>
          <w:right w:w="0" w:type="dxa"/>
        </w:tblCellMar>
      </w:tblPr>
      <w:tblGrid>
        <w:gridCol w:w="4205"/>
        <w:gridCol w:w="411"/>
        <w:gridCol w:w="216"/>
        <w:gridCol w:w="861"/>
        <w:gridCol w:w="168"/>
        <w:gridCol w:w="411"/>
        <w:gridCol w:w="216"/>
        <w:gridCol w:w="1095"/>
        <w:gridCol w:w="172"/>
      </w:tblGrid>
      <w:tr>
        <w:trPr/>
        <w:tc>
          <w:tcPr>
            <w:tcW w:w="4205"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bottom"/>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bottom"/>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4205"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Fiscal Year</w:t>
            </w:r>
          </w:p>
        </w:tc>
        <w:tc>
          <w:tcPr>
            <w:tcW w:w="411" w:type="dxa"/>
            <w:tcBorders/>
            <w:shd w:fill="auto" w:val="clear"/>
            <w:vAlign w:val="bottom"/>
          </w:tcPr>
          <w:p>
            <w:pPr>
              <w:pStyle w:val="TableContents"/>
              <w:spacing w:before="0" w:after="283"/>
              <w:rPr/>
            </w:pPr>
            <w:r>
              <w:rPr/>
              <w:t>  </w:t>
            </w:r>
          </w:p>
        </w:tc>
        <w:tc>
          <w:tcPr>
            <w:tcW w:w="107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68"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131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172" w:type="dxa"/>
            <w:tcBorders/>
            <w:shd w:fill="auto" w:val="clear"/>
            <w:vAlign w:val="bottom"/>
          </w:tcPr>
          <w:p>
            <w:pPr>
              <w:pStyle w:val="TableContents"/>
              <w:spacing w:before="0" w:after="283"/>
              <w:rPr/>
            </w:pPr>
            <w:r>
              <w:rPr/>
              <w:t> </w:t>
            </w:r>
          </w:p>
        </w:tc>
      </w:tr>
      <w:tr>
        <w:trPr/>
        <w:tc>
          <w:tcPr>
            <w:tcW w:w="4205" w:type="dxa"/>
            <w:tcBorders/>
            <w:shd w:fill="CCEEFF" w:val="clear"/>
          </w:tcPr>
          <w:p>
            <w:pPr>
              <w:pStyle w:val="TableContents"/>
              <w:spacing w:before="0" w:after="0"/>
              <w:rPr>
                <w:rFonts w:ascii="Times New Roman" w:hAnsi="Times New Roman"/>
                <w:sz w:val="20"/>
              </w:rPr>
            </w:pPr>
            <w:r>
              <w:rPr>
                <w:rFonts w:ascii="Times New Roman" w:hAnsi="Times New Roman"/>
                <w:sz w:val="20"/>
              </w:rPr>
              <w:t>+ Year-Over-Year Change in Fair Value of Outstanding and Unvested Option Awards and Stock Awards Granted in Prior Fiscal Years</w:t>
            </w:r>
          </w:p>
        </w:tc>
        <w:tc>
          <w:tcPr>
            <w:tcW w:w="411"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w:t>
            </w:r>
          </w:p>
        </w:tc>
        <w:tc>
          <w:tcPr>
            <w:tcW w:w="861" w:type="dxa"/>
            <w:tcBorders/>
            <w:shd w:fill="CCEEFF" w:val="clear"/>
            <w:vAlign w:val="bottom"/>
          </w:tcPr>
          <w:p>
            <w:pPr>
              <w:pStyle w:val="TableContents"/>
              <w:spacing w:before="0" w:after="283"/>
              <w:jc w:val="right"/>
              <w:rPr/>
            </w:pPr>
            <w:r>
              <w:rPr/>
              <w:t>249,256</w:t>
            </w:r>
          </w:p>
        </w:tc>
        <w:tc>
          <w:tcPr>
            <w:tcW w:w="168" w:type="dxa"/>
            <w:tcBorders/>
            <w:shd w:fill="CCEEFF" w:val="clear"/>
            <w:vAlign w:val="bottom"/>
          </w:tcPr>
          <w:p>
            <w:pPr>
              <w:pStyle w:val="TableContents"/>
              <w:spacing w:before="0" w:after="283"/>
              <w:rPr/>
            </w:pPr>
            <w:r>
              <w:rPr/>
              <w:t>) </w:t>
            </w:r>
          </w:p>
        </w:tc>
        <w:tc>
          <w:tcPr>
            <w:tcW w:w="411"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w:t>
            </w:r>
          </w:p>
        </w:tc>
        <w:tc>
          <w:tcPr>
            <w:tcW w:w="1095" w:type="dxa"/>
            <w:tcBorders/>
            <w:shd w:fill="CCEEFF" w:val="clear"/>
            <w:vAlign w:val="bottom"/>
          </w:tcPr>
          <w:p>
            <w:pPr>
              <w:pStyle w:val="TableContents"/>
              <w:spacing w:before="0" w:after="283"/>
              <w:jc w:val="right"/>
              <w:rPr/>
            </w:pPr>
            <w:r>
              <w:rPr/>
              <w:t>431,583</w:t>
            </w:r>
          </w:p>
        </w:tc>
        <w:tc>
          <w:tcPr>
            <w:tcW w:w="172" w:type="dxa"/>
            <w:tcBorders/>
            <w:shd w:fill="CCEEFF" w:val="clear"/>
            <w:vAlign w:val="bottom"/>
          </w:tcPr>
          <w:p>
            <w:pPr>
              <w:pStyle w:val="TableContents"/>
              <w:spacing w:before="0" w:after="283"/>
              <w:rPr/>
            </w:pPr>
            <w:r>
              <w:rPr/>
              <w:t>) </w:t>
            </w:r>
          </w:p>
        </w:tc>
      </w:tr>
      <w:tr>
        <w:trPr/>
        <w:tc>
          <w:tcPr>
            <w:tcW w:w="4205" w:type="dxa"/>
            <w:tcBorders/>
            <w:shd w:fill="auto" w:val="clear"/>
          </w:tcPr>
          <w:p>
            <w:pPr>
              <w:pStyle w:val="TableContents"/>
              <w:spacing w:before="0" w:after="0"/>
              <w:rPr>
                <w:rFonts w:ascii="Times New Roman" w:hAnsi="Times New Roman"/>
                <w:sz w:val="20"/>
              </w:rPr>
            </w:pPr>
            <w:r>
              <w:rPr>
                <w:rFonts w:ascii="Times New Roman" w:hAnsi="Times New Roman"/>
                <w:sz w:val="20"/>
              </w:rPr>
              <w:t>+ Fair Value at Vesting of Option Awards and Stock Awards Granted in Fiscal Year that Vested During Fiscal Year</w:t>
            </w:r>
          </w:p>
        </w:tc>
        <w:tc>
          <w:tcPr>
            <w:tcW w:w="411"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w:t>
            </w:r>
          </w:p>
        </w:tc>
        <w:tc>
          <w:tcPr>
            <w:tcW w:w="861" w:type="dxa"/>
            <w:tcBorders/>
            <w:shd w:fill="auto" w:val="clear"/>
            <w:vAlign w:val="bottom"/>
          </w:tcPr>
          <w:p>
            <w:pPr>
              <w:pStyle w:val="TableContents"/>
              <w:spacing w:before="0" w:after="283"/>
              <w:jc w:val="right"/>
              <w:rPr/>
            </w:pPr>
            <w:r>
              <w:rPr/>
              <w:t>40,798</w:t>
            </w:r>
          </w:p>
        </w:tc>
        <w:tc>
          <w:tcPr>
            <w:tcW w:w="168"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w:t>
            </w:r>
          </w:p>
        </w:tc>
        <w:tc>
          <w:tcPr>
            <w:tcW w:w="1095" w:type="dxa"/>
            <w:tcBorders/>
            <w:shd w:fill="auto" w:val="clear"/>
            <w:vAlign w:val="bottom"/>
          </w:tcPr>
          <w:p>
            <w:pPr>
              <w:pStyle w:val="TableContents"/>
              <w:spacing w:before="0" w:after="283"/>
              <w:jc w:val="right"/>
              <w:rPr/>
            </w:pPr>
            <w:r>
              <w:rPr/>
              <w:t>88,011</w:t>
            </w:r>
          </w:p>
        </w:tc>
        <w:tc>
          <w:tcPr>
            <w:tcW w:w="172" w:type="dxa"/>
            <w:tcBorders/>
            <w:shd w:fill="auto" w:val="clear"/>
            <w:vAlign w:val="bottom"/>
          </w:tcPr>
          <w:p>
            <w:pPr>
              <w:pStyle w:val="TableContents"/>
              <w:spacing w:before="0" w:after="283"/>
              <w:rPr/>
            </w:pPr>
            <w:r>
              <w:rPr/>
              <w:t> </w:t>
            </w:r>
          </w:p>
        </w:tc>
      </w:tr>
      <w:tr>
        <w:trPr/>
        <w:tc>
          <w:tcPr>
            <w:tcW w:w="4205" w:type="dxa"/>
            <w:tcBorders/>
            <w:shd w:fill="CCEEFF" w:val="clear"/>
          </w:tcPr>
          <w:p>
            <w:pPr>
              <w:pStyle w:val="TableContents"/>
              <w:spacing w:before="0" w:after="0"/>
              <w:rPr>
                <w:rFonts w:ascii="Times New Roman" w:hAnsi="Times New Roman"/>
                <w:sz w:val="20"/>
              </w:rPr>
            </w:pPr>
            <w:r>
              <w:rPr>
                <w:rFonts w:ascii="Times New Roman" w:hAnsi="Times New Roman"/>
                <w:sz w:val="20"/>
              </w:rPr>
              <w:t>+ Year-Over-Year Change in Fair Value as of Vesting Date of Option Awards and Stock Awards Granted in Prior Fiscal Years for Which Applicable Vesting Conditions Were Satisfied During Fiscal Year</w:t>
            </w:r>
          </w:p>
        </w:tc>
        <w:tc>
          <w:tcPr>
            <w:tcW w:w="411"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w:t>
            </w:r>
          </w:p>
        </w:tc>
        <w:tc>
          <w:tcPr>
            <w:tcW w:w="861" w:type="dxa"/>
            <w:tcBorders/>
            <w:shd w:fill="CCEEFF" w:val="clear"/>
            <w:vAlign w:val="bottom"/>
          </w:tcPr>
          <w:p>
            <w:pPr>
              <w:pStyle w:val="TableContents"/>
              <w:spacing w:before="0" w:after="283"/>
              <w:jc w:val="right"/>
              <w:rPr/>
            </w:pPr>
            <w:r>
              <w:rPr/>
              <w:t>131,092</w:t>
            </w:r>
          </w:p>
        </w:tc>
        <w:tc>
          <w:tcPr>
            <w:tcW w:w="168" w:type="dxa"/>
            <w:tcBorders/>
            <w:shd w:fill="CCEEFF" w:val="clear"/>
            <w:vAlign w:val="bottom"/>
          </w:tcPr>
          <w:p>
            <w:pPr>
              <w:pStyle w:val="TableContents"/>
              <w:spacing w:before="0" w:after="283"/>
              <w:rPr/>
            </w:pPr>
            <w:r>
              <w:rPr/>
              <w:t>) </w:t>
            </w:r>
          </w:p>
        </w:tc>
        <w:tc>
          <w:tcPr>
            <w:tcW w:w="411"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w:t>
            </w:r>
          </w:p>
        </w:tc>
        <w:tc>
          <w:tcPr>
            <w:tcW w:w="1095" w:type="dxa"/>
            <w:tcBorders/>
            <w:shd w:fill="CCEEFF" w:val="clear"/>
            <w:vAlign w:val="bottom"/>
          </w:tcPr>
          <w:p>
            <w:pPr>
              <w:pStyle w:val="TableContents"/>
              <w:spacing w:before="0" w:after="283"/>
              <w:jc w:val="right"/>
              <w:rPr/>
            </w:pPr>
            <w:r>
              <w:rPr/>
              <w:t>220,518</w:t>
            </w:r>
          </w:p>
        </w:tc>
        <w:tc>
          <w:tcPr>
            <w:tcW w:w="172" w:type="dxa"/>
            <w:tcBorders/>
            <w:shd w:fill="CCEEFF" w:val="clear"/>
            <w:vAlign w:val="bottom"/>
          </w:tcPr>
          <w:p>
            <w:pPr>
              <w:pStyle w:val="TableContents"/>
              <w:spacing w:before="0" w:after="283"/>
              <w:rPr/>
            </w:pPr>
            <w:r>
              <w:rPr/>
              <w:t> </w:t>
            </w:r>
          </w:p>
        </w:tc>
      </w:tr>
      <w:tr>
        <w:trPr/>
        <w:tc>
          <w:tcPr>
            <w:tcW w:w="4205" w:type="dxa"/>
            <w:tcBorders/>
            <w:shd w:fill="auto" w:val="clear"/>
          </w:tcPr>
          <w:p>
            <w:pPr>
              <w:pStyle w:val="TableContents"/>
              <w:spacing w:before="0" w:after="0"/>
              <w:rPr>
                <w:rFonts w:ascii="Times New Roman" w:hAnsi="Times New Roman"/>
                <w:sz w:val="20"/>
              </w:rPr>
            </w:pPr>
            <w:r>
              <w:rPr>
                <w:rFonts w:ascii="Times New Roman" w:hAnsi="Times New Roman"/>
                <w:sz w:val="20"/>
              </w:rPr>
              <w:t>- Fair Value as of Prior Fiscal Year-End of Option Awards and Stock Awards Granted in Prior Fiscal Years that Failed to Meet Applicable Vesting Conditions During Fiscal Year</w:t>
            </w:r>
          </w:p>
        </w:tc>
        <w:tc>
          <w:tcPr>
            <w:tcW w:w="411"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  </w:t>
            </w:r>
          </w:p>
        </w:tc>
        <w:tc>
          <w:tcPr>
            <w:tcW w:w="168"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rPr/>
            </w:pPr>
            <w:r>
              <w:rPr/>
              <w:t> </w:t>
            </w:r>
          </w:p>
        </w:tc>
      </w:tr>
      <w:tr>
        <w:trPr/>
        <w:tc>
          <w:tcPr>
            <w:tcW w:w="4205"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Compensation Actually Paid to PEO 1</w:t>
            </w:r>
          </w:p>
        </w:tc>
        <w:tc>
          <w:tcPr>
            <w:tcW w:w="411"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b/>
              </w:rPr>
            </w:pPr>
            <w:r>
              <w:rPr>
                <w:b/>
              </w:rPr>
              <w:t>$</w:t>
            </w:r>
          </w:p>
        </w:tc>
        <w:tc>
          <w:tcPr>
            <w:tcW w:w="861" w:type="dxa"/>
            <w:tcBorders/>
            <w:shd w:fill="CCEEFF" w:val="clear"/>
            <w:vAlign w:val="bottom"/>
          </w:tcPr>
          <w:p>
            <w:pPr>
              <w:pStyle w:val="TableContents"/>
              <w:spacing w:before="0" w:after="283"/>
              <w:jc w:val="right"/>
              <w:rPr>
                <w:b/>
              </w:rPr>
            </w:pPr>
            <w:r>
              <w:rPr>
                <w:b/>
              </w:rPr>
              <w:t>596,713</w:t>
            </w:r>
          </w:p>
        </w:tc>
        <w:tc>
          <w:tcPr>
            <w:tcW w:w="168" w:type="dxa"/>
            <w:tcBorders/>
            <w:shd w:fill="CCEEFF" w:val="clear"/>
            <w:vAlign w:val="bottom"/>
          </w:tcPr>
          <w:p>
            <w:pPr>
              <w:pStyle w:val="TableContents"/>
              <w:spacing w:before="0" w:after="283"/>
              <w:rPr/>
            </w:pPr>
            <w:r>
              <w:rPr/>
              <w:t> </w:t>
            </w:r>
          </w:p>
        </w:tc>
        <w:tc>
          <w:tcPr>
            <w:tcW w:w="411"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b/>
              </w:rPr>
            </w:pPr>
            <w:r>
              <w:rPr>
                <w:b/>
              </w:rPr>
              <w:t>$</w:t>
            </w:r>
          </w:p>
        </w:tc>
        <w:tc>
          <w:tcPr>
            <w:tcW w:w="1095" w:type="dxa"/>
            <w:tcBorders/>
            <w:shd w:fill="CCEEFF" w:val="clear"/>
            <w:vAlign w:val="bottom"/>
          </w:tcPr>
          <w:p>
            <w:pPr>
              <w:pStyle w:val="TableContents"/>
              <w:spacing w:before="0" w:after="283"/>
              <w:jc w:val="right"/>
              <w:rPr>
                <w:b/>
              </w:rPr>
            </w:pPr>
            <w:r>
              <w:rPr>
                <w:b/>
              </w:rPr>
              <w:t>727,317</w:t>
            </w:r>
          </w:p>
        </w:tc>
        <w:tc>
          <w:tcPr>
            <w:tcW w:w="172" w:type="dxa"/>
            <w:tcBorders/>
            <w:shd w:fill="CCEEFF" w:val="clear"/>
            <w:vAlign w:val="bottom"/>
          </w:tcPr>
          <w:p>
            <w:pPr>
              <w:pStyle w:val="TableContents"/>
              <w:spacing w:before="0" w:after="283"/>
              <w:rPr/>
            </w:pPr>
            <w:r>
              <w:rPr/>
              <w:t> </w:t>
            </w:r>
          </w:p>
        </w:tc>
      </w:tr>
      <w:tr>
        <w:trPr/>
        <w:tc>
          <w:tcPr>
            <w:tcW w:w="4205"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PEO 2 SCT Total</w:t>
            </w:r>
          </w:p>
        </w:tc>
        <w:tc>
          <w:tcPr>
            <w:tcW w:w="411"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  </w:t>
            </w:r>
          </w:p>
        </w:tc>
        <w:tc>
          <w:tcPr>
            <w:tcW w:w="168"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w:t>
            </w:r>
          </w:p>
        </w:tc>
        <w:tc>
          <w:tcPr>
            <w:tcW w:w="1095" w:type="dxa"/>
            <w:tcBorders/>
            <w:shd w:fill="auto" w:val="clear"/>
            <w:vAlign w:val="bottom"/>
          </w:tcPr>
          <w:p>
            <w:pPr>
              <w:pStyle w:val="TableContents"/>
              <w:spacing w:before="0" w:after="283"/>
              <w:jc w:val="right"/>
              <w:rPr/>
            </w:pPr>
            <w:r>
              <w:rPr/>
              <w:t>1,339,793</w:t>
            </w:r>
          </w:p>
        </w:tc>
        <w:tc>
          <w:tcPr>
            <w:tcW w:w="172" w:type="dxa"/>
            <w:tcBorders/>
            <w:shd w:fill="auto" w:val="clear"/>
            <w:vAlign w:val="bottom"/>
          </w:tcPr>
          <w:p>
            <w:pPr>
              <w:pStyle w:val="TableContents"/>
              <w:spacing w:before="0" w:after="283"/>
              <w:rPr/>
            </w:pPr>
            <w:r>
              <w:rPr/>
              <w:t> </w:t>
            </w:r>
          </w:p>
        </w:tc>
      </w:tr>
      <w:tr>
        <w:trPr/>
        <w:tc>
          <w:tcPr>
            <w:tcW w:w="4205"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 Grant Date Fair Value of Option Awards and Stock Awards Granted in Fiscal Year</w:t>
            </w:r>
          </w:p>
        </w:tc>
        <w:tc>
          <w:tcPr>
            <w:tcW w:w="411"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283"/>
              <w:rPr/>
            </w:pPr>
            <w:r>
              <w:rPr/>
              <w:t> </w:t>
            </w:r>
          </w:p>
        </w:tc>
        <w:tc>
          <w:tcPr>
            <w:tcW w:w="411"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w:t>
            </w:r>
          </w:p>
        </w:tc>
        <w:tc>
          <w:tcPr>
            <w:tcW w:w="1095" w:type="dxa"/>
            <w:tcBorders/>
            <w:shd w:fill="CCEEFF" w:val="clear"/>
            <w:vAlign w:val="bottom"/>
          </w:tcPr>
          <w:p>
            <w:pPr>
              <w:pStyle w:val="TableContents"/>
              <w:spacing w:before="0" w:after="283"/>
              <w:jc w:val="right"/>
              <w:rPr/>
            </w:pPr>
            <w:r>
              <w:rPr/>
              <w:t>35,203</w:t>
            </w:r>
          </w:p>
        </w:tc>
        <w:tc>
          <w:tcPr>
            <w:tcW w:w="172" w:type="dxa"/>
            <w:tcBorders/>
            <w:shd w:fill="CCEEFF" w:val="clear"/>
            <w:vAlign w:val="bottom"/>
          </w:tcPr>
          <w:p>
            <w:pPr>
              <w:pStyle w:val="TableContents"/>
              <w:spacing w:before="0" w:after="283"/>
              <w:rPr/>
            </w:pPr>
            <w:r>
              <w:rPr/>
              <w:t>) </w:t>
            </w:r>
          </w:p>
        </w:tc>
      </w:tr>
      <w:tr>
        <w:trPr/>
        <w:tc>
          <w:tcPr>
            <w:tcW w:w="420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 Fair Value at Fiscal Year-End of Outstanding and Unvested Option Awards and Stock Awards Granted in Fiscal Year</w:t>
            </w:r>
          </w:p>
        </w:tc>
        <w:tc>
          <w:tcPr>
            <w:tcW w:w="411"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  </w:t>
            </w:r>
          </w:p>
        </w:tc>
        <w:tc>
          <w:tcPr>
            <w:tcW w:w="168"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rPr/>
            </w:pPr>
            <w:r>
              <w:rPr/>
              <w:t> </w:t>
            </w:r>
          </w:p>
        </w:tc>
      </w:tr>
      <w:tr>
        <w:trPr/>
        <w:tc>
          <w:tcPr>
            <w:tcW w:w="4205"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 Change in Fair Value of Outstanding and Unvested Option Awards and Stock Awards Granted in Prior Fiscal Years</w:t>
            </w:r>
          </w:p>
        </w:tc>
        <w:tc>
          <w:tcPr>
            <w:tcW w:w="411"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283"/>
              <w:rPr/>
            </w:pPr>
            <w:r>
              <w:rPr/>
              <w:t> </w:t>
            </w:r>
          </w:p>
        </w:tc>
        <w:tc>
          <w:tcPr>
            <w:tcW w:w="411"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  </w:t>
            </w:r>
          </w:p>
        </w:tc>
        <w:tc>
          <w:tcPr>
            <w:tcW w:w="172" w:type="dxa"/>
            <w:tcBorders/>
            <w:shd w:fill="CCEEFF" w:val="clear"/>
            <w:vAlign w:val="bottom"/>
          </w:tcPr>
          <w:p>
            <w:pPr>
              <w:pStyle w:val="TableContents"/>
              <w:spacing w:before="0" w:after="283"/>
              <w:rPr/>
            </w:pPr>
            <w:r>
              <w:rPr/>
              <w:t> </w:t>
            </w:r>
          </w:p>
        </w:tc>
      </w:tr>
      <w:tr>
        <w:trPr/>
        <w:tc>
          <w:tcPr>
            <w:tcW w:w="420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 Fair Value at Vesting of Option Awards and Stock Awards Granted in Fiscal Year That Vested During Fiscal Year</w:t>
            </w:r>
          </w:p>
        </w:tc>
        <w:tc>
          <w:tcPr>
            <w:tcW w:w="411"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  </w:t>
            </w:r>
          </w:p>
        </w:tc>
        <w:tc>
          <w:tcPr>
            <w:tcW w:w="168"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w:t>
            </w:r>
          </w:p>
        </w:tc>
        <w:tc>
          <w:tcPr>
            <w:tcW w:w="1095" w:type="dxa"/>
            <w:tcBorders/>
            <w:shd w:fill="auto" w:val="clear"/>
            <w:vAlign w:val="bottom"/>
          </w:tcPr>
          <w:p>
            <w:pPr>
              <w:pStyle w:val="TableContents"/>
              <w:spacing w:before="0" w:after="283"/>
              <w:jc w:val="right"/>
              <w:rPr/>
            </w:pPr>
            <w:r>
              <w:rPr/>
              <w:t>19,945</w:t>
            </w:r>
          </w:p>
        </w:tc>
        <w:tc>
          <w:tcPr>
            <w:tcW w:w="172" w:type="dxa"/>
            <w:tcBorders/>
            <w:shd w:fill="auto" w:val="clear"/>
            <w:vAlign w:val="bottom"/>
          </w:tcPr>
          <w:p>
            <w:pPr>
              <w:pStyle w:val="TableContents"/>
              <w:spacing w:before="0" w:after="283"/>
              <w:rPr/>
            </w:pPr>
            <w:r>
              <w:rPr/>
              <w:t> </w:t>
            </w:r>
          </w:p>
        </w:tc>
      </w:tr>
      <w:tr>
        <w:trPr/>
        <w:tc>
          <w:tcPr>
            <w:tcW w:w="4205"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 Change in Fair Value as of Vesting Date of Option Awards and Stock Awards Granted in Prior Fiscal Years For Which Applicable Vesting Conditions Were Satisfied During Fiscal Year</w:t>
            </w:r>
          </w:p>
        </w:tc>
        <w:tc>
          <w:tcPr>
            <w:tcW w:w="411"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283"/>
              <w:rPr/>
            </w:pPr>
            <w:r>
              <w:rPr/>
              <w:t> </w:t>
            </w:r>
          </w:p>
        </w:tc>
        <w:tc>
          <w:tcPr>
            <w:tcW w:w="411"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w:t>
            </w:r>
          </w:p>
        </w:tc>
        <w:tc>
          <w:tcPr>
            <w:tcW w:w="1095" w:type="dxa"/>
            <w:tcBorders/>
            <w:shd w:fill="CCEEFF" w:val="clear"/>
            <w:vAlign w:val="bottom"/>
          </w:tcPr>
          <w:p>
            <w:pPr>
              <w:pStyle w:val="TableContents"/>
              <w:spacing w:before="0" w:after="283"/>
              <w:jc w:val="right"/>
              <w:rPr/>
            </w:pPr>
            <w:r>
              <w:rPr/>
              <w:t>155,474</w:t>
            </w:r>
          </w:p>
        </w:tc>
        <w:tc>
          <w:tcPr>
            <w:tcW w:w="172" w:type="dxa"/>
            <w:tcBorders/>
            <w:shd w:fill="CCEEFF" w:val="clear"/>
            <w:vAlign w:val="bottom"/>
          </w:tcPr>
          <w:p>
            <w:pPr>
              <w:pStyle w:val="TableContents"/>
              <w:spacing w:before="0" w:after="283"/>
              <w:rPr/>
            </w:pPr>
            <w:r>
              <w:rPr/>
              <w:t>) </w:t>
            </w:r>
          </w:p>
        </w:tc>
      </w:tr>
      <w:tr>
        <w:trPr/>
        <w:tc>
          <w:tcPr>
            <w:tcW w:w="420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 Fair Value as of Prior Fiscal Year-End of Option Awards and Stock Awards Granted in Prior Fiscal Years That Failed to Meet Applicable Vesting Conditions During Fiscal Year</w:t>
            </w:r>
          </w:p>
        </w:tc>
        <w:tc>
          <w:tcPr>
            <w:tcW w:w="411"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  </w:t>
            </w:r>
          </w:p>
        </w:tc>
        <w:tc>
          <w:tcPr>
            <w:tcW w:w="168"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w:t>
            </w:r>
          </w:p>
        </w:tc>
        <w:tc>
          <w:tcPr>
            <w:tcW w:w="1095" w:type="dxa"/>
            <w:tcBorders/>
            <w:shd w:fill="auto" w:val="clear"/>
            <w:vAlign w:val="bottom"/>
          </w:tcPr>
          <w:p>
            <w:pPr>
              <w:pStyle w:val="TableContents"/>
              <w:spacing w:before="0" w:after="283"/>
              <w:jc w:val="right"/>
              <w:rPr/>
            </w:pPr>
            <w:r>
              <w:rPr/>
              <w:t>425,478</w:t>
            </w:r>
          </w:p>
        </w:tc>
        <w:tc>
          <w:tcPr>
            <w:tcW w:w="172" w:type="dxa"/>
            <w:tcBorders/>
            <w:shd w:fill="auto" w:val="clear"/>
            <w:vAlign w:val="bottom"/>
          </w:tcPr>
          <w:p>
            <w:pPr>
              <w:pStyle w:val="TableContents"/>
              <w:spacing w:before="0" w:after="283"/>
              <w:rPr/>
            </w:pPr>
            <w:r>
              <w:rPr/>
              <w:t>) </w:t>
            </w:r>
          </w:p>
        </w:tc>
      </w:tr>
      <w:tr>
        <w:trPr/>
        <w:tc>
          <w:tcPr>
            <w:tcW w:w="4205"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Compensation Actually Paid to PEO 2</w:t>
            </w:r>
          </w:p>
        </w:tc>
        <w:tc>
          <w:tcPr>
            <w:tcW w:w="411"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b/>
              </w:rPr>
              <w:t></w:t>
            </w:r>
            <w:r>
              <w:rPr/>
              <w:t>  </w:t>
            </w:r>
          </w:p>
        </w:tc>
        <w:tc>
          <w:tcPr>
            <w:tcW w:w="168" w:type="dxa"/>
            <w:tcBorders/>
            <w:shd w:fill="CCEEFF" w:val="clear"/>
            <w:vAlign w:val="bottom"/>
          </w:tcPr>
          <w:p>
            <w:pPr>
              <w:pStyle w:val="TableContents"/>
              <w:spacing w:before="0" w:after="283"/>
              <w:rPr/>
            </w:pPr>
            <w:r>
              <w:rPr/>
              <w:t> </w:t>
            </w:r>
          </w:p>
        </w:tc>
        <w:tc>
          <w:tcPr>
            <w:tcW w:w="411"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b/>
              </w:rPr>
            </w:pPr>
            <w:r>
              <w:rPr>
                <w:b/>
              </w:rPr>
              <w:t>$</w:t>
            </w:r>
          </w:p>
        </w:tc>
        <w:tc>
          <w:tcPr>
            <w:tcW w:w="1095" w:type="dxa"/>
            <w:tcBorders/>
            <w:shd w:fill="CCEEFF" w:val="clear"/>
            <w:vAlign w:val="bottom"/>
          </w:tcPr>
          <w:p>
            <w:pPr>
              <w:pStyle w:val="TableContents"/>
              <w:spacing w:before="0" w:after="283"/>
              <w:jc w:val="right"/>
              <w:rPr>
                <w:b/>
              </w:rPr>
            </w:pPr>
            <w:r>
              <w:rPr>
                <w:b/>
              </w:rPr>
              <w:t>743,582</w:t>
            </w:r>
          </w:p>
        </w:tc>
        <w:tc>
          <w:tcPr>
            <w:tcW w:w="172" w:type="dxa"/>
            <w:tcBorders/>
            <w:shd w:fill="CCEEFF" w:val="clear"/>
            <w:vAlign w:val="bottom"/>
          </w:tcPr>
          <w:p>
            <w:pPr>
              <w:pStyle w:val="TableContents"/>
              <w:spacing w:before="0" w:after="283"/>
              <w:rPr/>
            </w:pPr>
            <w:r>
              <w:rPr/>
              <w:t> </w:t>
            </w:r>
          </w:p>
        </w:tc>
      </w:tr>
      <w:tr>
        <w:trPr/>
        <w:tc>
          <w:tcPr>
            <w:tcW w:w="4205"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PEO 3 SCT Total</w:t>
            </w:r>
          </w:p>
        </w:tc>
        <w:tc>
          <w:tcPr>
            <w:tcW w:w="411"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  </w:t>
            </w:r>
          </w:p>
        </w:tc>
        <w:tc>
          <w:tcPr>
            <w:tcW w:w="168"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w:t>
            </w:r>
          </w:p>
        </w:tc>
        <w:tc>
          <w:tcPr>
            <w:tcW w:w="1095" w:type="dxa"/>
            <w:tcBorders/>
            <w:shd w:fill="auto" w:val="clear"/>
            <w:vAlign w:val="bottom"/>
          </w:tcPr>
          <w:p>
            <w:pPr>
              <w:pStyle w:val="TableContents"/>
              <w:spacing w:before="0" w:after="283"/>
              <w:jc w:val="right"/>
              <w:rPr/>
            </w:pPr>
            <w:r>
              <w:rPr/>
              <w:t>1,632,690</w:t>
            </w:r>
          </w:p>
        </w:tc>
        <w:tc>
          <w:tcPr>
            <w:tcW w:w="172" w:type="dxa"/>
            <w:tcBorders/>
            <w:shd w:fill="auto" w:val="clear"/>
            <w:vAlign w:val="bottom"/>
          </w:tcPr>
          <w:p>
            <w:pPr>
              <w:pStyle w:val="TableContents"/>
              <w:spacing w:before="0" w:after="283"/>
              <w:rPr/>
            </w:pPr>
            <w:r>
              <w:rPr/>
              <w:t> </w:t>
            </w:r>
          </w:p>
        </w:tc>
      </w:tr>
      <w:tr>
        <w:trPr/>
        <w:tc>
          <w:tcPr>
            <w:tcW w:w="4205"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 Grant Date Fair Value of Option Awards and Stock Awards Granted in Fiscal Year</w:t>
            </w:r>
          </w:p>
        </w:tc>
        <w:tc>
          <w:tcPr>
            <w:tcW w:w="411"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283"/>
              <w:rPr/>
            </w:pPr>
            <w:r>
              <w:rPr/>
              <w:t> </w:t>
            </w:r>
          </w:p>
        </w:tc>
        <w:tc>
          <w:tcPr>
            <w:tcW w:w="411"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w:t>
            </w:r>
          </w:p>
        </w:tc>
        <w:tc>
          <w:tcPr>
            <w:tcW w:w="1095" w:type="dxa"/>
            <w:tcBorders/>
            <w:shd w:fill="CCEEFF" w:val="clear"/>
            <w:vAlign w:val="bottom"/>
          </w:tcPr>
          <w:p>
            <w:pPr>
              <w:pStyle w:val="TableContents"/>
              <w:spacing w:before="0" w:after="283"/>
              <w:jc w:val="right"/>
              <w:rPr/>
            </w:pPr>
            <w:r>
              <w:rPr/>
              <w:t>541,266</w:t>
            </w:r>
          </w:p>
        </w:tc>
        <w:tc>
          <w:tcPr>
            <w:tcW w:w="172" w:type="dxa"/>
            <w:tcBorders/>
            <w:shd w:fill="CCEEFF" w:val="clear"/>
            <w:vAlign w:val="bottom"/>
          </w:tcPr>
          <w:p>
            <w:pPr>
              <w:pStyle w:val="TableContents"/>
              <w:spacing w:before="0" w:after="283"/>
              <w:rPr/>
            </w:pPr>
            <w:r>
              <w:rPr/>
              <w:t>) </w:t>
            </w:r>
          </w:p>
        </w:tc>
      </w:tr>
      <w:tr>
        <w:trPr/>
        <w:tc>
          <w:tcPr>
            <w:tcW w:w="420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 Fair Value at Fiscal Year-End of Outstanding and Unvested Option Awards and Stock Awards Granted in Fiscal Year</w:t>
            </w:r>
          </w:p>
        </w:tc>
        <w:tc>
          <w:tcPr>
            <w:tcW w:w="411"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  </w:t>
            </w:r>
          </w:p>
        </w:tc>
        <w:tc>
          <w:tcPr>
            <w:tcW w:w="168"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rPr/>
            </w:pPr>
            <w:r>
              <w:rPr/>
              <w:t> </w:t>
            </w:r>
          </w:p>
        </w:tc>
      </w:tr>
      <w:tr>
        <w:trPr/>
        <w:tc>
          <w:tcPr>
            <w:tcW w:w="4205"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 Change in Fair Value of Outstanding and Unvested Option Awards and Stock Awards Granted in Prior Fiscal Years</w:t>
            </w:r>
          </w:p>
        </w:tc>
        <w:tc>
          <w:tcPr>
            <w:tcW w:w="411"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283"/>
              <w:rPr/>
            </w:pPr>
            <w:r>
              <w:rPr/>
              <w:t> </w:t>
            </w:r>
          </w:p>
        </w:tc>
        <w:tc>
          <w:tcPr>
            <w:tcW w:w="411"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  </w:t>
            </w:r>
          </w:p>
        </w:tc>
        <w:tc>
          <w:tcPr>
            <w:tcW w:w="172" w:type="dxa"/>
            <w:tcBorders/>
            <w:shd w:fill="CCEEFF" w:val="clear"/>
            <w:vAlign w:val="bottom"/>
          </w:tcPr>
          <w:p>
            <w:pPr>
              <w:pStyle w:val="TableContents"/>
              <w:spacing w:before="0" w:after="283"/>
              <w:rPr/>
            </w:pPr>
            <w:r>
              <w:rPr/>
              <w:t> </w:t>
            </w:r>
          </w:p>
        </w:tc>
      </w:tr>
      <w:tr>
        <w:trPr/>
        <w:tc>
          <w:tcPr>
            <w:tcW w:w="420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 Fair Value at Vesting of Option Awards and Stock Awards Granted in Fiscal Year That Vested During Fiscal Year</w:t>
            </w:r>
          </w:p>
        </w:tc>
        <w:tc>
          <w:tcPr>
            <w:tcW w:w="411"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  </w:t>
            </w:r>
          </w:p>
        </w:tc>
        <w:tc>
          <w:tcPr>
            <w:tcW w:w="168"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w:t>
            </w:r>
          </w:p>
        </w:tc>
        <w:tc>
          <w:tcPr>
            <w:tcW w:w="1095" w:type="dxa"/>
            <w:tcBorders/>
            <w:shd w:fill="auto" w:val="clear"/>
            <w:vAlign w:val="bottom"/>
          </w:tcPr>
          <w:p>
            <w:pPr>
              <w:pStyle w:val="TableContents"/>
              <w:spacing w:before="0" w:after="283"/>
              <w:jc w:val="right"/>
              <w:rPr/>
            </w:pPr>
            <w:r>
              <w:rPr/>
              <w:t>335,988</w:t>
            </w:r>
          </w:p>
        </w:tc>
        <w:tc>
          <w:tcPr>
            <w:tcW w:w="172"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3800" w:type="pct"/>
        <w:jc w:val="center"/>
        <w:tblInd w:w="0" w:type="dxa"/>
        <w:tblCellMar>
          <w:top w:w="0" w:type="dxa"/>
          <w:left w:w="0" w:type="dxa"/>
          <w:bottom w:w="0" w:type="dxa"/>
          <w:right w:w="0" w:type="dxa"/>
        </w:tblCellMar>
      </w:tblPr>
      <w:tblGrid>
        <w:gridCol w:w="5011"/>
        <w:gridCol w:w="418"/>
        <w:gridCol w:w="78"/>
        <w:gridCol w:w="440"/>
        <w:gridCol w:w="60"/>
        <w:gridCol w:w="418"/>
        <w:gridCol w:w="146"/>
        <w:gridCol w:w="1024"/>
        <w:gridCol w:w="160"/>
      </w:tblGrid>
      <w:tr>
        <w:trPr/>
        <w:tc>
          <w:tcPr>
            <w:tcW w:w="5011"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011"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Fiscal Year</w:t>
            </w:r>
          </w:p>
        </w:tc>
        <w:tc>
          <w:tcPr>
            <w:tcW w:w="418" w:type="dxa"/>
            <w:tcBorders/>
            <w:shd w:fill="auto" w:val="clear"/>
            <w:vAlign w:val="bottom"/>
          </w:tcPr>
          <w:p>
            <w:pPr>
              <w:pStyle w:val="TableContents"/>
              <w:spacing w:before="0" w:after="283"/>
              <w:rPr/>
            </w:pPr>
            <w:r>
              <w:rPr/>
              <w:t>  </w:t>
            </w:r>
          </w:p>
        </w:tc>
        <w:tc>
          <w:tcPr>
            <w:tcW w:w="51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0"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17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160" w:type="dxa"/>
            <w:tcBorders/>
            <w:shd w:fill="auto" w:val="clear"/>
            <w:vAlign w:val="bottom"/>
          </w:tcPr>
          <w:p>
            <w:pPr>
              <w:pStyle w:val="TableContents"/>
              <w:spacing w:before="0" w:after="283"/>
              <w:rPr/>
            </w:pPr>
            <w:r>
              <w:rPr/>
              <w:t> </w:t>
            </w:r>
          </w:p>
        </w:tc>
      </w:tr>
      <w:tr>
        <w:trPr/>
        <w:tc>
          <w:tcPr>
            <w:tcW w:w="5011"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 Change in Fair Value as of Vesting Date of Option Awards and Stock Awards Granted in Prior Fiscal Years For Which Applicable Vesting Conditions Were Satisfied During Fiscal Year</w:t>
            </w:r>
          </w:p>
        </w:tc>
        <w:tc>
          <w:tcPr>
            <w:tcW w:w="418"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w:t>
            </w:r>
          </w:p>
        </w:tc>
        <w:tc>
          <w:tcPr>
            <w:tcW w:w="1024" w:type="dxa"/>
            <w:tcBorders/>
            <w:shd w:fill="CCEEFF" w:val="clear"/>
            <w:vAlign w:val="bottom"/>
          </w:tcPr>
          <w:p>
            <w:pPr>
              <w:pStyle w:val="TableContents"/>
              <w:spacing w:before="0" w:after="283"/>
              <w:jc w:val="right"/>
              <w:rPr/>
            </w:pPr>
            <w:r>
              <w:rPr/>
              <w:t>139,089</w:t>
            </w:r>
          </w:p>
        </w:tc>
        <w:tc>
          <w:tcPr>
            <w:tcW w:w="160" w:type="dxa"/>
            <w:tcBorders/>
            <w:shd w:fill="CCEEFF" w:val="clear"/>
            <w:vAlign w:val="bottom"/>
          </w:tcPr>
          <w:p>
            <w:pPr>
              <w:pStyle w:val="TableContents"/>
              <w:spacing w:before="0" w:after="283"/>
              <w:rPr/>
            </w:pPr>
            <w:r>
              <w:rPr/>
              <w:t>) </w:t>
            </w:r>
          </w:p>
        </w:tc>
      </w:tr>
      <w:tr>
        <w:trPr/>
        <w:tc>
          <w:tcPr>
            <w:tcW w:w="5011"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 Fair Value as of Prior Fiscal Year-End of Option Awards and Stock Awards Granted in Prior Fiscal Years That Failed to Meet Applicable Vesting Conditions During Fiscal Year</w:t>
            </w:r>
          </w:p>
        </w:tc>
        <w:tc>
          <w:tcPr>
            <w:tcW w:w="418"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rPr/>
            </w:pPr>
            <w:r>
              <w:rPr/>
              <w:t> </w:t>
            </w:r>
          </w:p>
        </w:tc>
      </w:tr>
      <w:tr>
        <w:trPr/>
        <w:tc>
          <w:tcPr>
            <w:tcW w:w="5011"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Compensation Actually Paid to PEO 3</w:t>
            </w:r>
          </w:p>
        </w:tc>
        <w:tc>
          <w:tcPr>
            <w:tcW w:w="418"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b/>
              </w:rPr>
            </w:pPr>
            <w:r>
              <w:rPr>
                <w:b/>
              </w:rPr>
              <w:t>  </w:t>
            </w:r>
          </w:p>
        </w:tc>
        <w:tc>
          <w:tcPr>
            <w:tcW w:w="60"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b/>
              </w:rPr>
            </w:pPr>
            <w:r>
              <w:rPr>
                <w:b/>
              </w:rPr>
              <w:t>$</w:t>
            </w:r>
          </w:p>
        </w:tc>
        <w:tc>
          <w:tcPr>
            <w:tcW w:w="1024" w:type="dxa"/>
            <w:tcBorders/>
            <w:shd w:fill="CCEEFF" w:val="clear"/>
            <w:vAlign w:val="bottom"/>
          </w:tcPr>
          <w:p>
            <w:pPr>
              <w:pStyle w:val="TableContents"/>
              <w:spacing w:before="0" w:after="283"/>
              <w:jc w:val="right"/>
              <w:rPr>
                <w:b/>
              </w:rPr>
            </w:pPr>
            <w:r>
              <w:rPr>
                <w:b/>
              </w:rPr>
              <w:t>1,288,323</w:t>
            </w:r>
          </w:p>
        </w:tc>
        <w:tc>
          <w:tcPr>
            <w:tcW w:w="160" w:type="dxa"/>
            <w:tcBorders/>
            <w:shd w:fill="CCEEFF"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(8)</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fiscal years 2022 and 2021, calculation of the average CAP for Non-PEO NEOs reflects the following adjustments made to the total compensation amounts reported for the applicable Non-PEO NEOs in the SCT for fiscal years 2022 and 2021, computed in accordance with Item 402(v) of Regulation S-K: </w:t>
            </w:r>
          </w:p>
        </w:tc>
      </w:tr>
    </w:tbl>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169"/>
        <w:gridCol w:w="423"/>
        <w:gridCol w:w="216"/>
        <w:gridCol w:w="865"/>
        <w:gridCol w:w="168"/>
        <w:gridCol w:w="423"/>
        <w:gridCol w:w="216"/>
        <w:gridCol w:w="1101"/>
        <w:gridCol w:w="174"/>
      </w:tblGrid>
      <w:tr>
        <w:trPr/>
        <w:tc>
          <w:tcPr>
            <w:tcW w:w="4169"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bottom"/>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bottom"/>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4169"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Fiscal Year</w:t>
            </w:r>
          </w:p>
        </w:tc>
        <w:tc>
          <w:tcPr>
            <w:tcW w:w="423" w:type="dxa"/>
            <w:tcBorders/>
            <w:shd w:fill="auto" w:val="clear"/>
            <w:vAlign w:val="bottom"/>
          </w:tcPr>
          <w:p>
            <w:pPr>
              <w:pStyle w:val="TableContents"/>
              <w:spacing w:before="0" w:after="283"/>
              <w:rPr/>
            </w:pPr>
            <w:r>
              <w:rPr/>
              <w:t>  </w:t>
            </w:r>
          </w:p>
        </w:tc>
        <w:tc>
          <w:tcPr>
            <w:tcW w:w="108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68"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31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174" w:type="dxa"/>
            <w:tcBorders/>
            <w:shd w:fill="auto" w:val="clear"/>
            <w:vAlign w:val="bottom"/>
          </w:tcPr>
          <w:p>
            <w:pPr>
              <w:pStyle w:val="TableContents"/>
              <w:spacing w:before="0" w:after="283"/>
              <w:rPr/>
            </w:pPr>
            <w:r>
              <w:rPr/>
              <w:t> </w:t>
            </w:r>
          </w:p>
        </w:tc>
      </w:tr>
      <w:tr>
        <w:trPr/>
        <w:tc>
          <w:tcPr>
            <w:tcW w:w="4169" w:type="dxa"/>
            <w:tcBorders/>
            <w:shd w:fill="CCEEFF" w:val="clear"/>
          </w:tcPr>
          <w:p>
            <w:pPr>
              <w:pStyle w:val="TableContents"/>
              <w:spacing w:before="0" w:after="0"/>
              <w:rPr>
                <w:rFonts w:ascii="Times New Roman" w:hAnsi="Times New Roman"/>
                <w:b/>
                <w:sz w:val="20"/>
              </w:rPr>
            </w:pPr>
            <w:r>
              <w:rPr>
                <w:rFonts w:ascii="Times New Roman" w:hAnsi="Times New Roman"/>
                <w:b/>
                <w:sz w:val="20"/>
              </w:rPr>
              <w:t>Non-PEO NEO Average SCT Total</w:t>
            </w:r>
          </w:p>
        </w:tc>
        <w:tc>
          <w:tcPr>
            <w:tcW w:w="423"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w:t>
            </w:r>
          </w:p>
        </w:tc>
        <w:tc>
          <w:tcPr>
            <w:tcW w:w="865" w:type="dxa"/>
            <w:tcBorders/>
            <w:shd w:fill="CCEEFF" w:val="clear"/>
            <w:vAlign w:val="bottom"/>
          </w:tcPr>
          <w:p>
            <w:pPr>
              <w:pStyle w:val="TableContents"/>
              <w:spacing w:before="0" w:after="283"/>
              <w:jc w:val="right"/>
              <w:rPr/>
            </w:pPr>
            <w:r>
              <w:rPr/>
              <w:t>966,992</w:t>
            </w:r>
          </w:p>
        </w:tc>
        <w:tc>
          <w:tcPr>
            <w:tcW w:w="168"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w:t>
            </w:r>
          </w:p>
        </w:tc>
        <w:tc>
          <w:tcPr>
            <w:tcW w:w="1101" w:type="dxa"/>
            <w:tcBorders/>
            <w:shd w:fill="CCEEFF" w:val="clear"/>
            <w:vAlign w:val="bottom"/>
          </w:tcPr>
          <w:p>
            <w:pPr>
              <w:pStyle w:val="TableContents"/>
              <w:spacing w:before="0" w:after="283"/>
              <w:jc w:val="right"/>
              <w:rPr/>
            </w:pPr>
            <w:r>
              <w:rPr/>
              <w:t>1,168,452</w:t>
            </w:r>
          </w:p>
        </w:tc>
        <w:tc>
          <w:tcPr>
            <w:tcW w:w="174" w:type="dxa"/>
            <w:tcBorders/>
            <w:shd w:fill="CCEEFF" w:val="clear"/>
            <w:vAlign w:val="bottom"/>
          </w:tcPr>
          <w:p>
            <w:pPr>
              <w:pStyle w:val="TableContents"/>
              <w:spacing w:before="0" w:after="283"/>
              <w:rPr/>
            </w:pPr>
            <w:r>
              <w:rPr/>
              <w:t> </w:t>
            </w:r>
          </w:p>
        </w:tc>
      </w:tr>
      <w:tr>
        <w:trPr/>
        <w:tc>
          <w:tcPr>
            <w:tcW w:w="4169" w:type="dxa"/>
            <w:tcBorders/>
            <w:shd w:fill="auto" w:val="clear"/>
          </w:tcPr>
          <w:p>
            <w:pPr>
              <w:pStyle w:val="TableContents"/>
              <w:spacing w:before="0" w:after="0"/>
              <w:rPr>
                <w:rFonts w:ascii="Times New Roman" w:hAnsi="Times New Roman"/>
                <w:sz w:val="20"/>
              </w:rPr>
            </w:pPr>
            <w:r>
              <w:rPr>
                <w:rFonts w:ascii="Times New Roman" w:hAnsi="Times New Roman"/>
                <w:sz w:val="20"/>
              </w:rPr>
              <w:t>- Grant Date Fair Value of Option Awards and Stock Awards Granted in Fiscal Year</w:t>
            </w:r>
          </w:p>
        </w:tc>
        <w:tc>
          <w:tcPr>
            <w:tcW w:w="423"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w:t>
            </w:r>
          </w:p>
        </w:tc>
        <w:tc>
          <w:tcPr>
            <w:tcW w:w="865" w:type="dxa"/>
            <w:tcBorders/>
            <w:shd w:fill="auto" w:val="clear"/>
            <w:vAlign w:val="bottom"/>
          </w:tcPr>
          <w:p>
            <w:pPr>
              <w:pStyle w:val="TableContents"/>
              <w:spacing w:before="0" w:after="283"/>
              <w:jc w:val="right"/>
              <w:rPr/>
            </w:pPr>
            <w:r>
              <w:rPr/>
              <w:t>328,720</w:t>
            </w:r>
          </w:p>
        </w:tc>
        <w:tc>
          <w:tcPr>
            <w:tcW w:w="168"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w:t>
            </w:r>
          </w:p>
        </w:tc>
        <w:tc>
          <w:tcPr>
            <w:tcW w:w="1101" w:type="dxa"/>
            <w:tcBorders/>
            <w:shd w:fill="auto" w:val="clear"/>
            <w:vAlign w:val="bottom"/>
          </w:tcPr>
          <w:p>
            <w:pPr>
              <w:pStyle w:val="TableContents"/>
              <w:spacing w:before="0" w:after="283"/>
              <w:jc w:val="right"/>
              <w:rPr/>
            </w:pPr>
            <w:r>
              <w:rPr/>
              <w:t>429,416</w:t>
            </w:r>
          </w:p>
        </w:tc>
        <w:tc>
          <w:tcPr>
            <w:tcW w:w="174" w:type="dxa"/>
            <w:tcBorders/>
            <w:shd w:fill="auto" w:val="clear"/>
            <w:vAlign w:val="bottom"/>
          </w:tcPr>
          <w:p>
            <w:pPr>
              <w:pStyle w:val="TableContents"/>
              <w:spacing w:before="0" w:after="283"/>
              <w:rPr/>
            </w:pPr>
            <w:r>
              <w:rPr/>
              <w:t>) </w:t>
            </w:r>
          </w:p>
        </w:tc>
      </w:tr>
      <w:tr>
        <w:trPr/>
        <w:tc>
          <w:tcPr>
            <w:tcW w:w="4169" w:type="dxa"/>
            <w:tcBorders/>
            <w:shd w:fill="CCEEFF" w:val="clear"/>
          </w:tcPr>
          <w:p>
            <w:pPr>
              <w:pStyle w:val="TableContents"/>
              <w:spacing w:before="0" w:after="0"/>
              <w:rPr>
                <w:rFonts w:ascii="Times New Roman" w:hAnsi="Times New Roman"/>
                <w:sz w:val="20"/>
              </w:rPr>
            </w:pPr>
            <w:r>
              <w:rPr>
                <w:rFonts w:ascii="Times New Roman" w:hAnsi="Times New Roman"/>
                <w:sz w:val="20"/>
              </w:rPr>
              <w:t>+ Fair Value at Fiscal Year-End of Outstanding and Unvested Option Awards and Stock Awards Granted in Fiscal Year</w:t>
            </w:r>
          </w:p>
        </w:tc>
        <w:tc>
          <w:tcPr>
            <w:tcW w:w="423"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w:t>
            </w:r>
          </w:p>
        </w:tc>
        <w:tc>
          <w:tcPr>
            <w:tcW w:w="865" w:type="dxa"/>
            <w:tcBorders/>
            <w:shd w:fill="CCEEFF" w:val="clear"/>
            <w:vAlign w:val="bottom"/>
          </w:tcPr>
          <w:p>
            <w:pPr>
              <w:pStyle w:val="TableContents"/>
              <w:spacing w:before="0" w:after="283"/>
              <w:jc w:val="right"/>
              <w:rPr/>
            </w:pPr>
            <w:r>
              <w:rPr/>
              <w:t>81,785</w:t>
            </w:r>
          </w:p>
        </w:tc>
        <w:tc>
          <w:tcPr>
            <w:tcW w:w="168"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w:t>
            </w:r>
          </w:p>
        </w:tc>
        <w:tc>
          <w:tcPr>
            <w:tcW w:w="1101" w:type="dxa"/>
            <w:tcBorders/>
            <w:shd w:fill="CCEEFF" w:val="clear"/>
            <w:vAlign w:val="bottom"/>
          </w:tcPr>
          <w:p>
            <w:pPr>
              <w:pStyle w:val="TableContents"/>
              <w:spacing w:before="0" w:after="283"/>
              <w:jc w:val="right"/>
              <w:rPr/>
            </w:pPr>
            <w:r>
              <w:rPr/>
              <w:t>78,983</w:t>
            </w:r>
          </w:p>
        </w:tc>
        <w:tc>
          <w:tcPr>
            <w:tcW w:w="174" w:type="dxa"/>
            <w:tcBorders/>
            <w:shd w:fill="CCEEFF" w:val="clear"/>
            <w:vAlign w:val="bottom"/>
          </w:tcPr>
          <w:p>
            <w:pPr>
              <w:pStyle w:val="TableContents"/>
              <w:spacing w:before="0" w:after="283"/>
              <w:rPr/>
            </w:pPr>
            <w:r>
              <w:rPr/>
              <w:t> </w:t>
            </w:r>
          </w:p>
        </w:tc>
      </w:tr>
      <w:tr>
        <w:trPr/>
        <w:tc>
          <w:tcPr>
            <w:tcW w:w="4169" w:type="dxa"/>
            <w:tcBorders/>
            <w:shd w:fill="auto" w:val="clear"/>
          </w:tcPr>
          <w:p>
            <w:pPr>
              <w:pStyle w:val="TableContents"/>
              <w:spacing w:before="0" w:after="0"/>
              <w:rPr>
                <w:rFonts w:ascii="Times New Roman" w:hAnsi="Times New Roman"/>
                <w:sz w:val="20"/>
              </w:rPr>
            </w:pPr>
            <w:r>
              <w:rPr>
                <w:rFonts w:ascii="Times New Roman" w:hAnsi="Times New Roman"/>
                <w:sz w:val="20"/>
              </w:rPr>
              <w:t>+ Change in Fair Value of Outstanding and Unvested Option Awards and Stock Awards Granted in Prior Fiscal Years</w:t>
            </w:r>
          </w:p>
        </w:tc>
        <w:tc>
          <w:tcPr>
            <w:tcW w:w="423"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w:t>
            </w:r>
          </w:p>
        </w:tc>
        <w:tc>
          <w:tcPr>
            <w:tcW w:w="865" w:type="dxa"/>
            <w:tcBorders/>
            <w:shd w:fill="auto" w:val="clear"/>
            <w:vAlign w:val="bottom"/>
          </w:tcPr>
          <w:p>
            <w:pPr>
              <w:pStyle w:val="TableContents"/>
              <w:spacing w:before="0" w:after="283"/>
              <w:jc w:val="right"/>
              <w:rPr/>
            </w:pPr>
            <w:r>
              <w:rPr/>
              <w:t>119,926</w:t>
            </w:r>
          </w:p>
        </w:tc>
        <w:tc>
          <w:tcPr>
            <w:tcW w:w="168"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w:t>
            </w:r>
          </w:p>
        </w:tc>
        <w:tc>
          <w:tcPr>
            <w:tcW w:w="1101" w:type="dxa"/>
            <w:tcBorders/>
            <w:shd w:fill="auto" w:val="clear"/>
            <w:vAlign w:val="bottom"/>
          </w:tcPr>
          <w:p>
            <w:pPr>
              <w:pStyle w:val="TableContents"/>
              <w:spacing w:before="0" w:after="283"/>
              <w:jc w:val="right"/>
              <w:rPr/>
            </w:pPr>
            <w:r>
              <w:rPr/>
              <w:t>175,379</w:t>
            </w:r>
          </w:p>
        </w:tc>
        <w:tc>
          <w:tcPr>
            <w:tcW w:w="174" w:type="dxa"/>
            <w:tcBorders/>
            <w:shd w:fill="auto" w:val="clear"/>
            <w:vAlign w:val="bottom"/>
          </w:tcPr>
          <w:p>
            <w:pPr>
              <w:pStyle w:val="TableContents"/>
              <w:spacing w:before="0" w:after="283"/>
              <w:rPr/>
            </w:pPr>
            <w:r>
              <w:rPr/>
              <w:t>) </w:t>
            </w:r>
          </w:p>
        </w:tc>
      </w:tr>
      <w:tr>
        <w:trPr/>
        <w:tc>
          <w:tcPr>
            <w:tcW w:w="4169" w:type="dxa"/>
            <w:tcBorders/>
            <w:shd w:fill="CCEEFF" w:val="clear"/>
          </w:tcPr>
          <w:p>
            <w:pPr>
              <w:pStyle w:val="TableContents"/>
              <w:spacing w:before="0" w:after="0"/>
              <w:rPr>
                <w:rFonts w:ascii="Times New Roman" w:hAnsi="Times New Roman"/>
                <w:sz w:val="20"/>
              </w:rPr>
            </w:pPr>
            <w:r>
              <w:rPr>
                <w:rFonts w:ascii="Times New Roman" w:hAnsi="Times New Roman"/>
                <w:sz w:val="20"/>
              </w:rPr>
              <w:t>+ Fair Value at Vesting of Option Awards and Stock Awards Granted in Fiscal Year that Vested During Fiscal Year</w:t>
            </w:r>
          </w:p>
        </w:tc>
        <w:tc>
          <w:tcPr>
            <w:tcW w:w="423"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w:t>
            </w:r>
          </w:p>
        </w:tc>
        <w:tc>
          <w:tcPr>
            <w:tcW w:w="865" w:type="dxa"/>
            <w:tcBorders/>
            <w:shd w:fill="CCEEFF" w:val="clear"/>
            <w:vAlign w:val="bottom"/>
          </w:tcPr>
          <w:p>
            <w:pPr>
              <w:pStyle w:val="TableContents"/>
              <w:spacing w:before="0" w:after="283"/>
              <w:jc w:val="right"/>
              <w:rPr/>
            </w:pPr>
            <w:r>
              <w:rPr/>
              <w:t>17,723</w:t>
            </w:r>
          </w:p>
        </w:tc>
        <w:tc>
          <w:tcPr>
            <w:tcW w:w="168"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w:t>
            </w:r>
          </w:p>
        </w:tc>
        <w:tc>
          <w:tcPr>
            <w:tcW w:w="1101" w:type="dxa"/>
            <w:tcBorders/>
            <w:shd w:fill="CCEEFF" w:val="clear"/>
            <w:vAlign w:val="bottom"/>
          </w:tcPr>
          <w:p>
            <w:pPr>
              <w:pStyle w:val="TableContents"/>
              <w:spacing w:before="0" w:after="283"/>
              <w:jc w:val="right"/>
              <w:rPr/>
            </w:pPr>
            <w:r>
              <w:rPr/>
              <w:t>39,784</w:t>
            </w:r>
          </w:p>
        </w:tc>
        <w:tc>
          <w:tcPr>
            <w:tcW w:w="174" w:type="dxa"/>
            <w:tcBorders/>
            <w:shd w:fill="CCEEFF" w:val="clear"/>
            <w:vAlign w:val="bottom"/>
          </w:tcPr>
          <w:p>
            <w:pPr>
              <w:pStyle w:val="TableContents"/>
              <w:spacing w:before="0" w:after="283"/>
              <w:rPr/>
            </w:pPr>
            <w:r>
              <w:rPr/>
              <w:t> </w:t>
            </w:r>
          </w:p>
        </w:tc>
      </w:tr>
      <w:tr>
        <w:trPr/>
        <w:tc>
          <w:tcPr>
            <w:tcW w:w="4169" w:type="dxa"/>
            <w:tcBorders/>
            <w:shd w:fill="auto" w:val="clear"/>
          </w:tcPr>
          <w:p>
            <w:pPr>
              <w:pStyle w:val="TableContents"/>
              <w:spacing w:before="0" w:after="0"/>
              <w:rPr>
                <w:rFonts w:ascii="Times New Roman" w:hAnsi="Times New Roman"/>
                <w:sz w:val="20"/>
              </w:rPr>
            </w:pPr>
            <w:r>
              <w:rPr>
                <w:rFonts w:ascii="Times New Roman" w:hAnsi="Times New Roman"/>
                <w:sz w:val="20"/>
              </w:rPr>
              <w:t>+ Change in Fair Value as of Vesting Date of Option Awards and Stock Awards Granted in Prior Fiscal Years for Which Applicable Vesting Conditions Were Satisfied During Fiscal Year</w:t>
            </w:r>
          </w:p>
        </w:tc>
        <w:tc>
          <w:tcPr>
            <w:tcW w:w="423"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w:t>
            </w:r>
          </w:p>
        </w:tc>
        <w:tc>
          <w:tcPr>
            <w:tcW w:w="865" w:type="dxa"/>
            <w:tcBorders/>
            <w:shd w:fill="auto" w:val="clear"/>
            <w:vAlign w:val="bottom"/>
          </w:tcPr>
          <w:p>
            <w:pPr>
              <w:pStyle w:val="TableContents"/>
              <w:spacing w:before="0" w:after="283"/>
              <w:jc w:val="right"/>
              <w:rPr/>
            </w:pPr>
            <w:r>
              <w:rPr/>
              <w:t>43,876</w:t>
            </w:r>
          </w:p>
        </w:tc>
        <w:tc>
          <w:tcPr>
            <w:tcW w:w="168"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w:t>
            </w:r>
          </w:p>
        </w:tc>
        <w:tc>
          <w:tcPr>
            <w:tcW w:w="1101" w:type="dxa"/>
            <w:tcBorders/>
            <w:shd w:fill="auto" w:val="clear"/>
            <w:vAlign w:val="bottom"/>
          </w:tcPr>
          <w:p>
            <w:pPr>
              <w:pStyle w:val="TableContents"/>
              <w:spacing w:before="0" w:after="283"/>
              <w:jc w:val="right"/>
              <w:rPr/>
            </w:pPr>
            <w:r>
              <w:rPr/>
              <w:t>298,241</w:t>
            </w:r>
          </w:p>
        </w:tc>
        <w:tc>
          <w:tcPr>
            <w:tcW w:w="174" w:type="dxa"/>
            <w:tcBorders/>
            <w:shd w:fill="auto" w:val="clear"/>
            <w:vAlign w:val="bottom"/>
          </w:tcPr>
          <w:p>
            <w:pPr>
              <w:pStyle w:val="TableContents"/>
              <w:spacing w:before="0" w:after="283"/>
              <w:rPr/>
            </w:pPr>
            <w:r>
              <w:rPr/>
              <w:t> </w:t>
            </w:r>
          </w:p>
        </w:tc>
      </w:tr>
      <w:tr>
        <w:trPr/>
        <w:tc>
          <w:tcPr>
            <w:tcW w:w="4169" w:type="dxa"/>
            <w:tcBorders/>
            <w:shd w:fill="CCEEFF" w:val="clear"/>
          </w:tcPr>
          <w:p>
            <w:pPr>
              <w:pStyle w:val="TableContents"/>
              <w:spacing w:before="0" w:after="0"/>
              <w:rPr>
                <w:rFonts w:ascii="Times New Roman" w:hAnsi="Times New Roman"/>
                <w:sz w:val="20"/>
              </w:rPr>
            </w:pPr>
            <w:r>
              <w:rPr>
                <w:rFonts w:ascii="Times New Roman" w:hAnsi="Times New Roman"/>
                <w:sz w:val="20"/>
              </w:rPr>
              <w:t>- Fair Value as of Prior Fiscal Year-End of Option Awards and Stock Awards Granted in Prior Fiscal Years that Failed to Meet Applicable Vesting Conditions During Fiscal Year</w:t>
            </w:r>
          </w:p>
        </w:tc>
        <w:tc>
          <w:tcPr>
            <w:tcW w:w="423"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w:t>
            </w:r>
          </w:p>
        </w:tc>
        <w:tc>
          <w:tcPr>
            <w:tcW w:w="865"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  </w:t>
            </w:r>
          </w:p>
        </w:tc>
        <w:tc>
          <w:tcPr>
            <w:tcW w:w="174" w:type="dxa"/>
            <w:tcBorders/>
            <w:shd w:fill="CCEEFF" w:val="clear"/>
            <w:vAlign w:val="bottom"/>
          </w:tcPr>
          <w:p>
            <w:pPr>
              <w:pStyle w:val="TableContents"/>
              <w:spacing w:before="0" w:after="283"/>
              <w:rPr/>
            </w:pPr>
            <w:r>
              <w:rPr/>
              <w:t> </w:t>
            </w:r>
          </w:p>
        </w:tc>
      </w:tr>
      <w:tr>
        <w:trPr/>
        <w:tc>
          <w:tcPr>
            <w:tcW w:w="4169"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Average Compensation Actually Paid</w:t>
            </w:r>
          </w:p>
        </w:tc>
        <w:tc>
          <w:tcPr>
            <w:tcW w:w="423"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b/>
              </w:rPr>
            </w:pPr>
            <w:r>
              <w:rPr>
                <w:b/>
              </w:rPr>
              <w:t>$</w:t>
            </w:r>
          </w:p>
        </w:tc>
        <w:tc>
          <w:tcPr>
            <w:tcW w:w="865" w:type="dxa"/>
            <w:tcBorders/>
            <w:shd w:fill="auto" w:val="clear"/>
            <w:vAlign w:val="bottom"/>
          </w:tcPr>
          <w:p>
            <w:pPr>
              <w:pStyle w:val="TableContents"/>
              <w:spacing w:before="0" w:after="283"/>
              <w:jc w:val="right"/>
              <w:rPr>
                <w:b/>
              </w:rPr>
            </w:pPr>
            <w:r>
              <w:rPr>
                <w:b/>
              </w:rPr>
              <w:t>573,978</w:t>
            </w:r>
          </w:p>
        </w:tc>
        <w:tc>
          <w:tcPr>
            <w:tcW w:w="168"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b/>
              </w:rPr>
            </w:pPr>
            <w:r>
              <w:rPr>
                <w:b/>
              </w:rPr>
              <w:t>$</w:t>
            </w:r>
          </w:p>
        </w:tc>
        <w:tc>
          <w:tcPr>
            <w:tcW w:w="1101" w:type="dxa"/>
            <w:tcBorders/>
            <w:shd w:fill="auto" w:val="clear"/>
            <w:vAlign w:val="bottom"/>
          </w:tcPr>
          <w:p>
            <w:pPr>
              <w:pStyle w:val="TableContents"/>
              <w:spacing w:before="0" w:after="283"/>
              <w:jc w:val="right"/>
              <w:rPr>
                <w:b/>
              </w:rPr>
            </w:pPr>
            <w:r>
              <w:rPr>
                <w:b/>
              </w:rPr>
              <w:t>980,666</w:t>
            </w:r>
          </w:p>
        </w:tc>
        <w:tc>
          <w:tcPr>
            <w:tcW w:w="174" w:type="dxa"/>
            <w:tcBorders/>
            <w:shd w:fill="auto" w:val="clear"/>
            <w:vAlign w:val="bottom"/>
          </w:tcPr>
          <w:p>
            <w:pPr>
              <w:pStyle w:val="TableContents"/>
              <w:spacing w:before="0" w:after="283"/>
              <w:rPr/>
            </w:pPr>
            <w:r>
              <w:rPr/>
              <w:t> </w:t>
            </w:r>
          </w:p>
        </w:tc>
      </w:tr>
    </w:tbl>
    <w:p>
      <w:pPr>
        <w:pStyle w:val="TextBody"/>
        <w:spacing w:before="360" w:after="0"/>
        <w:jc w:val="left"/>
        <w:rPr>
          <w:rFonts w:ascii="Times New Roman" w:hAnsi="Times New Roman"/>
          <w:i/>
          <w:sz w:val="20"/>
        </w:rPr>
      </w:pPr>
      <w:r>
        <w:rPr>
          <w:rFonts w:ascii="Times New Roman" w:hAnsi="Times New Roman"/>
          <w:i/>
          <w:sz w:val="20"/>
        </w:rPr>
        <w:t xml:space="preserve">Pay versus Performance Comparative Disclosure </w:t>
      </w:r>
    </w:p>
    <w:p>
      <w:pPr>
        <w:pStyle w:val="TextBody"/>
        <w:spacing w:before="120" w:after="0"/>
        <w:jc w:val="left"/>
        <w:rPr>
          <w:rFonts w:ascii="Times New Roman" w:hAnsi="Times New Roman"/>
          <w:sz w:val="20"/>
        </w:rPr>
      </w:pPr>
      <w:r>
        <w:rPr>
          <w:rFonts w:ascii="Times New Roman" w:hAnsi="Times New Roman"/>
          <w:sz w:val="20"/>
        </w:rPr>
        <w:t xml:space="preserve">In accordance with Item 402(v) of Regulation S-K, we are providing the following descriptions of the relationships between the information presented in the table above.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Compensation Actually Paid and Company TSR </w:t>
      </w:r>
    </w:p>
    <w:p>
      <w:pPr>
        <w:pStyle w:val="TextBody"/>
        <w:spacing w:before="120" w:after="0"/>
        <w:jc w:val="left"/>
        <w:rPr>
          <w:rFonts w:ascii="Times New Roman" w:hAnsi="Times New Roman"/>
          <w:sz w:val="20"/>
        </w:rPr>
      </w:pPr>
      <w:r>
        <w:rPr>
          <w:rFonts w:ascii="Times New Roman" w:hAnsi="Times New Roman"/>
          <w:sz w:val="20"/>
        </w:rPr>
        <w:t xml:space="preserve">The following graph sets forth the relationship between CAP for our PEOs, the average of CAP for our Non-PEO NEOs, and the Companys cumulative TSR over the two most recently completed fiscal years. </w:t>
      </w:r>
    </w:p>
    <w:p>
      <w:pPr>
        <w:pStyle w:val="TextBody"/>
        <w:spacing w:before="0" w:after="0"/>
        <w:jc w:val="left"/>
        <w:rPr/>
      </w:pPr>
      <w:r>
        <w:rPr/>
        <w:t> </w:t>
      </w:r>
    </w:p>
    <w:p>
      <w:pPr>
        <w:pStyle w:val="TextBody"/>
        <w:spacing w:before="0" w:after="0"/>
        <w:jc w:val="center"/>
        <w:rPr/>
      </w:pPr>
      <w:r>
        <w:rPr/>
        <w:drawing>
          <wp:inline distT="0" distB="0" distL="0" distR="0">
            <wp:extent cx="415925" cy="30289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415925" cy="302895"/>
                    </a:xfrm>
                    <a:prstGeom prst="rect">
                      <a:avLst/>
                    </a:prstGeom>
                  </pic:spPr>
                </pic:pic>
              </a:graphicData>
            </a:graphic>
          </wp:inline>
        </w:drawing>
      </w:r>
      <w:r>
        <w:rPr/>
        <w:t xml:space="preserve"> </w:t>
      </w:r>
    </w:p>
    <w:p>
      <w:pPr>
        <w:pStyle w:val="TextBody"/>
        <w:spacing w:before="240" w:after="0"/>
        <w:jc w:val="left"/>
        <w:rPr>
          <w:rFonts w:ascii="Times New Roman" w:hAnsi="Times New Roman"/>
          <w:b/>
          <w:i/>
          <w:sz w:val="20"/>
        </w:rPr>
      </w:pPr>
      <w:r>
        <w:rPr>
          <w:rFonts w:ascii="Times New Roman" w:hAnsi="Times New Roman"/>
          <w:b/>
          <w:i/>
          <w:sz w:val="20"/>
        </w:rPr>
        <w:t xml:space="preserve">Compensation Actually Paid and Net Income (Loss) </w:t>
      </w:r>
    </w:p>
    <w:p>
      <w:pPr>
        <w:pStyle w:val="TextBody"/>
        <w:spacing w:before="120" w:after="0"/>
        <w:jc w:val="left"/>
        <w:rPr>
          <w:rFonts w:ascii="Times New Roman" w:hAnsi="Times New Roman"/>
          <w:sz w:val="20"/>
        </w:rPr>
      </w:pPr>
      <w:r>
        <w:rPr>
          <w:rFonts w:ascii="Times New Roman" w:hAnsi="Times New Roman"/>
          <w:sz w:val="20"/>
        </w:rPr>
        <w:t xml:space="preserve">The following graph sets forth the relationship between CAP for our PEOs, the average of CAP for our Non-PEO NEOs, and the Companys net income (loss) over the two most recently completed fiscal years. </w:t>
      </w:r>
    </w:p>
    <w:p>
      <w:pPr>
        <w:pStyle w:val="TextBody"/>
        <w:spacing w:before="0" w:after="0"/>
        <w:jc w:val="left"/>
        <w:rPr/>
      </w:pPr>
      <w:r>
        <w:rPr/>
        <w:t> </w:t>
      </w:r>
    </w:p>
    <w:p>
      <w:pPr>
        <w:pStyle w:val="TextBody"/>
        <w:spacing w:before="0" w:after="0"/>
        <w:jc w:val="center"/>
        <w:rPr/>
      </w:pPr>
      <w:r>
        <w:rPr/>
        <w:drawing>
          <wp:inline distT="0" distB="0" distL="0" distR="0">
            <wp:extent cx="415925" cy="30289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415925" cy="30289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i/>
          <w:sz w:val="20"/>
        </w:rPr>
        <w:t>All information provided above under the Item 402(v) Pay Versus Performance heading will not be deemed to be incorporated by reference into any filing of the Company under the Securities Act of 1933, as amended, or the Exchange Act, whether made before or after the date hereof and irrespective of any general incorporation language in any such filing, except to the extent the Company specifically incorporates such information by reference.</w:t>
      </w:r>
      <w:r>
        <w:rPr>
          <w:rFonts w:ascii="Times New Roman" w:hAnsi="Times New Roman"/>
          <w:sz w:val="20"/>
        </w:rPr>
        <w:t xml:space="preserve"> </w:t>
      </w:r>
    </w:p>
    <w:p>
      <w:pPr>
        <w:pStyle w:val="TextBody"/>
        <w:spacing w:before="360" w:after="0"/>
        <w:jc w:val="left"/>
        <w:rPr>
          <w:rFonts w:ascii="Times New Roman" w:hAnsi="Times New Roman"/>
          <w:b/>
          <w:sz w:val="20"/>
        </w:rPr>
      </w:pPr>
      <w:r>
        <w:rPr>
          <w:rFonts w:ascii="Times New Roman" w:hAnsi="Times New Roman"/>
          <w:b/>
          <w:sz w:val="20"/>
        </w:rPr>
        <w:t xml:space="preserve">DIRECTOR COMPENSATION </w:t>
      </w:r>
    </w:p>
    <w:p>
      <w:pPr>
        <w:pStyle w:val="TextBody"/>
        <w:spacing w:before="120" w:after="0"/>
        <w:jc w:val="left"/>
        <w:rPr>
          <w:rFonts w:ascii="Times New Roman" w:hAnsi="Times New Roman"/>
          <w:b/>
          <w:sz w:val="20"/>
        </w:rPr>
      </w:pPr>
      <w:r>
        <w:rPr>
          <w:rFonts w:ascii="Times New Roman" w:hAnsi="Times New Roman"/>
          <w:b/>
          <w:sz w:val="20"/>
        </w:rPr>
        <w:t xml:space="preserve">Non-Employee Director Compensation Program </w:t>
      </w:r>
    </w:p>
    <w:p>
      <w:pPr>
        <w:pStyle w:val="TextBody"/>
        <w:spacing w:before="120" w:after="0"/>
        <w:jc w:val="left"/>
        <w:rPr>
          <w:rFonts w:ascii="Times New Roman" w:hAnsi="Times New Roman"/>
          <w:sz w:val="20"/>
        </w:rPr>
      </w:pPr>
      <w:r>
        <w:rPr>
          <w:rFonts w:ascii="Times New Roman" w:hAnsi="Times New Roman"/>
          <w:sz w:val="20"/>
        </w:rPr>
        <w:t xml:space="preserve">The following is a description of the standard compensation arrangements under which our non-employee directors are compensated for their service as directors, including as members of the various committees of our Board. </w:t>
      </w:r>
    </w:p>
    <w:p>
      <w:pPr>
        <w:pStyle w:val="TextBody"/>
        <w:spacing w:before="240" w:after="0"/>
        <w:jc w:val="left"/>
        <w:rPr>
          <w:rFonts w:ascii="Times New Roman" w:hAnsi="Times New Roman"/>
          <w:sz w:val="20"/>
        </w:rPr>
      </w:pPr>
      <w:r>
        <w:rPr>
          <w:rFonts w:ascii="Times New Roman" w:hAnsi="Times New Roman"/>
          <w:sz w:val="20"/>
        </w:rPr>
        <w:t xml:space="preserve">Each non-employee director receives an annual base retainer of $40,000 with the non-executive Board Chair receiving an additional annual base retainer of $30,000 (increased to $35,000, effective in 2023). In addition, our non-employee directors receive the following cash compensation for committee services, as applicable: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chair of our Audit, Compensation, Nominating and Corporate Governance and Science &amp; Technology committees receives an additional annual retainer of $15,000, $10,000, $8,000 and $8,000, respectively;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other non-chair member of our Audit, Compensation, Nominating and Corporate Governance and Science &amp; Technology committees receives an additional annual retainer of $7,500, $5,000, $4,000 and $4,000, respectively. </w:t>
            </w:r>
          </w:p>
        </w:tc>
      </w:tr>
    </w:tbl>
    <w:p>
      <w:pPr>
        <w:pStyle w:val="TextBody"/>
        <w:spacing w:before="240" w:after="0"/>
        <w:jc w:val="left"/>
        <w:rPr>
          <w:rFonts w:ascii="Times New Roman" w:hAnsi="Times New Roman"/>
          <w:sz w:val="20"/>
        </w:rPr>
      </w:pPr>
      <w:r>
        <w:rPr>
          <w:rFonts w:ascii="Times New Roman" w:hAnsi="Times New Roman"/>
          <w:sz w:val="20"/>
        </w:rPr>
        <w:t xml:space="preserve">These retainers are payable in arrears in four equal quarterly installments on the last day of each quarter, provided that the amount of such payment will be prorated for any partial months of service. We also reimburse each of our directors for their travel expenses incurred in connection with their attendance at Board and committee meetings. </w:t>
      </w:r>
    </w:p>
    <w:p>
      <w:pPr>
        <w:pStyle w:val="TextBody"/>
        <w:spacing w:before="240" w:after="0"/>
        <w:jc w:val="left"/>
        <w:rPr>
          <w:rFonts w:ascii="Times New Roman" w:hAnsi="Times New Roman"/>
          <w:sz w:val="20"/>
        </w:rPr>
      </w:pPr>
      <w:r>
        <w:rPr>
          <w:rFonts w:ascii="Times New Roman" w:hAnsi="Times New Roman"/>
          <w:sz w:val="20"/>
        </w:rPr>
        <w:t xml:space="preserve">In addition, each non-employee director elected to the Board receives an initial option to purchase 6,635 shares of our common stock, increased to 7,000 shares for all directors first appointed following the 2022 Annual Meeting of Stockholders (further increased to 16,400 shares, effective in 2023). The shares subject to each such stock option will vest over a three-year period, subject to the directors continued service as a director, with one-third of the award vesting on the first anniversary of the grant date and the remainder of the award vesting in equal monthly installments thereafter. Further, on the date of each annual meeting of stockholders, each non-employee director that continues to serve as a non-employee member on our Board will receive an option to purchase 3,500 shares of our common stock (increased to 8,200 shares, effective in 2023). The shares subject to each such stock option will vest on the earlier to occur of the first anniversary of the grant date and the date of the first annual meeting of stockholders following the grant date, subject to the directors continued service as a director. The exercise price of these options will equal the fair market value of our common stock on the date of grant. Vested stock options will be exercisable during any period of service to the Company and for one-year thereafter; </w:t>
      </w:r>
      <w:r>
        <w:rPr>
          <w:rFonts w:ascii="Times New Roman" w:hAnsi="Times New Roman"/>
          <w:i/>
          <w:sz w:val="20"/>
        </w:rPr>
        <w:t>provided</w:t>
      </w:r>
      <w:r>
        <w:rPr>
          <w:rFonts w:ascii="Times New Roman" w:hAnsi="Times New Roman"/>
          <w:sz w:val="20"/>
        </w:rPr>
        <w:t xml:space="preserve">, that no stock option shall be exercisable more than ten years after the date of the stock option grant. </w:t>
      </w:r>
    </w:p>
    <w:p>
      <w:pPr>
        <w:pStyle w:val="TextBody"/>
        <w:spacing w:before="240" w:after="0"/>
        <w:jc w:val="left"/>
        <w:rPr>
          <w:rFonts w:ascii="Times New Roman" w:hAnsi="Times New Roman"/>
          <w:sz w:val="20"/>
        </w:rPr>
      </w:pPr>
      <w:r>
        <w:rPr>
          <w:rFonts w:ascii="Times New Roman" w:hAnsi="Times New Roman"/>
          <w:sz w:val="20"/>
        </w:rPr>
        <w:t xml:space="preserve">This policy is intended to provide a total compensation package that enables us to attract and retain qualified and experienced individuals to serve as directors and to align our directors interests with those of our stockholders. </w:t>
      </w:r>
    </w:p>
    <w:p>
      <w:pPr>
        <w:pStyle w:val="TextBody"/>
        <w:spacing w:before="240" w:after="0"/>
        <w:jc w:val="left"/>
        <w:rPr>
          <w:rFonts w:ascii="Times New Roman" w:hAnsi="Times New Roman"/>
          <w:sz w:val="20"/>
        </w:rPr>
      </w:pPr>
      <w:r>
        <w:rPr>
          <w:rFonts w:ascii="Times New Roman" w:hAnsi="Times New Roman"/>
          <w:sz w:val="20"/>
        </w:rPr>
        <w:t xml:space="preserve">All directors are entitled to reimbursement of ordinary expenses incurred in connection with attendance at meetings of our Board.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Non-Employee Director Compensation Table </w:t>
      </w:r>
    </w:p>
    <w:p>
      <w:pPr>
        <w:pStyle w:val="TextBody"/>
        <w:spacing w:before="120" w:after="0"/>
        <w:jc w:val="left"/>
        <w:rPr>
          <w:rFonts w:ascii="Times New Roman" w:hAnsi="Times New Roman"/>
          <w:sz w:val="20"/>
        </w:rPr>
      </w:pPr>
      <w:r>
        <w:rPr>
          <w:rFonts w:ascii="Times New Roman" w:hAnsi="Times New Roman"/>
          <w:sz w:val="20"/>
        </w:rPr>
        <w:t xml:space="preserve">The following table sets forth information for the year ended December 31, 2022 regarding the compensation awarded to or earned by our non-employee directors. Mr. Brady and Dr. Dubensky are not included in the table below, as they were employees and received no additional compensation for their service as directors. As a named executive officer, the compensation received by Mr. Brady and Dr. Dubensky is shown above in Executive CompensationSummary Compensation Table.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3967"/>
        <w:gridCol w:w="410"/>
        <w:gridCol w:w="128"/>
        <w:gridCol w:w="1470"/>
        <w:gridCol w:w="60"/>
        <w:gridCol w:w="410"/>
        <w:gridCol w:w="80"/>
        <w:gridCol w:w="752"/>
        <w:gridCol w:w="60"/>
        <w:gridCol w:w="410"/>
        <w:gridCol w:w="59"/>
        <w:gridCol w:w="702"/>
        <w:gridCol w:w="64"/>
      </w:tblGrid>
      <w:tr>
        <w:trPr/>
        <w:tc>
          <w:tcPr>
            <w:tcW w:w="3967"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4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3967"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Name</w:t>
            </w:r>
          </w:p>
        </w:tc>
        <w:tc>
          <w:tcPr>
            <w:tcW w:w="410" w:type="dxa"/>
            <w:tcBorders/>
            <w:shd w:fill="auto" w:val="clear"/>
            <w:vAlign w:val="bottom"/>
          </w:tcPr>
          <w:p>
            <w:pPr>
              <w:pStyle w:val="TableContents"/>
              <w:spacing w:before="0" w:after="283"/>
              <w:rPr/>
            </w:pPr>
            <w:r>
              <w:rPr/>
              <w:t>  </w:t>
            </w:r>
          </w:p>
        </w:tc>
        <w:tc>
          <w:tcPr>
            <w:tcW w:w="159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Fees Earned or</w:t>
              <w:br/>
              <w:t>Paid in Cash</w:t>
              <w:br/>
              <w:t>($)</w:t>
            </w:r>
          </w:p>
        </w:tc>
        <w:tc>
          <w:tcPr>
            <w:tcW w:w="60"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pPr>
            <w:r>
              <w:rPr/>
              <w:t>  </w:t>
            </w:r>
          </w:p>
        </w:tc>
        <w:tc>
          <w:tcPr>
            <w:tcW w:w="83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Option</w:t>
              <w:br/>
              <w:t>Awards</w:t>
              <w:br/>
              <w:t>($)(1)(5)</w:t>
            </w:r>
          </w:p>
        </w:tc>
        <w:tc>
          <w:tcPr>
            <w:tcW w:w="60"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pPr>
            <w:r>
              <w:rPr/>
              <w:t>  </w:t>
            </w:r>
          </w:p>
        </w:tc>
        <w:tc>
          <w:tcPr>
            <w:tcW w:w="76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br/>
              <w:t>($)</w:t>
            </w:r>
          </w:p>
        </w:tc>
        <w:tc>
          <w:tcPr>
            <w:tcW w:w="64" w:type="dxa"/>
            <w:tcBorders/>
            <w:shd w:fill="auto" w:val="clear"/>
            <w:vAlign w:val="bottom"/>
          </w:tcPr>
          <w:p>
            <w:pPr>
              <w:pStyle w:val="TableContents"/>
              <w:spacing w:before="0" w:after="283"/>
              <w:rPr/>
            </w:pPr>
            <w:r>
              <w:rPr/>
              <w:t> </w:t>
            </w:r>
          </w:p>
        </w:tc>
      </w:tr>
      <w:tr>
        <w:trPr/>
        <w:tc>
          <w:tcPr>
            <w:tcW w:w="3967" w:type="dxa"/>
            <w:tcBorders/>
            <w:shd w:fill="CCEEFF" w:val="clear"/>
          </w:tcPr>
          <w:p>
            <w:pPr>
              <w:pStyle w:val="TableContents"/>
              <w:spacing w:before="0" w:after="0"/>
              <w:rPr>
                <w:rFonts w:ascii="Times New Roman" w:hAnsi="Times New Roman"/>
                <w:sz w:val="20"/>
              </w:rPr>
            </w:pPr>
            <w:r>
              <w:rPr>
                <w:rFonts w:ascii="Times New Roman" w:hAnsi="Times New Roman"/>
                <w:sz w:val="20"/>
              </w:rPr>
              <w:t>Geoff Nichol</w:t>
            </w:r>
          </w:p>
        </w:tc>
        <w:tc>
          <w:tcPr>
            <w:tcW w:w="41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470" w:type="dxa"/>
            <w:tcBorders/>
            <w:shd w:fill="CCEEFF" w:val="clear"/>
            <w:vAlign w:val="bottom"/>
          </w:tcPr>
          <w:p>
            <w:pPr>
              <w:pStyle w:val="TableContents"/>
              <w:spacing w:before="0" w:after="283"/>
              <w:jc w:val="right"/>
              <w:rPr/>
            </w:pPr>
            <w:r>
              <w:rPr/>
              <w:t>55,500</w:t>
            </w:r>
          </w:p>
        </w:tc>
        <w:tc>
          <w:tcPr>
            <w:tcW w:w="60" w:type="dxa"/>
            <w:tcBorders/>
            <w:shd w:fill="CCEEFF" w:val="clear"/>
            <w:vAlign w:val="bottom"/>
          </w:tcPr>
          <w:p>
            <w:pPr>
              <w:pStyle w:val="TableContents"/>
              <w:spacing w:before="0" w:after="283"/>
              <w:rPr/>
            </w:pPr>
            <w:r>
              <w:rPr/>
              <w:t> </w:t>
            </w:r>
          </w:p>
        </w:tc>
        <w:tc>
          <w:tcPr>
            <w:tcW w:w="41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752" w:type="dxa"/>
            <w:tcBorders/>
            <w:shd w:fill="CCEEFF" w:val="clear"/>
            <w:vAlign w:val="bottom"/>
          </w:tcPr>
          <w:p>
            <w:pPr>
              <w:pStyle w:val="TableContents"/>
              <w:spacing w:before="0" w:after="283"/>
              <w:jc w:val="right"/>
              <w:rPr/>
            </w:pPr>
            <w:r>
              <w:rPr/>
              <w:t>6,020</w:t>
            </w:r>
          </w:p>
        </w:tc>
        <w:tc>
          <w:tcPr>
            <w:tcW w:w="60" w:type="dxa"/>
            <w:tcBorders/>
            <w:shd w:fill="CCEEFF" w:val="clear"/>
            <w:vAlign w:val="bottom"/>
          </w:tcPr>
          <w:p>
            <w:pPr>
              <w:pStyle w:val="TableContents"/>
              <w:spacing w:before="0" w:after="283"/>
              <w:rPr/>
            </w:pPr>
            <w:r>
              <w:rPr/>
              <w:t> </w:t>
            </w:r>
          </w:p>
        </w:tc>
        <w:tc>
          <w:tcPr>
            <w:tcW w:w="410"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pPr>
            <w:r>
              <w:rPr/>
              <w:t>61,520</w:t>
            </w:r>
          </w:p>
        </w:tc>
        <w:tc>
          <w:tcPr>
            <w:tcW w:w="64" w:type="dxa"/>
            <w:tcBorders/>
            <w:shd w:fill="CCEEFF" w:val="clear"/>
            <w:vAlign w:val="bottom"/>
          </w:tcPr>
          <w:p>
            <w:pPr>
              <w:pStyle w:val="TableContents"/>
              <w:spacing w:before="0" w:after="283"/>
              <w:rPr/>
            </w:pPr>
            <w:r>
              <w:rPr/>
              <w:t> </w:t>
            </w:r>
          </w:p>
        </w:tc>
      </w:tr>
      <w:tr>
        <w:trPr/>
        <w:tc>
          <w:tcPr>
            <w:tcW w:w="3967" w:type="dxa"/>
            <w:tcBorders/>
            <w:shd w:fill="auto" w:val="clear"/>
          </w:tcPr>
          <w:p>
            <w:pPr>
              <w:pStyle w:val="TableContents"/>
              <w:spacing w:before="0" w:after="0"/>
              <w:rPr>
                <w:rFonts w:ascii="Times New Roman" w:hAnsi="Times New Roman"/>
                <w:sz w:val="20"/>
              </w:rPr>
            </w:pPr>
            <w:r>
              <w:rPr>
                <w:rFonts w:ascii="Times New Roman" w:hAnsi="Times New Roman"/>
                <w:sz w:val="20"/>
              </w:rPr>
              <w:t>Christine Pellizzari</w:t>
            </w:r>
          </w:p>
        </w:tc>
        <w:tc>
          <w:tcPr>
            <w:tcW w:w="41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470" w:type="dxa"/>
            <w:tcBorders/>
            <w:shd w:fill="auto" w:val="clear"/>
            <w:vAlign w:val="bottom"/>
          </w:tcPr>
          <w:p>
            <w:pPr>
              <w:pStyle w:val="TableContents"/>
              <w:spacing w:before="0" w:after="283"/>
              <w:jc w:val="right"/>
              <w:rPr/>
            </w:pPr>
            <w:r>
              <w:rPr/>
              <w:t>55,000</w:t>
            </w:r>
          </w:p>
        </w:tc>
        <w:tc>
          <w:tcPr>
            <w:tcW w:w="60"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752" w:type="dxa"/>
            <w:tcBorders/>
            <w:shd w:fill="auto" w:val="clear"/>
            <w:vAlign w:val="bottom"/>
          </w:tcPr>
          <w:p>
            <w:pPr>
              <w:pStyle w:val="TableContents"/>
              <w:spacing w:before="0" w:after="283"/>
              <w:jc w:val="right"/>
              <w:rPr/>
            </w:pPr>
            <w:r>
              <w:rPr/>
              <w:t>6,020</w:t>
            </w:r>
          </w:p>
        </w:tc>
        <w:tc>
          <w:tcPr>
            <w:tcW w:w="60"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pPr>
            <w:r>
              <w:rPr/>
              <w:t>61,020</w:t>
            </w:r>
          </w:p>
        </w:tc>
        <w:tc>
          <w:tcPr>
            <w:tcW w:w="64" w:type="dxa"/>
            <w:tcBorders/>
            <w:shd w:fill="auto" w:val="clear"/>
            <w:vAlign w:val="bottom"/>
          </w:tcPr>
          <w:p>
            <w:pPr>
              <w:pStyle w:val="TableContents"/>
              <w:spacing w:before="0" w:after="283"/>
              <w:rPr/>
            </w:pPr>
            <w:r>
              <w:rPr/>
              <w:t> </w:t>
            </w:r>
          </w:p>
        </w:tc>
      </w:tr>
      <w:tr>
        <w:trPr/>
        <w:tc>
          <w:tcPr>
            <w:tcW w:w="3967" w:type="dxa"/>
            <w:tcBorders/>
            <w:shd w:fill="CCEEFF" w:val="clear"/>
          </w:tcPr>
          <w:p>
            <w:pPr>
              <w:pStyle w:val="TableContents"/>
              <w:spacing w:before="0" w:after="0"/>
              <w:rPr>
                <w:rFonts w:ascii="Times New Roman" w:hAnsi="Times New Roman"/>
                <w:sz w:val="20"/>
              </w:rPr>
            </w:pPr>
            <w:r>
              <w:rPr>
                <w:rFonts w:ascii="Times New Roman" w:hAnsi="Times New Roman"/>
                <w:sz w:val="20"/>
              </w:rPr>
              <w:t>Michael Raab</w:t>
            </w:r>
          </w:p>
        </w:tc>
        <w:tc>
          <w:tcPr>
            <w:tcW w:w="41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470" w:type="dxa"/>
            <w:tcBorders/>
            <w:shd w:fill="CCEEFF" w:val="clear"/>
            <w:vAlign w:val="bottom"/>
          </w:tcPr>
          <w:p>
            <w:pPr>
              <w:pStyle w:val="TableContents"/>
              <w:spacing w:before="0" w:after="283"/>
              <w:jc w:val="right"/>
              <w:rPr/>
            </w:pPr>
            <w:r>
              <w:rPr/>
              <w:t>90,500</w:t>
            </w:r>
          </w:p>
        </w:tc>
        <w:tc>
          <w:tcPr>
            <w:tcW w:w="60" w:type="dxa"/>
            <w:tcBorders/>
            <w:shd w:fill="CCEEFF" w:val="clear"/>
            <w:vAlign w:val="bottom"/>
          </w:tcPr>
          <w:p>
            <w:pPr>
              <w:pStyle w:val="TableContents"/>
              <w:spacing w:before="0" w:after="283"/>
              <w:rPr/>
            </w:pPr>
            <w:r>
              <w:rPr/>
              <w:t> </w:t>
            </w:r>
          </w:p>
        </w:tc>
        <w:tc>
          <w:tcPr>
            <w:tcW w:w="41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752" w:type="dxa"/>
            <w:tcBorders/>
            <w:shd w:fill="CCEEFF" w:val="clear"/>
            <w:vAlign w:val="bottom"/>
          </w:tcPr>
          <w:p>
            <w:pPr>
              <w:pStyle w:val="TableContents"/>
              <w:spacing w:before="0" w:after="283"/>
              <w:jc w:val="right"/>
              <w:rPr/>
            </w:pPr>
            <w:r>
              <w:rPr/>
              <w:t>6,020</w:t>
            </w:r>
          </w:p>
        </w:tc>
        <w:tc>
          <w:tcPr>
            <w:tcW w:w="60" w:type="dxa"/>
            <w:tcBorders/>
            <w:shd w:fill="CCEEFF" w:val="clear"/>
            <w:vAlign w:val="bottom"/>
          </w:tcPr>
          <w:p>
            <w:pPr>
              <w:pStyle w:val="TableContents"/>
              <w:spacing w:before="0" w:after="283"/>
              <w:rPr/>
            </w:pPr>
            <w:r>
              <w:rPr/>
              <w:t> </w:t>
            </w:r>
          </w:p>
        </w:tc>
        <w:tc>
          <w:tcPr>
            <w:tcW w:w="410"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pPr>
            <w:r>
              <w:rPr/>
              <w:t>96,520</w:t>
            </w:r>
          </w:p>
        </w:tc>
        <w:tc>
          <w:tcPr>
            <w:tcW w:w="64" w:type="dxa"/>
            <w:tcBorders/>
            <w:shd w:fill="CCEEFF" w:val="clear"/>
            <w:vAlign w:val="bottom"/>
          </w:tcPr>
          <w:p>
            <w:pPr>
              <w:pStyle w:val="TableContents"/>
              <w:spacing w:before="0" w:after="283"/>
              <w:rPr/>
            </w:pPr>
            <w:r>
              <w:rPr/>
              <w:t> </w:t>
            </w:r>
          </w:p>
        </w:tc>
      </w:tr>
      <w:tr>
        <w:trPr/>
        <w:tc>
          <w:tcPr>
            <w:tcW w:w="3967" w:type="dxa"/>
            <w:tcBorders/>
            <w:shd w:fill="auto" w:val="clear"/>
          </w:tcPr>
          <w:p>
            <w:pPr>
              <w:pStyle w:val="TableContents"/>
              <w:spacing w:before="0" w:after="0"/>
              <w:rPr>
                <w:rFonts w:ascii="Times New Roman" w:hAnsi="Times New Roman"/>
                <w:sz w:val="20"/>
              </w:rPr>
            </w:pPr>
            <w:r>
              <w:rPr>
                <w:rFonts w:ascii="Times New Roman" w:hAnsi="Times New Roman"/>
                <w:sz w:val="20"/>
              </w:rPr>
              <w:t>Ronit Simantov(2)</w:t>
            </w:r>
          </w:p>
        </w:tc>
        <w:tc>
          <w:tcPr>
            <w:tcW w:w="41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470" w:type="dxa"/>
            <w:tcBorders/>
            <w:shd w:fill="auto" w:val="clear"/>
            <w:vAlign w:val="bottom"/>
          </w:tcPr>
          <w:p>
            <w:pPr>
              <w:pStyle w:val="TableContents"/>
              <w:spacing w:before="0" w:after="283"/>
              <w:jc w:val="right"/>
              <w:rPr/>
            </w:pPr>
            <w:r>
              <w:rPr/>
              <w:t>45,111</w:t>
            </w:r>
          </w:p>
        </w:tc>
        <w:tc>
          <w:tcPr>
            <w:tcW w:w="60"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752" w:type="dxa"/>
            <w:tcBorders/>
            <w:shd w:fill="auto" w:val="clear"/>
            <w:vAlign w:val="bottom"/>
          </w:tcPr>
          <w:p>
            <w:pPr>
              <w:pStyle w:val="TableContents"/>
              <w:spacing w:before="0" w:after="283"/>
              <w:jc w:val="right"/>
              <w:rPr/>
            </w:pPr>
            <w:r>
              <w:rPr/>
              <w:t>6,020</w:t>
            </w:r>
          </w:p>
        </w:tc>
        <w:tc>
          <w:tcPr>
            <w:tcW w:w="60"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pPr>
            <w:r>
              <w:rPr/>
              <w:t>51,131</w:t>
            </w:r>
          </w:p>
        </w:tc>
        <w:tc>
          <w:tcPr>
            <w:tcW w:w="64" w:type="dxa"/>
            <w:tcBorders/>
            <w:shd w:fill="auto" w:val="clear"/>
            <w:vAlign w:val="bottom"/>
          </w:tcPr>
          <w:p>
            <w:pPr>
              <w:pStyle w:val="TableContents"/>
              <w:spacing w:before="0" w:after="283"/>
              <w:rPr/>
            </w:pPr>
            <w:r>
              <w:rPr/>
              <w:t> </w:t>
            </w:r>
          </w:p>
        </w:tc>
      </w:tr>
      <w:tr>
        <w:trPr/>
        <w:tc>
          <w:tcPr>
            <w:tcW w:w="3967" w:type="dxa"/>
            <w:tcBorders/>
            <w:shd w:fill="CCEEFF" w:val="clear"/>
          </w:tcPr>
          <w:p>
            <w:pPr>
              <w:pStyle w:val="TableContents"/>
              <w:spacing w:before="0" w:after="0"/>
              <w:rPr>
                <w:rFonts w:ascii="Times New Roman" w:hAnsi="Times New Roman"/>
                <w:sz w:val="20"/>
              </w:rPr>
            </w:pPr>
            <w:r>
              <w:rPr>
                <w:rFonts w:ascii="Times New Roman" w:hAnsi="Times New Roman"/>
                <w:sz w:val="20"/>
              </w:rPr>
              <w:t>Thomas Woiwode(3)</w:t>
            </w:r>
          </w:p>
        </w:tc>
        <w:tc>
          <w:tcPr>
            <w:tcW w:w="41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470" w:type="dxa"/>
            <w:tcBorders/>
            <w:shd w:fill="CCEEFF" w:val="clear"/>
            <w:vAlign w:val="bottom"/>
          </w:tcPr>
          <w:p>
            <w:pPr>
              <w:pStyle w:val="TableContents"/>
              <w:spacing w:before="0" w:after="283"/>
              <w:jc w:val="right"/>
              <w:rPr/>
            </w:pPr>
            <w:r>
              <w:rPr/>
              <w:t>56,889</w:t>
            </w:r>
          </w:p>
        </w:tc>
        <w:tc>
          <w:tcPr>
            <w:tcW w:w="60" w:type="dxa"/>
            <w:tcBorders/>
            <w:shd w:fill="CCEEFF" w:val="clear"/>
            <w:vAlign w:val="bottom"/>
          </w:tcPr>
          <w:p>
            <w:pPr>
              <w:pStyle w:val="TableContents"/>
              <w:spacing w:before="0" w:after="283"/>
              <w:rPr/>
            </w:pPr>
            <w:r>
              <w:rPr/>
              <w:t> </w:t>
            </w:r>
          </w:p>
        </w:tc>
        <w:tc>
          <w:tcPr>
            <w:tcW w:w="41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752" w:type="dxa"/>
            <w:tcBorders/>
            <w:shd w:fill="CCEEFF" w:val="clear"/>
            <w:vAlign w:val="bottom"/>
          </w:tcPr>
          <w:p>
            <w:pPr>
              <w:pStyle w:val="TableContents"/>
              <w:spacing w:before="0" w:after="283"/>
              <w:jc w:val="right"/>
              <w:rPr/>
            </w:pPr>
            <w:r>
              <w:rPr/>
              <w:t>6,020</w:t>
            </w:r>
          </w:p>
        </w:tc>
        <w:tc>
          <w:tcPr>
            <w:tcW w:w="60" w:type="dxa"/>
            <w:tcBorders/>
            <w:shd w:fill="CCEEFF" w:val="clear"/>
            <w:vAlign w:val="bottom"/>
          </w:tcPr>
          <w:p>
            <w:pPr>
              <w:pStyle w:val="TableContents"/>
              <w:spacing w:before="0" w:after="283"/>
              <w:rPr/>
            </w:pPr>
            <w:r>
              <w:rPr/>
              <w:t> </w:t>
            </w:r>
          </w:p>
        </w:tc>
        <w:tc>
          <w:tcPr>
            <w:tcW w:w="410"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pPr>
            <w:r>
              <w:rPr/>
              <w:t>62,909</w:t>
            </w:r>
          </w:p>
        </w:tc>
        <w:tc>
          <w:tcPr>
            <w:tcW w:w="64" w:type="dxa"/>
            <w:tcBorders/>
            <w:shd w:fill="CCEEFF" w:val="clear"/>
            <w:vAlign w:val="bottom"/>
          </w:tcPr>
          <w:p>
            <w:pPr>
              <w:pStyle w:val="TableContents"/>
              <w:spacing w:before="0" w:after="283"/>
              <w:rPr/>
            </w:pPr>
            <w:r>
              <w:rPr/>
              <w:t> </w:t>
            </w:r>
          </w:p>
        </w:tc>
      </w:tr>
      <w:tr>
        <w:trPr/>
        <w:tc>
          <w:tcPr>
            <w:tcW w:w="3967" w:type="dxa"/>
            <w:tcBorders/>
            <w:shd w:fill="auto" w:val="clear"/>
          </w:tcPr>
          <w:p>
            <w:pPr>
              <w:pStyle w:val="TableContents"/>
              <w:spacing w:before="0" w:after="0"/>
              <w:rPr>
                <w:rFonts w:ascii="Times New Roman" w:hAnsi="Times New Roman"/>
                <w:sz w:val="20"/>
              </w:rPr>
            </w:pPr>
            <w:r>
              <w:rPr>
                <w:rFonts w:ascii="Times New Roman" w:hAnsi="Times New Roman"/>
                <w:sz w:val="20"/>
              </w:rPr>
              <w:t>Stella Xu(4)</w:t>
            </w:r>
          </w:p>
        </w:tc>
        <w:tc>
          <w:tcPr>
            <w:tcW w:w="41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47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75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pPr>
            <w:r>
              <w:rPr/>
              <w:t>  </w:t>
            </w:r>
          </w:p>
        </w:tc>
        <w:tc>
          <w:tcPr>
            <w:tcW w:w="64"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accordance with SEC rules, this column reflects the aggregate grant date fair value of the option awards granted during 2022 computed in accordance with ASC 718. These amounts do not reflect the actual economic value that will be realized by the director.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cash fees earned or paid in cash for Dr. Simantov reflects the committee chair fee, prorated for Dr. Simantovs partial year of service as Chair of the Science &amp; Technology Committee during 2022.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cash fees earned or paid in cash for Dr. Woiwode reflects the committee fee, prorated for Dr. Woiwodes partial year of service as a Chair of the Compensation Committee during 2022.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(4)</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Dr. Xu did not receive any Board or committee compensation during 2022.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following table provides information regarding the aggregate number of equity awards granted to our non-employee directors that were outstanding as of December 31, 2022: </w:t>
            </w:r>
          </w:p>
        </w:tc>
      </w:tr>
    </w:tbl>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4529"/>
        <w:gridCol w:w="744"/>
        <w:gridCol w:w="129"/>
        <w:gridCol w:w="1474"/>
        <w:gridCol w:w="63"/>
      </w:tblGrid>
      <w:tr>
        <w:trPr/>
        <w:tc>
          <w:tcPr>
            <w:tcW w:w="4529"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474"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4529"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Name</w:t>
            </w:r>
          </w:p>
        </w:tc>
        <w:tc>
          <w:tcPr>
            <w:tcW w:w="744" w:type="dxa"/>
            <w:tcBorders/>
            <w:shd w:fill="auto" w:val="clear"/>
            <w:vAlign w:val="bottom"/>
          </w:tcPr>
          <w:p>
            <w:pPr>
              <w:pStyle w:val="TableContents"/>
              <w:spacing w:before="0" w:after="283"/>
              <w:rPr/>
            </w:pPr>
            <w:r>
              <w:rPr/>
              <w:t>  </w:t>
            </w:r>
          </w:p>
        </w:tc>
        <w:tc>
          <w:tcPr>
            <w:tcW w:w="160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Option Awards</w:t>
              <w:br/>
              <w:t>Outstanding at</w:t>
              <w:br/>
              <w:t>Year-End</w:t>
            </w:r>
          </w:p>
        </w:tc>
        <w:tc>
          <w:tcPr>
            <w:tcW w:w="63" w:type="dxa"/>
            <w:tcBorders/>
            <w:shd w:fill="auto" w:val="clear"/>
            <w:vAlign w:val="bottom"/>
          </w:tcPr>
          <w:p>
            <w:pPr>
              <w:pStyle w:val="TableContents"/>
              <w:spacing w:before="0" w:after="283"/>
              <w:rPr/>
            </w:pPr>
            <w:r>
              <w:rPr/>
              <w:t> </w:t>
            </w:r>
          </w:p>
        </w:tc>
      </w:tr>
      <w:tr>
        <w:trPr/>
        <w:tc>
          <w:tcPr>
            <w:tcW w:w="4529" w:type="dxa"/>
            <w:tcBorders/>
            <w:shd w:fill="CCEEFF" w:val="clear"/>
          </w:tcPr>
          <w:p>
            <w:pPr>
              <w:pStyle w:val="TableContents"/>
              <w:spacing w:before="0" w:after="0"/>
              <w:rPr>
                <w:rFonts w:ascii="Times New Roman" w:hAnsi="Times New Roman"/>
                <w:sz w:val="20"/>
              </w:rPr>
            </w:pPr>
            <w:r>
              <w:rPr>
                <w:rFonts w:ascii="Times New Roman" w:hAnsi="Times New Roman"/>
                <w:sz w:val="20"/>
              </w:rPr>
              <w:t>Geoff Nichol</w:t>
            </w:r>
          </w:p>
        </w:tc>
        <w:tc>
          <w:tcPr>
            <w:tcW w:w="744"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474" w:type="dxa"/>
            <w:tcBorders/>
            <w:shd w:fill="CCEEFF" w:val="clear"/>
            <w:vAlign w:val="bottom"/>
          </w:tcPr>
          <w:p>
            <w:pPr>
              <w:pStyle w:val="TableContents"/>
              <w:spacing w:before="0" w:after="283"/>
              <w:jc w:val="right"/>
              <w:rPr/>
            </w:pPr>
            <w:r>
              <w:rPr/>
              <w:t>12,535</w:t>
            </w:r>
          </w:p>
        </w:tc>
        <w:tc>
          <w:tcPr>
            <w:tcW w:w="63" w:type="dxa"/>
            <w:tcBorders/>
            <w:shd w:fill="CCEEFF" w:val="clear"/>
            <w:vAlign w:val="bottom"/>
          </w:tcPr>
          <w:p>
            <w:pPr>
              <w:pStyle w:val="TableContents"/>
              <w:spacing w:before="0" w:after="283"/>
              <w:rPr/>
            </w:pPr>
            <w:r>
              <w:rPr/>
              <w:t> </w:t>
            </w:r>
          </w:p>
        </w:tc>
      </w:tr>
      <w:tr>
        <w:trPr/>
        <w:tc>
          <w:tcPr>
            <w:tcW w:w="4529" w:type="dxa"/>
            <w:tcBorders/>
            <w:shd w:fill="auto" w:val="clear"/>
          </w:tcPr>
          <w:p>
            <w:pPr>
              <w:pStyle w:val="TableContents"/>
              <w:spacing w:before="0" w:after="0"/>
              <w:rPr>
                <w:rFonts w:ascii="Times New Roman" w:hAnsi="Times New Roman"/>
                <w:sz w:val="20"/>
              </w:rPr>
            </w:pPr>
            <w:r>
              <w:rPr>
                <w:rFonts w:ascii="Times New Roman" w:hAnsi="Times New Roman"/>
                <w:sz w:val="20"/>
              </w:rPr>
              <w:t>Christine Pellizzari</w:t>
            </w:r>
          </w:p>
        </w:tc>
        <w:tc>
          <w:tcPr>
            <w:tcW w:w="74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474" w:type="dxa"/>
            <w:tcBorders/>
            <w:shd w:fill="auto" w:val="clear"/>
            <w:vAlign w:val="bottom"/>
          </w:tcPr>
          <w:p>
            <w:pPr>
              <w:pStyle w:val="TableContents"/>
              <w:spacing w:before="0" w:after="283"/>
              <w:jc w:val="right"/>
              <w:rPr/>
            </w:pPr>
            <w:r>
              <w:rPr/>
              <w:t>10,135</w:t>
            </w:r>
          </w:p>
        </w:tc>
        <w:tc>
          <w:tcPr>
            <w:tcW w:w="63" w:type="dxa"/>
            <w:tcBorders/>
            <w:shd w:fill="auto" w:val="clear"/>
            <w:vAlign w:val="bottom"/>
          </w:tcPr>
          <w:p>
            <w:pPr>
              <w:pStyle w:val="TableContents"/>
              <w:spacing w:before="0" w:after="283"/>
              <w:rPr/>
            </w:pPr>
            <w:r>
              <w:rPr/>
              <w:t> </w:t>
            </w:r>
          </w:p>
        </w:tc>
      </w:tr>
      <w:tr>
        <w:trPr/>
        <w:tc>
          <w:tcPr>
            <w:tcW w:w="4529" w:type="dxa"/>
            <w:tcBorders/>
            <w:shd w:fill="CCEEFF" w:val="clear"/>
          </w:tcPr>
          <w:p>
            <w:pPr>
              <w:pStyle w:val="TableContents"/>
              <w:spacing w:before="0" w:after="0"/>
              <w:rPr>
                <w:rFonts w:ascii="Times New Roman" w:hAnsi="Times New Roman"/>
                <w:sz w:val="20"/>
              </w:rPr>
            </w:pPr>
            <w:r>
              <w:rPr>
                <w:rFonts w:ascii="Times New Roman" w:hAnsi="Times New Roman"/>
                <w:sz w:val="20"/>
              </w:rPr>
              <w:t>Michael Raab</w:t>
            </w:r>
          </w:p>
        </w:tc>
        <w:tc>
          <w:tcPr>
            <w:tcW w:w="744"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474" w:type="dxa"/>
            <w:tcBorders/>
            <w:shd w:fill="CCEEFF" w:val="clear"/>
            <w:vAlign w:val="bottom"/>
          </w:tcPr>
          <w:p>
            <w:pPr>
              <w:pStyle w:val="TableContents"/>
              <w:spacing w:before="0" w:after="283"/>
              <w:jc w:val="right"/>
              <w:rPr/>
            </w:pPr>
            <w:r>
              <w:rPr/>
              <w:t>41,409</w:t>
            </w:r>
          </w:p>
        </w:tc>
        <w:tc>
          <w:tcPr>
            <w:tcW w:w="63" w:type="dxa"/>
            <w:tcBorders/>
            <w:shd w:fill="CCEEFF" w:val="clear"/>
            <w:vAlign w:val="bottom"/>
          </w:tcPr>
          <w:p>
            <w:pPr>
              <w:pStyle w:val="TableContents"/>
              <w:spacing w:before="0" w:after="283"/>
              <w:rPr/>
            </w:pPr>
            <w:r>
              <w:rPr/>
              <w:t> </w:t>
            </w:r>
          </w:p>
        </w:tc>
      </w:tr>
      <w:tr>
        <w:trPr/>
        <w:tc>
          <w:tcPr>
            <w:tcW w:w="4529" w:type="dxa"/>
            <w:tcBorders/>
            <w:shd w:fill="auto" w:val="clear"/>
          </w:tcPr>
          <w:p>
            <w:pPr>
              <w:pStyle w:val="TableContents"/>
              <w:spacing w:before="0" w:after="0"/>
              <w:rPr>
                <w:rFonts w:ascii="Times New Roman" w:hAnsi="Times New Roman"/>
                <w:sz w:val="20"/>
              </w:rPr>
            </w:pPr>
            <w:r>
              <w:rPr>
                <w:rFonts w:ascii="Times New Roman" w:hAnsi="Times New Roman"/>
                <w:sz w:val="20"/>
              </w:rPr>
              <w:t>Ronit Simantov</w:t>
            </w:r>
          </w:p>
        </w:tc>
        <w:tc>
          <w:tcPr>
            <w:tcW w:w="74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474" w:type="dxa"/>
            <w:tcBorders/>
            <w:shd w:fill="auto" w:val="clear"/>
            <w:vAlign w:val="bottom"/>
          </w:tcPr>
          <w:p>
            <w:pPr>
              <w:pStyle w:val="TableContents"/>
              <w:spacing w:before="0" w:after="283"/>
              <w:jc w:val="right"/>
              <w:rPr/>
            </w:pPr>
            <w:r>
              <w:rPr/>
              <w:t>10,135</w:t>
            </w:r>
          </w:p>
        </w:tc>
        <w:tc>
          <w:tcPr>
            <w:tcW w:w="63" w:type="dxa"/>
            <w:tcBorders/>
            <w:shd w:fill="auto" w:val="clear"/>
            <w:vAlign w:val="bottom"/>
          </w:tcPr>
          <w:p>
            <w:pPr>
              <w:pStyle w:val="TableContents"/>
              <w:spacing w:before="0" w:after="283"/>
              <w:rPr/>
            </w:pPr>
            <w:r>
              <w:rPr/>
              <w:t> </w:t>
            </w:r>
          </w:p>
        </w:tc>
      </w:tr>
      <w:tr>
        <w:trPr/>
        <w:tc>
          <w:tcPr>
            <w:tcW w:w="4529" w:type="dxa"/>
            <w:tcBorders/>
            <w:shd w:fill="CCEEFF" w:val="clear"/>
          </w:tcPr>
          <w:p>
            <w:pPr>
              <w:pStyle w:val="TableContents"/>
              <w:spacing w:before="0" w:after="0"/>
              <w:rPr>
                <w:rFonts w:ascii="Times New Roman" w:hAnsi="Times New Roman"/>
                <w:sz w:val="20"/>
              </w:rPr>
            </w:pPr>
            <w:r>
              <w:rPr>
                <w:rFonts w:ascii="Times New Roman" w:hAnsi="Times New Roman"/>
                <w:sz w:val="20"/>
              </w:rPr>
              <w:t>Thomas Woiwode</w:t>
            </w:r>
          </w:p>
        </w:tc>
        <w:tc>
          <w:tcPr>
            <w:tcW w:w="744"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474" w:type="dxa"/>
            <w:tcBorders/>
            <w:shd w:fill="CCEEFF" w:val="clear"/>
            <w:vAlign w:val="bottom"/>
          </w:tcPr>
          <w:p>
            <w:pPr>
              <w:pStyle w:val="TableContents"/>
              <w:spacing w:before="0" w:after="283"/>
              <w:jc w:val="right"/>
              <w:rPr/>
            </w:pPr>
            <w:r>
              <w:rPr/>
              <w:t>10,135</w:t>
            </w:r>
          </w:p>
        </w:tc>
        <w:tc>
          <w:tcPr>
            <w:tcW w:w="63" w:type="dxa"/>
            <w:tcBorders/>
            <w:shd w:fill="CCEEFF" w:val="clear"/>
            <w:vAlign w:val="bottom"/>
          </w:tcPr>
          <w:p>
            <w:pPr>
              <w:pStyle w:val="TableContents"/>
              <w:spacing w:before="0" w:after="283"/>
              <w:rPr/>
            </w:pPr>
            <w:r>
              <w:rPr/>
              <w:t> </w:t>
            </w:r>
          </w:p>
        </w:tc>
      </w:tr>
      <w:tr>
        <w:trPr/>
        <w:tc>
          <w:tcPr>
            <w:tcW w:w="4529" w:type="dxa"/>
            <w:tcBorders/>
            <w:shd w:fill="auto" w:val="clear"/>
          </w:tcPr>
          <w:p>
            <w:pPr>
              <w:pStyle w:val="TableContents"/>
              <w:spacing w:before="0" w:after="0"/>
              <w:rPr>
                <w:rFonts w:ascii="Times New Roman" w:hAnsi="Times New Roman"/>
                <w:sz w:val="20"/>
              </w:rPr>
            </w:pPr>
            <w:r>
              <w:rPr>
                <w:rFonts w:ascii="Times New Roman" w:hAnsi="Times New Roman"/>
                <w:sz w:val="20"/>
              </w:rPr>
              <w:t>Stella Xu</w:t>
            </w:r>
          </w:p>
        </w:tc>
        <w:tc>
          <w:tcPr>
            <w:tcW w:w="74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474" w:type="dxa"/>
            <w:tcBorders/>
            <w:shd w:fill="auto" w:val="clear"/>
            <w:vAlign w:val="bottom"/>
          </w:tcPr>
          <w:p>
            <w:pPr>
              <w:pStyle w:val="TableContents"/>
              <w:spacing w:before="0" w:after="283"/>
              <w:jc w:val="right"/>
              <w:rPr/>
            </w:pPr>
            <w:r>
              <w:rPr/>
              <w:t>  </w:t>
            </w:r>
          </w:p>
        </w:tc>
        <w:tc>
          <w:tcPr>
            <w:tcW w:w="63"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2" w:name="tx456303_10"/>
      <w:bookmarkEnd w:id="12"/>
      <w:r>
        <w:rPr>
          <w:rFonts w:ascii="Times New Roman" w:hAnsi="Times New Roman"/>
          <w:b/>
          <w:sz w:val="20"/>
        </w:rPr>
        <w:t xml:space="preserve">EQUITY COMPENSATION PLAN INFORMATION4 </w:t>
      </w:r>
    </w:p>
    <w:p>
      <w:pPr>
        <w:pStyle w:val="TextBody"/>
        <w:spacing w:before="240" w:after="0"/>
        <w:jc w:val="left"/>
        <w:rPr>
          <w:rFonts w:ascii="Times New Roman" w:hAnsi="Times New Roman"/>
          <w:sz w:val="20"/>
        </w:rPr>
      </w:pPr>
      <w:r>
        <w:rPr>
          <w:rFonts w:ascii="Times New Roman" w:hAnsi="Times New Roman"/>
          <w:sz w:val="20"/>
        </w:rPr>
        <w:t xml:space="preserve">The following table summarizes our equity compensation plan information as of December 31, 2022. We do not have any equity compensation plans not approved by our stockholders: </w:t>
      </w:r>
    </w:p>
    <w:p>
      <w:pPr>
        <w:pStyle w:val="TextBody"/>
        <w:spacing w:before="0" w:after="0"/>
        <w:jc w:val="left"/>
        <w:rPr/>
      </w:pPr>
      <w:r>
        <w:rPr/>
        <w:t> </w:t>
      </w:r>
    </w:p>
    <w:tbl>
      <w:tblPr>
        <w:tblW w:w="10645" w:type="dxa"/>
        <w:jc w:val="center"/>
        <w:tblInd w:w="0" w:type="dxa"/>
        <w:tblCellMar>
          <w:top w:w="0" w:type="dxa"/>
          <w:left w:w="0" w:type="dxa"/>
          <w:bottom w:w="0" w:type="dxa"/>
          <w:right w:w="0" w:type="dxa"/>
        </w:tblCellMar>
      </w:tblPr>
      <w:tblGrid>
        <w:gridCol w:w="3365"/>
        <w:gridCol w:w="120"/>
        <w:gridCol w:w="165"/>
        <w:gridCol w:w="2210"/>
        <w:gridCol w:w="60"/>
        <w:gridCol w:w="60"/>
        <w:gridCol w:w="200"/>
        <w:gridCol w:w="1875"/>
        <w:gridCol w:w="60"/>
        <w:gridCol w:w="60"/>
        <w:gridCol w:w="147"/>
        <w:gridCol w:w="1973"/>
        <w:gridCol w:w="350"/>
      </w:tblGrid>
      <w:tr>
        <w:trPr/>
        <w:tc>
          <w:tcPr>
            <w:tcW w:w="33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22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8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973"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r>
      <w:tr>
        <w:trPr/>
        <w:tc>
          <w:tcPr>
            <w:tcW w:w="3365"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Plan Category</w:t>
            </w:r>
          </w:p>
        </w:tc>
        <w:tc>
          <w:tcPr>
            <w:tcW w:w="120" w:type="dxa"/>
            <w:tcBorders/>
            <w:shd w:fill="auto" w:val="clear"/>
            <w:vAlign w:val="bottom"/>
          </w:tcPr>
          <w:p>
            <w:pPr>
              <w:pStyle w:val="TableContents"/>
              <w:spacing w:before="0" w:after="283"/>
              <w:rPr/>
            </w:pPr>
            <w:r>
              <w:rPr/>
              <w:t>  </w:t>
            </w:r>
          </w:p>
        </w:tc>
        <w:tc>
          <w:tcPr>
            <w:tcW w:w="23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 securities to</w:t>
              <w:br/>
              <w:t>be issued upon exercise</w:t>
              <w:br/>
              <w:t>of outstanding options,</w:t>
              <w:br/>
              <w:t>warrants and rights</w:t>
              <w:br/>
              <w:t>(a)(#)</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Weighted-average</w:t>
              <w:br/>
              <w:t>exercise price of</w:t>
              <w:br/>
              <w:t>outstanding options,</w:t>
              <w:br/>
              <w:t>warrants and rights</w:t>
              <w:br/>
              <w:t>(b)($)</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 securities</w:t>
              <w:br/>
              <w:t>remaining available</w:t>
              <w:br/>
              <w:t>for issuance under</w:t>
              <w:br/>
              <w:t>equity compensation</w:t>
              <w:br/>
              <w:t>plans (excluding</w:t>
              <w:br/>
              <w:t>securities reflected</w:t>
              <w:br/>
              <w:t>in column (a))</w:t>
              <w:br/>
              <w:t>(c)(#)</w:t>
            </w:r>
          </w:p>
        </w:tc>
        <w:tc>
          <w:tcPr>
            <w:tcW w:w="350" w:type="dxa"/>
            <w:tcBorders/>
            <w:shd w:fill="auto" w:val="clear"/>
            <w:vAlign w:val="bottom"/>
          </w:tcPr>
          <w:p>
            <w:pPr>
              <w:pStyle w:val="TableContents"/>
              <w:spacing w:before="0" w:after="283"/>
              <w:rPr/>
            </w:pPr>
            <w:r>
              <w:rPr/>
              <w:t> </w:t>
            </w:r>
          </w:p>
        </w:tc>
      </w:tr>
      <w:tr>
        <w:trPr/>
        <w:tc>
          <w:tcPr>
            <w:tcW w:w="3365" w:type="dxa"/>
            <w:tcBorders/>
            <w:shd w:fill="CCEEFF" w:val="clear"/>
          </w:tcPr>
          <w:p>
            <w:pPr>
              <w:pStyle w:val="TableContents"/>
              <w:spacing w:before="0" w:after="0"/>
              <w:rPr>
                <w:rFonts w:ascii="Times New Roman" w:hAnsi="Times New Roman"/>
                <w:sz w:val="20"/>
              </w:rPr>
            </w:pPr>
            <w:r>
              <w:rPr>
                <w:rFonts w:ascii="Times New Roman" w:hAnsi="Times New Roman"/>
                <w:sz w:val="20"/>
              </w:rPr>
              <w:t>Equity compensation plans approved by security holders 2017 EIP </w:t>
            </w:r>
          </w:p>
        </w:tc>
        <w:tc>
          <w:tcPr>
            <w:tcW w:w="12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sz w:val="4"/>
                <w:szCs w:val="4"/>
              </w:rPr>
            </w:pPr>
            <w:r>
              <w:rPr>
                <w:sz w:val="4"/>
                <w:szCs w:val="4"/>
              </w:rPr>
            </w:r>
          </w:p>
        </w:tc>
        <w:tc>
          <w:tcPr>
            <w:tcW w:w="221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sz w:val="4"/>
                <w:szCs w:val="4"/>
              </w:rPr>
            </w:pPr>
            <w:r>
              <w:rPr>
                <w:sz w:val="4"/>
                <w:szCs w:val="4"/>
              </w:rPr>
            </w:r>
          </w:p>
        </w:tc>
        <w:tc>
          <w:tcPr>
            <w:tcW w:w="18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sz w:val="4"/>
                <w:szCs w:val="4"/>
              </w:rPr>
            </w:pPr>
            <w:r>
              <w:rPr>
                <w:sz w:val="4"/>
                <w:szCs w:val="4"/>
              </w:rPr>
            </w:r>
          </w:p>
        </w:tc>
        <w:tc>
          <w:tcPr>
            <w:tcW w:w="1973"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r>
      <w:tr>
        <w:trPr/>
        <w:tc>
          <w:tcPr>
            <w:tcW w:w="3365" w:type="dxa"/>
            <w:tcBorders/>
            <w:shd w:fill="auto" w:val="clear"/>
          </w:tcPr>
          <w:p>
            <w:pPr>
              <w:pStyle w:val="TableContents"/>
              <w:spacing w:before="0" w:after="0"/>
              <w:rPr>
                <w:rFonts w:ascii="Times New Roman" w:hAnsi="Times New Roman"/>
                <w:sz w:val="20"/>
              </w:rPr>
            </w:pPr>
            <w:r>
              <w:rPr>
                <w:rFonts w:ascii="Times New Roman" w:hAnsi="Times New Roman"/>
                <w:sz w:val="20"/>
              </w:rPr>
              <w:t>2017 EIP</w:t>
            </w:r>
          </w:p>
        </w:tc>
        <w:tc>
          <w:tcPr>
            <w:tcW w:w="12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2210" w:type="dxa"/>
            <w:tcBorders/>
            <w:shd w:fill="auto" w:val="clear"/>
            <w:vAlign w:val="bottom"/>
          </w:tcPr>
          <w:p>
            <w:pPr>
              <w:pStyle w:val="TableContents"/>
              <w:spacing w:before="0" w:after="283"/>
              <w:jc w:val="right"/>
              <w:rPr/>
            </w:pPr>
            <w:r>
              <w:rPr/>
              <w:t>667,034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875" w:type="dxa"/>
            <w:tcBorders/>
            <w:shd w:fill="auto" w:val="clear"/>
            <w:vAlign w:val="bottom"/>
          </w:tcPr>
          <w:p>
            <w:pPr>
              <w:pStyle w:val="TableContents"/>
              <w:spacing w:before="0" w:after="283"/>
              <w:jc w:val="right"/>
              <w:rPr/>
            </w:pPr>
            <w:r>
              <w:rPr/>
              <w:t>10.81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973" w:type="dxa"/>
            <w:tcBorders/>
            <w:shd w:fill="auto" w:val="clear"/>
            <w:vAlign w:val="bottom"/>
          </w:tcPr>
          <w:p>
            <w:pPr>
              <w:pStyle w:val="TableContents"/>
              <w:spacing w:before="0" w:after="283"/>
              <w:jc w:val="right"/>
              <w:rPr/>
            </w:pPr>
            <w:r>
              <w:rPr/>
              <w:t>  </w:t>
            </w:r>
          </w:p>
        </w:tc>
        <w:tc>
          <w:tcPr>
            <w:tcW w:w="350" w:type="dxa"/>
            <w:tcBorders/>
            <w:shd w:fill="auto" w:val="clear"/>
            <w:vAlign w:val="bottom"/>
          </w:tcPr>
          <w:p>
            <w:pPr>
              <w:pStyle w:val="TableContents"/>
              <w:spacing w:before="0" w:after="283"/>
              <w:rPr/>
            </w:pPr>
            <w:r>
              <w:rPr/>
              <w:t> </w:t>
            </w:r>
          </w:p>
        </w:tc>
      </w:tr>
      <w:tr>
        <w:trPr/>
        <w:tc>
          <w:tcPr>
            <w:tcW w:w="3365" w:type="dxa"/>
            <w:tcBorders/>
            <w:shd w:fill="CCEEFF" w:val="clear"/>
          </w:tcPr>
          <w:p>
            <w:pPr>
              <w:pStyle w:val="TableContents"/>
              <w:spacing w:before="0" w:after="0"/>
              <w:rPr>
                <w:rFonts w:ascii="Times New Roman" w:hAnsi="Times New Roman"/>
                <w:sz w:val="20"/>
              </w:rPr>
            </w:pPr>
            <w:r>
              <w:rPr>
                <w:rFonts w:ascii="Times New Roman" w:hAnsi="Times New Roman"/>
                <w:sz w:val="20"/>
              </w:rPr>
              <w:t>2019 EIP</w:t>
            </w:r>
          </w:p>
        </w:tc>
        <w:tc>
          <w:tcPr>
            <w:tcW w:w="12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2210" w:type="dxa"/>
            <w:tcBorders/>
            <w:shd w:fill="CCEEFF" w:val="clear"/>
            <w:vAlign w:val="bottom"/>
          </w:tcPr>
          <w:p>
            <w:pPr>
              <w:pStyle w:val="TableContents"/>
              <w:spacing w:before="0" w:after="283"/>
              <w:jc w:val="right"/>
              <w:rPr/>
            </w:pPr>
            <w:r>
              <w:rPr/>
              <w:t>886,007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875" w:type="dxa"/>
            <w:tcBorders/>
            <w:shd w:fill="CCEEFF" w:val="clear"/>
            <w:vAlign w:val="bottom"/>
          </w:tcPr>
          <w:p>
            <w:pPr>
              <w:pStyle w:val="TableContents"/>
              <w:spacing w:before="0" w:after="283"/>
              <w:jc w:val="right"/>
              <w:rPr/>
            </w:pPr>
            <w:r>
              <w:rPr/>
              <w:t>3.53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973" w:type="dxa"/>
            <w:tcBorders/>
            <w:shd w:fill="CCEEFF" w:val="clear"/>
            <w:vAlign w:val="bottom"/>
          </w:tcPr>
          <w:p>
            <w:pPr>
              <w:pStyle w:val="TableContents"/>
              <w:spacing w:before="0" w:after="283"/>
              <w:jc w:val="right"/>
              <w:rPr/>
            </w:pPr>
            <w:r>
              <w:rPr/>
              <w:t>807,032</w:t>
            </w:r>
          </w:p>
        </w:tc>
        <w:tc>
          <w:tcPr>
            <w:tcW w:w="350" w:type="dxa"/>
            <w:tcBorders/>
            <w:shd w:fill="CCEEFF" w:val="clear"/>
            <w:vAlign w:val="bottom"/>
          </w:tcPr>
          <w:p>
            <w:pPr>
              <w:pStyle w:val="TableContents"/>
              <w:spacing w:before="0" w:after="283"/>
              <w:rPr/>
            </w:pPr>
            <w:r>
              <w:rPr/>
              <w:t>(1) </w:t>
            </w:r>
          </w:p>
        </w:tc>
      </w:tr>
      <w:tr>
        <w:trPr/>
        <w:tc>
          <w:tcPr>
            <w:tcW w:w="3365" w:type="dxa"/>
            <w:tcBorders/>
            <w:shd w:fill="auto" w:val="clear"/>
          </w:tcPr>
          <w:p>
            <w:pPr>
              <w:pStyle w:val="TableContents"/>
              <w:spacing w:before="0" w:after="0"/>
              <w:rPr>
                <w:rFonts w:ascii="Times New Roman" w:hAnsi="Times New Roman"/>
                <w:sz w:val="20"/>
              </w:rPr>
            </w:pPr>
            <w:r>
              <w:rPr>
                <w:rFonts w:ascii="Times New Roman" w:hAnsi="Times New Roman"/>
                <w:sz w:val="20"/>
              </w:rPr>
              <w:t>2019 Employee Stock Purchase Plan</w:t>
            </w:r>
          </w:p>
        </w:tc>
        <w:tc>
          <w:tcPr>
            <w:tcW w:w="12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221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87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973" w:type="dxa"/>
            <w:tcBorders/>
            <w:shd w:fill="auto" w:val="clear"/>
            <w:vAlign w:val="bottom"/>
          </w:tcPr>
          <w:p>
            <w:pPr>
              <w:pStyle w:val="TableContents"/>
              <w:spacing w:before="0" w:after="283"/>
              <w:jc w:val="right"/>
              <w:rPr/>
            </w:pPr>
            <w:r>
              <w:rPr/>
              <w:t>137,097</w:t>
            </w:r>
          </w:p>
        </w:tc>
        <w:tc>
          <w:tcPr>
            <w:tcW w:w="350" w:type="dxa"/>
            <w:tcBorders/>
            <w:shd w:fill="auto" w:val="clear"/>
            <w:vAlign w:val="bottom"/>
          </w:tcPr>
          <w:p>
            <w:pPr>
              <w:pStyle w:val="TableContents"/>
              <w:spacing w:before="0" w:after="283"/>
              <w:rPr/>
            </w:pPr>
            <w:r>
              <w:rPr/>
              <w:t>(2) </w:t>
            </w:r>
          </w:p>
        </w:tc>
      </w:tr>
      <w:tr>
        <w:trPr/>
        <w:tc>
          <w:tcPr>
            <w:tcW w:w="3365" w:type="dxa"/>
            <w:tcBorders/>
            <w:shd w:fill="CCEEFF" w:val="clear"/>
          </w:tcPr>
          <w:p>
            <w:pPr>
              <w:pStyle w:val="TableContents"/>
              <w:spacing w:before="0" w:after="0"/>
              <w:rPr>
                <w:rFonts w:ascii="Times New Roman" w:hAnsi="Times New Roman"/>
                <w:sz w:val="20"/>
              </w:rPr>
            </w:pPr>
            <w:r>
              <w:rPr>
                <w:rFonts w:ascii="Times New Roman" w:hAnsi="Times New Roman"/>
                <w:sz w:val="20"/>
              </w:rPr>
              <w:t>Equity compensation plans not approved by security holders</w:t>
            </w:r>
          </w:p>
        </w:tc>
        <w:tc>
          <w:tcPr>
            <w:tcW w:w="12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221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87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973" w:type="dxa"/>
            <w:tcBorders/>
            <w:shd w:fill="CCEEFF" w:val="clear"/>
            <w:vAlign w:val="bottom"/>
          </w:tcPr>
          <w:p>
            <w:pPr>
              <w:pStyle w:val="TableContents"/>
              <w:spacing w:before="0" w:after="283"/>
              <w:jc w:val="right"/>
              <w:rPr/>
            </w:pPr>
            <w:r>
              <w:rPr/>
              <w:t>  </w:t>
            </w:r>
          </w:p>
        </w:tc>
        <w:tc>
          <w:tcPr>
            <w:tcW w:w="350" w:type="dxa"/>
            <w:tcBorders/>
            <w:shd w:fill="CCEEFF" w:val="clear"/>
            <w:vAlign w:val="bottom"/>
          </w:tcPr>
          <w:p>
            <w:pPr>
              <w:pStyle w:val="TableContents"/>
              <w:spacing w:before="0" w:after="283"/>
              <w:rPr/>
            </w:pPr>
            <w:r>
              <w:rPr/>
              <w:t> </w:t>
            </w:r>
          </w:p>
        </w:tc>
      </w:tr>
      <w:tr>
        <w:trPr/>
        <w:tc>
          <w:tcPr>
            <w:tcW w:w="336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pBdr>
                <w:top w:val="single" w:sz="2" w:space="1" w:color="000000"/>
              </w:pBdr>
              <w:spacing w:before="0" w:after="0"/>
              <w:rPr/>
            </w:pPr>
            <w:r>
              <w:rPr/>
              <w:t> </w:t>
            </w:r>
          </w:p>
        </w:tc>
        <w:tc>
          <w:tcPr>
            <w:tcW w:w="221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pBdr>
                <w:top w:val="single" w:sz="2" w:space="1" w:color="000000"/>
              </w:pBdr>
              <w:spacing w:before="0" w:after="0"/>
              <w:rPr/>
            </w:pPr>
            <w:r>
              <w:rPr/>
              <w:t> </w:t>
            </w:r>
          </w:p>
        </w:tc>
        <w:tc>
          <w:tcPr>
            <w:tcW w:w="187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single" w:sz="2" w:space="1" w:color="000000"/>
              </w:pBdr>
              <w:spacing w:before="0" w:after="0"/>
              <w:rPr/>
            </w:pPr>
            <w:r>
              <w:rPr/>
              <w:t> </w:t>
            </w:r>
          </w:p>
        </w:tc>
        <w:tc>
          <w:tcPr>
            <w:tcW w:w="1973" w:type="dxa"/>
            <w:tcBorders/>
            <w:shd w:fill="auto" w:val="clear"/>
            <w:vAlign w:val="bottom"/>
          </w:tcPr>
          <w:p>
            <w:pPr>
              <w:pStyle w:val="TableContents"/>
              <w:pBdr>
                <w:top w:val="single" w:sz="2" w:space="1" w:color="000000"/>
              </w:pBdr>
              <w:spacing w:before="0" w:after="0"/>
              <w:rPr/>
            </w:pPr>
            <w:r>
              <w:rPr/>
              <w:t> </w:t>
            </w:r>
          </w:p>
        </w:tc>
        <w:tc>
          <w:tcPr>
            <w:tcW w:w="350" w:type="dxa"/>
            <w:tcBorders/>
            <w:shd w:fill="auto" w:val="clear"/>
            <w:vAlign w:val="center"/>
          </w:tcPr>
          <w:p>
            <w:pPr>
              <w:pStyle w:val="TableContents"/>
              <w:spacing w:before="0" w:after="283"/>
              <w:rPr/>
            </w:pPr>
            <w:r>
              <w:rPr/>
              <w:t> </w:t>
            </w:r>
          </w:p>
        </w:tc>
      </w:tr>
      <w:tr>
        <w:trPr/>
        <w:tc>
          <w:tcPr>
            <w:tcW w:w="3365"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sz w:val="4"/>
                <w:szCs w:val="4"/>
              </w:rPr>
            </w:pPr>
            <w:r>
              <w:rPr>
                <w:sz w:val="4"/>
                <w:szCs w:val="4"/>
              </w:rPr>
            </w:r>
          </w:p>
        </w:tc>
        <w:tc>
          <w:tcPr>
            <w:tcW w:w="22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sz w:val="4"/>
                <w:szCs w:val="4"/>
              </w:rPr>
            </w:pPr>
            <w:r>
              <w:rPr>
                <w:sz w:val="4"/>
                <w:szCs w:val="4"/>
              </w:rPr>
            </w:r>
          </w:p>
        </w:tc>
        <w:tc>
          <w:tcPr>
            <w:tcW w:w="18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1973"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r>
      <w:tr>
        <w:trPr/>
        <w:tc>
          <w:tcPr>
            <w:tcW w:w="336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pBdr>
                <w:top w:val="double" w:sz="6" w:space="1" w:color="000000"/>
              </w:pBdr>
              <w:spacing w:before="0" w:after="0"/>
              <w:rPr/>
            </w:pPr>
            <w:r>
              <w:rPr/>
              <w:t> </w:t>
            </w:r>
          </w:p>
        </w:tc>
        <w:tc>
          <w:tcPr>
            <w:tcW w:w="2210"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pBdr>
                <w:top w:val="double" w:sz="6" w:space="1" w:color="000000"/>
              </w:pBdr>
              <w:spacing w:before="0" w:after="0"/>
              <w:rPr/>
            </w:pPr>
            <w:r>
              <w:rPr/>
              <w:t> </w:t>
            </w:r>
          </w:p>
        </w:tc>
        <w:tc>
          <w:tcPr>
            <w:tcW w:w="1875"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double" w:sz="6" w:space="1" w:color="000000"/>
              </w:pBdr>
              <w:spacing w:before="0" w:after="0"/>
              <w:rPr/>
            </w:pPr>
            <w:r>
              <w:rPr/>
              <w:t> </w:t>
            </w:r>
          </w:p>
        </w:tc>
        <w:tc>
          <w:tcPr>
            <w:tcW w:w="1973" w:type="dxa"/>
            <w:tcBorders/>
            <w:shd w:fill="auto" w:val="clear"/>
            <w:vAlign w:val="bottom"/>
          </w:tcPr>
          <w:p>
            <w:pPr>
              <w:pStyle w:val="TableContents"/>
              <w:pBdr>
                <w:top w:val="double" w:sz="6" w:space="1" w:color="000000"/>
              </w:pBdr>
              <w:spacing w:before="0" w:after="0"/>
              <w:rPr/>
            </w:pPr>
            <w:r>
              <w:rPr/>
              <w:t> </w:t>
            </w:r>
          </w:p>
        </w:tc>
        <w:tc>
          <w:tcPr>
            <w:tcW w:w="350"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2019 EIP provides that the total number of shares of our common stock reserved for issuance thereunder will automatically increase on January 1st of each calendar year for a period of up to 10 years, beginning on January 1, 2020, and ending on (and including) January 1, 2029, in an amount equal to (i) 4% of the total number of shares of common stock outstanding on December 31st of the preceding calendar year, or (ii) a lesser number of shares determined by our Board prior to January 1st of a given fiscal year. Accordingly, on January 1, 2023, the number of shares of common stock available for issuance under our 2019 EIP increased by 420,742 shares. This increase is not reflected in the table above.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2019 ESPP provides that the total number of shares reserved for issuance thereunder will automatically increase on January 1 of each year beginning on January 1, 2023, and continuing through (and including) January 1, 2029, by the lesser of (a) 1.5% of the total number of shares of common stock outstanding on December 31st of the preceding calendar year, (b) 500,000 shares of our common stock, or (c) a lesser number determined by our Board prior to the applicable January 1st. Accordingly, on January 1, 2023, the number of shares of common stock available for issuance under our 2019 ESPP increased by 157,778 shares. This increase is not reflected in the table above.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3" w:name="tx456303_11"/>
      <w:bookmarkEnd w:id="13"/>
      <w:r>
        <w:rPr>
          <w:rFonts w:ascii="Times New Roman" w:hAnsi="Times New Roman"/>
          <w:b/>
          <w:sz w:val="20"/>
        </w:rPr>
        <w:t xml:space="preserve">SECURITY OWNERSHIP OF CERTAIN BENEFICIAL OWNERS AND MANAGEMENT </w:t>
      </w:r>
    </w:p>
    <w:p>
      <w:pPr>
        <w:pStyle w:val="TextBody"/>
        <w:spacing w:before="240" w:after="0"/>
        <w:jc w:val="left"/>
        <w:rPr>
          <w:rFonts w:ascii="Times New Roman" w:hAnsi="Times New Roman"/>
          <w:sz w:val="20"/>
        </w:rPr>
      </w:pPr>
      <w:r>
        <w:rPr>
          <w:rFonts w:ascii="Times New Roman" w:hAnsi="Times New Roman"/>
          <w:sz w:val="20"/>
        </w:rPr>
        <w:t xml:space="preserve">The following table sets forth information regarding beneficial ownership of our common stock as of March 1, 2023, the most recent practicable date for computing beneficial ownership, by: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of our Named Executive Officers;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of our directors and director nominees;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person, or group of affiliated persons, known by us to beneficially own more than 5% of our common stock;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of our directors and executive officers as a group. </w:t>
            </w:r>
          </w:p>
        </w:tc>
      </w:tr>
    </w:tbl>
    <w:p>
      <w:pPr>
        <w:pStyle w:val="TextBody"/>
        <w:spacing w:before="240" w:after="0"/>
        <w:jc w:val="left"/>
        <w:rPr>
          <w:rFonts w:ascii="Times New Roman" w:hAnsi="Times New Roman"/>
          <w:sz w:val="20"/>
        </w:rPr>
      </w:pPr>
      <w:r>
        <w:rPr>
          <w:rFonts w:ascii="Times New Roman" w:hAnsi="Times New Roman"/>
          <w:sz w:val="20"/>
        </w:rPr>
        <w:t xml:space="preserve">We have determined beneficial ownership in accordance with the rules of the SEC. These rules generally attribute beneficial ownership of securities to persons who possess sole or shared voting or investment power with respect to those securities. Unless otherwise indicated, the persons or entities identified in this table have sole voting and investment power with respect to all shares shown as beneficially owned by them, subject to applicable community property laws. </w:t>
      </w:r>
    </w:p>
    <w:p>
      <w:pPr>
        <w:pStyle w:val="TextBody"/>
        <w:spacing w:before="240" w:after="0"/>
        <w:jc w:val="left"/>
        <w:rPr>
          <w:rFonts w:ascii="Times New Roman" w:hAnsi="Times New Roman"/>
          <w:sz w:val="20"/>
        </w:rPr>
      </w:pPr>
      <w:r>
        <w:rPr>
          <w:rFonts w:ascii="Times New Roman" w:hAnsi="Times New Roman"/>
          <w:sz w:val="20"/>
        </w:rPr>
        <w:t xml:space="preserve">Applicable percentage ownership is based on 10,561,700 shares of our common stock issued and outstanding as of March 1, 2023. The number of shares of common stock used to calculate the percentage ownership of each listed person includes the shares of common stock underlying options and warrants held by such persons that are currently exercisable or convertible or will be exercisable or convertible within 60 days of March 1, 2023. However, we did not deem these shares outstanding for the purpose of computing the percentage ownership of any other person.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520"/>
        <w:gridCol w:w="322"/>
        <w:gridCol w:w="60"/>
        <w:gridCol w:w="1073"/>
        <w:gridCol w:w="60"/>
        <w:gridCol w:w="322"/>
        <w:gridCol w:w="126"/>
        <w:gridCol w:w="992"/>
        <w:gridCol w:w="280"/>
      </w:tblGrid>
      <w:tr>
        <w:trPr/>
        <w:tc>
          <w:tcPr>
            <w:tcW w:w="4520"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r>
      <w:tr>
        <w:trPr/>
        <w:tc>
          <w:tcPr>
            <w:tcW w:w="4520"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Name of Beneficial Owner (1)</w:t>
            </w:r>
          </w:p>
        </w:tc>
        <w:tc>
          <w:tcPr>
            <w:tcW w:w="322" w:type="dxa"/>
            <w:tcBorders/>
            <w:shd w:fill="auto" w:val="clear"/>
            <w:vAlign w:val="bottom"/>
          </w:tcPr>
          <w:p>
            <w:pPr>
              <w:pStyle w:val="TableContents"/>
              <w:spacing w:before="0" w:after="283"/>
              <w:rPr/>
            </w:pPr>
            <w:r>
              <w:rPr/>
              <w:t>  </w:t>
            </w:r>
          </w:p>
        </w:tc>
        <w:tc>
          <w:tcPr>
            <w:tcW w:w="113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w:t>
              <w:br/>
              <w:t>Shares</w:t>
            </w:r>
          </w:p>
        </w:tc>
        <w:tc>
          <w:tcPr>
            <w:tcW w:w="60"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11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Percent of</w:t>
              <w:br/>
              <w:t>Total</w:t>
            </w:r>
          </w:p>
        </w:tc>
        <w:tc>
          <w:tcPr>
            <w:tcW w:w="280" w:type="dxa"/>
            <w:tcBorders/>
            <w:shd w:fill="auto" w:val="clear"/>
            <w:vAlign w:val="bottom"/>
          </w:tcPr>
          <w:p>
            <w:pPr>
              <w:pStyle w:val="TableContents"/>
              <w:spacing w:before="0" w:after="283"/>
              <w:rPr/>
            </w:pPr>
            <w:r>
              <w:rPr/>
              <w:t> </w:t>
            </w:r>
          </w:p>
        </w:tc>
      </w:tr>
      <w:tr>
        <w:trPr/>
        <w:tc>
          <w:tcPr>
            <w:tcW w:w="4520" w:type="dxa"/>
            <w:tcBorders/>
            <w:shd w:fill="CCEEFF" w:val="clear"/>
          </w:tcPr>
          <w:p>
            <w:pPr>
              <w:pStyle w:val="TableContents"/>
              <w:spacing w:before="0" w:after="0"/>
              <w:rPr>
                <w:rFonts w:ascii="Times New Roman" w:hAnsi="Times New Roman"/>
                <w:b/>
                <w:i/>
                <w:sz w:val="20"/>
              </w:rPr>
            </w:pPr>
            <w:r>
              <w:rPr>
                <w:rFonts w:ascii="Times New Roman" w:hAnsi="Times New Roman"/>
                <w:b/>
                <w:i/>
                <w:sz w:val="20"/>
              </w:rPr>
              <w:t>Stockholders Owning Greater than 5%:</w:t>
            </w:r>
          </w:p>
        </w:tc>
        <w:tc>
          <w:tcPr>
            <w:tcW w:w="3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07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2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992" w:type="dxa"/>
            <w:tcBorders/>
            <w:shd w:fill="CCEEFF" w:val="clear"/>
            <w:vAlign w:val="bottom"/>
          </w:tcPr>
          <w:p>
            <w:pPr>
              <w:pStyle w:val="TableContents"/>
              <w:spacing w:before="0" w:after="283"/>
              <w:rPr>
                <w:sz w:val="4"/>
                <w:szCs w:val="4"/>
              </w:rPr>
            </w:pPr>
            <w:r>
              <w:rPr>
                <w:sz w:val="4"/>
                <w:szCs w:val="4"/>
              </w:rPr>
            </w:r>
          </w:p>
        </w:tc>
        <w:tc>
          <w:tcPr>
            <w:tcW w:w="280" w:type="dxa"/>
            <w:tcBorders/>
            <w:shd w:fill="CCEEFF" w:val="clear"/>
            <w:vAlign w:val="bottom"/>
          </w:tcPr>
          <w:p>
            <w:pPr>
              <w:pStyle w:val="TableContents"/>
              <w:spacing w:before="0" w:after="283"/>
              <w:rPr>
                <w:sz w:val="4"/>
                <w:szCs w:val="4"/>
              </w:rPr>
            </w:pPr>
            <w:r>
              <w:rPr>
                <w:sz w:val="4"/>
                <w:szCs w:val="4"/>
              </w:rPr>
            </w:r>
          </w:p>
        </w:tc>
      </w:tr>
      <w:tr>
        <w:trPr/>
        <w:tc>
          <w:tcPr>
            <w:tcW w:w="4520" w:type="dxa"/>
            <w:tcBorders/>
            <w:shd w:fill="auto" w:val="clear"/>
          </w:tcPr>
          <w:p>
            <w:pPr>
              <w:pStyle w:val="TableContents"/>
              <w:spacing w:before="0" w:after="0"/>
              <w:rPr>
                <w:rFonts w:ascii="Times New Roman" w:hAnsi="Times New Roman"/>
                <w:sz w:val="20"/>
              </w:rPr>
            </w:pPr>
            <w:r>
              <w:rPr>
                <w:rFonts w:ascii="Times New Roman" w:hAnsi="Times New Roman"/>
                <w:sz w:val="20"/>
              </w:rPr>
              <w:t>Entities affiliated with F-Prime Capital Partners(2)</w:t>
            </w:r>
          </w:p>
        </w:tc>
        <w:tc>
          <w:tcPr>
            <w:tcW w:w="3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pPr>
            <w:r>
              <w:rPr/>
              <w:t>647,898</w:t>
            </w:r>
          </w:p>
        </w:tc>
        <w:tc>
          <w:tcPr>
            <w:tcW w:w="60"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6.1</w:t>
            </w:r>
          </w:p>
        </w:tc>
        <w:tc>
          <w:tcPr>
            <w:tcW w:w="280" w:type="dxa"/>
            <w:tcBorders/>
            <w:shd w:fill="auto" w:val="clear"/>
            <w:vAlign w:val="bottom"/>
          </w:tcPr>
          <w:p>
            <w:pPr>
              <w:pStyle w:val="TableContents"/>
              <w:spacing w:before="0" w:after="283"/>
              <w:rPr/>
            </w:pPr>
            <w:r>
              <w:rPr/>
              <w:t>% </w:t>
            </w:r>
          </w:p>
        </w:tc>
      </w:tr>
      <w:tr>
        <w:trPr/>
        <w:tc>
          <w:tcPr>
            <w:tcW w:w="4520" w:type="dxa"/>
            <w:tcBorders/>
            <w:shd w:fill="CCEEFF" w:val="clear"/>
          </w:tcPr>
          <w:p>
            <w:pPr>
              <w:pStyle w:val="TableContents"/>
              <w:spacing w:before="0" w:after="0"/>
              <w:rPr>
                <w:rFonts w:ascii="Times New Roman" w:hAnsi="Times New Roman"/>
                <w:sz w:val="20"/>
              </w:rPr>
            </w:pPr>
            <w:r>
              <w:rPr>
                <w:rFonts w:ascii="Times New Roman" w:hAnsi="Times New Roman"/>
                <w:sz w:val="20"/>
              </w:rPr>
              <w:t>Quan Venture Fund I, LP(4)</w:t>
            </w:r>
          </w:p>
        </w:tc>
        <w:tc>
          <w:tcPr>
            <w:tcW w:w="3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pPr>
            <w:r>
              <w:rPr/>
              <w:t>579,710</w:t>
            </w:r>
          </w:p>
        </w:tc>
        <w:tc>
          <w:tcPr>
            <w:tcW w:w="60"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5.5</w:t>
            </w:r>
          </w:p>
        </w:tc>
        <w:tc>
          <w:tcPr>
            <w:tcW w:w="280" w:type="dxa"/>
            <w:tcBorders/>
            <w:shd w:fill="CCEEFF" w:val="clear"/>
            <w:vAlign w:val="bottom"/>
          </w:tcPr>
          <w:p>
            <w:pPr>
              <w:pStyle w:val="TableContents"/>
              <w:spacing w:before="0" w:after="283"/>
              <w:rPr/>
            </w:pPr>
            <w:r>
              <w:rPr/>
              <w:t>% </w:t>
            </w:r>
          </w:p>
        </w:tc>
      </w:tr>
      <w:tr>
        <w:trPr/>
        <w:tc>
          <w:tcPr>
            <w:tcW w:w="4520" w:type="dxa"/>
            <w:tcBorders/>
            <w:shd w:fill="auto" w:val="clear"/>
          </w:tcPr>
          <w:p>
            <w:pPr>
              <w:pStyle w:val="TableContents"/>
              <w:spacing w:before="0" w:after="0"/>
              <w:rPr>
                <w:rFonts w:ascii="Times New Roman" w:hAnsi="Times New Roman"/>
                <w:sz w:val="20"/>
              </w:rPr>
            </w:pPr>
            <w:r>
              <w:rPr>
                <w:rFonts w:ascii="Times New Roman" w:hAnsi="Times New Roman"/>
                <w:sz w:val="20"/>
              </w:rPr>
              <w:t>Entities affiliated with Rock Springs Capital(5)</w:t>
            </w:r>
          </w:p>
        </w:tc>
        <w:tc>
          <w:tcPr>
            <w:tcW w:w="3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pPr>
            <w:r>
              <w:rPr/>
              <w:t>823,654</w:t>
            </w:r>
          </w:p>
        </w:tc>
        <w:tc>
          <w:tcPr>
            <w:tcW w:w="60"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7.8</w:t>
            </w:r>
          </w:p>
        </w:tc>
        <w:tc>
          <w:tcPr>
            <w:tcW w:w="280" w:type="dxa"/>
            <w:tcBorders/>
            <w:shd w:fill="auto" w:val="clear"/>
            <w:vAlign w:val="bottom"/>
          </w:tcPr>
          <w:p>
            <w:pPr>
              <w:pStyle w:val="TableContents"/>
              <w:spacing w:before="0" w:after="283"/>
              <w:rPr/>
            </w:pPr>
            <w:r>
              <w:rPr/>
              <w:t>% </w:t>
            </w:r>
          </w:p>
        </w:tc>
      </w:tr>
      <w:tr>
        <w:trPr/>
        <w:tc>
          <w:tcPr>
            <w:tcW w:w="4520" w:type="dxa"/>
            <w:tcBorders/>
            <w:shd w:fill="CCEEFF" w:val="clear"/>
          </w:tcPr>
          <w:p>
            <w:pPr>
              <w:pStyle w:val="TableContents"/>
              <w:spacing w:before="0" w:after="0"/>
              <w:rPr>
                <w:rFonts w:ascii="Times New Roman" w:hAnsi="Times New Roman"/>
                <w:sz w:val="20"/>
              </w:rPr>
            </w:pPr>
            <w:r>
              <w:rPr>
                <w:rFonts w:ascii="Times New Roman" w:hAnsi="Times New Roman"/>
                <w:sz w:val="20"/>
              </w:rPr>
              <w:t>Entities affiliated with Versant Venture Capital(6)</w:t>
            </w:r>
          </w:p>
        </w:tc>
        <w:tc>
          <w:tcPr>
            <w:tcW w:w="3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pPr>
            <w:r>
              <w:rPr/>
              <w:t>4,295,055</w:t>
            </w:r>
          </w:p>
        </w:tc>
        <w:tc>
          <w:tcPr>
            <w:tcW w:w="60"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40.7</w:t>
            </w:r>
          </w:p>
        </w:tc>
        <w:tc>
          <w:tcPr>
            <w:tcW w:w="280" w:type="dxa"/>
            <w:tcBorders/>
            <w:shd w:fill="CCEEFF" w:val="clear"/>
            <w:vAlign w:val="bottom"/>
          </w:tcPr>
          <w:p>
            <w:pPr>
              <w:pStyle w:val="TableContents"/>
              <w:spacing w:before="0" w:after="283"/>
              <w:rPr/>
            </w:pPr>
            <w:r>
              <w:rPr/>
              <w:t>% </w:t>
            </w:r>
          </w:p>
        </w:tc>
      </w:tr>
      <w:tr>
        <w:trPr/>
        <w:tc>
          <w:tcPr>
            <w:tcW w:w="4520" w:type="dxa"/>
            <w:tcBorders/>
            <w:shd w:fill="auto" w:val="clear"/>
          </w:tcPr>
          <w:p>
            <w:pPr>
              <w:pStyle w:val="TableContents"/>
              <w:spacing w:before="0" w:after="0"/>
              <w:rPr>
                <w:rFonts w:ascii="Times New Roman" w:hAnsi="Times New Roman"/>
                <w:sz w:val="20"/>
              </w:rPr>
            </w:pPr>
            <w:r>
              <w:rPr>
                <w:rFonts w:ascii="Times New Roman" w:hAnsi="Times New Roman"/>
                <w:sz w:val="20"/>
              </w:rPr>
              <w:t>Entities affiliated with EcoR1(7)</w:t>
            </w:r>
          </w:p>
        </w:tc>
        <w:tc>
          <w:tcPr>
            <w:tcW w:w="3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pPr>
            <w:r>
              <w:rPr/>
              <w:t>1,057,760</w:t>
            </w:r>
          </w:p>
        </w:tc>
        <w:tc>
          <w:tcPr>
            <w:tcW w:w="60"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9.99</w:t>
            </w:r>
          </w:p>
        </w:tc>
        <w:tc>
          <w:tcPr>
            <w:tcW w:w="280" w:type="dxa"/>
            <w:tcBorders/>
            <w:shd w:fill="auto" w:val="clear"/>
            <w:vAlign w:val="bottom"/>
          </w:tcPr>
          <w:p>
            <w:pPr>
              <w:pStyle w:val="TableContents"/>
              <w:spacing w:before="0" w:after="283"/>
              <w:rPr/>
            </w:pPr>
            <w:r>
              <w:rPr/>
              <w:t>% </w:t>
            </w:r>
          </w:p>
        </w:tc>
      </w:tr>
      <w:tr>
        <w:trPr/>
        <w:tc>
          <w:tcPr>
            <w:tcW w:w="4520" w:type="dxa"/>
            <w:tcBorders/>
            <w:shd w:fill="CCEEFF" w:val="clear"/>
          </w:tcPr>
          <w:p>
            <w:pPr>
              <w:pStyle w:val="TableContents"/>
              <w:spacing w:before="0" w:after="0"/>
              <w:rPr>
                <w:rFonts w:ascii="Times New Roman" w:hAnsi="Times New Roman"/>
                <w:b/>
                <w:i/>
                <w:sz w:val="20"/>
              </w:rPr>
            </w:pPr>
            <w:r>
              <w:rPr>
                <w:rFonts w:ascii="Times New Roman" w:hAnsi="Times New Roman"/>
                <w:b/>
                <w:i/>
                <w:sz w:val="20"/>
              </w:rPr>
              <w:t>Directors and Named Executive Officers:</w:t>
            </w:r>
          </w:p>
        </w:tc>
        <w:tc>
          <w:tcPr>
            <w:tcW w:w="3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07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2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992" w:type="dxa"/>
            <w:tcBorders/>
            <w:shd w:fill="CCEEFF" w:val="clear"/>
            <w:vAlign w:val="bottom"/>
          </w:tcPr>
          <w:p>
            <w:pPr>
              <w:pStyle w:val="TableContents"/>
              <w:spacing w:before="0" w:after="283"/>
              <w:rPr>
                <w:sz w:val="4"/>
                <w:szCs w:val="4"/>
              </w:rPr>
            </w:pPr>
            <w:r>
              <w:rPr>
                <w:sz w:val="4"/>
                <w:szCs w:val="4"/>
              </w:rPr>
            </w:r>
          </w:p>
        </w:tc>
        <w:tc>
          <w:tcPr>
            <w:tcW w:w="280" w:type="dxa"/>
            <w:tcBorders/>
            <w:shd w:fill="CCEEFF" w:val="clear"/>
            <w:vAlign w:val="bottom"/>
          </w:tcPr>
          <w:p>
            <w:pPr>
              <w:pStyle w:val="TableContents"/>
              <w:spacing w:before="0" w:after="283"/>
              <w:rPr>
                <w:sz w:val="4"/>
                <w:szCs w:val="4"/>
              </w:rPr>
            </w:pPr>
            <w:r>
              <w:rPr>
                <w:sz w:val="4"/>
                <w:szCs w:val="4"/>
              </w:rPr>
            </w:r>
          </w:p>
        </w:tc>
      </w:tr>
      <w:tr>
        <w:trPr/>
        <w:tc>
          <w:tcPr>
            <w:tcW w:w="4520" w:type="dxa"/>
            <w:tcBorders/>
            <w:shd w:fill="auto" w:val="clear"/>
          </w:tcPr>
          <w:p>
            <w:pPr>
              <w:pStyle w:val="TableContents"/>
              <w:spacing w:before="0" w:after="0"/>
              <w:rPr>
                <w:rFonts w:ascii="Times New Roman" w:hAnsi="Times New Roman"/>
                <w:sz w:val="20"/>
              </w:rPr>
            </w:pPr>
            <w:r>
              <w:rPr>
                <w:rFonts w:ascii="Times New Roman" w:hAnsi="Times New Roman"/>
                <w:sz w:val="20"/>
              </w:rPr>
              <w:t>Stephen Brady(8)</w:t>
            </w:r>
          </w:p>
        </w:tc>
        <w:tc>
          <w:tcPr>
            <w:tcW w:w="3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pPr>
            <w:r>
              <w:rPr/>
              <w:t>231,605</w:t>
            </w:r>
          </w:p>
        </w:tc>
        <w:tc>
          <w:tcPr>
            <w:tcW w:w="60"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2.1</w:t>
            </w:r>
          </w:p>
        </w:tc>
        <w:tc>
          <w:tcPr>
            <w:tcW w:w="280" w:type="dxa"/>
            <w:tcBorders/>
            <w:shd w:fill="auto" w:val="clear"/>
            <w:vAlign w:val="bottom"/>
          </w:tcPr>
          <w:p>
            <w:pPr>
              <w:pStyle w:val="TableContents"/>
              <w:spacing w:before="0" w:after="283"/>
              <w:rPr/>
            </w:pPr>
            <w:r>
              <w:rPr/>
              <w:t>% </w:t>
            </w:r>
          </w:p>
        </w:tc>
      </w:tr>
      <w:tr>
        <w:trPr/>
        <w:tc>
          <w:tcPr>
            <w:tcW w:w="4520" w:type="dxa"/>
            <w:tcBorders/>
            <w:shd w:fill="CCEEFF" w:val="clear"/>
          </w:tcPr>
          <w:p>
            <w:pPr>
              <w:pStyle w:val="TableContents"/>
              <w:spacing w:before="0" w:after="0"/>
              <w:rPr>
                <w:rFonts w:ascii="Times New Roman" w:hAnsi="Times New Roman"/>
                <w:sz w:val="20"/>
              </w:rPr>
            </w:pPr>
            <w:r>
              <w:rPr>
                <w:rFonts w:ascii="Times New Roman" w:hAnsi="Times New Roman"/>
                <w:sz w:val="20"/>
              </w:rPr>
              <w:t>Thomas Dubensky(9)</w:t>
            </w:r>
          </w:p>
        </w:tc>
        <w:tc>
          <w:tcPr>
            <w:tcW w:w="3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pPr>
            <w:r>
              <w:rPr/>
              <w:t>227,976</w:t>
            </w:r>
          </w:p>
        </w:tc>
        <w:tc>
          <w:tcPr>
            <w:tcW w:w="60"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2.1</w:t>
            </w:r>
          </w:p>
        </w:tc>
        <w:tc>
          <w:tcPr>
            <w:tcW w:w="280" w:type="dxa"/>
            <w:tcBorders/>
            <w:shd w:fill="CCEEFF" w:val="clear"/>
            <w:vAlign w:val="bottom"/>
          </w:tcPr>
          <w:p>
            <w:pPr>
              <w:pStyle w:val="TableContents"/>
              <w:spacing w:before="0" w:after="283"/>
              <w:rPr/>
            </w:pPr>
            <w:r>
              <w:rPr/>
              <w:t>% </w:t>
            </w:r>
          </w:p>
        </w:tc>
      </w:tr>
      <w:tr>
        <w:trPr/>
        <w:tc>
          <w:tcPr>
            <w:tcW w:w="4520" w:type="dxa"/>
            <w:tcBorders/>
            <w:shd w:fill="auto" w:val="clear"/>
          </w:tcPr>
          <w:p>
            <w:pPr>
              <w:pStyle w:val="TableContents"/>
              <w:spacing w:before="0" w:after="0"/>
              <w:rPr>
                <w:rFonts w:ascii="Times New Roman" w:hAnsi="Times New Roman"/>
                <w:sz w:val="20"/>
              </w:rPr>
            </w:pPr>
            <w:r>
              <w:rPr>
                <w:rFonts w:ascii="Times New Roman" w:hAnsi="Times New Roman"/>
                <w:sz w:val="20"/>
              </w:rPr>
              <w:t>Samuel Whiting(10)</w:t>
            </w:r>
          </w:p>
        </w:tc>
        <w:tc>
          <w:tcPr>
            <w:tcW w:w="3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pPr>
            <w:r>
              <w:rPr/>
              <w:t>65,192</w:t>
            </w:r>
          </w:p>
        </w:tc>
        <w:tc>
          <w:tcPr>
            <w:tcW w:w="60"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w:t>
            </w:r>
          </w:p>
        </w:tc>
        <w:tc>
          <w:tcPr>
            <w:tcW w:w="280" w:type="dxa"/>
            <w:tcBorders/>
            <w:shd w:fill="auto" w:val="clear"/>
            <w:vAlign w:val="bottom"/>
          </w:tcPr>
          <w:p>
            <w:pPr>
              <w:pStyle w:val="TableContents"/>
              <w:spacing w:before="0" w:after="283"/>
              <w:rPr/>
            </w:pPr>
            <w:r>
              <w:rPr/>
              <w:t> </w:t>
            </w:r>
          </w:p>
        </w:tc>
      </w:tr>
      <w:tr>
        <w:trPr/>
        <w:tc>
          <w:tcPr>
            <w:tcW w:w="4520" w:type="dxa"/>
            <w:tcBorders/>
            <w:shd w:fill="CCEEFF" w:val="clear"/>
          </w:tcPr>
          <w:p>
            <w:pPr>
              <w:pStyle w:val="TableContents"/>
              <w:spacing w:before="0" w:after="0"/>
              <w:rPr>
                <w:rFonts w:ascii="Times New Roman" w:hAnsi="Times New Roman"/>
                <w:sz w:val="20"/>
              </w:rPr>
            </w:pPr>
            <w:r>
              <w:rPr>
                <w:rFonts w:ascii="Times New Roman" w:hAnsi="Times New Roman"/>
                <w:sz w:val="20"/>
              </w:rPr>
              <w:t>Michael Raab(11)</w:t>
            </w:r>
          </w:p>
        </w:tc>
        <w:tc>
          <w:tcPr>
            <w:tcW w:w="3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pPr>
            <w:r>
              <w:rPr/>
              <w:t>30,471</w:t>
            </w:r>
          </w:p>
        </w:tc>
        <w:tc>
          <w:tcPr>
            <w:tcW w:w="60"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w:t>
            </w:r>
          </w:p>
        </w:tc>
        <w:tc>
          <w:tcPr>
            <w:tcW w:w="280" w:type="dxa"/>
            <w:tcBorders/>
            <w:shd w:fill="CCEEFF" w:val="clear"/>
            <w:vAlign w:val="bottom"/>
          </w:tcPr>
          <w:p>
            <w:pPr>
              <w:pStyle w:val="TableContents"/>
              <w:spacing w:before="0" w:after="283"/>
              <w:rPr/>
            </w:pPr>
            <w:r>
              <w:rPr/>
              <w:t> </w:t>
            </w:r>
          </w:p>
        </w:tc>
      </w:tr>
      <w:tr>
        <w:trPr/>
        <w:tc>
          <w:tcPr>
            <w:tcW w:w="4520" w:type="dxa"/>
            <w:tcBorders/>
            <w:shd w:fill="auto" w:val="clear"/>
          </w:tcPr>
          <w:p>
            <w:pPr>
              <w:pStyle w:val="TableContents"/>
              <w:spacing w:before="0" w:after="0"/>
              <w:rPr>
                <w:rFonts w:ascii="Times New Roman" w:hAnsi="Times New Roman"/>
                <w:sz w:val="20"/>
              </w:rPr>
            </w:pPr>
            <w:r>
              <w:rPr>
                <w:rFonts w:ascii="Times New Roman" w:hAnsi="Times New Roman"/>
                <w:sz w:val="20"/>
              </w:rPr>
              <w:t>Geoff Nichol(12)</w:t>
            </w:r>
          </w:p>
        </w:tc>
        <w:tc>
          <w:tcPr>
            <w:tcW w:w="3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pPr>
            <w:r>
              <w:rPr/>
              <w:t>6,269</w:t>
            </w:r>
          </w:p>
        </w:tc>
        <w:tc>
          <w:tcPr>
            <w:tcW w:w="60"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w:t>
            </w:r>
          </w:p>
        </w:tc>
        <w:tc>
          <w:tcPr>
            <w:tcW w:w="280" w:type="dxa"/>
            <w:tcBorders/>
            <w:shd w:fill="auto" w:val="clear"/>
            <w:vAlign w:val="bottom"/>
          </w:tcPr>
          <w:p>
            <w:pPr>
              <w:pStyle w:val="TableContents"/>
              <w:spacing w:before="0" w:after="283"/>
              <w:rPr/>
            </w:pPr>
            <w:r>
              <w:rPr/>
              <w:t> </w:t>
            </w:r>
          </w:p>
        </w:tc>
      </w:tr>
      <w:tr>
        <w:trPr/>
        <w:tc>
          <w:tcPr>
            <w:tcW w:w="4520" w:type="dxa"/>
            <w:tcBorders/>
            <w:shd w:fill="CCEEFF" w:val="clear"/>
          </w:tcPr>
          <w:p>
            <w:pPr>
              <w:pStyle w:val="TableContents"/>
              <w:spacing w:before="0" w:after="0"/>
              <w:rPr>
                <w:rFonts w:ascii="Times New Roman" w:hAnsi="Times New Roman"/>
                <w:sz w:val="20"/>
              </w:rPr>
            </w:pPr>
            <w:r>
              <w:rPr>
                <w:rFonts w:ascii="Times New Roman" w:hAnsi="Times New Roman"/>
                <w:sz w:val="20"/>
              </w:rPr>
              <w:t>Christine Pellizzari(13)</w:t>
            </w:r>
          </w:p>
        </w:tc>
        <w:tc>
          <w:tcPr>
            <w:tcW w:w="3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pPr>
            <w:r>
              <w:rPr/>
              <w:t>3,869</w:t>
            </w:r>
          </w:p>
        </w:tc>
        <w:tc>
          <w:tcPr>
            <w:tcW w:w="60"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w:t>
            </w:r>
          </w:p>
        </w:tc>
        <w:tc>
          <w:tcPr>
            <w:tcW w:w="280" w:type="dxa"/>
            <w:tcBorders/>
            <w:shd w:fill="CCEEFF" w:val="clear"/>
            <w:vAlign w:val="bottom"/>
          </w:tcPr>
          <w:p>
            <w:pPr>
              <w:pStyle w:val="TableContents"/>
              <w:spacing w:before="0" w:after="283"/>
              <w:rPr/>
            </w:pPr>
            <w:r>
              <w:rPr/>
              <w:t> </w:t>
            </w:r>
          </w:p>
        </w:tc>
      </w:tr>
      <w:tr>
        <w:trPr/>
        <w:tc>
          <w:tcPr>
            <w:tcW w:w="4520" w:type="dxa"/>
            <w:tcBorders/>
            <w:shd w:fill="auto" w:val="clear"/>
          </w:tcPr>
          <w:p>
            <w:pPr>
              <w:pStyle w:val="TableContents"/>
              <w:spacing w:before="0" w:after="0"/>
              <w:rPr>
                <w:rFonts w:ascii="Times New Roman" w:hAnsi="Times New Roman"/>
                <w:sz w:val="20"/>
              </w:rPr>
            </w:pPr>
            <w:r>
              <w:rPr>
                <w:rFonts w:ascii="Times New Roman" w:hAnsi="Times New Roman"/>
                <w:sz w:val="20"/>
              </w:rPr>
              <w:t>Ronit Simantov(14)</w:t>
            </w:r>
          </w:p>
        </w:tc>
        <w:tc>
          <w:tcPr>
            <w:tcW w:w="3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pPr>
            <w:r>
              <w:rPr/>
              <w:t>3,684</w:t>
            </w:r>
          </w:p>
        </w:tc>
        <w:tc>
          <w:tcPr>
            <w:tcW w:w="60"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w:t>
            </w:r>
          </w:p>
        </w:tc>
        <w:tc>
          <w:tcPr>
            <w:tcW w:w="280" w:type="dxa"/>
            <w:tcBorders/>
            <w:shd w:fill="auto" w:val="clear"/>
            <w:vAlign w:val="bottom"/>
          </w:tcPr>
          <w:p>
            <w:pPr>
              <w:pStyle w:val="TableContents"/>
              <w:spacing w:before="0" w:after="283"/>
              <w:rPr/>
            </w:pPr>
            <w:r>
              <w:rPr/>
              <w:t> </w:t>
            </w:r>
          </w:p>
        </w:tc>
      </w:tr>
      <w:tr>
        <w:trPr/>
        <w:tc>
          <w:tcPr>
            <w:tcW w:w="4520" w:type="dxa"/>
            <w:tcBorders/>
            <w:shd w:fill="CCEEFF" w:val="clear"/>
          </w:tcPr>
          <w:p>
            <w:pPr>
              <w:pStyle w:val="TableContents"/>
              <w:spacing w:before="0" w:after="0"/>
              <w:rPr>
                <w:rFonts w:ascii="Times New Roman" w:hAnsi="Times New Roman"/>
                <w:sz w:val="20"/>
              </w:rPr>
            </w:pPr>
            <w:r>
              <w:rPr>
                <w:rFonts w:ascii="Times New Roman" w:hAnsi="Times New Roman"/>
                <w:sz w:val="20"/>
              </w:rPr>
              <w:t>Thomas Woiwode(15)</w:t>
            </w:r>
          </w:p>
        </w:tc>
        <w:tc>
          <w:tcPr>
            <w:tcW w:w="3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pPr>
            <w:r>
              <w:rPr/>
              <w:t>3,869</w:t>
            </w:r>
          </w:p>
        </w:tc>
        <w:tc>
          <w:tcPr>
            <w:tcW w:w="60"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w:t>
            </w:r>
          </w:p>
        </w:tc>
        <w:tc>
          <w:tcPr>
            <w:tcW w:w="280" w:type="dxa"/>
            <w:tcBorders/>
            <w:shd w:fill="CCEEFF" w:val="clear"/>
            <w:vAlign w:val="bottom"/>
          </w:tcPr>
          <w:p>
            <w:pPr>
              <w:pStyle w:val="TableContents"/>
              <w:spacing w:before="0" w:after="283"/>
              <w:rPr/>
            </w:pPr>
            <w:r>
              <w:rPr/>
              <w:t> </w:t>
            </w:r>
          </w:p>
        </w:tc>
      </w:tr>
      <w:tr>
        <w:trPr/>
        <w:tc>
          <w:tcPr>
            <w:tcW w:w="4520" w:type="dxa"/>
            <w:tcBorders/>
            <w:shd w:fill="auto" w:val="clear"/>
          </w:tcPr>
          <w:p>
            <w:pPr>
              <w:pStyle w:val="TableContents"/>
              <w:spacing w:before="0" w:after="0"/>
              <w:rPr>
                <w:rFonts w:ascii="Times New Roman" w:hAnsi="Times New Roman"/>
                <w:b/>
                <w:i/>
                <w:sz w:val="20"/>
              </w:rPr>
            </w:pPr>
            <w:r>
              <w:rPr>
                <w:rFonts w:ascii="Times New Roman" w:hAnsi="Times New Roman"/>
                <w:b/>
                <w:i/>
                <w:sz w:val="20"/>
              </w:rPr>
              <w:t>All directors and named executive officers as a group</w:t>
              <w:br/>
              <w:t>(9 persons)</w:t>
            </w:r>
          </w:p>
        </w:tc>
        <w:tc>
          <w:tcPr>
            <w:tcW w:w="3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pPr>
            <w:r>
              <w:rPr/>
              <w:t>644,576</w:t>
            </w:r>
          </w:p>
        </w:tc>
        <w:tc>
          <w:tcPr>
            <w:tcW w:w="60"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5.8</w:t>
            </w:r>
          </w:p>
        </w:tc>
        <w:tc>
          <w:tcPr>
            <w:tcW w:w="280"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Less than one percent.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address for each director and executive officer is c/o Tempest Therapeutics, Inc., 2000 Sierra Point Parkway, Suite 400, Brisbane, California, 94005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647,898 shares of common stock held by F-Prime Capital Partners Healthcare Fund V LP. F-Prime Capital Partners Healthcare Advisors Fund V LP is the general partner of F-Prime Capital Partners Healthcare Fund V LP. F-Prime Capital Partners Healthcare Advisors Fund V LP is solely managed by Impresa Management LLC, the managing member of its general partner and its investment manager.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vAlign w:val="center"/>
          </w:tcPr>
          <w:p>
            <w:pPr>
              <w:pStyle w:val="TableContents"/>
              <w:spacing w:before="0" w:after="283"/>
              <w:rPr/>
            </w:pPr>
            <w:r>
              <w:rPr/>
              <w:t> </w:t>
            </w:r>
          </w:p>
        </w:tc>
        <w:tc>
          <w:tcPr>
            <w:tcW w:w="9799" w:type="dxa"/>
            <w:tcBorders/>
            <w:shd w:fill="auto" w:val="clear"/>
          </w:tcPr>
          <w:p>
            <w:pPr>
              <w:pStyle w:val="TableContents"/>
              <w:spacing w:before="0" w:after="283"/>
              <w:jc w:val="left"/>
              <w:rPr/>
            </w:pPr>
            <w:r>
              <w:rPr/>
              <w:t xml:space="preserve">Impresa Management LLC is owned, directly or indirectly, by various stockholders and employees of FMR LLC. Each the entities listed above expressly disclaims beneficial ownership of the securities listed above except to the extent of any pecuniary interest therein, if any. The address of these entities is 245 Summer Street, Boston, Massachusetts 02210.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(4)</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579,710 shares of common stock held by Quan Venture Fund I, L.P. The general partner of Quan Venture Fund I, L.P. is Quan Venture Partners I, L.L.C. Dr. Xu, a former member of Tempests board of directors, is a manager of Quan Venture Partners I, L.L.C. and shares the ultimate power to vote or dispose of the shares held by Quan Venture Fund I, L.P. Dr. Xu disclaims beneficial ownership of the shares held by Quan Capital, except to the extent of her pecuniary interest, if any. The address of Dr. Xu and Quan Venture Fund I, L.P. is c/o Maples Corporate Services Ltd., PO Box 309, Ugland House Grand Cayman, Cayman Islands KY1-1104.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indicated ownership is based solely on a Schedule 13G/A filed with the SEC by the reporting person on February 14, 2023. Represents 823,654 shares, as reported on Schedule 13G/A filed with the SEC on February 14, 2023 on behalf of Rock Springs Capital Management LP, Rock Springs Capital LLC and Rock Springs Capital Master Fund LP (collectively, the </w:t>
            </w:r>
            <w:r>
              <w:rPr>
                <w:rFonts w:ascii="Times New Roman" w:hAnsi="Times New Roman"/>
                <w:b/>
                <w:i/>
                <w:sz w:val="20"/>
              </w:rPr>
              <w:t>Rock Springs Reporting Persons</w:t>
            </w:r>
            <w:r>
              <w:rPr>
                <w:rFonts w:ascii="Times New Roman" w:hAnsi="Times New Roman"/>
                <w:sz w:val="20"/>
              </w:rPr>
              <w:t xml:space="preserve">) pursuant to a joint filing agreement. The Rock Springs Reporting Persons may be deemed to have shared voting and dispositive power with respect to the shares held by them, and may be deemed beneficial owners of such shares. The principal business address of the Rock Springs Reporting Persons is 650 South Exeter, Suite 1070, Baltimore, MD 21202.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(6)</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indicated ownership is based solely on a Schedule 13G filed with the SEC by Versant Venture Capital IV, L.P. (</w:t>
            </w:r>
            <w:r>
              <w:rPr>
                <w:rFonts w:ascii="Times New Roman" w:hAnsi="Times New Roman"/>
                <w:b/>
                <w:i/>
                <w:sz w:val="20"/>
              </w:rPr>
              <w:t>Versant IV</w:t>
            </w:r>
            <w:r>
              <w:rPr>
                <w:rFonts w:ascii="Times New Roman" w:hAnsi="Times New Roman"/>
                <w:sz w:val="20"/>
              </w:rPr>
              <w:t>), Versant Side Fund IV, L.P. (</w:t>
            </w:r>
            <w:r>
              <w:rPr>
                <w:rFonts w:ascii="Times New Roman" w:hAnsi="Times New Roman"/>
                <w:b/>
                <w:i/>
                <w:sz w:val="20"/>
              </w:rPr>
              <w:t>Side Fund IV</w:t>
            </w:r>
            <w:r>
              <w:rPr>
                <w:rFonts w:ascii="Times New Roman" w:hAnsi="Times New Roman"/>
                <w:sz w:val="20"/>
              </w:rPr>
              <w:t>), Versant Ventures IV, LLC (</w:t>
            </w:r>
            <w:r>
              <w:rPr>
                <w:rFonts w:ascii="Times New Roman" w:hAnsi="Times New Roman"/>
                <w:b/>
                <w:i/>
                <w:sz w:val="20"/>
              </w:rPr>
              <w:t>LLC IV</w:t>
            </w:r>
            <w:r>
              <w:rPr>
                <w:rFonts w:ascii="Times New Roman" w:hAnsi="Times New Roman"/>
                <w:sz w:val="20"/>
              </w:rPr>
              <w:t>), Versant Venture Capital VI, L.P. (</w:t>
            </w:r>
            <w:r>
              <w:rPr>
                <w:rFonts w:ascii="Times New Roman" w:hAnsi="Times New Roman"/>
                <w:b/>
                <w:i/>
                <w:sz w:val="20"/>
              </w:rPr>
              <w:t>Versant VI</w:t>
            </w:r>
            <w:r>
              <w:rPr>
                <w:rFonts w:ascii="Times New Roman" w:hAnsi="Times New Roman"/>
                <w:sz w:val="20"/>
              </w:rPr>
              <w:t>), Versant Ventures VI GP, L.P. (</w:t>
            </w:r>
            <w:r>
              <w:rPr>
                <w:rFonts w:ascii="Times New Roman" w:hAnsi="Times New Roman"/>
                <w:b/>
                <w:i/>
                <w:sz w:val="20"/>
              </w:rPr>
              <w:t>GP VI</w:t>
            </w:r>
            <w:r>
              <w:rPr>
                <w:rFonts w:ascii="Times New Roman" w:hAnsi="Times New Roman"/>
                <w:sz w:val="20"/>
              </w:rPr>
              <w:t>), Versant Ventures VI GP-GP, LLC (</w:t>
            </w:r>
            <w:r>
              <w:rPr>
                <w:rFonts w:ascii="Times New Roman" w:hAnsi="Times New Roman"/>
                <w:b/>
                <w:i/>
                <w:sz w:val="20"/>
              </w:rPr>
              <w:t>LLC VI</w:t>
            </w:r>
            <w:r>
              <w:rPr>
                <w:rFonts w:ascii="Times New Roman" w:hAnsi="Times New Roman"/>
                <w:sz w:val="20"/>
              </w:rPr>
              <w:t>), Versant Vantage II, L.P. (</w:t>
            </w:r>
            <w:r>
              <w:rPr>
                <w:rFonts w:ascii="Times New Roman" w:hAnsi="Times New Roman"/>
                <w:b/>
                <w:i/>
                <w:sz w:val="20"/>
              </w:rPr>
              <w:t>Vantage II LP</w:t>
            </w:r>
            <w:r>
              <w:rPr>
                <w:rFonts w:ascii="Times New Roman" w:hAnsi="Times New Roman"/>
                <w:sz w:val="20"/>
              </w:rPr>
              <w:t>), Versant Vantage II GP, L.P. (</w:t>
            </w:r>
            <w:r>
              <w:rPr>
                <w:rFonts w:ascii="Times New Roman" w:hAnsi="Times New Roman"/>
                <w:b/>
                <w:i/>
                <w:sz w:val="20"/>
              </w:rPr>
              <w:t>Vantage II GP</w:t>
            </w:r>
            <w:r>
              <w:rPr>
                <w:rFonts w:ascii="Times New Roman" w:hAnsi="Times New Roman"/>
                <w:sz w:val="20"/>
              </w:rPr>
              <w:t>), Versant Vantage II GP-GP, LLC (</w:t>
            </w:r>
            <w:r>
              <w:rPr>
                <w:rFonts w:ascii="Times New Roman" w:hAnsi="Times New Roman"/>
                <w:b/>
                <w:i/>
                <w:sz w:val="20"/>
              </w:rPr>
              <w:t>Vantage II LLC</w:t>
            </w:r>
            <w:r>
              <w:rPr>
                <w:rFonts w:ascii="Times New Roman" w:hAnsi="Times New Roman"/>
                <w:sz w:val="20"/>
              </w:rPr>
              <w:t> and, with Versant IV, Side Fund IV, LLC IV, Versant VI, GP VI, LLC VI, Vantage II LP and Vantage II GP, collectively, the </w:t>
            </w:r>
            <w:r>
              <w:rPr>
                <w:rFonts w:ascii="Times New Roman" w:hAnsi="Times New Roman"/>
                <w:b/>
                <w:i/>
                <w:sz w:val="20"/>
              </w:rPr>
              <w:t>Versant Reporting Persons</w:t>
            </w:r>
            <w:r>
              <w:rPr>
                <w:rFonts w:ascii="Times New Roman" w:hAnsi="Times New Roman"/>
                <w:sz w:val="20"/>
              </w:rPr>
              <w:t xml:space="preserve">). LLC IV is the general partner of Versant IV and Side Fund IV, and LLC IV has voting and dispositive power over the shares held by Versant IV and Side Fund IV. LLC VI is the general partner of GP VI, which is the general partner of Versant VI. Each of LLC VI and GP VI share voting and dispositive power over the shares held by Versant VI. Vantage II LLC is the general partner of Vantage II GP, which is the general partner of Vantage II LP. Each of Vantage II LLC and Vantage II GP share voting and dispositive power over the shares held by Vantage II LP. Represents (i) 997,940 shares of common stock held by Versant VI, (ii) 2,118,644 shares of common stock held by Vantage II LP, (iii) 1,171,094 shares of common stock held by Versant IV, and (iv) 7,377 shares of common stock held by Side Fund IV, as reported on Schedule 13G filed with the SEC on May 9, 2022. Dr. Woiwode, a member of our Board, Kirk Nielsen, Bradley Bolzon, Robin Praeger, William Link, Samuel Colella, Rebecca Robertson, Brian Atwood, Ross Jaffe and Charles Warden, the managing members of LLC IV, may be deemed to possess voting and dispositive control over the shares held by Versant IV and Side Fund IV, and may be deemed to have indirect beneficial ownership of the shares held by such entities but disclaims beneficial ownership of such securities, except to the extent of their respective pecuniary interest therein, if any. Dr. Woiwode, Bradley Bolzon, Jerel Davis, Kirk Nielsen, Clare Ozawa and Robin Praeger, the managing directors of LLC VI, may be deemed to possess voting and dispositive control over the shares held by Versant VI and may be deemed to have indirect beneficial ownership of the shares held by such entity but disclaims beneficial ownership of such securities, except to the extent of their respective pecuniary interest therein, if any. The address of Dr. Woiwode and each of these persons and entities is One Sansome, Suite 3630, San Francisco, CA 94104.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(7)</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indicated ownership is based on a Schedule 13G filed with the SEC by EcoR1 Capital Fund Qualified, L.P. (the </w:t>
            </w:r>
            <w:r>
              <w:rPr>
                <w:rFonts w:ascii="Times New Roman" w:hAnsi="Times New Roman"/>
                <w:b/>
                <w:i/>
                <w:sz w:val="20"/>
              </w:rPr>
              <w:t>Qualified Fund</w:t>
            </w:r>
            <w:r>
              <w:rPr>
                <w:rFonts w:ascii="Times New Roman" w:hAnsi="Times New Roman"/>
                <w:sz w:val="20"/>
              </w:rPr>
              <w:t>), EcoR1 Capital, LLC (</w:t>
            </w:r>
            <w:r>
              <w:rPr>
                <w:rFonts w:ascii="Times New Roman" w:hAnsi="Times New Roman"/>
                <w:b/>
                <w:i/>
                <w:sz w:val="20"/>
              </w:rPr>
              <w:t>EcoR1</w:t>
            </w:r>
            <w:r>
              <w:rPr>
                <w:rFonts w:ascii="Times New Roman" w:hAnsi="Times New Roman"/>
                <w:sz w:val="20"/>
              </w:rPr>
              <w:t>) and Oleg Nodelman (</w:t>
            </w:r>
            <w:r>
              <w:rPr>
                <w:rFonts w:ascii="Times New Roman" w:hAnsi="Times New Roman"/>
                <w:b/>
                <w:i/>
                <w:sz w:val="20"/>
              </w:rPr>
              <w:t>Nodelman</w:t>
            </w:r>
            <w:r>
              <w:rPr>
                <w:rFonts w:ascii="Times New Roman" w:hAnsi="Times New Roman"/>
                <w:sz w:val="20"/>
              </w:rPr>
              <w:t>) on February 14, 2023 (collectively, the </w:t>
            </w:r>
            <w:r>
              <w:rPr>
                <w:rFonts w:ascii="Times New Roman" w:hAnsi="Times New Roman"/>
                <w:b/>
                <w:i/>
                <w:sz w:val="20"/>
              </w:rPr>
              <w:t>EcoR1 Filers</w:t>
            </w:r>
            <w:r>
              <w:rPr>
                <w:rFonts w:ascii="Times New Roman" w:hAnsi="Times New Roman"/>
                <w:sz w:val="20"/>
              </w:rPr>
              <w:t>), as updated by information known to us as of March 1, 2023. The number shares of the common stock beneficially owned by EcoR1 and Mr. Nodelman reported includes (i) 1,031,268 shares of the common stock and (ii) 26,492 shares of the common stock issuable on exercise of pre-funded warrants to purchase shares of the common stock (the </w:t>
            </w:r>
            <w:r>
              <w:rPr>
                <w:rFonts w:ascii="Times New Roman" w:hAnsi="Times New Roman"/>
                <w:b/>
                <w:i/>
                <w:sz w:val="20"/>
              </w:rPr>
              <w:t>2022 Pre-Funded Warrants</w:t>
            </w:r>
            <w:r>
              <w:rPr>
                <w:rFonts w:ascii="Times New Roman" w:hAnsi="Times New Roman"/>
                <w:sz w:val="20"/>
              </w:rPr>
              <w:t xml:space="preserve">), which excludes 3,179,528 shares of the common stock issuable on exercise of the remaining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vAlign w:val="center"/>
          </w:tcPr>
          <w:p>
            <w:pPr>
              <w:pStyle w:val="TableContents"/>
              <w:spacing w:before="0" w:after="283"/>
              <w:rPr/>
            </w:pPr>
            <w:r>
              <w:rPr/>
              <w:t> </w:t>
            </w:r>
          </w:p>
        </w:tc>
        <w:tc>
          <w:tcPr>
            <w:tcW w:w="9799" w:type="dxa"/>
            <w:tcBorders/>
            <w:shd w:fill="auto" w:val="clear"/>
          </w:tcPr>
          <w:p>
            <w:pPr>
              <w:pStyle w:val="TableContents"/>
              <w:spacing w:before="0" w:after="283"/>
              <w:jc w:val="left"/>
              <w:rPr/>
            </w:pPr>
            <w:r>
              <w:rPr/>
              <w:t>2022 Pre-Funded Warrants due to a 9.99% ownership limitation in the 2022 Pre-Funded Warrants that limits the exercise of the prefunded warrants by the EcoR1 Filers (the </w:t>
            </w:r>
            <w:r>
              <w:rPr>
                <w:b/>
                <w:i/>
              </w:rPr>
              <w:t>2022 Pre-Funded Warrant Blocker</w:t>
            </w:r>
            <w:r>
              <w:rPr/>
              <w:t xml:space="preserve">). The number of shares of the common stock beneficially owned by Qualified Fund reported includes shared ownership over (x) 963,204 shares of the common stock and (y) 26,492 shares of the common stock issuable on exercise of 2022 Pre-Funded Warrants, which excludes 2,992,326 shares of the common stock issuable on exercise of the 2022 Pre-Funded Warrants due to the 2022 Pre-Funded Warrant Blocker. Each EcoR1 Filer disclaims beneficial ownership of the common stock except to the extent of that persons pecuniary interest therein. The principal business address of the EcoR1 Filers is 357 Tehama Street #3, San Francisco, CA 94103.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(8)</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(i) 3,000 shares of common stock and (ii) 228,605 shares of common stock subject to options that are exercisable within 60 days of March 1, 2023.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(9)</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(i) 113,343 shares of common stock and (ii) 114,633 shares of common stock subject to options that are exercisable within 60 days of March 1, 2023.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(10)</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(i) 4,901 shares of common stock and (ii) 60,291 shares of common stock subject to options that are exercisable within 60 days of March 1, 2023.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30,471 shares of common stock subject to options that are exercisable within 60 days of March 1, 2023.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6,269 shares of common stock subject to options that are exercisable within 60 days of March 1, 2023.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3,869 shares of common stock subject to options that are exercisable within 60 days of March 1, 2023.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(14)</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3,684 shares of common stock subject to options that are exercisable within 60 days of March 1, 2023.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3,869 shares of common stock subject to options that are exercisable within 60 days of March 1, 2023.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4" w:name="tx456303_12"/>
      <w:bookmarkEnd w:id="14"/>
      <w:r>
        <w:rPr>
          <w:rFonts w:ascii="Times New Roman" w:hAnsi="Times New Roman"/>
          <w:b/>
          <w:sz w:val="20"/>
        </w:rPr>
        <w:t xml:space="preserve">TRANSACTIONS WITH RELATED PERSONS AND INDEMNIFICATION </w:t>
      </w:r>
    </w:p>
    <w:p>
      <w:pPr>
        <w:pStyle w:val="TextBody"/>
        <w:spacing w:before="240" w:after="0"/>
        <w:jc w:val="left"/>
        <w:rPr>
          <w:rFonts w:ascii="Times New Roman" w:hAnsi="Times New Roman"/>
          <w:b/>
          <w:sz w:val="20"/>
        </w:rPr>
      </w:pPr>
      <w:r>
        <w:rPr>
          <w:rFonts w:ascii="Times New Roman" w:hAnsi="Times New Roman"/>
          <w:b/>
          <w:sz w:val="20"/>
        </w:rPr>
        <w:t xml:space="preserve">RELATED PERSON TRANSACTIONS POLICY AND PROCEDURES </w:t>
      </w:r>
    </w:p>
    <w:p>
      <w:pPr>
        <w:pStyle w:val="TextBody"/>
        <w:spacing w:before="120" w:after="0"/>
        <w:jc w:val="left"/>
        <w:rPr>
          <w:rFonts w:ascii="Times New Roman" w:hAnsi="Times New Roman"/>
          <w:sz w:val="20"/>
        </w:rPr>
      </w:pPr>
      <w:r>
        <w:rPr>
          <w:rFonts w:ascii="Times New Roman" w:hAnsi="Times New Roman"/>
          <w:sz w:val="20"/>
        </w:rPr>
        <w:t xml:space="preserve">We have adopted a written Related Person Transactions Policy that sets forth our policies and procedures regarding the identification, review, consideration and approval or ratification of related-persons transactions. For purposes of our policy only, a related-person transaction is a transaction, arrangement or relationship (or any series of similar transactions, arrangements or relationships) in which we and any related person are participants involving an amount that exceeds or will exceed $120,000 or, during such time as we qualify as a smaller reporting company, the lesser of (1) $120,000 or (2) 1% of the average of our total assets for the last two completed fiscal years. Transactions involving compensation for services provided to us as an employee, director, consultant or similar capacity by a related person are not covered by this policy. A related person is any executive officer, director, or a holder of more than 5% of our capital stock, including any of their immediate family members, and any entity owned or controlled by such persons. </w:t>
      </w:r>
    </w:p>
    <w:p>
      <w:pPr>
        <w:pStyle w:val="TextBody"/>
        <w:spacing w:before="360" w:after="0"/>
        <w:jc w:val="left"/>
        <w:rPr>
          <w:rFonts w:ascii="Times New Roman" w:hAnsi="Times New Roman"/>
          <w:b/>
          <w:sz w:val="20"/>
        </w:rPr>
      </w:pPr>
      <w:r>
        <w:rPr>
          <w:rFonts w:ascii="Times New Roman" w:hAnsi="Times New Roman"/>
          <w:b/>
          <w:sz w:val="20"/>
        </w:rPr>
        <w:t xml:space="preserve">CERTAIN RELATED PERSON TRANSACTIONS </w:t>
      </w:r>
    </w:p>
    <w:p>
      <w:pPr>
        <w:pStyle w:val="TextBody"/>
        <w:spacing w:before="120" w:after="0"/>
        <w:jc w:val="left"/>
        <w:rPr>
          <w:rFonts w:ascii="Times New Roman" w:hAnsi="Times New Roman"/>
          <w:sz w:val="20"/>
        </w:rPr>
      </w:pPr>
      <w:r>
        <w:rPr>
          <w:rFonts w:ascii="Times New Roman" w:hAnsi="Times New Roman"/>
          <w:sz w:val="20"/>
        </w:rPr>
        <w:t xml:space="preserve">Other than compensation arrangements for our directors and executive officers, which are described in the section titled Executive and Director Compensation, the following is a description of our related person transactions since January 1, 2021 to which we were a party or will be a party. </w:t>
      </w:r>
    </w:p>
    <w:p>
      <w:pPr>
        <w:pStyle w:val="TextBody"/>
        <w:spacing w:before="360" w:after="0"/>
        <w:jc w:val="left"/>
        <w:rPr>
          <w:rFonts w:ascii="Times New Roman" w:hAnsi="Times New Roman"/>
          <w:b/>
          <w:i/>
          <w:sz w:val="20"/>
        </w:rPr>
      </w:pPr>
      <w:r>
        <w:rPr>
          <w:rFonts w:ascii="Times New Roman" w:hAnsi="Times New Roman"/>
          <w:b/>
          <w:i/>
          <w:sz w:val="20"/>
        </w:rPr>
        <w:t xml:space="preserve">Funding Agreements </w:t>
      </w:r>
    </w:p>
    <w:p>
      <w:pPr>
        <w:pStyle w:val="TextBody"/>
        <w:spacing w:before="120" w:after="0"/>
        <w:jc w:val="left"/>
        <w:rPr>
          <w:rFonts w:ascii="Times New Roman" w:hAnsi="Times New Roman"/>
          <w:sz w:val="20"/>
        </w:rPr>
      </w:pPr>
      <w:r>
        <w:rPr>
          <w:rFonts w:ascii="Times New Roman" w:hAnsi="Times New Roman"/>
          <w:sz w:val="20"/>
        </w:rPr>
        <w:t xml:space="preserve">Immediately prior to the delivery of the merger agreement, Legacy Tempest entered into funding agreements with certain investors, pursuant to which the investors agreed to purchase an aggregate of 35,305,882 shares of Legacy Tempests common stock at a purchase price of $0.85 per share for an aggregate purchase price of approximately $30.0 million. The closing of the Legacy Tempest pre-closing financing contemplated by the funding agreements is conditioned upon the satisfaction or waiver of the conditions to the closing of the Merger as well as certain other conditions, as set forth in the funding agreements. The following table summarizes the shares of Legacy Tempest common stock that members of Legacy Tempests board of directors or their affiliates and holders of more than 5% of Legacy Tempests outstanding capital stock agreed to purchase under the funding agreements.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3694"/>
        <w:gridCol w:w="376"/>
        <w:gridCol w:w="92"/>
        <w:gridCol w:w="1511"/>
        <w:gridCol w:w="60"/>
        <w:gridCol w:w="376"/>
        <w:gridCol w:w="90"/>
        <w:gridCol w:w="1491"/>
        <w:gridCol w:w="65"/>
      </w:tblGrid>
      <w:tr>
        <w:trPr/>
        <w:tc>
          <w:tcPr>
            <w:tcW w:w="3694"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bottom"/>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15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bottom"/>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91"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3694"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of Stockholder</w:t>
            </w:r>
          </w:p>
        </w:tc>
        <w:tc>
          <w:tcPr>
            <w:tcW w:w="376" w:type="dxa"/>
            <w:tcBorders/>
            <w:shd w:fill="auto" w:val="clear"/>
            <w:vAlign w:val="bottom"/>
          </w:tcPr>
          <w:p>
            <w:pPr>
              <w:pStyle w:val="TableContents"/>
              <w:spacing w:before="0" w:after="283"/>
              <w:rPr/>
            </w:pPr>
            <w:r>
              <w:rPr/>
              <w:t>  </w:t>
            </w:r>
          </w:p>
        </w:tc>
        <w:tc>
          <w:tcPr>
            <w:tcW w:w="160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 of</w:t>
              <w:br/>
              <w:t>Common Stock</w:t>
            </w:r>
          </w:p>
        </w:tc>
        <w:tc>
          <w:tcPr>
            <w:tcW w:w="6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8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 Purchase</w:t>
              <w:br/>
              <w:t>Price ($)</w:t>
            </w:r>
          </w:p>
        </w:tc>
        <w:tc>
          <w:tcPr>
            <w:tcW w:w="65" w:type="dxa"/>
            <w:tcBorders/>
            <w:shd w:fill="auto" w:val="clear"/>
            <w:vAlign w:val="bottom"/>
          </w:tcPr>
          <w:p>
            <w:pPr>
              <w:pStyle w:val="TableContents"/>
              <w:spacing w:before="0" w:after="283"/>
              <w:rPr/>
            </w:pPr>
            <w:r>
              <w:rPr/>
              <w:t> </w:t>
            </w:r>
          </w:p>
        </w:tc>
      </w:tr>
      <w:tr>
        <w:trPr/>
        <w:tc>
          <w:tcPr>
            <w:tcW w:w="3694" w:type="dxa"/>
            <w:tcBorders/>
            <w:shd w:fill="CCEEFF" w:val="clear"/>
          </w:tcPr>
          <w:p>
            <w:pPr>
              <w:pStyle w:val="TableContents"/>
              <w:spacing w:before="0" w:after="0"/>
              <w:rPr>
                <w:rFonts w:ascii="Times New Roman" w:hAnsi="Times New Roman"/>
                <w:sz w:val="20"/>
              </w:rPr>
            </w:pPr>
            <w:r>
              <w:rPr>
                <w:rFonts w:ascii="Times New Roman" w:hAnsi="Times New Roman"/>
                <w:sz w:val="20"/>
              </w:rPr>
              <w:t>Versant Venture Capital IV, L.P.</w:t>
            </w:r>
          </w:p>
        </w:tc>
        <w:tc>
          <w:tcPr>
            <w:tcW w:w="376"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1511" w:type="dxa"/>
            <w:tcBorders/>
            <w:shd w:fill="CCEEFF" w:val="clear"/>
            <w:vAlign w:val="bottom"/>
          </w:tcPr>
          <w:p>
            <w:pPr>
              <w:pStyle w:val="TableContents"/>
              <w:spacing w:before="0" w:after="283"/>
              <w:jc w:val="right"/>
              <w:rPr/>
            </w:pPr>
            <w:r>
              <w:rPr/>
              <w:t>9,352,838</w:t>
            </w:r>
          </w:p>
        </w:tc>
        <w:tc>
          <w:tcPr>
            <w:tcW w:w="60"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1491" w:type="dxa"/>
            <w:tcBorders/>
            <w:shd w:fill="CCEEFF" w:val="clear"/>
            <w:vAlign w:val="bottom"/>
          </w:tcPr>
          <w:p>
            <w:pPr>
              <w:pStyle w:val="TableContents"/>
              <w:spacing w:before="0" w:after="283"/>
              <w:jc w:val="right"/>
              <w:rPr/>
            </w:pPr>
            <w:r>
              <w:rPr/>
              <w:t>7,949,912</w:t>
            </w:r>
          </w:p>
        </w:tc>
        <w:tc>
          <w:tcPr>
            <w:tcW w:w="65" w:type="dxa"/>
            <w:tcBorders/>
            <w:shd w:fill="CCEEFF" w:val="clear"/>
            <w:vAlign w:val="bottom"/>
          </w:tcPr>
          <w:p>
            <w:pPr>
              <w:pStyle w:val="TableContents"/>
              <w:spacing w:before="0" w:after="283"/>
              <w:rPr/>
            </w:pPr>
            <w:r>
              <w:rPr/>
              <w:t> </w:t>
            </w:r>
          </w:p>
        </w:tc>
      </w:tr>
      <w:tr>
        <w:trPr/>
        <w:tc>
          <w:tcPr>
            <w:tcW w:w="3694" w:type="dxa"/>
            <w:tcBorders/>
            <w:shd w:fill="auto" w:val="clear"/>
          </w:tcPr>
          <w:p>
            <w:pPr>
              <w:pStyle w:val="TableContents"/>
              <w:spacing w:before="0" w:after="0"/>
              <w:rPr>
                <w:rFonts w:ascii="Times New Roman" w:hAnsi="Times New Roman"/>
                <w:sz w:val="20"/>
              </w:rPr>
            </w:pPr>
            <w:r>
              <w:rPr>
                <w:rFonts w:ascii="Times New Roman" w:hAnsi="Times New Roman"/>
                <w:sz w:val="20"/>
              </w:rPr>
              <w:t>Versant Side Fund IV, L.P.</w:t>
            </w:r>
          </w:p>
        </w:tc>
        <w:tc>
          <w:tcPr>
            <w:tcW w:w="376"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511" w:type="dxa"/>
            <w:tcBorders/>
            <w:shd w:fill="auto" w:val="clear"/>
            <w:vAlign w:val="bottom"/>
          </w:tcPr>
          <w:p>
            <w:pPr>
              <w:pStyle w:val="TableContents"/>
              <w:spacing w:before="0" w:after="283"/>
              <w:jc w:val="right"/>
              <w:rPr/>
            </w:pPr>
            <w:r>
              <w:rPr/>
              <w:t>58,927</w:t>
            </w:r>
          </w:p>
        </w:tc>
        <w:tc>
          <w:tcPr>
            <w:tcW w:w="6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1491" w:type="dxa"/>
            <w:tcBorders/>
            <w:shd w:fill="auto" w:val="clear"/>
            <w:vAlign w:val="bottom"/>
          </w:tcPr>
          <w:p>
            <w:pPr>
              <w:pStyle w:val="TableContents"/>
              <w:spacing w:before="0" w:after="283"/>
              <w:jc w:val="right"/>
              <w:rPr/>
            </w:pPr>
            <w:r>
              <w:rPr/>
              <w:t>50,088</w:t>
            </w:r>
          </w:p>
        </w:tc>
        <w:tc>
          <w:tcPr>
            <w:tcW w:w="65" w:type="dxa"/>
            <w:tcBorders/>
            <w:shd w:fill="auto" w:val="clear"/>
            <w:vAlign w:val="bottom"/>
          </w:tcPr>
          <w:p>
            <w:pPr>
              <w:pStyle w:val="TableContents"/>
              <w:spacing w:before="0" w:after="283"/>
              <w:rPr/>
            </w:pPr>
            <w:r>
              <w:rPr/>
              <w:t> </w:t>
            </w:r>
          </w:p>
        </w:tc>
      </w:tr>
      <w:tr>
        <w:trPr/>
        <w:tc>
          <w:tcPr>
            <w:tcW w:w="3694" w:type="dxa"/>
            <w:tcBorders/>
            <w:shd w:fill="CCEEFF" w:val="clear"/>
          </w:tcPr>
          <w:p>
            <w:pPr>
              <w:pStyle w:val="TableContents"/>
              <w:spacing w:before="0" w:after="0"/>
              <w:rPr>
                <w:rFonts w:ascii="Times New Roman" w:hAnsi="Times New Roman"/>
                <w:sz w:val="20"/>
              </w:rPr>
            </w:pPr>
            <w:r>
              <w:rPr>
                <w:rFonts w:ascii="Times New Roman" w:hAnsi="Times New Roman"/>
                <w:sz w:val="20"/>
              </w:rPr>
              <w:t>F-Prime Capital Partners Healthcare Fund V LP</w:t>
            </w:r>
          </w:p>
        </w:tc>
        <w:tc>
          <w:tcPr>
            <w:tcW w:w="376"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1511" w:type="dxa"/>
            <w:tcBorders/>
            <w:shd w:fill="CCEEFF" w:val="clear"/>
            <w:vAlign w:val="bottom"/>
          </w:tcPr>
          <w:p>
            <w:pPr>
              <w:pStyle w:val="TableContents"/>
              <w:spacing w:before="0" w:after="283"/>
              <w:jc w:val="right"/>
              <w:rPr/>
            </w:pPr>
            <w:r>
              <w:rPr/>
              <w:t>5,352,941</w:t>
            </w:r>
          </w:p>
        </w:tc>
        <w:tc>
          <w:tcPr>
            <w:tcW w:w="60"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1491" w:type="dxa"/>
            <w:tcBorders/>
            <w:shd w:fill="CCEEFF" w:val="clear"/>
            <w:vAlign w:val="bottom"/>
          </w:tcPr>
          <w:p>
            <w:pPr>
              <w:pStyle w:val="TableContents"/>
              <w:spacing w:before="0" w:after="283"/>
              <w:jc w:val="right"/>
              <w:rPr/>
            </w:pPr>
            <w:r>
              <w:rPr/>
              <w:t>4,550,000</w:t>
            </w:r>
          </w:p>
        </w:tc>
        <w:tc>
          <w:tcPr>
            <w:tcW w:w="65" w:type="dxa"/>
            <w:tcBorders/>
            <w:shd w:fill="CCEEFF" w:val="clear"/>
            <w:vAlign w:val="bottom"/>
          </w:tcPr>
          <w:p>
            <w:pPr>
              <w:pStyle w:val="TableContents"/>
              <w:spacing w:before="0" w:after="283"/>
              <w:rPr/>
            </w:pPr>
            <w:r>
              <w:rPr/>
              <w:t> </w:t>
            </w:r>
          </w:p>
        </w:tc>
      </w:tr>
      <w:tr>
        <w:trPr/>
        <w:tc>
          <w:tcPr>
            <w:tcW w:w="3694" w:type="dxa"/>
            <w:tcBorders/>
            <w:shd w:fill="auto" w:val="clear"/>
          </w:tcPr>
          <w:p>
            <w:pPr>
              <w:pStyle w:val="TableContents"/>
              <w:spacing w:before="0" w:after="0"/>
              <w:rPr>
                <w:rFonts w:ascii="Times New Roman" w:hAnsi="Times New Roman"/>
                <w:sz w:val="20"/>
              </w:rPr>
            </w:pPr>
            <w:r>
              <w:rPr>
                <w:rFonts w:ascii="Times New Roman" w:hAnsi="Times New Roman"/>
                <w:sz w:val="20"/>
              </w:rPr>
              <w:t>Quan Venture Fund I, L.P.</w:t>
            </w:r>
          </w:p>
        </w:tc>
        <w:tc>
          <w:tcPr>
            <w:tcW w:w="376"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511" w:type="dxa"/>
            <w:tcBorders/>
            <w:shd w:fill="auto" w:val="clear"/>
            <w:vAlign w:val="bottom"/>
          </w:tcPr>
          <w:p>
            <w:pPr>
              <w:pStyle w:val="TableContents"/>
              <w:spacing w:before="0" w:after="283"/>
              <w:jc w:val="right"/>
              <w:rPr/>
            </w:pPr>
            <w:r>
              <w:rPr/>
              <w:t>3,235,294</w:t>
            </w:r>
          </w:p>
        </w:tc>
        <w:tc>
          <w:tcPr>
            <w:tcW w:w="6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1491" w:type="dxa"/>
            <w:tcBorders/>
            <w:shd w:fill="auto" w:val="clear"/>
            <w:vAlign w:val="bottom"/>
          </w:tcPr>
          <w:p>
            <w:pPr>
              <w:pStyle w:val="TableContents"/>
              <w:spacing w:before="0" w:after="283"/>
              <w:jc w:val="right"/>
              <w:rPr/>
            </w:pPr>
            <w:r>
              <w:rPr/>
              <w:t>2,750,000</w:t>
            </w:r>
          </w:p>
        </w:tc>
        <w:tc>
          <w:tcPr>
            <w:tcW w:w="65" w:type="dxa"/>
            <w:tcBorders/>
            <w:shd w:fill="auto" w:val="clear"/>
            <w:vAlign w:val="bottom"/>
          </w:tcPr>
          <w:p>
            <w:pPr>
              <w:pStyle w:val="TableContents"/>
              <w:spacing w:before="0" w:after="283"/>
              <w:rPr/>
            </w:pPr>
            <w:r>
              <w:rPr/>
              <w:t> </w:t>
            </w:r>
          </w:p>
        </w:tc>
      </w:tr>
      <w:tr>
        <w:trPr/>
        <w:tc>
          <w:tcPr>
            <w:tcW w:w="3694" w:type="dxa"/>
            <w:tcBorders/>
            <w:shd w:fill="CCEEFF" w:val="clear"/>
          </w:tcPr>
          <w:p>
            <w:pPr>
              <w:pStyle w:val="TableContents"/>
              <w:spacing w:before="0" w:after="0"/>
              <w:rPr>
                <w:rFonts w:ascii="Times New Roman" w:hAnsi="Times New Roman"/>
                <w:sz w:val="20"/>
              </w:rPr>
            </w:pPr>
            <w:r>
              <w:rPr>
                <w:rFonts w:ascii="Times New Roman" w:hAnsi="Times New Roman"/>
                <w:sz w:val="20"/>
              </w:rPr>
              <w:t>LYFE Capital Fund III (Phoenix), L.P.</w:t>
            </w:r>
          </w:p>
        </w:tc>
        <w:tc>
          <w:tcPr>
            <w:tcW w:w="376"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1511" w:type="dxa"/>
            <w:tcBorders/>
            <w:shd w:fill="CCEEFF" w:val="clear"/>
            <w:vAlign w:val="bottom"/>
          </w:tcPr>
          <w:p>
            <w:pPr>
              <w:pStyle w:val="TableContents"/>
              <w:spacing w:before="0" w:after="283"/>
              <w:jc w:val="right"/>
              <w:rPr/>
            </w:pPr>
            <w:r>
              <w:rPr/>
              <w:t>2,705,882</w:t>
            </w:r>
          </w:p>
        </w:tc>
        <w:tc>
          <w:tcPr>
            <w:tcW w:w="60"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1491" w:type="dxa"/>
            <w:tcBorders/>
            <w:shd w:fill="CCEEFF" w:val="clear"/>
            <w:vAlign w:val="bottom"/>
          </w:tcPr>
          <w:p>
            <w:pPr>
              <w:pStyle w:val="TableContents"/>
              <w:spacing w:before="0" w:after="283"/>
              <w:jc w:val="right"/>
              <w:rPr/>
            </w:pPr>
            <w:r>
              <w:rPr/>
              <w:t>2,300,000</w:t>
            </w:r>
          </w:p>
        </w:tc>
        <w:tc>
          <w:tcPr>
            <w:tcW w:w="65" w:type="dxa"/>
            <w:tcBorders/>
            <w:shd w:fill="CCEEFF" w:val="clear"/>
            <w:vAlign w:val="bottom"/>
          </w:tcPr>
          <w:p>
            <w:pPr>
              <w:pStyle w:val="TableContents"/>
              <w:spacing w:before="0" w:after="283"/>
              <w:rPr/>
            </w:pPr>
            <w:r>
              <w:rPr/>
              <w:t> </w:t>
            </w:r>
          </w:p>
        </w:tc>
      </w:tr>
      <w:tr>
        <w:trPr/>
        <w:tc>
          <w:tcPr>
            <w:tcW w:w="3694" w:type="dxa"/>
            <w:tcBorders/>
            <w:shd w:fill="auto" w:val="clear"/>
          </w:tcPr>
          <w:p>
            <w:pPr>
              <w:pStyle w:val="TableContents"/>
              <w:spacing w:before="0" w:after="0"/>
              <w:rPr>
                <w:rFonts w:ascii="Times New Roman" w:hAnsi="Times New Roman"/>
                <w:sz w:val="20"/>
              </w:rPr>
            </w:pPr>
            <w:r>
              <w:rPr>
                <w:rFonts w:ascii="Times New Roman" w:hAnsi="Times New Roman"/>
                <w:sz w:val="20"/>
              </w:rPr>
              <w:t>LAV Regulus Limited</w:t>
            </w:r>
          </w:p>
        </w:tc>
        <w:tc>
          <w:tcPr>
            <w:tcW w:w="376"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511" w:type="dxa"/>
            <w:tcBorders/>
            <w:shd w:fill="auto" w:val="clear"/>
            <w:vAlign w:val="bottom"/>
          </w:tcPr>
          <w:p>
            <w:pPr>
              <w:pStyle w:val="TableContents"/>
              <w:spacing w:before="0" w:after="283"/>
              <w:jc w:val="right"/>
              <w:rPr/>
            </w:pPr>
            <w:r>
              <w:rPr/>
              <w:t>1,764,706</w:t>
            </w:r>
          </w:p>
        </w:tc>
        <w:tc>
          <w:tcPr>
            <w:tcW w:w="60"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1491" w:type="dxa"/>
            <w:tcBorders/>
            <w:shd w:fill="auto" w:val="clear"/>
            <w:vAlign w:val="bottom"/>
          </w:tcPr>
          <w:p>
            <w:pPr>
              <w:pStyle w:val="TableContents"/>
              <w:spacing w:before="0" w:after="283"/>
              <w:jc w:val="right"/>
              <w:rPr/>
            </w:pPr>
            <w:r>
              <w:rPr/>
              <w:t>1,500,000</w:t>
            </w:r>
          </w:p>
        </w:tc>
        <w:tc>
          <w:tcPr>
            <w:tcW w:w="65" w:type="dxa"/>
            <w:tcBorders/>
            <w:shd w:fill="auto" w:val="clear"/>
            <w:vAlign w:val="bottom"/>
          </w:tcPr>
          <w:p>
            <w:pPr>
              <w:pStyle w:val="TableContents"/>
              <w:spacing w:before="0" w:after="283"/>
              <w:rPr/>
            </w:pPr>
            <w:r>
              <w:rPr/>
              <w:t> </w:t>
            </w:r>
          </w:p>
        </w:tc>
      </w:tr>
      <w:tr>
        <w:trPr/>
        <w:tc>
          <w:tcPr>
            <w:tcW w:w="3694" w:type="dxa"/>
            <w:tcBorders/>
            <w:shd w:fill="CCEEFF" w:val="clear"/>
          </w:tcPr>
          <w:p>
            <w:pPr>
              <w:pStyle w:val="TableContents"/>
              <w:spacing w:before="0" w:after="0"/>
              <w:rPr>
                <w:rFonts w:ascii="Times New Roman" w:hAnsi="Times New Roman"/>
                <w:sz w:val="20"/>
              </w:rPr>
            </w:pPr>
            <w:r>
              <w:rPr>
                <w:rFonts w:ascii="Times New Roman" w:hAnsi="Times New Roman"/>
                <w:sz w:val="20"/>
              </w:rPr>
              <w:t>ERVC Healthcare IV, L.P.</w:t>
            </w:r>
          </w:p>
        </w:tc>
        <w:tc>
          <w:tcPr>
            <w:tcW w:w="376"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1511" w:type="dxa"/>
            <w:tcBorders/>
            <w:shd w:fill="CCEEFF" w:val="clear"/>
            <w:vAlign w:val="bottom"/>
          </w:tcPr>
          <w:p>
            <w:pPr>
              <w:pStyle w:val="TableContents"/>
              <w:spacing w:before="0" w:after="283"/>
              <w:jc w:val="right"/>
              <w:rPr/>
            </w:pPr>
            <w:r>
              <w:rPr/>
              <w:t>1,070,588</w:t>
            </w:r>
          </w:p>
        </w:tc>
        <w:tc>
          <w:tcPr>
            <w:tcW w:w="60"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1491" w:type="dxa"/>
            <w:tcBorders/>
            <w:shd w:fill="CCEEFF" w:val="clear"/>
            <w:vAlign w:val="bottom"/>
          </w:tcPr>
          <w:p>
            <w:pPr>
              <w:pStyle w:val="TableContents"/>
              <w:spacing w:before="0" w:after="283"/>
              <w:jc w:val="right"/>
              <w:rPr/>
            </w:pPr>
            <w:r>
              <w:rPr/>
              <w:t>910,000</w:t>
            </w:r>
          </w:p>
        </w:tc>
        <w:tc>
          <w:tcPr>
            <w:tcW w:w="65" w:type="dxa"/>
            <w:tcBorders/>
            <w:shd w:fill="CCEEFF" w:val="clear"/>
            <w:vAlign w:val="bottom"/>
          </w:tcPr>
          <w:p>
            <w:pPr>
              <w:pStyle w:val="TableContents"/>
              <w:spacing w:before="0" w:after="283"/>
              <w:rPr/>
            </w:pPr>
            <w:r>
              <w:rPr/>
              <w:t> </w:t>
            </w:r>
          </w:p>
        </w:tc>
      </w:tr>
    </w:tbl>
    <w:p>
      <w:pPr>
        <w:pStyle w:val="TextBody"/>
        <w:spacing w:before="360" w:after="0"/>
        <w:jc w:val="left"/>
        <w:rPr>
          <w:rFonts w:ascii="Times New Roman" w:hAnsi="Times New Roman"/>
          <w:b/>
          <w:i/>
          <w:sz w:val="20"/>
        </w:rPr>
      </w:pPr>
      <w:r>
        <w:rPr>
          <w:rFonts w:ascii="Times New Roman" w:hAnsi="Times New Roman"/>
          <w:b/>
          <w:i/>
          <w:sz w:val="20"/>
        </w:rPr>
        <w:t xml:space="preserve">Promissory Note with Thomas Dubensky </w:t>
      </w:r>
    </w:p>
    <w:p>
      <w:pPr>
        <w:pStyle w:val="TextBody"/>
        <w:spacing w:before="120" w:after="0"/>
        <w:jc w:val="left"/>
        <w:rPr>
          <w:rFonts w:ascii="Times New Roman" w:hAnsi="Times New Roman"/>
          <w:sz w:val="20"/>
        </w:rPr>
      </w:pPr>
      <w:r>
        <w:rPr>
          <w:rFonts w:ascii="Times New Roman" w:hAnsi="Times New Roman"/>
          <w:sz w:val="20"/>
        </w:rPr>
        <w:t>Legacy Tempest was a party to a Full Recourse Promissory Note, dated as of November 29, 2017 (the </w:t>
      </w:r>
      <w:r>
        <w:rPr>
          <w:rFonts w:ascii="Times New Roman" w:hAnsi="Times New Roman"/>
          <w:b/>
          <w:i/>
          <w:sz w:val="20"/>
        </w:rPr>
        <w:t>Dubensky Note</w:t>
      </w:r>
      <w:r>
        <w:rPr>
          <w:rFonts w:ascii="Times New Roman" w:hAnsi="Times New Roman"/>
          <w:sz w:val="20"/>
        </w:rPr>
        <w:t xml:space="preserve">), with Thomas Dubensky, our President and former Chief Executive Officer. The Dubensky Note was issued in connection with a loan from Legacy Tempest to Dr. Dubensky in the amount of $259,341. The Dubensky Note had an interest rate of 2% per year. As of December 31, 2020, Dr. Dubensky owed Legacy Tempest $226,707 in principal and interest under the Dubensky Note. Upon completion of the Merger, Legacy Tempest forgave the Dubensky Note in full.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2022 PIPE </w:t>
      </w:r>
    </w:p>
    <w:p>
      <w:pPr>
        <w:pStyle w:val="TextBody"/>
        <w:spacing w:before="120" w:after="0"/>
        <w:jc w:val="left"/>
        <w:rPr>
          <w:rFonts w:ascii="Times New Roman" w:hAnsi="Times New Roman"/>
          <w:sz w:val="20"/>
        </w:rPr>
      </w:pPr>
      <w:r>
        <w:rPr>
          <w:rFonts w:ascii="Times New Roman" w:hAnsi="Times New Roman"/>
          <w:sz w:val="20"/>
        </w:rPr>
        <w:t xml:space="preserve">On April 29, 2022, we completed a private investment in public equity (PIPE) financing from the sale of 3,149,912 shares of its common stock at a price per share of $2.36 and, and in lieu of shares of common stock, pre-funded warrants to purchase up to 3,206,020 shares of its common stock at a price per pre-funded warrant of $2.359 to EcoR1 Capital, LLC and Versant Venture Capital (the PIPE Investors). Net proceeds from the PIPE financings totaled approximately $14.5 million, after deducting offering expenses. We entered into a registration rights agreement (the Registration Rights Agreement) with the PIPE Investors pursuant to which we filed a registration statement with the SEC registering the resale of the 3,149,912 shares common stock and the 3,206,020 shares of common stock underlying the pre-funded warrants issued in the PIPE financing. </w:t>
      </w:r>
    </w:p>
    <w:p>
      <w:pPr>
        <w:pStyle w:val="TextBody"/>
        <w:spacing w:before="240" w:after="0"/>
        <w:jc w:val="left"/>
        <w:rPr>
          <w:rFonts w:ascii="Times New Roman" w:hAnsi="Times New Roman"/>
          <w:sz w:val="20"/>
        </w:rPr>
      </w:pPr>
      <w:r>
        <w:rPr>
          <w:rFonts w:ascii="Times New Roman" w:hAnsi="Times New Roman"/>
          <w:sz w:val="20"/>
        </w:rPr>
        <w:t xml:space="preserve">Versant Vantage II, L.P., an affiliated fund of Versant Venture Capital (together with its affiliated funds, Versant), an existing holder of more than 5% of our capital stock, purchased 2,118,644 shares of common stock in the PIPE financing. Thomas Woiwode, Ph.D., a member of the Companys Board of Directors, is also an affiliate of Versant. </w:t>
      </w:r>
    </w:p>
    <w:p>
      <w:pPr>
        <w:pStyle w:val="TextBody"/>
        <w:spacing w:before="360" w:after="0"/>
        <w:jc w:val="left"/>
        <w:rPr>
          <w:rFonts w:ascii="Times New Roman" w:hAnsi="Times New Roman"/>
          <w:b/>
          <w:sz w:val="20"/>
        </w:rPr>
      </w:pPr>
      <w:r>
        <w:rPr>
          <w:rFonts w:ascii="Times New Roman" w:hAnsi="Times New Roman"/>
          <w:b/>
          <w:sz w:val="20"/>
        </w:rPr>
        <w:t xml:space="preserve">INDEMNIFICATION </w:t>
      </w:r>
    </w:p>
    <w:p>
      <w:pPr>
        <w:pStyle w:val="TextBody"/>
        <w:spacing w:before="120" w:after="0"/>
        <w:jc w:val="left"/>
        <w:rPr>
          <w:rFonts w:ascii="Times New Roman" w:hAnsi="Times New Roman"/>
          <w:sz w:val="20"/>
        </w:rPr>
      </w:pPr>
      <w:r>
        <w:rPr>
          <w:rFonts w:ascii="Times New Roman" w:hAnsi="Times New Roman"/>
          <w:sz w:val="20"/>
        </w:rPr>
        <w:t xml:space="preserve">We have entered into indemnification agreements with each of our current directors and officers. These agreements provide for the indemnification of such persons for all reasonable expenses and liabilities incurred in connection with any action or proceeding brought against them by reason of the fact that they are or were serving in such capacity. We believe that these indemnification agreements are necessary to attract and retain qualified persons as directors and officers. Furthermore, we have obtained director and officer liability insurance to cover liabilities our directors and officers may incur in connection with their services to 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5" w:name="tx456303_13"/>
      <w:bookmarkEnd w:id="15"/>
      <w:r>
        <w:rPr>
          <w:rFonts w:ascii="Times New Roman" w:hAnsi="Times New Roman"/>
          <w:b/>
          <w:sz w:val="20"/>
        </w:rPr>
        <w:t xml:space="preserve">HOUSEHOLDING OF PROXY MATERIALS </w:t>
      </w:r>
    </w:p>
    <w:p>
      <w:pPr>
        <w:pStyle w:val="TextBody"/>
        <w:spacing w:before="240" w:after="0"/>
        <w:jc w:val="left"/>
        <w:rPr>
          <w:rFonts w:ascii="Times New Roman" w:hAnsi="Times New Roman"/>
          <w:sz w:val="20"/>
        </w:rPr>
      </w:pPr>
      <w:r>
        <w:rPr>
          <w:rFonts w:ascii="Times New Roman" w:hAnsi="Times New Roman"/>
          <w:sz w:val="20"/>
        </w:rPr>
        <w:t xml:space="preserve">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 </w:t>
      </w:r>
    </w:p>
    <w:p>
      <w:pPr>
        <w:pStyle w:val="TextBody"/>
        <w:spacing w:before="240" w:after="0"/>
        <w:jc w:val="left"/>
        <w:rPr>
          <w:rFonts w:ascii="Times New Roman" w:hAnsi="Times New Roman"/>
          <w:sz w:val="20"/>
        </w:rPr>
      </w:pPr>
      <w:r>
        <w:rPr>
          <w:rFonts w:ascii="Times New Roman" w:hAnsi="Times New Roman"/>
          <w:sz w:val="20"/>
        </w:rPr>
        <w:t xml:space="preserve">This year, a number of brokers with account holders who are Tempest Therapeutics stockholders will be householding the Companys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Tempest Therapeutics. Direct your written request to Corporate Secretary, Tempest Therapeutics, Inc., at 2000 Sierra Point Parkway, Suite 400, Brisbane, California, 94005. Stockholders who currently receive multiple copies of the Notices of Internet Availability of Proxy Materials at their addresses and would like to request householding of their communications should contact their brokers.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6" w:name="tx456303_14"/>
      <w:bookmarkEnd w:id="16"/>
      <w:r>
        <w:rPr>
          <w:rFonts w:ascii="Times New Roman" w:hAnsi="Times New Roman"/>
          <w:b/>
          <w:sz w:val="20"/>
        </w:rPr>
        <w:t xml:space="preserve">OTHER MATTERS </w:t>
      </w:r>
    </w:p>
    <w:p>
      <w:pPr>
        <w:pStyle w:val="TextBody"/>
        <w:spacing w:before="240" w:after="0"/>
        <w:jc w:val="left"/>
        <w:rPr>
          <w:rFonts w:ascii="Times New Roman" w:hAnsi="Times New Roman"/>
          <w:sz w:val="20"/>
        </w:rPr>
      </w:pPr>
      <w:r>
        <w:rPr>
          <w:rFonts w:ascii="Times New Roman" w:hAnsi="Times New Roman"/>
          <w:sz w:val="20"/>
        </w:rPr>
        <w:t xml:space="preserve">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By Order of the Board of Directors</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bottom w:val="single" w:sz="2" w:space="0" w:color="000000"/>
            </w:tcBorders>
            <w:shd w:fill="auto" w:val="clear"/>
            <w:tcMar>
              <w:bottom w:w="28" w:type="dxa"/>
            </w:tcMar>
          </w:tcPr>
          <w:p>
            <w:pPr>
              <w:pStyle w:val="TableContents"/>
              <w:spacing w:before="0" w:after="283"/>
              <w:rPr/>
            </w:pPr>
            <w:r>
              <w:rPr/>
              <w:t>/s/ Nicholas Maestas</w:t>
            </w:r>
          </w:p>
        </w:tc>
      </w:tr>
      <w:tr>
        <w:trPr/>
        <w:tc>
          <w:tcPr>
            <w:tcW w:w="4082" w:type="dxa"/>
            <w:tcBorders/>
            <w:shd w:fill="auto" w:val="clear"/>
          </w:tcPr>
          <w:p>
            <w:pPr>
              <w:pStyle w:val="TableContents"/>
              <w:spacing w:before="0" w:after="283"/>
              <w:rPr/>
            </w:pPr>
            <w:r>
              <w:rPr/>
              <w:t>Nicholas Maestas</w:t>
            </w:r>
          </w:p>
        </w:tc>
      </w:tr>
      <w:tr>
        <w:trPr/>
        <w:tc>
          <w:tcPr>
            <w:tcW w:w="4082" w:type="dxa"/>
            <w:tcBorders/>
            <w:shd w:fill="auto" w:val="clear"/>
          </w:tcPr>
          <w:p>
            <w:pPr>
              <w:pStyle w:val="TableContents"/>
              <w:spacing w:before="0" w:after="283"/>
              <w:rPr/>
            </w:pPr>
            <w:r>
              <w:rPr/>
              <w:t>Corporate Secretary</w:t>
            </w:r>
          </w:p>
        </w:tc>
      </w:tr>
    </w:tbl>
    <w:p>
      <w:pPr>
        <w:pStyle w:val="TextBody"/>
        <w:spacing w:before="360" w:after="0"/>
        <w:jc w:val="left"/>
        <w:rPr>
          <w:rFonts w:ascii="Times New Roman" w:hAnsi="Times New Roman"/>
          <w:sz w:val="20"/>
        </w:rPr>
      </w:pPr>
      <w:r>
        <w:rPr>
          <w:rFonts w:ascii="Times New Roman" w:hAnsi="Times New Roman"/>
          <w:sz w:val="20"/>
        </w:rPr>
        <w:t xml:space="preserve">May 1, 2023 </w:t>
      </w:r>
    </w:p>
    <w:p>
      <w:pPr>
        <w:pStyle w:val="TextBody"/>
        <w:spacing w:before="240" w:after="0"/>
        <w:jc w:val="left"/>
        <w:rPr>
          <w:rFonts w:ascii="Times New Roman" w:hAnsi="Times New Roman"/>
          <w:b/>
          <w:sz w:val="20"/>
        </w:rPr>
      </w:pPr>
      <w:r>
        <w:rPr>
          <w:rFonts w:ascii="Times New Roman" w:hAnsi="Times New Roman"/>
          <w:b/>
          <w:sz w:val="20"/>
        </w:rPr>
        <w:t xml:space="preserve">A copy of our Annual Report to the Securities and Exchange Commission on Form 10-K for the fiscal year ended December 31, 2022 is available without charge upon written request to: Corporate Secretary, Tempest Therapeutics, Inc., 2000 Sierra Point Parkway, Suite 400, Brisbane, California, 94005.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7" w:name="tx456303_15"/>
      <w:bookmarkEnd w:id="17"/>
      <w:r>
        <w:rPr>
          <w:rFonts w:ascii="Times New Roman" w:hAnsi="Times New Roman"/>
          <w:b/>
          <w:sz w:val="20"/>
        </w:rPr>
        <w:t xml:space="preserve">APPENDIX A </w:t>
      </w:r>
    </w:p>
    <w:p>
      <w:pPr>
        <w:pStyle w:val="TextBody"/>
        <w:spacing w:before="120" w:after="0"/>
        <w:jc w:val="center"/>
        <w:rPr>
          <w:rFonts w:ascii="Times New Roman" w:hAnsi="Times New Roman"/>
          <w:b/>
          <w:sz w:val="20"/>
        </w:rPr>
      </w:pPr>
      <w:r>
        <w:rPr>
          <w:rFonts w:ascii="Times New Roman" w:hAnsi="Times New Roman"/>
          <w:b/>
          <w:sz w:val="20"/>
        </w:rPr>
        <w:t xml:space="preserve">TEMPEST THERAPEUTICS, INC. </w:t>
      </w:r>
    </w:p>
    <w:p>
      <w:pPr>
        <w:pStyle w:val="TextBody"/>
        <w:spacing w:before="0" w:after="0"/>
        <w:jc w:val="center"/>
        <w:rPr>
          <w:rFonts w:ascii="Times New Roman" w:hAnsi="Times New Roman"/>
          <w:b/>
          <w:sz w:val="20"/>
        </w:rPr>
      </w:pPr>
      <w:r>
        <w:rPr>
          <w:rFonts w:ascii="Times New Roman" w:hAnsi="Times New Roman"/>
          <w:b/>
          <w:sz w:val="20"/>
        </w:rPr>
        <w:t xml:space="preserve">AMENDED AND RESTATED 2023 EQUITY INCENTIVE PLAN </w:t>
      </w:r>
    </w:p>
    <w:p>
      <w:pPr>
        <w:pStyle w:val="TextBody"/>
        <w:spacing w:before="120" w:after="0"/>
        <w:jc w:val="center"/>
        <w:rPr>
          <w:rFonts w:ascii="Times New Roman" w:hAnsi="Times New Roman"/>
          <w:sz w:val="20"/>
        </w:rPr>
      </w:pPr>
      <w:r>
        <w:rPr>
          <w:rFonts w:ascii="Times New Roman" w:hAnsi="Times New Roman"/>
          <w:b/>
          <w:sz w:val="20"/>
        </w:rPr>
        <w:t>APPROVED BY THE BOARD OF DIRECTORS: APRIL 30, 2023 (THE </w:t>
      </w:r>
      <w:r>
        <w:rPr>
          <w:rFonts w:ascii="Times New Roman" w:hAnsi="Times New Roman"/>
          <w:b/>
          <w:i/>
          <w:sz w:val="20"/>
        </w:rPr>
        <w:t>ADOPTION DATE</w:t>
      </w:r>
      <w:r>
        <w:rPr>
          <w:rFonts w:ascii="Times New Roman" w:hAnsi="Times New Roman"/>
          <w:b/>
          <w:sz w:val="20"/>
        </w:rPr>
        <w:t xml:space="preserve">) </w:t>
      </w:r>
    </w:p>
    <w:p>
      <w:pPr>
        <w:pStyle w:val="TextBody"/>
        <w:spacing w:before="0" w:after="0"/>
        <w:jc w:val="center"/>
        <w:rPr>
          <w:rFonts w:ascii="Times New Roman" w:hAnsi="Times New Roman"/>
          <w:b/>
          <w:sz w:val="20"/>
        </w:rPr>
      </w:pPr>
      <w:r>
        <w:rPr>
          <w:rFonts w:ascii="Times New Roman" w:hAnsi="Times New Roman"/>
          <w:b/>
          <w:sz w:val="20"/>
        </w:rPr>
        <w:t xml:space="preserve">APPROVED BY THE STOCKHOLDERS: JUNE [    ], 2023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1.</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GENERAL. </w:t>
            </w:r>
          </w:p>
        </w:tc>
      </w:tr>
    </w:tbl>
    <w:p>
      <w:pPr>
        <w:pStyle w:val="TextBody"/>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Successor to and Continuation of the 2019 Plan.</w:t>
      </w:r>
      <w:r>
        <w:rPr>
          <w:rFonts w:ascii="Times New Roman" w:hAnsi="Times New Roman"/>
          <w:sz w:val="20"/>
        </w:rPr>
        <w:t xml:space="preserve"> The Plan is intended as the successor to and continuation of the Tempest Therapeutics, Inc., Amended and Restated 2019 Equity Incentive Plan, as amended (the </w:t>
      </w:r>
      <w:r>
        <w:rPr>
          <w:rFonts w:ascii="Times New Roman" w:hAnsi="Times New Roman"/>
          <w:b/>
          <w:i/>
          <w:sz w:val="20"/>
        </w:rPr>
        <w:t>2019 Plan</w:t>
      </w:r>
      <w:r>
        <w:rPr>
          <w:rFonts w:ascii="Times New Roman" w:hAnsi="Times New Roman"/>
          <w:sz w:val="20"/>
        </w:rPr>
        <w:t>) (which included any shares available for issuance under the Millendo Therapeutics, Inc. 2012 Stock Plan and the Ovascience, Inc. 2012 Stock Incentive Plan (each, as amended, and together with the 2019 Plan, the </w:t>
      </w:r>
      <w:r>
        <w:rPr>
          <w:rFonts w:ascii="Times New Roman" w:hAnsi="Times New Roman"/>
          <w:b/>
          <w:i/>
          <w:sz w:val="20"/>
        </w:rPr>
        <w:t>Prior Plans</w:t>
      </w:r>
      <w:r>
        <w:rPr>
          <w:rFonts w:ascii="Times New Roman" w:hAnsi="Times New Roman"/>
          <w:sz w:val="20"/>
        </w:rPr>
        <w:t>)). All Awards granted on or after 12:01 a.m. Eastern time on the Effective Date will be granted under this Plan and no additional stock awards will be granted under the Prior Plans. Any shares remaining available for issuance under the 2019 Plan as of the Effective Date (the </w:t>
      </w:r>
      <w:r>
        <w:rPr>
          <w:rFonts w:ascii="Times New Roman" w:hAnsi="Times New Roman"/>
          <w:b/>
          <w:i/>
          <w:sz w:val="20"/>
        </w:rPr>
        <w:t>Prior Available Reserve</w:t>
      </w:r>
      <w:r>
        <w:rPr>
          <w:rFonts w:ascii="Times New Roman" w:hAnsi="Times New Roman"/>
          <w:sz w:val="20"/>
        </w:rPr>
        <w:t xml:space="preserve">) shall become available for issuance pursuant to Awards granted under the Plan. All stock awards granted under the Prior Plans will remain subject to the terms of the applicable Prior Plan; </w:t>
      </w:r>
      <w:r>
        <w:rPr>
          <w:rFonts w:ascii="Times New Roman" w:hAnsi="Times New Roman"/>
          <w:i/>
          <w:sz w:val="20"/>
        </w:rPr>
        <w:t>provided, however</w:t>
      </w:r>
      <w:r>
        <w:rPr>
          <w:rFonts w:ascii="Times New Roman" w:hAnsi="Times New Roman"/>
          <w:sz w:val="20"/>
        </w:rPr>
        <w:t>, that any shares subject to any outstanding Award under a Prior Plan, on or after the Effective Date, that expires or terminates for any reason prior to the exercise or settlement (the </w:t>
      </w:r>
      <w:r>
        <w:rPr>
          <w:rFonts w:ascii="Times New Roman" w:hAnsi="Times New Roman"/>
          <w:b/>
          <w:i/>
          <w:sz w:val="20"/>
        </w:rPr>
        <w:t>Returning Shares</w:t>
      </w:r>
      <w:r>
        <w:rPr>
          <w:rFonts w:ascii="Times New Roman" w:hAnsi="Times New Roman"/>
          <w:sz w:val="20"/>
        </w:rPr>
        <w:t xml:space="preserve">) shall become available for issuance pursuant to Awards granted under the Plan. The Plan amends and restates the Tempest Therapeutics, Inc. Amended and Restated 2019 Equity Incentive Plan in its entirety. </w:t>
      </w:r>
    </w:p>
    <w:p>
      <w:pPr>
        <w:pStyle w:val="TextBody"/>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Eligible Award Recipients.</w:t>
      </w:r>
      <w:r>
        <w:rPr>
          <w:rFonts w:ascii="Times New Roman" w:hAnsi="Times New Roman"/>
          <w:sz w:val="20"/>
        </w:rPr>
        <w:t xml:space="preserve"> Employees, Directors and Consultants are eligible to receive Awards. </w:t>
      </w:r>
    </w:p>
    <w:p>
      <w:pPr>
        <w:pStyle w:val="TextBody"/>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Available Awards.</w:t>
      </w:r>
      <w:r>
        <w:rPr>
          <w:rFonts w:ascii="Times New Roman" w:hAnsi="Times New Roman"/>
          <w:sz w:val="20"/>
        </w:rPr>
        <w:t xml:space="preserve"> The Plan provides for the grant of the following Awards: (i) Incentive Stock Options, (ii) Nonstatutory Stock Options, (iii) Stock Appreciation Rights, (iv) Restricted Stock Awards, (v) Restricted Stock Unit Awards, (vi) Performance Stock Awards, (vii) Performance Cash Awards, and (viii) Other Stock Awards. </w:t>
      </w:r>
    </w:p>
    <w:p>
      <w:pPr>
        <w:pStyle w:val="TextBody"/>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Purpose.</w:t>
      </w:r>
      <w:r>
        <w:rPr>
          <w:rFonts w:ascii="Times New Roman" w:hAnsi="Times New Roman"/>
          <w:sz w:val="20"/>
        </w:rPr>
        <w:t xml:space="preserve"> The Plan, through the grant of Awards, is intended to help the Company secure and retain the services of eligible award recipients, provide incentives for such persons to exert maximum efforts for the success of the Company and any Affiliate, and provide a means by which the eligible recipients may benefit from increases in value of the Common Stock.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r>
              <w:rPr>
                <w:b/>
              </w:rPr>
              <w:t>2.</w:t>
            </w:r>
          </w:p>
        </w:tc>
        <w:tc>
          <w:tcPr>
            <w:tcW w:w="979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ADMINISTRATION. </w:t>
            </w:r>
          </w:p>
        </w:tc>
      </w:tr>
    </w:tbl>
    <w:p>
      <w:pPr>
        <w:pStyle w:val="TextBody"/>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Administration by Board.</w:t>
      </w:r>
      <w:r>
        <w:rPr>
          <w:rFonts w:ascii="Times New Roman" w:hAnsi="Times New Roman"/>
          <w:sz w:val="20"/>
        </w:rPr>
        <w:t xml:space="preserve"> The Board will administer the Plan. The Board may delegate administration of the Plan to a Committee or Committees, as provided in Section 2(c). </w:t>
      </w:r>
    </w:p>
    <w:p>
      <w:pPr>
        <w:pStyle w:val="TextBody"/>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Powers of Board.</w:t>
      </w:r>
      <w:r>
        <w:rPr>
          <w:rFonts w:ascii="Times New Roman" w:hAnsi="Times New Roman"/>
          <w:sz w:val="20"/>
        </w:rPr>
        <w:t xml:space="preserve"> The Board will have the power, subject to, and within the limitations of, the express provisions of the Plan: </w:t>
      </w:r>
    </w:p>
    <w:p>
      <w:pPr>
        <w:pStyle w:val="TextBody"/>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To determine: (A) who will be granted Awards; (B) when and how each Award will be granted; (C) what type of Award will be granted; (D) the provisions of each Award (which need not be identical), including when a person will be permitted to exercise or otherwise receive cash or Common Stock under the Award; (E) the number of shares of Common Stock subject to, or the cash value of, an Award; and (F) the Fair Market Value applicable to a Stock Award. </w:t>
      </w:r>
    </w:p>
    <w:p>
      <w:pPr>
        <w:pStyle w:val="TextBody"/>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To construe and interpret the Plan and Awards granted under it, and to establish, amend and revoke rules and regulations for administration of the Plan and Awards. The Board, in the exercise of these powers, may correct any defect, omission or inconsistency in the Plan or in any Award Agreement or in the written terms of a Performance Cash Award, in a manner and to the extent it will deem necessary or expedient to make the Plan or Award fully effective.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To settle all controversies regarding the Plan and Awards granted under it. </w:t>
      </w:r>
    </w:p>
    <w:p>
      <w:pPr>
        <w:pStyle w:val="TextBody"/>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To accelerate, in whole or in part, the time at which an Award may be exercised or vest (or the time at which cash or shares of Common Stock may be issued in settlement thereof). </w:t>
      </w:r>
    </w:p>
    <w:p>
      <w:pPr>
        <w:pStyle w:val="TextBody"/>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To suspend or terminate the Plan at any time. Except as otherwise provided in the Plan or an Award Agreement, suspension or termination of the Plan will not materially impair a Participants rights under the Participants then-outstanding Award without the Participants written consent, except as provided in subsection (viii) below. </w:t>
      </w:r>
    </w:p>
    <w:p>
      <w:pPr>
        <w:pStyle w:val="TextBody"/>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To amend the Plan in any respect the Board deems necessary or advisable, including, without limitation, by adopting amendments relating to Incentive Stock Options and certain nonqualified deferred compensation under Section 409A of the Code and/or bringing the Plan or Awards granted under the Plan into compliance with the requirements for Incentive Stock Options or ensuring that they are exempt from, or compliant with, the requirements for nonqualified deferred compensation under Section 409A of the Code, subject to the limitations, if any, of applicable law. If required by applicable law or listing requirements, and except as provided in Section 9(a) relating to Capitalization Adjustments, the Company will seek stockholder approval of any amendment of the Plan that (A) materially increases the number of shares of Common Stock available for issuance under the Plan, (B) materially expands the class of individuals eligible to receive Awards under the Plan, (C) materially increases the benefits accruing to Participants under the Plan, (D) materially reduces the price at which shares of Common Stock may be issued or purchased under the Plan, (E) materially extends the term of the Plan, or (F) materially expands the types of Awards available for issuance under the Plan. Except as otherwise provided in the Plan or an Award Agreement, no amendment of the Plan will materially impair a Participants rights under an outstanding Award without the Participants written consent. </w:t>
      </w:r>
    </w:p>
    <w:p>
      <w:pPr>
        <w:pStyle w:val="TextBody"/>
        <w:spacing w:before="240" w:after="0"/>
        <w:jc w:val="left"/>
        <w:rPr>
          <w:rFonts w:ascii="Times New Roman" w:hAnsi="Times New Roman"/>
          <w:sz w:val="20"/>
        </w:rPr>
      </w:pPr>
      <w:r>
        <w:rPr>
          <w:rFonts w:ascii="Times New Roman" w:hAnsi="Times New Roman"/>
          <w:b/>
          <w:sz w:val="20"/>
        </w:rPr>
        <w:t>(vii)</w:t>
      </w:r>
      <w:r>
        <w:rPr>
          <w:rFonts w:ascii="Times New Roman" w:hAnsi="Times New Roman"/>
          <w:sz w:val="20"/>
        </w:rPr>
        <w:t xml:space="preserve"> To submit any amendment to the Plan for stockholder approval, including, but not limited to, amendments to the Plan intended to satisfy the requirements of (A) Section 422 of the Code regarding incentive stock options or (B) Rule 16b-3. </w:t>
      </w:r>
    </w:p>
    <w:p>
      <w:pPr>
        <w:pStyle w:val="TextBody"/>
        <w:spacing w:before="240" w:after="0"/>
        <w:jc w:val="left"/>
        <w:rPr>
          <w:rFonts w:ascii="Times New Roman" w:hAnsi="Times New Roman"/>
          <w:sz w:val="20"/>
        </w:rPr>
      </w:pPr>
      <w:r>
        <w:rPr>
          <w:rFonts w:ascii="Times New Roman" w:hAnsi="Times New Roman"/>
          <w:b/>
          <w:sz w:val="20"/>
        </w:rPr>
        <w:t>(viii)</w:t>
      </w:r>
      <w:r>
        <w:rPr>
          <w:rFonts w:ascii="Times New Roman" w:hAnsi="Times New Roman"/>
          <w:sz w:val="20"/>
        </w:rPr>
        <w:t xml:space="preserve"> 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hAnsi="Times New Roman"/>
          <w:i/>
          <w:sz w:val="20"/>
        </w:rPr>
        <w:t>provided, however,</w:t>
      </w:r>
      <w:r>
        <w:rPr>
          <w:rFonts w:ascii="Times New Roman" w:hAnsi="Times New Roman"/>
          <w:sz w:val="20"/>
        </w:rPr>
        <w:t xml:space="preserve"> that a Participants rights under any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Awards without the affected Participants consent (A) to maintain the qualified status of the Award as an Incentive Stock Option under Section 422 of the Code; (B) to change the terms of an Incentive Stock Option, if such change results in impairment of the Award solely because it impairs the qualified status of the Award as an Incentive Stock Option under Section 422 of the Code; (C) to clarify the manner of exemption from, or to bring the Award into compliance with, Section 409A of the Code; or (D) to comply with other applicable laws or listing requirements. </w:t>
      </w:r>
    </w:p>
    <w:p>
      <w:pPr>
        <w:pStyle w:val="TextBody"/>
        <w:spacing w:before="240" w:after="0"/>
        <w:jc w:val="left"/>
        <w:rPr>
          <w:rFonts w:ascii="Times New Roman" w:hAnsi="Times New Roman"/>
          <w:sz w:val="20"/>
        </w:rPr>
      </w:pPr>
      <w:r>
        <w:rPr>
          <w:rFonts w:ascii="Times New Roman" w:hAnsi="Times New Roman"/>
          <w:b/>
          <w:sz w:val="20"/>
        </w:rPr>
        <w:t>(ix)</w:t>
      </w:r>
      <w:r>
        <w:rPr>
          <w:rFonts w:ascii="Times New Roman" w:hAnsi="Times New Roman"/>
          <w:sz w:val="20"/>
        </w:rPr>
        <w:t xml:space="preserve"> Generally, to exercise such powers and to perform such acts as the Board deems necessary or expedient to promote the best interests of the Company and that are not in conflict with the provisions of the Plan or Awards. </w:t>
      </w:r>
    </w:p>
    <w:p>
      <w:pPr>
        <w:pStyle w:val="TextBody"/>
        <w:spacing w:before="240" w:after="0"/>
        <w:jc w:val="left"/>
        <w:rPr>
          <w:rFonts w:ascii="Times New Roman" w:hAnsi="Times New Roman"/>
          <w:sz w:val="20"/>
        </w:rPr>
      </w:pPr>
      <w:r>
        <w:rPr>
          <w:rFonts w:ascii="Times New Roman" w:hAnsi="Times New Roman"/>
          <w:b/>
          <w:sz w:val="20"/>
        </w:rPr>
        <w:t>(x)</w:t>
      </w:r>
      <w:r>
        <w:rPr>
          <w:rFonts w:ascii="Times New Roman" w:hAnsi="Times New Roman"/>
          <w:sz w:val="20"/>
        </w:rPr>
        <w:t xml:space="preserve"> To adopt such procedures and sub-plans as are necessary or appropriate to permit participation in the Plan by Employees, Directors or Consultants who are foreign nationals or employed outside the United States (provided that Board approval will not be necessary for immaterial modifications to the Plan or any Award Agreement that are required for compliance with the laws of the relevant foreign jurisdiction).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(c) Delegation to Committee. </w:t>
      </w:r>
    </w:p>
    <w:p>
      <w:pPr>
        <w:pStyle w:val="TextBody"/>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General.</w:t>
      </w:r>
      <w:r>
        <w:rPr>
          <w:rFonts w:ascii="Times New Roman" w:hAnsi="Times New Roman"/>
          <w:sz w:val="20"/>
        </w:rPr>
        <w:t xml:space="preserve"> 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construed as being to the Committee or subcommittee, as applicable). Any delegation of administrative powers will be reflected in resolutions, not inconsistent with the provisions of the Plan, adopted from time to time by the Board or Committee (as applicable). The Board may retain the authority to concurrently administer the Plan with the Committee and may, at any time, revest in the Board some or all of the powers previously delegated. </w:t>
      </w:r>
    </w:p>
    <w:p>
      <w:pPr>
        <w:pStyle w:val="TextBody"/>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Rule 16b-3 Compliance.</w:t>
      </w:r>
      <w:r>
        <w:rPr>
          <w:rFonts w:ascii="Times New Roman" w:hAnsi="Times New Roman"/>
          <w:sz w:val="20"/>
        </w:rPr>
        <w:t xml:space="preserve"> The Committee may consist solely of two or more Non-Employee Directors in accordance with Rule 16b-3. </w:t>
      </w:r>
    </w:p>
    <w:p>
      <w:pPr>
        <w:pStyle w:val="TextBody"/>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Delegation to Persons or Body.</w:t>
      </w:r>
      <w:r>
        <w:rPr>
          <w:rFonts w:ascii="Times New Roman" w:hAnsi="Times New Roman"/>
          <w:sz w:val="20"/>
        </w:rPr>
        <w:t xml:space="preserve"> The Board or any Committee may delegate to one (1) or more persons or bodies the authority to do one or more of the following to the extent permitted by applicable law: (i) designate recipients, other than Officers, to receive Options and SARs (and, to the extent permitted by applicable law, other Stock Awards) and, to the extent permitted by applicable law, the terms of such Awards, and (ii) determine the number of shares of Common Stock to be subject to such Stock Awards granted to such Employees; </w:t>
      </w:r>
      <w:r>
        <w:rPr>
          <w:rFonts w:ascii="Times New Roman" w:hAnsi="Times New Roman"/>
          <w:i/>
          <w:sz w:val="20"/>
        </w:rPr>
        <w:t>provided, however</w:t>
      </w:r>
      <w:r>
        <w:rPr>
          <w:rFonts w:ascii="Times New Roman" w:hAnsi="Times New Roman"/>
          <w:sz w:val="20"/>
        </w:rPr>
        <w:t xml:space="preserve">, that the Board resolutions regarding such delegation will specify the total number of shares of Common Stock that may be subject to the Stock Awards granted by such person or body and that such person or body may not grant a Stock Award to themself. Unless otherwise provided in the Board or Committee action regarding such delegation, each Stock Award granted pursuant to this section will be granted on the form of Stock Award Agreement most recently approved for use by the Committee or the Board, with any modifications necessary to incorporate or reflect the terms of such Stock Award. Notwithstanding anything to the contrary herein, neither the Board nor any Committee may delegate authority to any person or body (who is not a Director or that is not comprised solely of Directors, respectively) the authority to determine the Fair Market Value pursuant to Section 13(x)(iii) below. </w:t>
      </w:r>
    </w:p>
    <w:p>
      <w:pPr>
        <w:pStyle w:val="TextBody"/>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Effect of Boards Decision.</w:t>
      </w:r>
      <w:r>
        <w:rPr>
          <w:rFonts w:ascii="Times New Roman" w:hAnsi="Times New Roman"/>
          <w:sz w:val="20"/>
        </w:rPr>
        <w:t xml:space="preserve"> All determinations, interpretations and constructions made by the Board in good faith will not be subject to review by any person and will be final, binding and conclusive on all persons. </w:t>
      </w:r>
    </w:p>
    <w:p>
      <w:pPr>
        <w:pStyle w:val="TextBody"/>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No Repricing of Awards</w:t>
      </w:r>
      <w:r>
        <w:rPr>
          <w:rFonts w:ascii="Times New Roman" w:hAnsi="Times New Roman"/>
          <w:sz w:val="20"/>
        </w:rPr>
        <w:t xml:space="preserve">. Neither the Board nor any Committee will have the authority to (i) reduce the exercise or strike price of any outstanding Option or SAR or (ii) cancel any outstanding Option or SAR that has an exercise or strike price (per share) greater than the then-current Fair Market Value of the Common Stock in exchange for cash or other Stock Awards under the Plan, unless the stockholders of the Company have approved such an action within 12 months prior to such an event.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3.</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SHARES SUBJECT TO THE PLAN. </w:t>
            </w:r>
          </w:p>
        </w:tc>
      </w:tr>
    </w:tbl>
    <w:p>
      <w:pPr>
        <w:pStyle w:val="TextBody"/>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 xml:space="preserve">Share Reserve. </w:t>
      </w:r>
      <w:r>
        <w:rPr>
          <w:rFonts w:ascii="Times New Roman" w:hAnsi="Times New Roman"/>
          <w:sz w:val="20"/>
        </w:rPr>
        <w:t>Subject to Section 9(a) relating to Capitalization Adjustments, and the following sentence regarding the annual increase, the aggregate number of shares of Common Stock that may be issued pursuant to Stock Awards from and after the Effective Date will not exceed 3,263,781 shares (the </w:t>
      </w:r>
      <w:r>
        <w:rPr>
          <w:rFonts w:ascii="Times New Roman" w:hAnsi="Times New Roman"/>
          <w:b/>
          <w:i/>
          <w:sz w:val="20"/>
        </w:rPr>
        <w:t>Share Reserve</w:t>
      </w:r>
      <w:r>
        <w:rPr>
          <w:rFonts w:ascii="Times New Roman" w:hAnsi="Times New Roman"/>
          <w:sz w:val="20"/>
        </w:rPr>
        <w:t xml:space="preserve">), which number includes (1) the Prior Available Reserve, (2) an additional 1,150,000 shares of Common Stock that were approved by the Companys stockholders at the 2023 Annual Meeting of Stockholders, </w:t>
      </w:r>
      <w:r>
        <w:rPr>
          <w:rFonts w:ascii="Times New Roman" w:hAnsi="Times New Roman"/>
          <w:i/>
          <w:sz w:val="20"/>
        </w:rPr>
        <w:t>plus</w:t>
      </w:r>
      <w:r>
        <w:rPr>
          <w:rFonts w:ascii="Times New Roman" w:hAnsi="Times New Roman"/>
          <w:sz w:val="20"/>
        </w:rPr>
        <w:t xml:space="preserve"> (3) Returning Shares, if any, as such shares become available from time to time. </w:t>
      </w:r>
    </w:p>
    <w:p>
      <w:pPr>
        <w:pStyle w:val="TextBody"/>
        <w:spacing w:before="240" w:after="0"/>
        <w:jc w:val="left"/>
        <w:rPr>
          <w:rFonts w:ascii="Times New Roman" w:hAnsi="Times New Roman"/>
          <w:sz w:val="20"/>
        </w:rPr>
      </w:pPr>
      <w:r>
        <w:rPr>
          <w:rFonts w:ascii="Times New Roman" w:hAnsi="Times New Roman"/>
          <w:sz w:val="20"/>
        </w:rPr>
        <w:t xml:space="preserve">In addition, the Share Reserve will automatically increase on January 1st of each year, for a period commencing on January 1st of the year following the Effective Date and ending on (and including) January 1, 2033, in an amount equal to 4% of the total number of shares of Capital Stock outstanding on December 31st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preceding calendar year. Notwithstanding the foregoing, the Board may act prior to January 1st of a given year to provide that there will be no January 1st increase in the Share Reserve for such year or that the increase in the Share Reserve for such year will be a lesser number of shares of Common Stock than would otherwise occur pursuant to the preceding sentence. </w:t>
      </w:r>
    </w:p>
    <w:p>
      <w:pPr>
        <w:pStyle w:val="TextBody"/>
        <w:spacing w:before="240" w:after="0"/>
        <w:jc w:val="left"/>
        <w:rPr>
          <w:rFonts w:ascii="Times New Roman" w:hAnsi="Times New Roman"/>
          <w:sz w:val="20"/>
        </w:rPr>
      </w:pPr>
      <w:r>
        <w:rPr>
          <w:rFonts w:ascii="Times New Roman" w:hAnsi="Times New Roman"/>
          <w:sz w:val="20"/>
        </w:rPr>
        <w:t xml:space="preserve">For clarity, the Share Reserve in this Section 3(a) is a limitation on the number of shares of Common Stock that may be issued pursuant to the Plan. Accordingly, this Section 3(a) does not limit the granting of Stock Awards except as provided in Section 7(a). Shares may be issued in connection with a merger or acquisition as permitted by NASDAQ Listing Rule 5635(c) or, if applicable, NYSE Listed Company Manual Section 303A.08, AMEX Company Guide Section 711 or other applicable rule, and such issuance will not reduce the number of shares available for issuance under the Plan. </w:t>
      </w:r>
    </w:p>
    <w:p>
      <w:pPr>
        <w:pStyle w:val="TextBody"/>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 xml:space="preserve">Reversion of Shares to the Share Reserve. </w:t>
      </w:r>
      <w:r>
        <w:rPr>
          <w:rFonts w:ascii="Times New Roman" w:hAnsi="Times New Roman"/>
          <w:sz w:val="20"/>
        </w:rPr>
        <w:t>If a Stock Award or any portion thereof (i) expires or otherwise terminates without all of the shares covered by such Stock Award having been issued or (ii) is settled in cash (</w:t>
      </w:r>
      <w:r>
        <w:rPr>
          <w:rFonts w:ascii="Times New Roman" w:hAnsi="Times New Roman"/>
          <w:i/>
          <w:sz w:val="20"/>
        </w:rPr>
        <w:t>i.e.</w:t>
      </w:r>
      <w:r>
        <w:rPr>
          <w:rFonts w:ascii="Times New Roman" w:hAnsi="Times New Roman"/>
          <w:sz w:val="20"/>
        </w:rPr>
        <w:t xml:space="preserve">, the Participant receives cash rather than stock), such expiration, termination or settlement will not reduce (or otherwise offset) the number of shares of Common Stock that may be available for issuance under the Plan. If any shares of Common Stock issued pursuant to a Stock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 Any shares reacquired by the Company in satisfaction of tax withholding obligations on a Stock Award or as consideration for the exercise or purchase price of a Stock Award will again become available for issuance under the Plan. Any Returning Shares subject to an outstanding Award under a Prior Plan shall become available for issuance pursuant to Awards granted under the Plan. </w:t>
      </w:r>
    </w:p>
    <w:p>
      <w:pPr>
        <w:pStyle w:val="TextBody"/>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 xml:space="preserve">Incentive Stock Option Limit. </w:t>
      </w:r>
      <w:r>
        <w:rPr>
          <w:rFonts w:ascii="Times New Roman" w:hAnsi="Times New Roman"/>
          <w:sz w:val="20"/>
        </w:rPr>
        <w:t xml:space="preserve">Subject to the provisions of Section 9(a) relating to Capitalization Adjustments, the aggregate maximum number of shares of Common Stock that may be issued pursuant to the exercise of Incentive Stock Options will be 10,000,000 shares of Common Stock. </w:t>
      </w:r>
    </w:p>
    <w:p>
      <w:pPr>
        <w:pStyle w:val="TextBody"/>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 xml:space="preserve">Limitation on Compensation to Non-Employee Directors. </w:t>
      </w:r>
      <w:r>
        <w:rPr>
          <w:rFonts w:ascii="Times New Roman" w:hAnsi="Times New Roman"/>
          <w:sz w:val="20"/>
        </w:rPr>
        <w:t xml:space="preserve">The aggregate value of all compensation granted or paid, as applicable, including Awards granted and cash fees paid by the Company during any one calendar year to any Non-Employee Director, taken together with any cash fees paid by the Company to such Non-Employee Director during such calendar year for service on the Board beginning with calendar year 2023, will not exceed $750,000 in total value (calculating the value of any such Stock Awards based on the grant date fair value of such Stock Awards for financial reporting purposes), or, with respect to the calendar year in which a Non-Employee Director is first appointed or elected to the Board, $1,000,000. </w:t>
      </w:r>
    </w:p>
    <w:p>
      <w:pPr>
        <w:pStyle w:val="TextBody"/>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Source of Shares.</w:t>
      </w:r>
      <w:r>
        <w:rPr>
          <w:rFonts w:ascii="Times New Roman" w:hAnsi="Times New Roman"/>
          <w:sz w:val="20"/>
        </w:rPr>
        <w:t xml:space="preserve"> The stock issuable under the Plan will be shares of authorized but unissued or reacquired Common Stock, including shares repurchased by the Company on the open market or otherwise.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b/>
              </w:rPr>
            </w:pPr>
            <w:r>
              <w:rPr>
                <w:b/>
              </w:rPr>
              <w:t>4.</w:t>
            </w:r>
          </w:p>
        </w:tc>
        <w:tc>
          <w:tcPr>
            <w:tcW w:w="980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ELIGIBILITY. </w:t>
            </w:r>
          </w:p>
        </w:tc>
      </w:tr>
    </w:tbl>
    <w:p>
      <w:pPr>
        <w:pStyle w:val="TextBody"/>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Eligibility for Specific Stock Awards.</w:t>
      </w:r>
      <w:r>
        <w:rPr>
          <w:rFonts w:ascii="Times New Roman" w:hAnsi="Times New Roman"/>
          <w:sz w:val="20"/>
        </w:rPr>
        <w:t xml:space="preserve"> Incentive Stock Options may be granted only to employees of the Company or a parent corporation or subsidiary corporation thereof (as such terms are defined in Sections 424(e) and 424(f) of the Code). Stock Awards other than Incentive Stock Options may be granted to Employees, Directors and Consultants; </w:t>
      </w:r>
      <w:r>
        <w:rPr>
          <w:rFonts w:ascii="Times New Roman" w:hAnsi="Times New Roman"/>
          <w:i/>
          <w:sz w:val="20"/>
        </w:rPr>
        <w:t>provided, however</w:t>
      </w:r>
      <w:r>
        <w:rPr>
          <w:rFonts w:ascii="Times New Roman" w:hAnsi="Times New Roman"/>
          <w:sz w:val="20"/>
        </w:rPr>
        <w:t xml:space="preserve">, that Stock Awards may not be granted to Employees, Directors and Consultants who are providing Continuous Service only to any parent of the Company, as such term is defined in Rule 405 of the Securities Act, unless (i) the stock underlying such Stock Awards is treated as service recipient stock under Section 409A of the Code (for example, because the Stock Awards are granted pursuant to a corporate transaction such as a spin off transaction), (ii) the Company, in consultation with its legal counsel, has determined that such Stock Awards are otherwise exempt from Section 409A of the Code, or (iii) the Company, in consultation with its legal counsel, has determined that such Stock Awards comply with the distribution requirements of Section 409A of the Code.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Ten Percent Stockholders.</w:t>
      </w:r>
      <w:r>
        <w:rPr>
          <w:rFonts w:ascii="Times New Roman" w:hAnsi="Times New Roman"/>
          <w:sz w:val="20"/>
        </w:rPr>
        <w:t xml:space="preserve"> A Ten Percent Stockholder will not be granted an Incentive Stock Option unless the exercise price of such Option is at least 110% of the Fair Market Value on the date of grant and the Option is not exercisable after the expiration of five years from the date of grant.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rPr>
            </w:pPr>
            <w:r>
              <w:rPr>
                <w:b/>
              </w:rPr>
              <w:t>5.</w:t>
            </w:r>
          </w:p>
        </w:tc>
        <w:tc>
          <w:tcPr>
            <w:tcW w:w="97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PROVISIONS RELATING TO OPTIONS AND STOCK APPRECIATION RIGHTS. </w:t>
            </w:r>
          </w:p>
        </w:tc>
      </w:tr>
    </w:tbl>
    <w:p>
      <w:pPr>
        <w:pStyle w:val="TextBody"/>
        <w:spacing w:before="120" w:after="0"/>
        <w:jc w:val="left"/>
        <w:rPr>
          <w:rFonts w:ascii="Times New Roman" w:hAnsi="Times New Roman"/>
          <w:sz w:val="20"/>
        </w:rPr>
      </w:pPr>
      <w:r>
        <w:rPr>
          <w:rFonts w:ascii="Times New Roman" w:hAnsi="Times New Roman"/>
          <w:sz w:val="20"/>
        </w:rPr>
        <w:t xml:space="preserve">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Times New Roman" w:hAnsi="Times New Roman"/>
          <w:i/>
          <w:sz w:val="20"/>
        </w:rPr>
        <w:t>provided, however</w:t>
      </w:r>
      <w:r>
        <w:rPr>
          <w:rFonts w:ascii="Times New Roman" w:hAnsi="Times New Roman"/>
          <w:sz w:val="20"/>
        </w:rPr>
        <w:t xml:space="preserve">, that each Award Agreement will conform to (through incorporation of provisions hereof by reference in the applicable Award Agreement or otherwise) the substance of each of the following provisions: </w:t>
      </w:r>
    </w:p>
    <w:p>
      <w:pPr>
        <w:pStyle w:val="TextBody"/>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Term.</w:t>
      </w:r>
      <w:r>
        <w:rPr>
          <w:rFonts w:ascii="Times New Roman" w:hAnsi="Times New Roman"/>
          <w:sz w:val="20"/>
        </w:rPr>
        <w:t xml:space="preserve"> Subject to the provisions of Section 4(b) regarding Ten Percent Stockholders, no Option or SAR will be exercisable after the expiration of ten years from the date of its grant or such shorter period specified in the Award Agreement. </w:t>
      </w:r>
    </w:p>
    <w:p>
      <w:pPr>
        <w:pStyle w:val="TextBody"/>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Exercise Price.</w:t>
      </w:r>
      <w:r>
        <w:rPr>
          <w:rFonts w:ascii="Times New Roman" w:hAnsi="Times New Roman"/>
          <w:sz w:val="20"/>
        </w:rPr>
        <w:t xml:space="preserve"> Subject to the provisions of Section 4(b) regarding Ten Percent Stockholders, the exercise or strike price of each Option or SAR will be not less than 100% of the Fair Market Value of the Common Stock subject to the Option or SAR on the date the Award is granted. Notwithstanding the foregoing, an Option or SAR may be granted with an exercise or strike price lower than 100% of the Fair Market Value of the Common Stock subject to the Award if such Award is granted pursuant to an assumption of or substitution for another option or stock appreciation right pursuant to a Corporate Transaction and in a manner consistent with the provisions of Section 409A of the Code and, if applicable, Section 424(a) of the Code. Each SAR will be denominated in shares of Common Stock equivalents. </w:t>
      </w:r>
    </w:p>
    <w:p>
      <w:pPr>
        <w:pStyle w:val="TextBody"/>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Purchase Price for Options.</w:t>
      </w:r>
      <w:r>
        <w:rPr>
          <w:rFonts w:ascii="Times New Roman" w:hAnsi="Times New Roman"/>
          <w:sz w:val="20"/>
        </w:rPr>
        <w:t xml:space="preserve"> The purchase price of Common Stock acquired pursuant to the exercise of an Option may be paid, to the extent permitted by applicable law and as determined by the Board in its sole discretion, by any combination of the methods of payment set forth below. The Board will have the authority to grant Options that do not permit all of the following methods of payment (or otherwise restrict the ability to use certain methods) and to grant Options that require the consent of the Company to use a particular method of payment. The permitted methods of payment are as follows: </w:t>
      </w:r>
    </w:p>
    <w:p>
      <w:pPr>
        <w:pStyle w:val="TextBody"/>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by cash, check, bank draft or money order payable to the Company; </w:t>
      </w:r>
    </w:p>
    <w:p>
      <w:pPr>
        <w:pStyle w:val="TextBody"/>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 </w:t>
      </w:r>
    </w:p>
    <w:p>
      <w:pPr>
        <w:pStyle w:val="TextBody"/>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by delivery to the Company (either by actual delivery or attestation) of shares of Common Stock; </w:t>
      </w:r>
    </w:p>
    <w:p>
      <w:pPr>
        <w:pStyle w:val="TextBody"/>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if an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w:t>
      </w:r>
      <w:r>
        <w:rPr>
          <w:rFonts w:ascii="Times New Roman" w:hAnsi="Times New Roman"/>
          <w:i/>
          <w:sz w:val="20"/>
        </w:rPr>
        <w:t>provided, however</w:t>
      </w:r>
      <w:r>
        <w:rPr>
          <w:rFonts w:ascii="Times New Roman" w:hAnsi="Times New Roman"/>
          <w:sz w:val="20"/>
        </w:rPr>
        <w:t xml:space="preserve">,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in any other form of legal consideration that may be acceptable to the Board and specified in the applicable Award Agreement. </w:t>
      </w:r>
    </w:p>
    <w:p>
      <w:pPr>
        <w:pStyle w:val="TextBody"/>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Exercise and Payment of a SAR.</w:t>
      </w:r>
      <w:r>
        <w:rPr>
          <w:rFonts w:ascii="Times New Roman" w:hAnsi="Times New Roman"/>
          <w:sz w:val="20"/>
        </w:rPr>
        <w:t xml:space="preserve"> To exercise any outstanding SAR, the Participant must provide written notice of exercise to the Company in compliance with the provisions of the Stock Appreciation Right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Award Agreement evidencing such SAR. </w:t>
      </w:r>
    </w:p>
    <w:p>
      <w:pPr>
        <w:pStyle w:val="TextBody"/>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Transferability of Options and SARs.</w:t>
      </w:r>
      <w:r>
        <w:rPr>
          <w:rFonts w:ascii="Times New Roman" w:hAnsi="Times New Roman"/>
          <w:sz w:val="20"/>
        </w:rPr>
        <w:t xml:space="preserve"> The Board may, in its sole discretion, impose such limitations on the transferability of Options and SARs as the Board will determine. In the absence of such a determination by the Board to the contrary, the following restrictions on the transferability of Options and SARs will apply: </w:t>
      </w:r>
    </w:p>
    <w:p>
      <w:pPr>
        <w:pStyle w:val="TextBody"/>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Restrictions on Transfer.</w:t>
      </w:r>
      <w:r>
        <w:rPr>
          <w:rFonts w:ascii="Times New Roman" w:hAnsi="Times New Roman"/>
          <w:sz w:val="20"/>
        </w:rPr>
        <w:t xml:space="preserve"> An Option or SAR will not be transferable except by will or by the laws of descent and distribution (or pursuant to subsections (ii) and (iii) below), and will be exercisable during the lifetime of the Participant only by the Participant. The Board may permit transfer of the Option or SAR in a manner that is not prohibited by applicable tax and securities laws. Except as explicitly provided in the Plan, neither an Option nor a SAR may be transferred for consideration. </w:t>
      </w:r>
    </w:p>
    <w:p>
      <w:pPr>
        <w:pStyle w:val="TextBody"/>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Domestic Relations Orders.</w:t>
      </w:r>
      <w:r>
        <w:rPr>
          <w:rFonts w:ascii="Times New Roman" w:hAnsi="Times New Roman"/>
          <w:sz w:val="20"/>
        </w:rPr>
        <w:t xml:space="preserve"> Subject to the approval of the Board or a duly authorized Officer, an Option or SAR may be transferred pursuant to the terms of a domestic relations order, official marital settlement agreement or other divorce or separation instrument as permitted by Treasury Regulations Section 1.421-1(b)(2). If an Option is an Incentive Stock Option, such Option may be deemed to be a Nonstatutory Stock Option as a result of such transfer. </w:t>
      </w:r>
    </w:p>
    <w:p>
      <w:pPr>
        <w:pStyle w:val="TextBody"/>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sz w:val="20"/>
        </w:rPr>
        <w:t>Beneficiary Designation.</w:t>
      </w:r>
      <w:r>
        <w:rPr>
          <w:rFonts w:ascii="Times New Roman" w:hAnsi="Times New Roman"/>
          <w:sz w:val="20"/>
        </w:rPr>
        <w:t xml:space="preserve"> Subject to the approval of the Board or a duly authorized Officer, a Participant may, by delivering written notice to the Company, in a form approved by the Company (or the designated broker), designate a third party who, on the death of the Participant, will thereafter be entitled to exercise the Option or SAR and receive the Common Stock or other consideration resulting from such exercise. In the absence of such a designation, upon the death of the Participant,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 </w:t>
      </w:r>
    </w:p>
    <w:p>
      <w:pPr>
        <w:pStyle w:val="TextBody"/>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Vesting Generally.</w:t>
      </w:r>
      <w:r>
        <w:rPr>
          <w:rFonts w:ascii="Times New Roman" w:hAnsi="Times New Roman"/>
          <w:sz w:val="20"/>
        </w:rPr>
        <w:t xml:space="preserve"> The total number of shares of Common Stock subject to an Option or SAR may vest and become exercisable in 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 </w:t>
      </w:r>
    </w:p>
    <w:p>
      <w:pPr>
        <w:pStyle w:val="TextBody"/>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sz w:val="20"/>
        </w:rPr>
        <w:t>Termination of Continuous Service.</w:t>
      </w:r>
      <w:r>
        <w:rPr>
          <w:rFonts w:ascii="Times New Roman" w:hAnsi="Times New Roman"/>
          <w:sz w:val="20"/>
        </w:rPr>
        <w:t xml:space="preserve"> Except as otherwise provided in the applicable Award Agreement or other agreement between the Participant and the Company, if a Participants Continuous Service terminates (other than for Cause and other than upon the Participants death or Disability), the Participant may exercise his or her Option or SAR (to the extent that the Participant was entitled to exercise such Award as of the date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termination of Continuous Service) within the period of time ending on the earlier of (i) the date that is 90 days following the termination of the Participants Continuous Service (or such longer or shorter period specified in the applicable Award Agreement), and (ii) the expiration of the term of the Option or SAR as set forth in the Award Agreement. If, after termination of Continuous Service, the Participant does not exercise his or her Option or SAR (as applicable) within the applicable time frame, the Option or SAR will terminate. </w:t>
      </w:r>
    </w:p>
    <w:p>
      <w:pPr>
        <w:pStyle w:val="TextBody"/>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sz w:val="20"/>
        </w:rPr>
        <w:t>Extension of Termination Date.</w:t>
      </w:r>
      <w:r>
        <w:rPr>
          <w:rFonts w:ascii="Times New Roman" w:hAnsi="Times New Roman"/>
          <w:sz w:val="20"/>
        </w:rPr>
        <w:t xml:space="preserve"> If the exercise of an Option or SAR following the termination of the Participants Continuous Service (other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 termination exercise period after the termination of the Participants Continuous Service during which the exercise of the Option or SAR would not be in violation of such registration requirements, and (ii) the expiration of the term of the Option or SAR as set forth in the applicable Award Agreement. In addition, unless otherwise provided in a Participants Award Agreement, if the sale of any Common Stock received on exercise of an Option or SAR following the termination of the Participants Continuous Service (other than for Cause) would violate the Companys insider trading policy, then the Option or SAR will terminate on the earlier of (i) the expiration of a period of months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Award Agreement. </w:t>
      </w:r>
    </w:p>
    <w:p>
      <w:pPr>
        <w:pStyle w:val="TextBody"/>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Disability of Participant.</w:t>
      </w:r>
      <w:r>
        <w:rPr>
          <w:rFonts w:ascii="Times New Roman" w:hAnsi="Times New Roman"/>
          <w:sz w:val="20"/>
        </w:rPr>
        <w:t xml:space="preserve"> Except as otherwise provided in the applicable Award Agreement or other agreement between the Participant and 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12 months following such termination of Continuous Service (or such longer or shorter period specified in the Award Agreement), and (ii) the expiration of the term of the Option or SAR as set forth in the Award Agreement. If, after termination of Continuous Service, the Participant does not exercise his or her Option or SAR within the applicable time frame, the Option or SAR (as applicable) will terminate. </w:t>
      </w:r>
    </w:p>
    <w:p>
      <w:pPr>
        <w:pStyle w:val="TextBody"/>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sz w:val="20"/>
        </w:rPr>
        <w:t>Death of Participant.</w:t>
      </w:r>
      <w:r>
        <w:rPr>
          <w:rFonts w:ascii="Times New Roman" w:hAnsi="Times New Roman"/>
          <w:sz w:val="20"/>
        </w:rPr>
        <w:t xml:space="preserve"> Except as otherwise provided in the applicable Award Agreement or other agreement between the Participant and the Company, 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18 months following the date of death (or such longer or shorter period specified in the Award Agreement), and (ii) the expiration of the term of such Option or SAR as set forth in the Award Agreement. If, after the Participants death, the Option or SAR is not exercised within the applicable time frame, the Option or SAR (as applicable) will terminate. </w:t>
      </w:r>
    </w:p>
    <w:p>
      <w:pPr>
        <w:pStyle w:val="TextBody"/>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sz w:val="20"/>
        </w:rPr>
        <w:t>Termination for Cause.</w:t>
      </w:r>
      <w:r>
        <w:rPr>
          <w:rFonts w:ascii="Times New Roman" w:hAnsi="Times New Roman"/>
          <w:sz w:val="20"/>
        </w:rPr>
        <w:t xml:space="preserve"> Except as explicitly provided otherwise in a Participants Award Agreement or other individual written agreement between the Company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time of such termination of Continuous Service. </w:t>
      </w:r>
    </w:p>
    <w:p>
      <w:pPr>
        <w:pStyle w:val="TextBody"/>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xml:space="preserve"> </w:t>
      </w:r>
      <w:r>
        <w:rPr>
          <w:rFonts w:ascii="Times New Roman" w:hAnsi="Times New Roman"/>
          <w:b/>
          <w:sz w:val="20"/>
        </w:rPr>
        <w:t>Non-Exempt Employees.</w:t>
      </w:r>
      <w:r>
        <w:rPr>
          <w:rFonts w:ascii="Times New Roman" w:hAnsi="Times New Roman"/>
          <w:sz w:val="20"/>
        </w:rPr>
        <w:t xml:space="preserve"> If an Option or SAR is granted to an Employee who is a non-exempt employee for purposes of the Fair Labor Standards Act of 1938, as amended, the Option or SAR will not be first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exercisable for any shares of Common Stock until at least six months following the date of grant of the Option or SAR (although the Award may vest prior to such date). Consistent with the provisions of the Worker Economic 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Award Agreement in another agreement between the Participant and the Company, or, if no such definition, in accordance with the Companys then current employment policies and guidelines), the vested portion of any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r>
              <w:rPr>
                <w:b/>
              </w:rPr>
              <w:t>6.</w:t>
            </w:r>
          </w:p>
        </w:tc>
        <w:tc>
          <w:tcPr>
            <w:tcW w:w="979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PROVISIONS OF STOCK AWARDS OTHER THAN OPTIONS AND SARS. </w:t>
            </w:r>
          </w:p>
        </w:tc>
      </w:tr>
    </w:tbl>
    <w:p>
      <w:pPr>
        <w:pStyle w:val="TextBody"/>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Restricted Stock Awards.</w:t>
      </w:r>
      <w:r>
        <w:rPr>
          <w:rFonts w:ascii="Times New Roman" w:hAnsi="Times New Roman"/>
          <w:sz w:val="20"/>
        </w:rPr>
        <w:t xml:space="preserve"> Each Restricted Stock Award Agreement will be in such form and will contain such terms and conditions as the Board will deem appropriate. To the extent consistent with the Companys bylaws, at the Boards election, shares of Common Stock may be (x) held in book entry form subject to the Companys instructions until any restrictions relating to the Restricted Stock Award lapse; or (y)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 </w:t>
      </w:r>
    </w:p>
    <w:p>
      <w:pPr>
        <w:pStyle w:val="TextBody"/>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Consideration.</w:t>
      </w:r>
      <w:r>
        <w:rPr>
          <w:rFonts w:ascii="Times New Roman" w:hAnsi="Times New Roman"/>
          <w:sz w:val="20"/>
        </w:rPr>
        <w:t xml:space="preserve"> A Restricted Stock Award may be awarded in consideration for (A) cash, check, bank draft or money order payable to the Company, (B) past or future services to the Company or an Affiliate, or (C) any other form of legal consideration that may be acceptable to the Board, in its sole discretion, and permissible under applicable law. </w:t>
      </w:r>
    </w:p>
    <w:p>
      <w:pPr>
        <w:pStyle w:val="TextBody"/>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 xml:space="preserve">Vesting. </w:t>
      </w:r>
      <w:r>
        <w:rPr>
          <w:rFonts w:ascii="Times New Roman" w:hAnsi="Times New Roman"/>
          <w:sz w:val="20"/>
        </w:rPr>
        <w:t xml:space="preserve">Shares of Common Stock awarded under the Restricted Stock Award Agreement may be subject to forfeiture to the Company in accordance with a vesting schedule to be determined by the Board. </w:t>
      </w:r>
    </w:p>
    <w:p>
      <w:pPr>
        <w:pStyle w:val="TextBody"/>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sz w:val="20"/>
        </w:rPr>
        <w:t>Termination of Participants Continuous Service.</w:t>
      </w:r>
      <w:r>
        <w:rPr>
          <w:rFonts w:ascii="Times New Roman" w:hAnsi="Times New Roman"/>
          <w:sz w:val="20"/>
        </w:rPr>
        <w:t xml:space="preserve"> If a Participants Continuous Service terminates, the Company may receive through a forfeiture condition or a repurchase right any or all of the shares of Common Stock held by the Participant that have not vested as of the date of termination of Continuous Service under the terms of the Restricted Stock Award Agreement. </w:t>
      </w:r>
    </w:p>
    <w:p>
      <w:pPr>
        <w:pStyle w:val="TextBody"/>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w:t>
      </w:r>
      <w:r>
        <w:rPr>
          <w:rFonts w:ascii="Times New Roman" w:hAnsi="Times New Roman"/>
          <w:b/>
          <w:sz w:val="20"/>
        </w:rPr>
        <w:t>Transferability.</w:t>
      </w:r>
      <w:r>
        <w:rPr>
          <w:rFonts w:ascii="Times New Roman" w:hAnsi="Times New Roman"/>
          <w:sz w:val="20"/>
        </w:rPr>
        <w:t xml:space="preserve"> Rights to acquire shares of Common Stock under the Restricted Stock Award Agreement will be transferable by the 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 </w:t>
      </w:r>
    </w:p>
    <w:p>
      <w:pPr>
        <w:pStyle w:val="TextBody"/>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w:t>
      </w:r>
      <w:r>
        <w:rPr>
          <w:rFonts w:ascii="Times New Roman" w:hAnsi="Times New Roman"/>
          <w:b/>
          <w:sz w:val="20"/>
        </w:rPr>
        <w:t xml:space="preserve">Dividends. </w:t>
      </w:r>
      <w:r>
        <w:rPr>
          <w:rFonts w:ascii="Times New Roman" w:hAnsi="Times New Roman"/>
          <w:sz w:val="20"/>
        </w:rPr>
        <w:t xml:space="preserve">A Restricted Stock Award Agreement may provide that any dividends paid on Restricted Stock Awards will be subject to the same vesting and forfeiture restrictions as apply to the shares subject to the Restricted Stock Award to which they relate. </w:t>
      </w:r>
    </w:p>
    <w:p>
      <w:pPr>
        <w:pStyle w:val="TextBody"/>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 xml:space="preserve">Restricted Stock Unit Awards. </w:t>
      </w:r>
      <w:r>
        <w:rPr>
          <w:rFonts w:ascii="Times New Roman" w:hAnsi="Times New Roman"/>
          <w:sz w:val="20"/>
        </w:rPr>
        <w:t xml:space="preserve">Each Restricted Stock Unit Award Agreement will be in such form and will contain such terms and conditions as the Board will deem appropriate. The terms and conditions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Restricted Stock Unit Agreement or otherwise) the substance of each of the following provisions: </w:t>
      </w:r>
    </w:p>
    <w:p>
      <w:pPr>
        <w:pStyle w:val="TextBody"/>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Consideration.</w:t>
      </w:r>
      <w:r>
        <w:rPr>
          <w:rFonts w:ascii="Times New Roman" w:hAnsi="Times New Roman"/>
          <w:sz w:val="20"/>
        </w:rPr>
        <w:t xml:space="preserve"> At the time of grant of a Restricted Stock Unit Award, the Board will determine the consideration, if any, to be paid 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 </w:t>
      </w:r>
    </w:p>
    <w:p>
      <w:pPr>
        <w:pStyle w:val="TextBody"/>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 xml:space="preserve">Vesting. </w:t>
      </w:r>
      <w:r>
        <w:rPr>
          <w:rFonts w:ascii="Times New Roman" w:hAnsi="Times New Roman"/>
          <w:sz w:val="20"/>
        </w:rPr>
        <w:t xml:space="preserve">At the time of the grant of a Restricted Stock Unit Award, the Board may impose such restrictions on or conditions to the vesting of the Restricted Stock Unit Award as it, in its sole discretion, deems appropriate. </w:t>
      </w:r>
    </w:p>
    <w:p>
      <w:pPr>
        <w:pStyle w:val="TextBody"/>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sz w:val="20"/>
        </w:rPr>
        <w:t>Payment.</w:t>
      </w:r>
      <w:r>
        <w:rPr>
          <w:rFonts w:ascii="Times New Roman" w:hAnsi="Times New Roman"/>
          <w:sz w:val="20"/>
        </w:rPr>
        <w:t xml:space="preserve"> A Restricted Stock Unit Award may be settled by the delivery of shares of Common Stock, their cash equivalent, any combination thereof or in any other form of consideration, as determined by the Board and contained in the Restricted Stock Unit Award Agreement. </w:t>
      </w:r>
    </w:p>
    <w:p>
      <w:pPr>
        <w:pStyle w:val="TextBody"/>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w:t>
      </w:r>
      <w:r>
        <w:rPr>
          <w:rFonts w:ascii="Times New Roman" w:hAnsi="Times New Roman"/>
          <w:b/>
          <w:sz w:val="20"/>
        </w:rPr>
        <w:t xml:space="preserve">Additional Restrictions. </w:t>
      </w:r>
      <w:r>
        <w:rPr>
          <w:rFonts w:ascii="Times New Roman" w:hAnsi="Times New Roman"/>
          <w:sz w:val="20"/>
        </w:rPr>
        <w:t xml:space="preserve">At the time of the grant of a Restricted Stock Unit Award, the Board, as it deems appropriate, may impose such restrictions or conditions that delay the delivery of the shares of Common Stock (or their cash equivalent) subject to a Restricted Stock Unit Award to a time after the vesting of such Restricted Stock Unit Award. </w:t>
      </w:r>
    </w:p>
    <w:p>
      <w:pPr>
        <w:pStyle w:val="TextBody"/>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w:t>
      </w:r>
      <w:r>
        <w:rPr>
          <w:rFonts w:ascii="Times New Roman" w:hAnsi="Times New Roman"/>
          <w:b/>
          <w:sz w:val="20"/>
        </w:rPr>
        <w:t xml:space="preserve">Dividend Equivalents. </w:t>
      </w:r>
      <w:r>
        <w:rPr>
          <w:rFonts w:ascii="Times New Roman" w:hAnsi="Times New Roman"/>
          <w:sz w:val="20"/>
        </w:rPr>
        <w:t xml:space="preserve">Dividend equivalents may be credited in respect of shares of Common Stock covered by a Restricted Stock Unit Award, 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of the same terms and conditions of the underlying Restricted Stock Unit Award Agreement to which they relate. </w:t>
      </w:r>
    </w:p>
    <w:p>
      <w:pPr>
        <w:pStyle w:val="TextBody"/>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w:t>
      </w:r>
      <w:r>
        <w:rPr>
          <w:rFonts w:ascii="Times New Roman" w:hAnsi="Times New Roman"/>
          <w:b/>
          <w:sz w:val="20"/>
        </w:rPr>
        <w:t xml:space="preserve">Termination of Participants Continuous Service. </w:t>
      </w:r>
      <w:r>
        <w:rPr>
          <w:rFonts w:ascii="Times New Roman" w:hAnsi="Times New Roman"/>
          <w:sz w:val="20"/>
        </w:rPr>
        <w:t xml:space="preserve">Except as otherwise provided in the applicable Restricted Stock Unit Award Agreement, such portion of the Restricted Stock Unit Award that has not vested will be forfeited upon the Participants termination of Continuous Service. </w:t>
      </w:r>
    </w:p>
    <w:p>
      <w:pPr>
        <w:pStyle w:val="TextBody"/>
        <w:spacing w:before="360" w:after="0"/>
        <w:jc w:val="left"/>
        <w:rPr>
          <w:rFonts w:ascii="Times New Roman" w:hAnsi="Times New Roman"/>
          <w:b/>
          <w:sz w:val="20"/>
        </w:rPr>
      </w:pPr>
      <w:r>
        <w:rPr>
          <w:rFonts w:ascii="Times New Roman" w:hAnsi="Times New Roman"/>
          <w:b/>
          <w:sz w:val="20"/>
        </w:rPr>
        <w:t xml:space="preserve">(c) Performance Awards. </w:t>
      </w:r>
    </w:p>
    <w:p>
      <w:pPr>
        <w:pStyle w:val="TextBody"/>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Performance Stock Awards</w:t>
      </w:r>
      <w:r>
        <w:rPr>
          <w:rFonts w:ascii="Times New Roman" w:hAnsi="Times New Roman"/>
          <w:sz w:val="20"/>
        </w:rPr>
        <w:t xml:space="preserve">. A Performance Stock Award is a Stock Award that is payable (including that may be granted, may vest or may be exercised) contingent upon the attainment during a Performance Period of certain Performance Goals. A Performance Stock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Board or Committee, in its sole discretion. In addition, to the extent permitted by applicable law and the applicable Award Agreement, the Board (or Committee, as the case may be) may determine that cash may be used in payment of Performance Stock Awards. </w:t>
      </w:r>
    </w:p>
    <w:p>
      <w:pPr>
        <w:pStyle w:val="TextBody"/>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Performance Cash Awards.</w:t>
      </w:r>
      <w:r>
        <w:rPr>
          <w:rFonts w:ascii="Times New Roman" w:hAnsi="Times New Roman"/>
          <w:sz w:val="20"/>
        </w:rPr>
        <w:t xml:space="preserve"> A Performance Cash Award is a cash award that is payable contingent upon the attainment during a Performance Period of certain Performance Goals. A Performance Cash Award may also require the completion of a specified period of Continuous Service. At the time of grant of a Performance Cash Award, the length of any Performance Period, the Performance Goals to be achieved during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Performance Period, and the measure of whether and to what degree such Performance Goals have been attained will be conclusively determined by the Board or Committee, in its sole discretion. The Board (or Committee, as the case may be) may specify the form of payment of Performance Cash Awards, which may be cash or other property, or may provide for a Participant to have the option for his or her Performance Cash Award, or such portion thereof as the Board (or Committee, as the case may be) may specify, to be paid in whole or in part in cash or other property. </w:t>
      </w:r>
    </w:p>
    <w:p>
      <w:pPr>
        <w:pStyle w:val="TextBody"/>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sz w:val="20"/>
        </w:rPr>
        <w:t>Board Discretion.</w:t>
      </w:r>
      <w:r>
        <w:rPr>
          <w:rFonts w:ascii="Times New Roman" w:hAnsi="Times New Roman"/>
          <w:sz w:val="20"/>
        </w:rPr>
        <w:t xml:space="preserve"> The Board (or Committee, as the case may be) retains the discretion to adjust or eliminate the compensation or economic benefit due upon attainment of Performance Goals and to define the manner of calculating the Performance Criteria it selects to use for a Performance Period. Partial achievement of the specified criteria may result in the payment or vesting corresponding to the degree of achievement as specified in the Stock Award Agreement or the written terms of a Performance Cash Award. </w:t>
      </w:r>
    </w:p>
    <w:p>
      <w:pPr>
        <w:pStyle w:val="TextBody"/>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Other Stock Awards</w:t>
      </w:r>
      <w:r>
        <w:rPr>
          <w:rFonts w:ascii="Times New Roman" w:hAnsi="Times New Roman"/>
          <w:sz w:val="20"/>
        </w:rPr>
        <w:t xml:space="preserve">. Other forms of Stock Awards valued in whole or in part by reference to, or otherwise based on, Common Stock, including the appreciation in value thereof (e.g., options or stock rights with an exercise price or strike price less than 100% of the Fair Market Value of the Common Stock at the time of grant) may be granted either alone or in addition to Stock Awards provided for under Section 5 and the preceding provisions of this Section 6. Subject to the provisions of the Plan,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7.</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COVENANTS OF THE COMPANY. </w:t>
            </w:r>
          </w:p>
        </w:tc>
      </w:tr>
    </w:tbl>
    <w:p>
      <w:pPr>
        <w:pStyle w:val="TextBody"/>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Availability of Shares.</w:t>
      </w:r>
      <w:r>
        <w:rPr>
          <w:rFonts w:ascii="Times New Roman" w:hAnsi="Times New Roman"/>
          <w:sz w:val="20"/>
        </w:rPr>
        <w:t xml:space="preserve"> The Company will keep available at all times the number of shares of Common Stock reasonably required to satisfy then-outstanding Awards. </w:t>
      </w:r>
    </w:p>
    <w:p>
      <w:pPr>
        <w:pStyle w:val="TextBody"/>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Securities Law Compliance.</w:t>
      </w:r>
      <w:r>
        <w:rPr>
          <w:rFonts w:ascii="Times New Roman" w:hAnsi="Times New Roman"/>
          <w:sz w:val="20"/>
        </w:rPr>
        <w:t xml:space="preserve"> The Company will seek to obtain from each regulatory commission or agency, as necessary, such authority as may be required to grant Stock Awards and to issue and sell shares of Common Stock upon exercise or vesting of the Stock Awards; </w:t>
      </w:r>
      <w:r>
        <w:rPr>
          <w:rFonts w:ascii="Times New Roman" w:hAnsi="Times New Roman"/>
          <w:i/>
          <w:sz w:val="20"/>
        </w:rPr>
        <w:t>provided, however</w:t>
      </w:r>
      <w:r>
        <w:rPr>
          <w:rFonts w:ascii="Times New Roman" w:hAnsi="Times New Roman"/>
          <w:sz w:val="20"/>
        </w:rPr>
        <w:t xml:space="preserve">, that this undertaking will not require the Company to register under the Securities Act or other securities or applicable laws, the Plan, any Stock Award or any Common Stock issued or issuable pursuant to any such Stock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Stock Awards unless and until such authority is obtained. A Participant will not be eligible for the grant of an Award or the subsequent issuance of cash or Common Stock pursuant to the Award if such grant or issuance would be in violation of any applicable law. </w:t>
      </w:r>
    </w:p>
    <w:p>
      <w:pPr>
        <w:pStyle w:val="TextBody"/>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 xml:space="preserve">No Obligation to Notify or Minimize Taxes. </w:t>
      </w:r>
      <w:r>
        <w:rPr>
          <w:rFonts w:ascii="Times New Roman" w:hAnsi="Times New Roman"/>
          <w:sz w:val="20"/>
        </w:rPr>
        <w:t xml:space="preserve">The Company will have no duty or obligation to any Participant to advise such holder as to the tax treatment or time or manner of exercising such Stock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r>
              <w:rPr>
                <w:b/>
              </w:rPr>
              <w:t>8.</w:t>
            </w:r>
          </w:p>
        </w:tc>
        <w:tc>
          <w:tcPr>
            <w:tcW w:w="979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MISCELLANEOUS. </w:t>
            </w:r>
          </w:p>
        </w:tc>
      </w:tr>
    </w:tbl>
    <w:p>
      <w:pPr>
        <w:pStyle w:val="TextBody"/>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 xml:space="preserve">Use of Proceeds from Sales of Common Stock. </w:t>
      </w:r>
      <w:r>
        <w:rPr>
          <w:rFonts w:ascii="Times New Roman" w:hAnsi="Times New Roman"/>
          <w:sz w:val="20"/>
        </w:rPr>
        <w:t xml:space="preserve">Proceeds from the sale of shares of Common Stock pursuant to Awards will constitute general funds of the Company. </w:t>
      </w:r>
    </w:p>
    <w:p>
      <w:pPr>
        <w:pStyle w:val="TextBody"/>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Corporate Action Constituting Grant of Awards.</w:t>
      </w:r>
      <w:r>
        <w:rPr>
          <w:rFonts w:ascii="Times New Roman" w:hAnsi="Times New Roman"/>
          <w:sz w:val="20"/>
        </w:rPr>
        <w:t xml:space="preserve"> Corporate action constituting a grant by the Company of an Award to any Participant will be deemed completed as of the date of such corporate action,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constituting the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 </w:t>
      </w:r>
    </w:p>
    <w:p>
      <w:pPr>
        <w:pStyle w:val="TextBody"/>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Stockholder Rights.</w:t>
      </w:r>
      <w:r>
        <w:rPr>
          <w:rFonts w:ascii="Times New Roman" w:hAnsi="Times New Roman"/>
          <w:sz w:val="20"/>
        </w:rPr>
        <w:t xml:space="preserve"> No Participant will be deemed to be the holder of, or to have any of the rights of a holder with respect to, any shares of Common Stock subject to an Award unless and until (i) such Participant has satisfied all requirements for exercise of, or the issuance of shares of Common Stock under, the Award pursuant to its terms, and (ii) the issuance of the Common Stock subject to such Award has been entered into the books and records of the Company. </w:t>
      </w:r>
    </w:p>
    <w:p>
      <w:pPr>
        <w:pStyle w:val="TextBody"/>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No Employment or Other Service Rights.</w:t>
      </w:r>
      <w:r>
        <w:rPr>
          <w:rFonts w:ascii="Times New Roman" w:hAnsi="Times New Roman"/>
          <w:sz w:val="20"/>
        </w:rPr>
        <w:t xml:space="preserve"> 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domiciled or incorporated, as the case may be. </w:t>
      </w:r>
    </w:p>
    <w:p>
      <w:pPr>
        <w:pStyle w:val="TextBody"/>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Change in Time Commitment.</w:t>
      </w:r>
      <w:r>
        <w:rPr>
          <w:rFonts w:ascii="Times New Roman" w:hAnsi="Times New Roman"/>
          <w:sz w:val="20"/>
        </w:rPr>
        <w:t xml:space="preserve">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has the right in its sole discretion to (x) make a corresponding reduction in the number of shares or cash amount subject to any portion of such Award that is scheduled to vest or become payable after the date of such change in time commitment, and (y) in lieu of or in combination with such a reduction, extend the vesting or payment schedule applicable to such Award. In the event of any such reduction, the Participant will have no right with respect to any portion of the Award that is so reduced or extended. </w:t>
      </w:r>
    </w:p>
    <w:p>
      <w:pPr>
        <w:pStyle w:val="TextBody"/>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Incentive Stock Option Limitations.</w:t>
      </w:r>
      <w:r>
        <w:rPr>
          <w:rFonts w:ascii="Times New Roman" w:hAnsi="Times New Roman"/>
          <w:sz w:val="20"/>
        </w:rPr>
        <w:t xml:space="preserve"> To the extent that the aggregate Fair Market Value (determined at the time of 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 </w:t>
      </w:r>
    </w:p>
    <w:p>
      <w:pPr>
        <w:pStyle w:val="TextBody"/>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sz w:val="20"/>
        </w:rPr>
        <w:t>Investment Assurances.</w:t>
      </w:r>
      <w:r>
        <w:rPr>
          <w:rFonts w:ascii="Times New Roman" w:hAnsi="Times New Roman"/>
          <w:sz w:val="20"/>
        </w:rPr>
        <w:t xml:space="preserve"> The Company may require a Participant, as a condition of exercising or acquiring Common Stock under any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such Participant is capable of evaluating, alone or together with the purchaser representative, the merits and risks of exercising the Award; and (ii) to give written assurances satisfactory to the Company stating that the Participant is acquiring Common Stock subject to the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Award has been registered under a then currently effective registration statement under the Securities Act, or (B) as to any particular requirement, 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 </w:t>
      </w:r>
    </w:p>
    <w:p>
      <w:pPr>
        <w:pStyle w:val="TextBody"/>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sz w:val="20"/>
        </w:rPr>
        <w:t>Withholding Obligations.</w:t>
      </w:r>
      <w:r>
        <w:rPr>
          <w:rFonts w:ascii="Times New Roman" w:hAnsi="Times New Roman"/>
          <w:sz w:val="20"/>
        </w:rPr>
        <w:t xml:space="preserve"> The Company may, in its sole discretion, satisfy any Tax-Related Items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(provided that for tax purposes, the Participant will be deemed to have been issued the full number of shares subject to the Award, notwithstanding that a number of the shares is held back solely for the purpose of paying the Tax-Related Items); (iii) withholding cash from an Award settled in cash; (iv) withholding payment from any amounts otherwise payable to the Participant; or (v) by such other method as may be set forth in the Award Agreement. The Company and/or its Affiliate may withhold or account for Tax-Related Items by considering statutory or other withholding rates, including minimum or maximum rates applicable in a Participants jurisdiction. </w:t>
      </w:r>
    </w:p>
    <w:p>
      <w:pPr>
        <w:pStyle w:val="TextBody"/>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Electronic Delivery.</w:t>
      </w:r>
      <w:r>
        <w:rPr>
          <w:rFonts w:ascii="Times New Roman" w:hAnsi="Times New Roman"/>
          <w:sz w:val="20"/>
        </w:rPr>
        <w:t xml:space="preserve"> Any reference herein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w:t>
      </w:r>
    </w:p>
    <w:p>
      <w:pPr>
        <w:pStyle w:val="TextBody"/>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sz w:val="20"/>
        </w:rPr>
        <w:t>Deferrals.</w:t>
      </w:r>
      <w:r>
        <w:rPr>
          <w:rFonts w:ascii="Times New Roman" w:hAnsi="Times New Roman"/>
          <w:sz w:val="20"/>
        </w:rPr>
        <w:t xml:space="preserve"> To the extent permitted by applicable law, the Board, in its sole discretion, may determine that the delivery of Common Stock or the 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 </w:t>
      </w:r>
    </w:p>
    <w:p>
      <w:pPr>
        <w:pStyle w:val="TextBody"/>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sz w:val="20"/>
        </w:rPr>
        <w:t>Compliance with Section</w:t>
      </w:r>
      <w:r>
        <w:rPr>
          <w:rFonts w:ascii="Times New Roman" w:hAnsi="Times New Roman"/>
          <w:sz w:val="20"/>
        </w:rPr>
        <w:t> </w:t>
      </w:r>
      <w:r>
        <w:rPr>
          <w:rFonts w:ascii="Times New Roman" w:hAnsi="Times New Roman"/>
          <w:b/>
          <w:sz w:val="20"/>
        </w:rPr>
        <w:t xml:space="preserve">409A of the Code. </w:t>
      </w:r>
      <w:r>
        <w:rPr>
          <w:rFonts w:ascii="Times New Roman" w:hAnsi="Times New Roman"/>
          <w:sz w:val="20"/>
        </w:rPr>
        <w:t xml:space="preserve">Unless otherwise expressly provided for in an Award Agreement, the Plan and Award Agreements will be interpreted to the greatest extent possible in a manner that makes the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(as defined in Section 409A of the Code without regard to alternative definitions thereunder)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 </w:t>
      </w:r>
    </w:p>
    <w:p>
      <w:pPr>
        <w:pStyle w:val="TextBody"/>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xml:space="preserve"> </w:t>
      </w:r>
      <w:r>
        <w:rPr>
          <w:rFonts w:ascii="Times New Roman" w:hAnsi="Times New Roman"/>
          <w:b/>
          <w:sz w:val="20"/>
        </w:rPr>
        <w:t>Clawback/Recovery.</w:t>
      </w:r>
      <w:r>
        <w:rPr>
          <w:rFonts w:ascii="Times New Roman" w:hAnsi="Times New Roman"/>
          <w:sz w:val="20"/>
        </w:rPr>
        <w:t xml:space="preserve"> All Awards granted under the Plan will be subject to recoupment in accordance with any clawback policy that the Company is required to adopt pursuant to the listing standards of any national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an event constituting Cause. No recovery of compensation under such a clawback policy will be an event giving rise to a right to resign for good reason or constructive termination (or similar term) under any agreement with the Company.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9.</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ADJUSTMENTS UPON CHANGES IN COMMON STOCK; OTHER CORPORATE EVENTS. </w:t>
            </w:r>
          </w:p>
        </w:tc>
      </w:tr>
    </w:tbl>
    <w:p>
      <w:pPr>
        <w:pStyle w:val="TextBody"/>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Capitalization Adjustments.</w:t>
      </w:r>
      <w:r>
        <w:rPr>
          <w:rFonts w:ascii="Times New Roman" w:hAnsi="Times New Roman"/>
          <w:sz w:val="20"/>
        </w:rPr>
        <w:t xml:space="preserve"> In the event of a Capitalization Adjustment, the Board will appropriately and proportionately adjust: (i) the class(es) and maximum number of securities subject to the Plan pursuant to Section 3(a), (ii) the class(es) of securities by which the share reserve is to increase automatically each year pursuant to Section 3(a), (iii) the class(es) and maximum number of securities that may be issued pursuant to the exercise of Incentive Stock Options pursuant to Section 3(c) and (iv) the class(es) and number of securities and price per share of stock subject to outstanding Stock Awards. The Board will make such adjustments, and its determination will be final, binding and conclusive. </w:t>
      </w:r>
    </w:p>
    <w:p>
      <w:pPr>
        <w:pStyle w:val="TextBody"/>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Dissolution.</w:t>
      </w:r>
      <w:r>
        <w:rPr>
          <w:rFonts w:ascii="Times New Roman" w:hAnsi="Times New Roman"/>
          <w:sz w:val="20"/>
        </w:rPr>
        <w:t xml:space="preserve"> Except as otherwise provided in the Stock Award Agreement, in the event of a Dissolution of the Company, all outstanding Stock Awards (other than Stock Awards consisting of vested and outstanding shares of Common Stock not subject to a forfeiture condition or the Companys right of repurchase) will terminate immediately prior to the completion of such Dissolution,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Times New Roman" w:hAnsi="Times New Roman"/>
          <w:i/>
          <w:sz w:val="20"/>
        </w:rPr>
        <w:t>provided, however</w:t>
      </w:r>
      <w:r>
        <w:rPr>
          <w:rFonts w:ascii="Times New Roman" w:hAnsi="Times New Roman"/>
          <w:sz w:val="20"/>
        </w:rPr>
        <w:t xml:space="preserve">, that the Board may, in its sole discretion, cause some or all Stock Awards to become fully vested, exercisable and/or no longer subject to repurchase or forfeiture (to the extent such Stock Awards have not previously expired or terminated) before the Dissolution is completed but contingent on its completion. </w:t>
      </w:r>
    </w:p>
    <w:p>
      <w:pPr>
        <w:pStyle w:val="TextBody"/>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Transaction.</w:t>
      </w:r>
      <w:r>
        <w:rPr>
          <w:rFonts w:ascii="Times New Roman" w:hAnsi="Times New Roman"/>
          <w:sz w:val="20"/>
        </w:rPr>
        <w:t xml:space="preserve"> The following provisions shall apply to Stock Awards in the event of a Transaction unless otherwise provided in the instrument evidencing the Stock Award or any other written agreement between the Company or any Affiliate and the Participant or unless otherwise expressly provided by the Board at the time of grant of a Stock Award. In the event of a Transaction, then, notwithstanding any other provision of the Plan, the Board shall take one or more of the following actions with respect to Stock Awards, contingent upon the closing or completion of the Transaction: </w:t>
      </w:r>
    </w:p>
    <w:p>
      <w:pPr>
        <w:pStyle w:val="TextBody"/>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Transaction); </w:t>
      </w:r>
    </w:p>
    <w:p>
      <w:pPr>
        <w:pStyle w:val="TextBody"/>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arrange for the assignment of any reacquisition or repurchase rights held by the Company in respect of Common Stock issued pursuant to the Stock Award to the surviving corporation or acquiring corporation (or the surviving or acquiring corporations parent company); </w:t>
      </w:r>
    </w:p>
    <w:p>
      <w:pPr>
        <w:pStyle w:val="TextBody"/>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accelerate the vesting, in whole or in part, of the Stock Award (and, if applicable, the time at which the Stock Award may be exercised) to a date prior to the effective time of such Transaction as the Board shall determine (or, if the Board shall not determine such a date, to the date that is five days prior to the effective date of the Transaction), with such Stock Award terminating if not exercised (if applicable) at or prior to the effective time of the Transaction; </w:t>
      </w:r>
    </w:p>
    <w:p>
      <w:pPr>
        <w:pStyle w:val="TextBody"/>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arrange for the lapse, in whole or in part, of any reacquisition or repurchase rights held by the Company with respect to the Stock Award;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cancel or arrange for the cancellation of the Stock Award, to the extent not vested or not exercised prior to the effective time of the Transaction, in exchange for such cash consideration, if any, as the Board, in its sole discretion, may consider appropriate; and </w:t>
      </w:r>
    </w:p>
    <w:p>
      <w:pPr>
        <w:pStyle w:val="TextBody"/>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make a payment, in such form as may be determined by the Board equal to the excess, if any, of (A) the value of the property the Participant would have received upon the exercise of the Stock Award immediately prior to the effective time of the Transaction, over (B) any exercise price payable by such holder in connection with such exercise. For clarity, this payment may be zero ($0) if the value of the property is equal to or less than the exercise price. Payments under this provision may be delayed to the same extesnt that payment of consideration to the holders of Common Stock in connection with the Transaction is delayed as a result of escrows, earn outs, holdbacks or other contingencies. </w:t>
      </w:r>
    </w:p>
    <w:p>
      <w:pPr>
        <w:pStyle w:val="TextBody"/>
        <w:spacing w:before="240" w:after="0"/>
        <w:jc w:val="left"/>
        <w:rPr>
          <w:rFonts w:ascii="Times New Roman" w:hAnsi="Times New Roman"/>
          <w:sz w:val="20"/>
        </w:rPr>
      </w:pPr>
      <w:r>
        <w:rPr>
          <w:rFonts w:ascii="Times New Roman" w:hAnsi="Times New Roman"/>
          <w:sz w:val="20"/>
        </w:rPr>
        <w:t xml:space="preserve">The Board need not take the same action or actions with respect to all Stock Awards or portions thereof or with respect to all Participants. The Board may take different actions with respect to the vested and unvested portions of a Stock Award. </w:t>
      </w:r>
    </w:p>
    <w:p>
      <w:pPr>
        <w:pStyle w:val="TextBody"/>
        <w:spacing w:before="240" w:after="0"/>
        <w:jc w:val="left"/>
        <w:rPr>
          <w:rFonts w:ascii="Times New Roman" w:hAnsi="Times New Roman"/>
          <w:sz w:val="20"/>
        </w:rPr>
      </w:pPr>
      <w:r>
        <w:rPr>
          <w:rFonts w:ascii="Times New Roman" w:hAnsi="Times New Roman"/>
          <w:sz w:val="20"/>
        </w:rPr>
        <w:t>In the event of a Transaction in which the surviving corporation or acquiring corporation (or its parent company) does not assume or continue such outstanding Stock Awards or substitute similar awards for such outstanding Stock Awards, then with respect to Stock Awards that have not been assumed, continued or substituted and that are held by Participants whose Continuous Service has not terminated prior to the effective time of the Transaction (referred to as the </w:t>
      </w:r>
      <w:r>
        <w:rPr>
          <w:rFonts w:ascii="Times New Roman" w:hAnsi="Times New Roman"/>
          <w:b/>
          <w:i/>
          <w:sz w:val="20"/>
        </w:rPr>
        <w:t>Current Participants</w:t>
      </w:r>
      <w:r>
        <w:rPr>
          <w:rFonts w:ascii="Times New Roman" w:hAnsi="Times New Roman"/>
          <w:sz w:val="20"/>
        </w:rPr>
        <w:t xml:space="preserve">), the vesting of such Stock Awards (and, with respect to Options and Stock Appreciation Rights, the time when such Stock Awards may be exercised) will be accelerated in full to a date prior to the effective time of such Transaction (contingent upon the effectiveness of the Transaction) as the Board determines (or, if the Board does not determine such a date, to the date that is five (5) days prior to the effective time of the Transaction), and such Stock Awards will terminate if not exercised (if applicable) at or prior to the effective time of the Transaction, and any reacquisition or repurchase rights held by the Company with respect to such Stock Awards will lapse (contingent upon the effectiveness of the Transaction). With respect to the vesting of Performance Stock Awards that will accelerate upon the occurrence of a Transaction pursuant to this paragraph and that have multiple vesting levels depending on the level of performance, unless otherwise provided in the Stock Award Agreement or unless otherwise provided by the Board, the vesting of such Performance Stock Awards will accelerate at 100% of the target level upon the occurrence of the Transaction in which the Stock Awards are not assumed or continued or for which substitute awards are issued. With respect to the vesting of Stock Awards that will accelerate upon the occurrence of a Transaction pursuant to this paragraph and are settled in the form of a cash payment, such cash payment will be made no later than 30 days following the occurrence of the Transaction or such later date as required by Section 409A of the Code. </w:t>
      </w:r>
    </w:p>
    <w:p>
      <w:pPr>
        <w:pStyle w:val="TextBody"/>
        <w:spacing w:before="240" w:after="0"/>
        <w:jc w:val="left"/>
        <w:rPr>
          <w:rFonts w:ascii="Times New Roman" w:hAnsi="Times New Roman"/>
          <w:sz w:val="20"/>
        </w:rPr>
      </w:pPr>
      <w:r>
        <w:rPr>
          <w:rFonts w:ascii="Times New Roman" w:hAnsi="Times New Roman"/>
          <w:sz w:val="20"/>
        </w:rPr>
        <w:t xml:space="preserve">In the event of a Transaction in which the surviving corporation or acquiring corporation (or its parent company) does not assume or continue such outstanding Stock Awards or substitute similar awards for such outstanding Awards, then with respect to Stock Awards that have not been assumed, continued or substituted and that are held by persons other than Current Participants, such Stock Awards will terminate if not exercised (if applicable) prior to the occurrence of the Transaction; </w:t>
      </w:r>
      <w:r>
        <w:rPr>
          <w:rFonts w:ascii="Times New Roman" w:hAnsi="Times New Roman"/>
          <w:i/>
          <w:sz w:val="20"/>
        </w:rPr>
        <w:t>provided, however</w:t>
      </w:r>
      <w:r>
        <w:rPr>
          <w:rFonts w:ascii="Times New Roman" w:hAnsi="Times New Roman"/>
          <w:sz w:val="20"/>
        </w:rPr>
        <w:t xml:space="preserve">, that any reacquisition or repurchase rights held by the Company with respect to such Stock Awards will not terminate and may continue to be exercised notwithstanding the Transaction. </w:t>
      </w:r>
    </w:p>
    <w:p>
      <w:pPr>
        <w:pStyle w:val="TextBody"/>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Change in Control.</w:t>
      </w:r>
      <w:r>
        <w:rPr>
          <w:rFonts w:ascii="Times New Roman" w:hAnsi="Times New Roman"/>
          <w:sz w:val="20"/>
        </w:rPr>
        <w:t xml:space="preserve"> A Stock Award may be subject to additional acceleration of vesting and exercisability upon or after a Change in Control as may be provided in the Stock Award Agreement for such Stock Award or as may be provided in any other written agreement between the Company or any Affiliate and the Participant.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10.</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PLAN TERM; EARLIER TERMINATION OR SUSPENSION OF THE PLAN. </w:t>
            </w:r>
          </w:p>
        </w:tc>
      </w:tr>
    </w:tbl>
    <w:p>
      <w:pPr>
        <w:pStyle w:val="TextBody"/>
        <w:spacing w:before="120" w:after="0"/>
        <w:jc w:val="left"/>
        <w:rPr>
          <w:rFonts w:ascii="Times New Roman" w:hAnsi="Times New Roman"/>
          <w:sz w:val="20"/>
        </w:rPr>
      </w:pPr>
      <w:r>
        <w:rPr>
          <w:rFonts w:ascii="Times New Roman" w:hAnsi="Times New Roman"/>
          <w:sz w:val="20"/>
        </w:rPr>
        <w:t xml:space="preserve">The Board may suspend or terminate the Plan at any time. No Incentive Stock Options may be granted after the tenth anniversary of the earlier of (i) the Adoption Date, or (ii) the Effective Date. No Awards may be granted under the Plan while the Plan is suspended or after it is terminated.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11.</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EXISTENCE OF THE PLAN; TIMING OF FIRST GRANT OR EXERCISE. </w:t>
            </w:r>
          </w:p>
        </w:tc>
      </w:tr>
    </w:tbl>
    <w:p>
      <w:pPr>
        <w:pStyle w:val="TextBody"/>
        <w:spacing w:before="120" w:after="0"/>
        <w:jc w:val="left"/>
        <w:rPr>
          <w:rFonts w:ascii="Times New Roman" w:hAnsi="Times New Roman"/>
          <w:sz w:val="20"/>
        </w:rPr>
      </w:pPr>
      <w:r>
        <w:rPr>
          <w:rFonts w:ascii="Times New Roman" w:hAnsi="Times New Roman"/>
          <w:sz w:val="20"/>
        </w:rPr>
        <w:t xml:space="preserve">The Plan will come into existence on the Adoption Date; </w:t>
      </w:r>
      <w:r>
        <w:rPr>
          <w:rFonts w:ascii="Times New Roman" w:hAnsi="Times New Roman"/>
          <w:i/>
          <w:sz w:val="20"/>
        </w:rPr>
        <w:t>provided, however</w:t>
      </w:r>
      <w:r>
        <w:rPr>
          <w:rFonts w:ascii="Times New Roman" w:hAnsi="Times New Roman"/>
          <w:sz w:val="20"/>
        </w:rPr>
        <w:t xml:space="preserve">, that no Stock Award may be granted prior to the Effective Date. In addition, no Stock Award will be exercised (or, in the case of a Restricted Stock Award, Restricted Stock Unit Award, Performance Stock Award, or Other Stock Award, no Stock Award will be granted) and no Performance Cash Award will be settled unless and until the Plan has been approved by the stockholders of the Company, which approval will be within 12 months after the date the Plan is adopted by the Board.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rPr>
            </w:pPr>
            <w:r>
              <w:rPr>
                <w:b/>
              </w:rPr>
              <w:t>12.</w:t>
            </w:r>
          </w:p>
        </w:tc>
        <w:tc>
          <w:tcPr>
            <w:tcW w:w="97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CHOICE OF LAW. </w:t>
            </w:r>
          </w:p>
        </w:tc>
      </w:tr>
    </w:tbl>
    <w:p>
      <w:pPr>
        <w:pStyle w:val="TextBody"/>
        <w:spacing w:before="120" w:after="0"/>
        <w:jc w:val="left"/>
        <w:rPr>
          <w:rFonts w:ascii="Times New Roman" w:hAnsi="Times New Roman"/>
          <w:sz w:val="20"/>
        </w:rPr>
      </w:pPr>
      <w:r>
        <w:rPr>
          <w:rFonts w:ascii="Times New Roman" w:hAnsi="Times New Roman"/>
          <w:sz w:val="20"/>
        </w:rPr>
        <w:t xml:space="preserve">The law of the State of Delaware will govern all questions concerning the construction, validity and interpretation of this Plan, without regard to that states conflict of laws rules.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13.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 xml:space="preserve">DEFINITIONS. </w:t>
            </w:r>
            <w:r>
              <w:rPr>
                <w:rFonts w:ascii="Times New Roman" w:hAnsi="Times New Roman"/>
                <w:sz w:val="20"/>
              </w:rPr>
              <w:t xml:space="preserve">As used in the Plan, the following definitions will apply to the capitalized terms indicated below: </w:t>
            </w:r>
          </w:p>
        </w:tc>
      </w:tr>
    </w:tbl>
    <w:p>
      <w:pPr>
        <w:pStyle w:val="TextBody"/>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i/>
          <w:sz w:val="20"/>
        </w:rPr>
        <w:t>Affiliate</w:t>
      </w:r>
      <w:r>
        <w:rPr>
          <w:rFonts w:ascii="Times New Roman" w:hAnsi="Times New Roman"/>
          <w:sz w:val="20"/>
        </w:rPr>
        <w:t xml:space="preserve"> means, at the time of determination, any parent or subsidiary of the Company as such terms are defined in Rule 405 of the Securities Act. The Board will have the authority to determine the time or times at which parent or subsidiary status is determined within the foregoing definition. </w:t>
      </w:r>
    </w:p>
    <w:p>
      <w:pPr>
        <w:pStyle w:val="TextBody"/>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i/>
          <w:sz w:val="20"/>
        </w:rPr>
        <w:t>Award</w:t>
      </w:r>
      <w:r>
        <w:rPr>
          <w:rFonts w:ascii="Times New Roman" w:hAnsi="Times New Roman"/>
          <w:sz w:val="20"/>
        </w:rPr>
        <w:t xml:space="preserve"> means a Stock Award or a Performance Cash Award. </w:t>
      </w:r>
    </w:p>
    <w:p>
      <w:pPr>
        <w:pStyle w:val="TextBody"/>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i/>
          <w:sz w:val="20"/>
        </w:rPr>
        <w:t>Award Agreement</w:t>
      </w:r>
      <w:r>
        <w:rPr>
          <w:rFonts w:ascii="Times New Roman" w:hAnsi="Times New Roman"/>
          <w:sz w:val="20"/>
        </w:rPr>
        <w:t xml:space="preserve"> means a written agreement between the Company and a Participant evidencing the terms and conditions of an Award. </w:t>
      </w:r>
    </w:p>
    <w:p>
      <w:pPr>
        <w:pStyle w:val="TextBody"/>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i/>
          <w:sz w:val="20"/>
        </w:rPr>
        <w:t>Board</w:t>
      </w:r>
      <w:r>
        <w:rPr>
          <w:rFonts w:ascii="Times New Roman" w:hAnsi="Times New Roman"/>
          <w:sz w:val="20"/>
        </w:rPr>
        <w:t xml:space="preserve"> means the Board of Directors of the Company. </w:t>
      </w:r>
    </w:p>
    <w:p>
      <w:pPr>
        <w:pStyle w:val="TextBody"/>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i/>
          <w:sz w:val="20"/>
        </w:rPr>
        <w:t>Capital Stock</w:t>
      </w:r>
      <w:r>
        <w:rPr>
          <w:rFonts w:ascii="Times New Roman" w:hAnsi="Times New Roman"/>
          <w:sz w:val="20"/>
        </w:rPr>
        <w:t xml:space="preserve"> means each and every class of common stock of the Company, regardless of the number of votes per share. </w:t>
      </w:r>
    </w:p>
    <w:p>
      <w:pPr>
        <w:pStyle w:val="TextBody"/>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i/>
          <w:sz w:val="20"/>
        </w:rPr>
        <w:t>Capitalization Adjustment</w:t>
      </w:r>
      <w:r>
        <w:rPr>
          <w:rFonts w:ascii="Times New Roman" w:hAnsi="Times New Roman"/>
          <w:sz w:val="20"/>
        </w:rPr>
        <w:t xml:space="preserve"> means any change that is made in, or other events that occur with respect to, the Common Stock subject to the Plan or subject to any Stock Award after the Adoption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 </w:t>
      </w:r>
    </w:p>
    <w:p>
      <w:pPr>
        <w:pStyle w:val="TextBody"/>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i/>
          <w:sz w:val="20"/>
        </w:rPr>
        <w:t>Cause</w:t>
      </w:r>
      <w:r>
        <w:rPr>
          <w:rFonts w:ascii="Times New Roman" w:hAnsi="Times New Roman"/>
          <w:sz w:val="20"/>
        </w:rPr>
        <w:t xml:space="preserve"> shall have the meaning ascribed to such term in any written agreement between the Participant and the Company defining such term and, in the absence of such agreement, such term means the termination of a Participants Continuous Service with the Company and its subsidiaries due to (i) such Participants commission of any felony or any crime involving fraud, dishonesty or moral turpitude under the laws of the United States or any state thereof; (ii) such Participants attempted commission of, or participation in, a fraud 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act of dishonesty against the Company and/or its subsidiaries; (iii) such Participants material violation of (A) any contract or agreement between the Participant and the Company and/or a subsidiary of the Company or (B) any statutory duty owed to the Company and/or its subsidiaries; (iv) such Participants unauthorized use or disclosure of confidential information or trade secrets of the Company and/or its subsidiaries; or (v) such Participants gross negligence or willful misconduct in the performance of the Participants duties. The determination that a termination of the Participants Continuous Service is either for Cause or without Cause (within the meaning of the preceding clauses (i) through (v)) shall be made by the Company, in its sole discretion. Any determination by the Company that the Continuous Service of a Participant was terminated with or without Cause for the purposes of outstanding Awards held by such Participant shall have no effect upon any determination of the rights or obligations of the Company or such Participant for any other purpose. </w:t>
      </w:r>
    </w:p>
    <w:p>
      <w:pPr>
        <w:pStyle w:val="TextBody"/>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i/>
          <w:sz w:val="20"/>
        </w:rPr>
        <w:t>Change in Control</w:t>
      </w:r>
      <w:r>
        <w:rPr>
          <w:rFonts w:ascii="Times New Roman" w:hAnsi="Times New Roman"/>
          <w:sz w:val="20"/>
        </w:rPr>
        <w:t xml:space="preserve"> means the occurrence, in a single transaction or in a series of related transactions, of any one or more of the following events: </w:t>
      </w:r>
    </w:p>
    <w:p>
      <w:pPr>
        <w:pStyle w:val="TextBody"/>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hAnsi="Times New Roman"/>
          <w:b/>
          <w:i/>
          <w:sz w:val="20"/>
        </w:rPr>
        <w:t>Subject Person</w:t>
      </w:r>
      <w:r>
        <w:rPr>
          <w:rFonts w:ascii="Times New Roman" w:hAnsi="Times New Roman"/>
          <w:sz w:val="20"/>
        </w:rPr>
        <w:t xml:space="preserve">)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 </w:t>
      </w:r>
    </w:p>
    <w:p>
      <w:pPr>
        <w:pStyle w:val="TextBody"/>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w:t>
      </w:r>
    </w:p>
    <w:p>
      <w:pPr>
        <w:pStyle w:val="TextBody"/>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w:t>
      </w:r>
    </w:p>
    <w:p>
      <w:pPr>
        <w:pStyle w:val="TextBody"/>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the stockholders of the Company approve or the Board approves a plan of complete dissolution or liquidation of the Company, or a complete dissolution or liquidation of the Company will otherwise occur, except for a liquidation into a parent corporation; or </w:t>
      </w:r>
    </w:p>
    <w:p>
      <w:pPr>
        <w:pStyle w:val="TextBody"/>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individuals who, on the date the Plan is adopted by the Board, are members of the Board (the </w:t>
      </w:r>
      <w:r>
        <w:rPr>
          <w:rFonts w:ascii="Times New Roman" w:hAnsi="Times New Roman"/>
          <w:b/>
          <w:i/>
          <w:sz w:val="20"/>
        </w:rPr>
        <w:t>Incumbent Board</w:t>
      </w:r>
      <w:r>
        <w:rPr>
          <w:rFonts w:ascii="Times New Roman" w:hAnsi="Times New Roman"/>
          <w:sz w:val="20"/>
        </w:rPr>
        <w:t xml:space="preserve">) cease for any reason to constitute at least a majority of the members of the Board;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 </w:t>
      </w:r>
    </w:p>
    <w:p>
      <w:pPr>
        <w:pStyle w:val="TextBody"/>
        <w:spacing w:before="240" w:after="0"/>
        <w:jc w:val="left"/>
        <w:rPr>
          <w:rFonts w:ascii="Times New Roman" w:hAnsi="Times New Roman"/>
          <w:sz w:val="20"/>
        </w:rPr>
      </w:pPr>
      <w:r>
        <w:rPr>
          <w:rFonts w:ascii="Times New Roman" w:hAnsi="Times New Roman"/>
          <w:sz w:val="20"/>
        </w:rPr>
        <w:t xml:space="preserve">Notwithstanding the foregoing definition or any other provision of the Plan, the term Change in Control will not include a sale of assets, merger or other transaction effected exclusively for the purpose of changing the domicile of the Company and the definition of Change in Control (or any analogous term) in an individual written agreement between the Company or any Affiliate and the Participant will supersede the foregoing definition with respect to Awards subject to such agreement; </w:t>
      </w:r>
      <w:r>
        <w:rPr>
          <w:rFonts w:ascii="Times New Roman" w:hAnsi="Times New Roman"/>
          <w:i/>
          <w:sz w:val="20"/>
        </w:rPr>
        <w:t>provided, however</w:t>
      </w:r>
      <w:r>
        <w:rPr>
          <w:rFonts w:ascii="Times New Roman" w:hAnsi="Times New Roman"/>
          <w:sz w:val="20"/>
        </w:rPr>
        <w:t xml:space="preserve">, that if no definition of Change in Control or any analogous term is set forth in such an individual written agreement, the foregoing definition will apply. </w:t>
      </w:r>
    </w:p>
    <w:p>
      <w:pPr>
        <w:pStyle w:val="TextBody"/>
        <w:spacing w:before="240" w:after="0"/>
        <w:jc w:val="left"/>
        <w:rPr>
          <w:rFonts w:ascii="Times New Roman" w:hAnsi="Times New Roman"/>
          <w:sz w:val="20"/>
        </w:rPr>
      </w:pPr>
      <w:r>
        <w:rPr>
          <w:rFonts w:ascii="Times New Roman" w:hAnsi="Times New Roman"/>
          <w:sz w:val="20"/>
        </w:rPr>
        <w:t xml:space="preserve">If required for compliance with Section 409A of the Code, in no event will an event be deemed a Change in Control if such event is not also a change in the ownership of the Company, a change in the effective control of the Company or a change in the ownership of a substantial portion of the assets of the Company, each as determined under Treasury Regulations Section 1.409A-3(i)(5) (without regard to any alternative definition thereunder). </w:t>
      </w:r>
    </w:p>
    <w:p>
      <w:pPr>
        <w:pStyle w:val="TextBody"/>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i/>
          <w:sz w:val="20"/>
        </w:rPr>
        <w:t>Code</w:t>
      </w:r>
      <w:r>
        <w:rPr>
          <w:rFonts w:ascii="Times New Roman" w:hAnsi="Times New Roman"/>
          <w:sz w:val="20"/>
        </w:rPr>
        <w:t xml:space="preserve"> means the Internal Revenue Code of 1986, as amended, including any applicable regulations and guidance thereunder. </w:t>
      </w:r>
    </w:p>
    <w:p>
      <w:pPr>
        <w:pStyle w:val="TextBody"/>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i/>
          <w:sz w:val="20"/>
        </w:rPr>
        <w:t>Committee</w:t>
      </w:r>
      <w:r>
        <w:rPr>
          <w:rFonts w:ascii="Times New Roman" w:hAnsi="Times New Roman"/>
          <w:sz w:val="20"/>
        </w:rPr>
        <w:t xml:space="preserve"> means a committee of one or more Directors to whom authority has been delegated by the Board in accordance with Section 2(c). </w:t>
      </w:r>
    </w:p>
    <w:p>
      <w:pPr>
        <w:pStyle w:val="TextBody"/>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i/>
          <w:sz w:val="20"/>
        </w:rPr>
        <w:t>Common Stock</w:t>
      </w:r>
      <w:r>
        <w:rPr>
          <w:rFonts w:ascii="Times New Roman" w:hAnsi="Times New Roman"/>
          <w:sz w:val="20"/>
        </w:rPr>
        <w:t xml:space="preserve"> means the common stock of the Company, having one vote per share. </w:t>
      </w:r>
    </w:p>
    <w:p>
      <w:pPr>
        <w:pStyle w:val="TextBody"/>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xml:space="preserve"> </w:t>
      </w:r>
      <w:r>
        <w:rPr>
          <w:rFonts w:ascii="Times New Roman" w:hAnsi="Times New Roman"/>
          <w:b/>
          <w:i/>
          <w:sz w:val="20"/>
        </w:rPr>
        <w:t>Company</w:t>
      </w:r>
      <w:r>
        <w:rPr>
          <w:rFonts w:ascii="Times New Roman" w:hAnsi="Times New Roman"/>
          <w:sz w:val="20"/>
        </w:rPr>
        <w:t xml:space="preserve"> means Tempest Therapeutics, Inc., a Delaware corporation, and successor to Millendo Therapeutics, Inc. </w:t>
      </w:r>
    </w:p>
    <w:p>
      <w:pPr>
        <w:pStyle w:val="TextBody"/>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xml:space="preserve"> </w:t>
      </w:r>
      <w:r>
        <w:rPr>
          <w:rFonts w:ascii="Times New Roman" w:hAnsi="Times New Roman"/>
          <w:b/>
          <w:i/>
          <w:sz w:val="20"/>
        </w:rPr>
        <w:t>Consultant</w:t>
      </w:r>
      <w:r>
        <w:rPr>
          <w:rFonts w:ascii="Times New Roman" w:hAnsi="Times New Roman"/>
          <w:sz w:val="20"/>
        </w:rPr>
        <w:t xml:space="preserve">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 </w:t>
      </w:r>
    </w:p>
    <w:p>
      <w:pPr>
        <w:pStyle w:val="TextBody"/>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xml:space="preserve"> </w:t>
      </w:r>
      <w:r>
        <w:rPr>
          <w:rFonts w:ascii="Times New Roman" w:hAnsi="Times New Roman"/>
          <w:b/>
          <w:i/>
          <w:sz w:val="20"/>
        </w:rPr>
        <w:t>Continuous Service</w:t>
      </w:r>
      <w:r>
        <w:rPr>
          <w:rFonts w:ascii="Times New Roman" w:hAnsi="Times New Roman"/>
          <w:sz w:val="20"/>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will not terminate a Participants Continuous Service; </w:t>
      </w:r>
      <w:r>
        <w:rPr>
          <w:rFonts w:ascii="Times New Roman" w:hAnsi="Times New Roman"/>
          <w:i/>
          <w:sz w:val="20"/>
        </w:rPr>
        <w:t>provided, however</w:t>
      </w:r>
      <w:r>
        <w:rPr>
          <w:rFonts w:ascii="Times New Roman" w:hAnsi="Times New Roman"/>
          <w:sz w:val="20"/>
        </w:rPr>
        <w:t xml:space="preserve">,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sz w:val="20"/>
        </w:rPr>
        <w:t>(o)</w:t>
      </w:r>
      <w:r>
        <w:rPr>
          <w:rFonts w:ascii="Times New Roman" w:hAnsi="Times New Roman"/>
          <w:sz w:val="20"/>
        </w:rPr>
        <w:t xml:space="preserve"> </w:t>
      </w:r>
      <w:r>
        <w:rPr>
          <w:rFonts w:ascii="Times New Roman" w:hAnsi="Times New Roman"/>
          <w:b/>
          <w:i/>
          <w:sz w:val="20"/>
        </w:rPr>
        <w:t>Corporate Transaction</w:t>
      </w:r>
      <w:r>
        <w:rPr>
          <w:rFonts w:ascii="Times New Roman" w:hAnsi="Times New Roman"/>
          <w:sz w:val="20"/>
        </w:rPr>
        <w:t xml:space="preserve"> means the consummation, in a single transaction or in a series of related transactions, of any one or more of the following events: </w:t>
      </w:r>
    </w:p>
    <w:p>
      <w:pPr>
        <w:pStyle w:val="TextBody"/>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 sale or other disposition of all or substantially all, as determined by the Board, in its sole discretion, of the consolidated assets of the Company and its Subsidiaries; </w:t>
      </w:r>
    </w:p>
    <w:p>
      <w:pPr>
        <w:pStyle w:val="TextBody"/>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 sale or other disposition of more than 50% of the outstanding securities of the Company; </w:t>
      </w:r>
    </w:p>
    <w:p>
      <w:pPr>
        <w:pStyle w:val="TextBody"/>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a merger, consolidation or similar transaction following which the Company is not the surviving corporation; or </w:t>
      </w:r>
    </w:p>
    <w:p>
      <w:pPr>
        <w:pStyle w:val="TextBody"/>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 </w:t>
      </w:r>
    </w:p>
    <w:p>
      <w:pPr>
        <w:pStyle w:val="TextBody"/>
        <w:spacing w:before="240" w:after="0"/>
        <w:jc w:val="left"/>
        <w:rPr>
          <w:rFonts w:ascii="Times New Roman" w:hAnsi="Times New Roman"/>
          <w:sz w:val="20"/>
        </w:rPr>
      </w:pPr>
      <w:r>
        <w:rPr>
          <w:rFonts w:ascii="Times New Roman" w:hAnsi="Times New Roman"/>
          <w:b/>
          <w:sz w:val="20"/>
        </w:rPr>
        <w:t>(p)</w:t>
      </w:r>
      <w:r>
        <w:rPr>
          <w:rFonts w:ascii="Times New Roman" w:hAnsi="Times New Roman"/>
          <w:sz w:val="20"/>
        </w:rPr>
        <w:t xml:space="preserve"> </w:t>
      </w:r>
      <w:r>
        <w:rPr>
          <w:rFonts w:ascii="Times New Roman" w:hAnsi="Times New Roman"/>
          <w:b/>
          <w:i/>
          <w:sz w:val="20"/>
        </w:rPr>
        <w:t>Director</w:t>
      </w:r>
      <w:r>
        <w:rPr>
          <w:rFonts w:ascii="Times New Roman" w:hAnsi="Times New Roman"/>
          <w:sz w:val="20"/>
        </w:rPr>
        <w:t xml:space="preserve"> means a member of the Board. </w:t>
      </w:r>
    </w:p>
    <w:p>
      <w:pPr>
        <w:pStyle w:val="TextBody"/>
        <w:spacing w:before="240" w:after="0"/>
        <w:jc w:val="left"/>
        <w:rPr>
          <w:rFonts w:ascii="Times New Roman" w:hAnsi="Times New Roman"/>
          <w:sz w:val="20"/>
        </w:rPr>
      </w:pPr>
      <w:r>
        <w:rPr>
          <w:rFonts w:ascii="Times New Roman" w:hAnsi="Times New Roman"/>
          <w:b/>
          <w:sz w:val="20"/>
        </w:rPr>
        <w:t>(q)</w:t>
      </w:r>
      <w:r>
        <w:rPr>
          <w:rFonts w:ascii="Times New Roman" w:hAnsi="Times New Roman"/>
          <w:sz w:val="20"/>
        </w:rPr>
        <w:t xml:space="preserve"> </w:t>
      </w:r>
      <w:r>
        <w:rPr>
          <w:rFonts w:ascii="Times New Roman" w:hAnsi="Times New Roman"/>
          <w:b/>
          <w:i/>
          <w:sz w:val="20"/>
        </w:rPr>
        <w:t>Disability</w:t>
      </w:r>
      <w:r>
        <w:rPr>
          <w:rFonts w:ascii="Times New Roman" w:hAnsi="Times New Roman"/>
          <w:sz w:val="20"/>
        </w:rPr>
        <w:t xml:space="preserve">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12 months, as provided in Sections 22(e)(3) and 409A(a)(2)(c)(i) of the Code, and will be determined by the Board on the basis of such medical evidence as the Board deems warranted under the circumstances. </w:t>
      </w:r>
    </w:p>
    <w:p>
      <w:pPr>
        <w:pStyle w:val="TextBody"/>
        <w:spacing w:before="240" w:after="0"/>
        <w:jc w:val="left"/>
        <w:rPr>
          <w:rFonts w:ascii="Times New Roman" w:hAnsi="Times New Roman"/>
          <w:sz w:val="20"/>
        </w:rPr>
      </w:pPr>
      <w:r>
        <w:rPr>
          <w:rFonts w:ascii="Times New Roman" w:hAnsi="Times New Roman"/>
          <w:b/>
          <w:sz w:val="20"/>
        </w:rPr>
        <w:t>(r)</w:t>
      </w:r>
      <w:r>
        <w:rPr>
          <w:rFonts w:ascii="Times New Roman" w:hAnsi="Times New Roman"/>
          <w:sz w:val="20"/>
        </w:rPr>
        <w:t xml:space="preserve"> </w:t>
      </w:r>
      <w:r>
        <w:rPr>
          <w:rFonts w:ascii="Times New Roman" w:hAnsi="Times New Roman"/>
          <w:b/>
          <w:i/>
          <w:sz w:val="20"/>
        </w:rPr>
        <w:t>Dissolution</w:t>
      </w:r>
      <w:r>
        <w:rPr>
          <w:rFonts w:ascii="Times New Roman" w:hAnsi="Times New Roman"/>
          <w:sz w:val="20"/>
        </w:rPr>
        <w:t xml:space="preserve"> means when the Company, after having executed a certificate of dissolution with the State of Delaware (or other applicable state), has completely wound up its affairs. Conversion of the Company into a Limited Liability Company (or any other pass-through entity) will not be considered a Dissolution for purposes of the Plan. </w:t>
      </w:r>
    </w:p>
    <w:p>
      <w:pPr>
        <w:pStyle w:val="TextBody"/>
        <w:spacing w:before="240" w:after="0"/>
        <w:jc w:val="left"/>
        <w:rPr>
          <w:rFonts w:ascii="Times New Roman" w:hAnsi="Times New Roman"/>
          <w:sz w:val="20"/>
        </w:rPr>
      </w:pPr>
      <w:r>
        <w:rPr>
          <w:rFonts w:ascii="Times New Roman" w:hAnsi="Times New Roman"/>
          <w:b/>
          <w:sz w:val="20"/>
        </w:rPr>
        <w:t>(s)</w:t>
      </w:r>
      <w:r>
        <w:rPr>
          <w:rFonts w:ascii="Times New Roman" w:hAnsi="Times New Roman"/>
          <w:sz w:val="20"/>
        </w:rPr>
        <w:t xml:space="preserve"> </w:t>
      </w:r>
      <w:r>
        <w:rPr>
          <w:rFonts w:ascii="Times New Roman" w:hAnsi="Times New Roman"/>
          <w:b/>
          <w:i/>
          <w:sz w:val="20"/>
        </w:rPr>
        <w:t>Effective Date</w:t>
      </w:r>
      <w:r>
        <w:rPr>
          <w:rFonts w:ascii="Times New Roman" w:hAnsi="Times New Roman"/>
          <w:sz w:val="20"/>
        </w:rPr>
        <w:t xml:space="preserve"> means the date of the Company shareholders approve this Plan, which is the date of the annual meeting of shareholders of the Company held on June 15, 2023, provided this Plan is approved by the Companys shareholders at such meeting. </w:t>
      </w:r>
    </w:p>
    <w:p>
      <w:pPr>
        <w:pStyle w:val="TextBody"/>
        <w:spacing w:before="240" w:after="0"/>
        <w:jc w:val="left"/>
        <w:rPr>
          <w:rFonts w:ascii="Times New Roman" w:hAnsi="Times New Roman"/>
          <w:sz w:val="20"/>
        </w:rPr>
      </w:pPr>
      <w:r>
        <w:rPr>
          <w:rFonts w:ascii="Times New Roman" w:hAnsi="Times New Roman"/>
          <w:b/>
          <w:sz w:val="20"/>
        </w:rPr>
        <w:t>(t)</w:t>
      </w:r>
      <w:r>
        <w:rPr>
          <w:rFonts w:ascii="Times New Roman" w:hAnsi="Times New Roman"/>
          <w:sz w:val="20"/>
        </w:rPr>
        <w:t xml:space="preserve"> </w:t>
      </w:r>
      <w:r>
        <w:rPr>
          <w:rFonts w:ascii="Times New Roman" w:hAnsi="Times New Roman"/>
          <w:b/>
          <w:i/>
          <w:sz w:val="20"/>
        </w:rPr>
        <w:t>Employee</w:t>
      </w:r>
      <w:r>
        <w:rPr>
          <w:rFonts w:ascii="Times New Roman" w:hAnsi="Times New Roman"/>
          <w:sz w:val="20"/>
        </w:rPr>
        <w:t xml:space="preserve"> means any person employed by the Company or an Affiliate. However, service solely as a Director, or payment of a fee for such services, will not cause a Director to be considered an Employee for purposes of the Plan. </w:t>
      </w:r>
    </w:p>
    <w:p>
      <w:pPr>
        <w:pStyle w:val="TextBody"/>
        <w:spacing w:before="240" w:after="0"/>
        <w:jc w:val="left"/>
        <w:rPr>
          <w:rFonts w:ascii="Times New Roman" w:hAnsi="Times New Roman"/>
          <w:sz w:val="20"/>
        </w:rPr>
      </w:pPr>
      <w:r>
        <w:rPr>
          <w:rFonts w:ascii="Times New Roman" w:hAnsi="Times New Roman"/>
          <w:b/>
          <w:sz w:val="20"/>
        </w:rPr>
        <w:t>(u)</w:t>
      </w:r>
      <w:r>
        <w:rPr>
          <w:rFonts w:ascii="Times New Roman" w:hAnsi="Times New Roman"/>
          <w:sz w:val="20"/>
        </w:rPr>
        <w:t xml:space="preserve"> </w:t>
      </w:r>
      <w:r>
        <w:rPr>
          <w:rFonts w:ascii="Times New Roman" w:hAnsi="Times New Roman"/>
          <w:b/>
          <w:i/>
          <w:sz w:val="20"/>
        </w:rPr>
        <w:t>Entity</w:t>
      </w:r>
      <w:r>
        <w:rPr>
          <w:rFonts w:ascii="Times New Roman" w:hAnsi="Times New Roman"/>
          <w:sz w:val="20"/>
        </w:rPr>
        <w:t xml:space="preserve"> means a corporation, partnership, limited liability company or other entity. </w:t>
      </w:r>
    </w:p>
    <w:p>
      <w:pPr>
        <w:pStyle w:val="TextBody"/>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w:t>
      </w:r>
      <w:r>
        <w:rPr>
          <w:rFonts w:ascii="Times New Roman" w:hAnsi="Times New Roman"/>
          <w:b/>
          <w:i/>
          <w:sz w:val="20"/>
        </w:rPr>
        <w:t>Exchange Act</w:t>
      </w:r>
      <w:r>
        <w:rPr>
          <w:rFonts w:ascii="Times New Roman" w:hAnsi="Times New Roman"/>
          <w:sz w:val="20"/>
        </w:rPr>
        <w:t xml:space="preserve"> means the Securities Exchange Act of 1934, as amended, and the rules and regulations promulgated thereunder. </w:t>
      </w:r>
    </w:p>
    <w:p>
      <w:pPr>
        <w:pStyle w:val="TextBody"/>
        <w:spacing w:before="240" w:after="0"/>
        <w:jc w:val="left"/>
        <w:rPr>
          <w:rFonts w:ascii="Times New Roman" w:hAnsi="Times New Roman"/>
          <w:sz w:val="20"/>
        </w:rPr>
      </w:pPr>
      <w:r>
        <w:rPr>
          <w:rFonts w:ascii="Times New Roman" w:hAnsi="Times New Roman"/>
          <w:b/>
          <w:sz w:val="20"/>
        </w:rPr>
        <w:t>(w)</w:t>
      </w:r>
      <w:r>
        <w:rPr>
          <w:rFonts w:ascii="Times New Roman" w:hAnsi="Times New Roman"/>
          <w:sz w:val="20"/>
        </w:rPr>
        <w:t xml:space="preserve"> </w:t>
      </w:r>
      <w:r>
        <w:rPr>
          <w:rFonts w:ascii="Times New Roman" w:hAnsi="Times New Roman"/>
          <w:b/>
          <w:i/>
          <w:sz w:val="20"/>
        </w:rPr>
        <w:t>Exchange Act Person</w:t>
      </w:r>
      <w:r>
        <w:rPr>
          <w:rFonts w:ascii="Times New Roman" w:hAnsi="Times New Roman"/>
          <w:sz w:val="20"/>
        </w:rPr>
        <w:t xml:space="preserve">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sz w:val="20"/>
        </w:rPr>
        <w:t>(x)</w:t>
      </w:r>
      <w:r>
        <w:rPr>
          <w:rFonts w:ascii="Times New Roman" w:hAnsi="Times New Roman"/>
          <w:sz w:val="20"/>
        </w:rPr>
        <w:t xml:space="preserve"> </w:t>
      </w:r>
      <w:r>
        <w:rPr>
          <w:rFonts w:ascii="Times New Roman" w:hAnsi="Times New Roman"/>
          <w:b/>
          <w:i/>
          <w:sz w:val="20"/>
        </w:rPr>
        <w:t>Fair Market Value</w:t>
      </w:r>
      <w:r>
        <w:rPr>
          <w:rFonts w:ascii="Times New Roman" w:hAnsi="Times New Roman"/>
          <w:sz w:val="20"/>
        </w:rPr>
        <w:t xml:space="preserve"> means, as of any date, the value of the Common Stock determined as follows: </w:t>
      </w:r>
    </w:p>
    <w:p>
      <w:pPr>
        <w:pStyle w:val="TextBody"/>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a source the Board deems reliable. </w:t>
      </w:r>
    </w:p>
    <w:p>
      <w:pPr>
        <w:pStyle w:val="TextBody"/>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Unless otherwise provided by the Board, if there is no closing sales price for the Common Stock on the date of determination, then the Fair Market Value will be the closing selling price on the last preceding date for which such quotation exists. </w:t>
      </w:r>
    </w:p>
    <w:p>
      <w:pPr>
        <w:pStyle w:val="TextBody"/>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In the absence of such markets for the Common Stock, the Fair Market Value will be determined by the Board in good faith and in a manner that complies with Sections 409A and 422 of the Code. </w:t>
      </w:r>
    </w:p>
    <w:p>
      <w:pPr>
        <w:pStyle w:val="TextBody"/>
        <w:spacing w:before="240" w:after="0"/>
        <w:jc w:val="left"/>
        <w:rPr>
          <w:rFonts w:ascii="Times New Roman" w:hAnsi="Times New Roman"/>
          <w:sz w:val="20"/>
        </w:rPr>
      </w:pPr>
      <w:r>
        <w:rPr>
          <w:rFonts w:ascii="Times New Roman" w:hAnsi="Times New Roman"/>
          <w:b/>
          <w:sz w:val="20"/>
        </w:rPr>
        <w:t>(y)</w:t>
      </w:r>
      <w:r>
        <w:rPr>
          <w:rFonts w:ascii="Times New Roman" w:hAnsi="Times New Roman"/>
          <w:sz w:val="20"/>
        </w:rPr>
        <w:t xml:space="preserve"> </w:t>
      </w:r>
      <w:r>
        <w:rPr>
          <w:rFonts w:ascii="Times New Roman" w:hAnsi="Times New Roman"/>
          <w:b/>
          <w:i/>
          <w:sz w:val="20"/>
        </w:rPr>
        <w:t>Incentive Stock Option</w:t>
      </w:r>
      <w:r>
        <w:rPr>
          <w:rFonts w:ascii="Times New Roman" w:hAnsi="Times New Roman"/>
          <w:sz w:val="20"/>
        </w:rPr>
        <w:t xml:space="preserve"> means an option granted pursuant to Section 5 of the Plan that is intended to be, and qualifies as, an incentive stock option within the meaning of Section 422 of the Code. </w:t>
      </w:r>
    </w:p>
    <w:p>
      <w:pPr>
        <w:pStyle w:val="TextBody"/>
        <w:spacing w:before="240" w:after="0"/>
        <w:jc w:val="left"/>
        <w:rPr>
          <w:rFonts w:ascii="Times New Roman" w:hAnsi="Times New Roman"/>
          <w:sz w:val="20"/>
        </w:rPr>
      </w:pPr>
      <w:r>
        <w:rPr>
          <w:rFonts w:ascii="Times New Roman" w:hAnsi="Times New Roman"/>
          <w:b/>
          <w:sz w:val="20"/>
        </w:rPr>
        <w:t>(z)</w:t>
      </w:r>
      <w:r>
        <w:rPr>
          <w:rFonts w:ascii="Times New Roman" w:hAnsi="Times New Roman"/>
          <w:sz w:val="20"/>
        </w:rPr>
        <w:t xml:space="preserve"> [reserved]. </w:t>
      </w:r>
    </w:p>
    <w:p>
      <w:pPr>
        <w:pStyle w:val="TextBody"/>
        <w:spacing w:before="240" w:after="0"/>
        <w:jc w:val="left"/>
        <w:rPr>
          <w:rFonts w:ascii="Times New Roman" w:hAnsi="Times New Roman"/>
          <w:sz w:val="20"/>
        </w:rPr>
      </w:pPr>
      <w:r>
        <w:rPr>
          <w:rFonts w:ascii="Times New Roman" w:hAnsi="Times New Roman"/>
          <w:b/>
          <w:sz w:val="20"/>
        </w:rPr>
        <w:t>(aa)</w:t>
      </w:r>
      <w:r>
        <w:rPr>
          <w:rFonts w:ascii="Times New Roman" w:hAnsi="Times New Roman"/>
          <w:sz w:val="20"/>
        </w:rPr>
        <w:t xml:space="preserve"> </w:t>
      </w:r>
      <w:r>
        <w:rPr>
          <w:rFonts w:ascii="Times New Roman" w:hAnsi="Times New Roman"/>
          <w:b/>
          <w:i/>
          <w:sz w:val="20"/>
        </w:rPr>
        <w:t>Non-Employee Director</w:t>
      </w:r>
      <w:r>
        <w:rPr>
          <w:rFonts w:ascii="Times New Roman" w:hAnsi="Times New Roman"/>
          <w:sz w:val="20"/>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hAnsi="Times New Roman"/>
          <w:b/>
          <w:i/>
          <w:sz w:val="20"/>
        </w:rPr>
        <w:t>Regulation S-K</w:t>
      </w:r>
      <w:r>
        <w:rPr>
          <w:rFonts w:ascii="Times New Roman" w:hAnsi="Times New Roman"/>
          <w:sz w:val="20"/>
        </w:rPr>
        <w:t xml:space="preserve">)),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 </w:t>
      </w:r>
    </w:p>
    <w:p>
      <w:pPr>
        <w:pStyle w:val="TextBody"/>
        <w:spacing w:before="240" w:after="0"/>
        <w:jc w:val="left"/>
        <w:rPr>
          <w:rFonts w:ascii="Times New Roman" w:hAnsi="Times New Roman"/>
          <w:sz w:val="20"/>
        </w:rPr>
      </w:pPr>
      <w:r>
        <w:rPr>
          <w:rFonts w:ascii="Times New Roman" w:hAnsi="Times New Roman"/>
          <w:b/>
          <w:sz w:val="20"/>
        </w:rPr>
        <w:t>(bb)</w:t>
      </w:r>
      <w:r>
        <w:rPr>
          <w:rFonts w:ascii="Times New Roman" w:hAnsi="Times New Roman"/>
          <w:sz w:val="20"/>
        </w:rPr>
        <w:t xml:space="preserve"> </w:t>
      </w:r>
      <w:r>
        <w:rPr>
          <w:rFonts w:ascii="Times New Roman" w:hAnsi="Times New Roman"/>
          <w:b/>
          <w:i/>
          <w:sz w:val="20"/>
        </w:rPr>
        <w:t>Nonstatutory Stock Option</w:t>
      </w:r>
      <w:r>
        <w:rPr>
          <w:rFonts w:ascii="Times New Roman" w:hAnsi="Times New Roman"/>
          <w:sz w:val="20"/>
        </w:rPr>
        <w:t xml:space="preserve"> means any Option granted pursuant to Section 5 of the Plan that does not qualify as an Incentive Stock Option. </w:t>
      </w:r>
    </w:p>
    <w:p>
      <w:pPr>
        <w:pStyle w:val="TextBody"/>
        <w:spacing w:before="240" w:after="0"/>
        <w:jc w:val="left"/>
        <w:rPr>
          <w:rFonts w:ascii="Times New Roman" w:hAnsi="Times New Roman"/>
          <w:sz w:val="20"/>
        </w:rPr>
      </w:pPr>
      <w:r>
        <w:rPr>
          <w:rFonts w:ascii="Times New Roman" w:hAnsi="Times New Roman"/>
          <w:b/>
          <w:sz w:val="20"/>
        </w:rPr>
        <w:t>(cc)</w:t>
      </w:r>
      <w:r>
        <w:rPr>
          <w:rFonts w:ascii="Times New Roman" w:hAnsi="Times New Roman"/>
          <w:sz w:val="20"/>
        </w:rPr>
        <w:t xml:space="preserve"> </w:t>
      </w:r>
      <w:r>
        <w:rPr>
          <w:rFonts w:ascii="Times New Roman" w:hAnsi="Times New Roman"/>
          <w:b/>
          <w:i/>
          <w:sz w:val="20"/>
        </w:rPr>
        <w:t>Officer</w:t>
      </w:r>
      <w:r>
        <w:rPr>
          <w:rFonts w:ascii="Times New Roman" w:hAnsi="Times New Roman"/>
          <w:sz w:val="20"/>
        </w:rPr>
        <w:t xml:space="preserve"> means a person who is an officer of the Company within the meaning of Section 16 of the Exchange Act. </w:t>
      </w:r>
    </w:p>
    <w:p>
      <w:pPr>
        <w:pStyle w:val="TextBody"/>
        <w:spacing w:before="240" w:after="0"/>
        <w:jc w:val="left"/>
        <w:rPr>
          <w:rFonts w:ascii="Times New Roman" w:hAnsi="Times New Roman"/>
          <w:sz w:val="20"/>
        </w:rPr>
      </w:pPr>
      <w:r>
        <w:rPr>
          <w:rFonts w:ascii="Times New Roman" w:hAnsi="Times New Roman"/>
          <w:b/>
          <w:sz w:val="20"/>
        </w:rPr>
        <w:t>(dd)</w:t>
      </w:r>
      <w:r>
        <w:rPr>
          <w:rFonts w:ascii="Times New Roman" w:hAnsi="Times New Roman"/>
          <w:sz w:val="20"/>
        </w:rPr>
        <w:t xml:space="preserve"> </w:t>
      </w:r>
      <w:r>
        <w:rPr>
          <w:rFonts w:ascii="Times New Roman" w:hAnsi="Times New Roman"/>
          <w:b/>
          <w:i/>
          <w:sz w:val="20"/>
        </w:rPr>
        <w:t>Option</w:t>
      </w:r>
      <w:r>
        <w:rPr>
          <w:rFonts w:ascii="Times New Roman" w:hAnsi="Times New Roman"/>
          <w:sz w:val="20"/>
        </w:rPr>
        <w:t xml:space="preserve"> means an Incentive Stock Option or a Nonstatutory Stock Option to purchase shares of Common Stock granted pursuant to the Plan. </w:t>
      </w:r>
    </w:p>
    <w:p>
      <w:pPr>
        <w:pStyle w:val="TextBody"/>
        <w:spacing w:before="240" w:after="0"/>
        <w:jc w:val="left"/>
        <w:rPr>
          <w:rFonts w:ascii="Times New Roman" w:hAnsi="Times New Roman"/>
          <w:sz w:val="20"/>
        </w:rPr>
      </w:pPr>
      <w:r>
        <w:rPr>
          <w:rFonts w:ascii="Times New Roman" w:hAnsi="Times New Roman"/>
          <w:b/>
          <w:sz w:val="20"/>
        </w:rPr>
        <w:t>(ee)</w:t>
      </w:r>
      <w:r>
        <w:rPr>
          <w:rFonts w:ascii="Times New Roman" w:hAnsi="Times New Roman"/>
          <w:sz w:val="20"/>
        </w:rPr>
        <w:t xml:space="preserve"> </w:t>
      </w:r>
      <w:r>
        <w:rPr>
          <w:rFonts w:ascii="Times New Roman" w:hAnsi="Times New Roman"/>
          <w:b/>
          <w:i/>
          <w:sz w:val="20"/>
        </w:rPr>
        <w:t>Option Agreement</w:t>
      </w:r>
      <w:r>
        <w:rPr>
          <w:rFonts w:ascii="Times New Roman" w:hAnsi="Times New Roman"/>
          <w:sz w:val="20"/>
        </w:rPr>
        <w:t xml:space="preserve"> means a written agreement between the Company and an Optionholder evidencing the terms and conditions of an Option grant. Each Option Agreement will be subject to the terms and conditions of the Plan. </w:t>
      </w:r>
    </w:p>
    <w:p>
      <w:pPr>
        <w:pStyle w:val="TextBody"/>
        <w:spacing w:before="240" w:after="0"/>
        <w:jc w:val="left"/>
        <w:rPr>
          <w:rFonts w:ascii="Times New Roman" w:hAnsi="Times New Roman"/>
          <w:sz w:val="20"/>
        </w:rPr>
      </w:pPr>
      <w:r>
        <w:rPr>
          <w:rFonts w:ascii="Times New Roman" w:hAnsi="Times New Roman"/>
          <w:b/>
          <w:sz w:val="20"/>
        </w:rPr>
        <w:t>(ff)</w:t>
      </w:r>
      <w:r>
        <w:rPr>
          <w:rFonts w:ascii="Times New Roman" w:hAnsi="Times New Roman"/>
          <w:sz w:val="20"/>
        </w:rPr>
        <w:t xml:space="preserve"> </w:t>
      </w:r>
      <w:r>
        <w:rPr>
          <w:rFonts w:ascii="Times New Roman" w:hAnsi="Times New Roman"/>
          <w:b/>
          <w:i/>
          <w:sz w:val="20"/>
        </w:rPr>
        <w:t>Optionholder</w:t>
      </w:r>
      <w:r>
        <w:rPr>
          <w:rFonts w:ascii="Times New Roman" w:hAnsi="Times New Roman"/>
          <w:sz w:val="20"/>
        </w:rPr>
        <w:t xml:space="preserve"> means a person to whom an Option is granted pursuant to the Plan or, if applicable, such other person who holds an outstanding Option. </w:t>
      </w:r>
    </w:p>
    <w:p>
      <w:pPr>
        <w:pStyle w:val="TextBody"/>
        <w:spacing w:before="240" w:after="0"/>
        <w:jc w:val="left"/>
        <w:rPr>
          <w:rFonts w:ascii="Times New Roman" w:hAnsi="Times New Roman"/>
          <w:sz w:val="20"/>
        </w:rPr>
      </w:pPr>
      <w:r>
        <w:rPr>
          <w:rFonts w:ascii="Times New Roman" w:hAnsi="Times New Roman"/>
          <w:b/>
          <w:sz w:val="20"/>
        </w:rPr>
        <w:t>(gg)</w:t>
      </w:r>
      <w:r>
        <w:rPr>
          <w:rFonts w:ascii="Times New Roman" w:hAnsi="Times New Roman"/>
          <w:sz w:val="20"/>
        </w:rPr>
        <w:t xml:space="preserve"> </w:t>
      </w:r>
      <w:r>
        <w:rPr>
          <w:rFonts w:ascii="Times New Roman" w:hAnsi="Times New Roman"/>
          <w:b/>
          <w:i/>
          <w:sz w:val="20"/>
        </w:rPr>
        <w:t>Other Stock Award</w:t>
      </w:r>
      <w:r>
        <w:rPr>
          <w:rFonts w:ascii="Times New Roman" w:hAnsi="Times New Roman"/>
          <w:sz w:val="20"/>
        </w:rPr>
        <w:t xml:space="preserve"> means an award based in whole or in part by reference to the Common Stock which is granted pursuant to the terms and conditions of Section 6(d). </w:t>
      </w:r>
    </w:p>
    <w:p>
      <w:pPr>
        <w:pStyle w:val="TextBody"/>
        <w:spacing w:before="240" w:after="0"/>
        <w:jc w:val="left"/>
        <w:rPr>
          <w:rFonts w:ascii="Times New Roman" w:hAnsi="Times New Roman"/>
          <w:sz w:val="20"/>
        </w:rPr>
      </w:pPr>
      <w:r>
        <w:rPr>
          <w:rFonts w:ascii="Times New Roman" w:hAnsi="Times New Roman"/>
          <w:b/>
          <w:sz w:val="20"/>
        </w:rPr>
        <w:t>(hh)</w:t>
      </w:r>
      <w:r>
        <w:rPr>
          <w:rFonts w:ascii="Times New Roman" w:hAnsi="Times New Roman"/>
          <w:sz w:val="20"/>
        </w:rPr>
        <w:t xml:space="preserve"> </w:t>
      </w:r>
      <w:r>
        <w:rPr>
          <w:rFonts w:ascii="Times New Roman" w:hAnsi="Times New Roman"/>
          <w:b/>
          <w:i/>
          <w:sz w:val="20"/>
        </w:rPr>
        <w:t>Other Stock Award Agreement</w:t>
      </w:r>
      <w:r>
        <w:rPr>
          <w:rFonts w:ascii="Times New Roman" w:hAnsi="Times New Roman"/>
          <w:sz w:val="20"/>
        </w:rPr>
        <w:t xml:space="preserve"> means a written agreement between the Company and a holder of an Other Stock Award evidencing the terms and conditions of an Other Stock Award grant. Each Other Stock Award Agreement will be subject to the terms and conditions of the Plan.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i/>
          <w:sz w:val="20"/>
        </w:rPr>
        <w:t>Own,</w:t>
      </w:r>
      <w:r>
        <w:rPr>
          <w:rFonts w:ascii="Times New Roman" w:hAnsi="Times New Roman"/>
          <w:sz w:val="20"/>
        </w:rPr>
        <w:t> </w:t>
      </w:r>
      <w:r>
        <w:rPr>
          <w:rFonts w:ascii="Times New Roman" w:hAnsi="Times New Roman"/>
          <w:b/>
          <w:i/>
          <w:sz w:val="20"/>
        </w:rPr>
        <w:t>Owned,</w:t>
      </w:r>
      <w:r>
        <w:rPr>
          <w:rFonts w:ascii="Times New Roman" w:hAnsi="Times New Roman"/>
          <w:sz w:val="20"/>
        </w:rPr>
        <w:t> </w:t>
      </w:r>
      <w:r>
        <w:rPr>
          <w:rFonts w:ascii="Times New Roman" w:hAnsi="Times New Roman"/>
          <w:b/>
          <w:i/>
          <w:sz w:val="20"/>
        </w:rPr>
        <w:t>Owner,</w:t>
      </w:r>
      <w:r>
        <w:rPr>
          <w:rFonts w:ascii="Times New Roman" w:hAnsi="Times New Roman"/>
          <w:sz w:val="20"/>
        </w:rPr>
        <w:t> </w:t>
      </w:r>
      <w:r>
        <w:rPr>
          <w:rFonts w:ascii="Times New Roman" w:hAnsi="Times New Roman"/>
          <w:b/>
          <w:i/>
          <w:sz w:val="20"/>
        </w:rPr>
        <w:t>Ownership</w:t>
      </w:r>
      <w:r>
        <w:rPr>
          <w:rFonts w:ascii="Times New Roman" w:hAnsi="Times New Roman"/>
          <w:sz w:val="20"/>
        </w:rPr>
        <w:t xml:space="preserve"> means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 </w:t>
      </w:r>
    </w:p>
    <w:p>
      <w:pPr>
        <w:pStyle w:val="TextBody"/>
        <w:spacing w:before="240" w:after="0"/>
        <w:jc w:val="left"/>
        <w:rPr>
          <w:rFonts w:ascii="Times New Roman" w:hAnsi="Times New Roman"/>
          <w:sz w:val="20"/>
        </w:rPr>
      </w:pPr>
      <w:r>
        <w:rPr>
          <w:rFonts w:ascii="Times New Roman" w:hAnsi="Times New Roman"/>
          <w:b/>
          <w:sz w:val="20"/>
        </w:rPr>
        <w:t>(jj)</w:t>
      </w:r>
      <w:r>
        <w:rPr>
          <w:rFonts w:ascii="Times New Roman" w:hAnsi="Times New Roman"/>
          <w:sz w:val="20"/>
        </w:rPr>
        <w:t xml:space="preserve"> </w:t>
      </w:r>
      <w:r>
        <w:rPr>
          <w:rFonts w:ascii="Times New Roman" w:hAnsi="Times New Roman"/>
          <w:b/>
          <w:i/>
          <w:sz w:val="20"/>
        </w:rPr>
        <w:t>Participant</w:t>
      </w:r>
      <w:r>
        <w:rPr>
          <w:rFonts w:ascii="Times New Roman" w:hAnsi="Times New Roman"/>
          <w:sz w:val="20"/>
        </w:rPr>
        <w:t xml:space="preserve"> means a person to whom an Award is granted pursuant to the Plan or, if applicable, such other person who holds an outstanding Stock Award. </w:t>
      </w:r>
    </w:p>
    <w:p>
      <w:pPr>
        <w:pStyle w:val="TextBody"/>
        <w:spacing w:before="240" w:after="0"/>
        <w:jc w:val="left"/>
        <w:rPr>
          <w:rFonts w:ascii="Times New Roman" w:hAnsi="Times New Roman"/>
          <w:sz w:val="20"/>
        </w:rPr>
      </w:pPr>
      <w:r>
        <w:rPr>
          <w:rFonts w:ascii="Times New Roman" w:hAnsi="Times New Roman"/>
          <w:b/>
          <w:sz w:val="20"/>
        </w:rPr>
        <w:t>(kk)</w:t>
      </w:r>
      <w:r>
        <w:rPr>
          <w:rFonts w:ascii="Times New Roman" w:hAnsi="Times New Roman"/>
          <w:sz w:val="20"/>
        </w:rPr>
        <w:t xml:space="preserve"> </w:t>
      </w:r>
      <w:r>
        <w:rPr>
          <w:rFonts w:ascii="Times New Roman" w:hAnsi="Times New Roman"/>
          <w:b/>
          <w:i/>
          <w:sz w:val="20"/>
        </w:rPr>
        <w:t>Performance Cash Award</w:t>
      </w:r>
      <w:r>
        <w:rPr>
          <w:rFonts w:ascii="Times New Roman" w:hAnsi="Times New Roman"/>
          <w:sz w:val="20"/>
        </w:rPr>
        <w:t xml:space="preserve"> means an award of cash granted pursuant to the terms and conditions of Section 6(c)(ii). </w:t>
      </w:r>
    </w:p>
    <w:p>
      <w:pPr>
        <w:pStyle w:val="TextBody"/>
        <w:spacing w:before="240" w:after="0"/>
        <w:jc w:val="left"/>
        <w:rPr>
          <w:rFonts w:ascii="Times New Roman" w:hAnsi="Times New Roman"/>
          <w:sz w:val="20"/>
        </w:rPr>
      </w:pPr>
      <w:r>
        <w:rPr>
          <w:rFonts w:ascii="Times New Roman" w:hAnsi="Times New Roman"/>
          <w:b/>
          <w:sz w:val="20"/>
        </w:rPr>
        <w:t>(ll)</w:t>
      </w:r>
      <w:r>
        <w:rPr>
          <w:rFonts w:ascii="Times New Roman" w:hAnsi="Times New Roman"/>
          <w:sz w:val="20"/>
        </w:rPr>
        <w:t xml:space="preserve"> </w:t>
      </w:r>
      <w:r>
        <w:rPr>
          <w:rFonts w:ascii="Times New Roman" w:hAnsi="Times New Roman"/>
          <w:b/>
          <w:i/>
          <w:sz w:val="20"/>
        </w:rPr>
        <w:t>Performance Criteria</w:t>
      </w:r>
      <w:r>
        <w:rPr>
          <w:rFonts w:ascii="Times New Roman" w:hAnsi="Times New Roman"/>
          <w:sz w:val="20"/>
        </w:rPr>
        <w:t xml:space="preserve"> means the one or more criteria that the Board or Committee (as applicable) will select for purposes of establishing the Performance Goals for a Performance Period. The Performance Criteria that will be used to establish such Performance Goals may be based on any one of, or combination of, the following as determined by the Board or Committee: (i) earnings (including earnings per share and net earnings); (ii) earnings before interest, taxes and depreciation; (iii) earnings before interest, taxes, depreciation and amortization; (iv) total stockholder return; (v) return on equity or average stockholders equity; (vi) return on assets, investment, or capital employed; (vii) stock price; (viii) margin (including gross margin); (ix) income (before or after taxes); (x) operating income; (xi) operating income after taxes; (xii) pre-tax profit; (xiii) operating cash flow; (xiv) sales or revenue targets; (xv) increases in revenue or product revenue; (xvi) expenses and cost reduction goals; (xvii) improvement in or attainment of working capital levels; (xviii) economic value added (or an equivalent metric); (xix) market share; (xx) cash flow; (xxi) cash flow per share; (xxii) share price performance; (xxiii) debt reduction; (xxiv) customer satisfaction; (xxv) stockholders equity; (xxvi) capital expenditures; (xxvii) debt levels; (xxviii) operating profit or net operating profit; (xxix) workforce diversity; (xxx) growth of net income or operating income; (xxxi) billings; (xxxii) pre-clinical development related compound goals; (xxxiii) financing; (xxxiv) regulatory milestones, including approval of a compound; (xxxv) stockholder liquidity; (xxvi) corporate governance and compliance; (xxxvii) product commercialization; (xxxviii) intellectual property; (xxxix) personnel matters; (xl) progress of internal research or clinical programs; (xli) progress of partnered programs; (xlii) partner satisfaction; (xliii) budget management; (xliv) clinical achievements; (xlv) completing phases of a clinical study (including the treatment phase); (xlvi) announcing or presenting preliminary or final data from clinical studies; in each case, whether on particular timelines or generally; (xlvii) timely completion of clinical trials; (xlviii) submission of INDs and NDAs and other regulatory achievements; (xlix) partner or collaborator achievements; (l) internal controls, including those related to the Sarbanes-Oxley Act of 2002; (li) research progress, including the development of programs; (lii) investor relations, analysts and communication; (liii) manufacturing achievements (including obtaining particular yields from manufacturing runs and other measurable objectives related to process development activities); (liv) strategic partnerships or transactions (including in-licensing and out-licensing of intellectual property); (lv) establishing relationships with commercial entities with respect to the marketing, distribution and sale of the Companys products (including with group purchasing organizations, distributors and other vendors); (lvi) supply chain achievements (including establishing relationships with manufacturers or suppliers of active pharmaceutical ingredients and other component materials and manufacturers of the Companys products); (lvii) co-development, co-marketing, profit sharing, joint venture or other similar arrangements; (lviii) individual performance goals; (lix) corporate development and planning goals; and (lx) other measures of performance selected by the Board or Committee. </w:t>
      </w:r>
    </w:p>
    <w:p>
      <w:pPr>
        <w:pStyle w:val="TextBody"/>
        <w:spacing w:before="240" w:after="0"/>
        <w:jc w:val="left"/>
        <w:rPr>
          <w:rFonts w:ascii="Times New Roman" w:hAnsi="Times New Roman"/>
          <w:sz w:val="20"/>
        </w:rPr>
      </w:pPr>
      <w:r>
        <w:rPr>
          <w:rFonts w:ascii="Times New Roman" w:hAnsi="Times New Roman"/>
          <w:b/>
          <w:sz w:val="20"/>
        </w:rPr>
        <w:t>(mm)</w:t>
      </w:r>
      <w:r>
        <w:rPr>
          <w:rFonts w:ascii="Times New Roman" w:hAnsi="Times New Roman"/>
          <w:sz w:val="20"/>
        </w:rPr>
        <w:t xml:space="preserve"> </w:t>
      </w:r>
      <w:r>
        <w:rPr>
          <w:rFonts w:ascii="Times New Roman" w:hAnsi="Times New Roman"/>
          <w:b/>
          <w:i/>
          <w:sz w:val="20"/>
        </w:rPr>
        <w:t>Performance Goals</w:t>
      </w:r>
      <w:r>
        <w:rPr>
          <w:rFonts w:ascii="Times New Roman" w:hAnsi="Times New Roman"/>
          <w:sz w:val="20"/>
        </w:rPr>
        <w:t xml:space="preserve"> means, for a Performance Period, the one or more goals established by the Board or Committee (as applicable)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any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(11) to exclude the goodwill and intangible asset impairment charges that are required to be recorded under generally accepted accounting principles; and (12) to exclude the effect of any other unusual, non-recurring gain or loss or other extraordinary item. In addition, the Board or Committee (as applicable) retains the discretion to adjust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Stock Award Agreement or the written terms of a Performance Cash Award. </w:t>
      </w:r>
    </w:p>
    <w:p>
      <w:pPr>
        <w:pStyle w:val="TextBody"/>
        <w:spacing w:before="240" w:after="0"/>
        <w:jc w:val="left"/>
        <w:rPr>
          <w:rFonts w:ascii="Times New Roman" w:hAnsi="Times New Roman"/>
          <w:sz w:val="20"/>
        </w:rPr>
      </w:pPr>
      <w:r>
        <w:rPr>
          <w:rFonts w:ascii="Times New Roman" w:hAnsi="Times New Roman"/>
          <w:b/>
          <w:sz w:val="20"/>
        </w:rPr>
        <w:t>(nn)</w:t>
      </w:r>
      <w:r>
        <w:rPr>
          <w:rFonts w:ascii="Times New Roman" w:hAnsi="Times New Roman"/>
          <w:sz w:val="20"/>
        </w:rPr>
        <w:t xml:space="preserve"> </w:t>
      </w:r>
      <w:r>
        <w:rPr>
          <w:rFonts w:ascii="Times New Roman" w:hAnsi="Times New Roman"/>
          <w:b/>
          <w:i/>
          <w:sz w:val="20"/>
        </w:rPr>
        <w:t>Performance Period</w:t>
      </w:r>
      <w:r>
        <w:rPr>
          <w:rFonts w:ascii="Times New Roman" w:hAnsi="Times New Roman"/>
          <w:sz w:val="20"/>
        </w:rPr>
        <w:t xml:space="preserve"> means the period of time selected by the Board or Committee (as applicable) over which the attainment of one or more Performance Goals will be measured for the purpose of determining a Participants right to and the payment of a Stock Award or a Performance Cash Award. Performance Periods may be of varying and overlapping duration, at the sole discretion of the Board or Committee. </w:t>
      </w:r>
    </w:p>
    <w:p>
      <w:pPr>
        <w:pStyle w:val="TextBody"/>
        <w:spacing w:before="240" w:after="0"/>
        <w:jc w:val="left"/>
        <w:rPr>
          <w:rFonts w:ascii="Times New Roman" w:hAnsi="Times New Roman"/>
          <w:sz w:val="20"/>
        </w:rPr>
      </w:pPr>
      <w:r>
        <w:rPr>
          <w:rFonts w:ascii="Times New Roman" w:hAnsi="Times New Roman"/>
          <w:b/>
          <w:sz w:val="20"/>
        </w:rPr>
        <w:t>(oo)</w:t>
      </w:r>
      <w:r>
        <w:rPr>
          <w:rFonts w:ascii="Times New Roman" w:hAnsi="Times New Roman"/>
          <w:sz w:val="20"/>
        </w:rPr>
        <w:t xml:space="preserve"> </w:t>
      </w:r>
      <w:r>
        <w:rPr>
          <w:rFonts w:ascii="Times New Roman" w:hAnsi="Times New Roman"/>
          <w:b/>
          <w:i/>
          <w:sz w:val="20"/>
        </w:rPr>
        <w:t>Performance Stock Award</w:t>
      </w:r>
      <w:r>
        <w:rPr>
          <w:rFonts w:ascii="Times New Roman" w:hAnsi="Times New Roman"/>
          <w:sz w:val="20"/>
        </w:rPr>
        <w:t xml:space="preserve"> means a Stock Award granted under the terms and conditions of Section 6(c)(i). </w:t>
      </w:r>
    </w:p>
    <w:p>
      <w:pPr>
        <w:pStyle w:val="TextBody"/>
        <w:spacing w:before="240" w:after="0"/>
        <w:jc w:val="left"/>
        <w:rPr>
          <w:rFonts w:ascii="Times New Roman" w:hAnsi="Times New Roman"/>
          <w:sz w:val="20"/>
        </w:rPr>
      </w:pPr>
      <w:r>
        <w:rPr>
          <w:rFonts w:ascii="Times New Roman" w:hAnsi="Times New Roman"/>
          <w:b/>
          <w:sz w:val="20"/>
        </w:rPr>
        <w:t>(pp)</w:t>
      </w:r>
      <w:r>
        <w:rPr>
          <w:rFonts w:ascii="Times New Roman" w:hAnsi="Times New Roman"/>
          <w:sz w:val="20"/>
        </w:rPr>
        <w:t xml:space="preserve"> </w:t>
      </w:r>
      <w:r>
        <w:rPr>
          <w:rFonts w:ascii="Times New Roman" w:hAnsi="Times New Roman"/>
          <w:b/>
          <w:i/>
          <w:sz w:val="20"/>
        </w:rPr>
        <w:t>Plan</w:t>
      </w:r>
      <w:r>
        <w:rPr>
          <w:rFonts w:ascii="Times New Roman" w:hAnsi="Times New Roman"/>
          <w:sz w:val="20"/>
        </w:rPr>
        <w:t xml:space="preserve"> means this Tempest Therapeutics, Inc. Amended and Restated 2023 Equity Incentive Plan. </w:t>
      </w:r>
    </w:p>
    <w:p>
      <w:pPr>
        <w:pStyle w:val="TextBody"/>
        <w:spacing w:before="240" w:after="0"/>
        <w:jc w:val="left"/>
        <w:rPr>
          <w:rFonts w:ascii="Times New Roman" w:hAnsi="Times New Roman"/>
          <w:sz w:val="20"/>
        </w:rPr>
      </w:pPr>
      <w:r>
        <w:rPr>
          <w:rFonts w:ascii="Times New Roman" w:hAnsi="Times New Roman"/>
          <w:b/>
          <w:sz w:val="20"/>
        </w:rPr>
        <w:t>(qq)</w:t>
      </w:r>
      <w:r>
        <w:rPr>
          <w:rFonts w:ascii="Times New Roman" w:hAnsi="Times New Roman"/>
          <w:sz w:val="20"/>
        </w:rPr>
        <w:t xml:space="preserve"> </w:t>
      </w:r>
      <w:r>
        <w:rPr>
          <w:rFonts w:ascii="Times New Roman" w:hAnsi="Times New Roman"/>
          <w:b/>
          <w:i/>
          <w:sz w:val="20"/>
        </w:rPr>
        <w:t>Restricted Stock Award</w:t>
      </w:r>
      <w:r>
        <w:rPr>
          <w:rFonts w:ascii="Times New Roman" w:hAnsi="Times New Roman"/>
          <w:sz w:val="20"/>
        </w:rPr>
        <w:t xml:space="preserve"> means an award of shares of Common Stock which is granted pursuant to the terms and conditions of Section 6(a). </w:t>
      </w:r>
    </w:p>
    <w:p>
      <w:pPr>
        <w:pStyle w:val="TextBody"/>
        <w:spacing w:before="240" w:after="0"/>
        <w:jc w:val="left"/>
        <w:rPr>
          <w:rFonts w:ascii="Times New Roman" w:hAnsi="Times New Roman"/>
          <w:sz w:val="20"/>
        </w:rPr>
      </w:pPr>
      <w:r>
        <w:rPr>
          <w:rFonts w:ascii="Times New Roman" w:hAnsi="Times New Roman"/>
          <w:b/>
          <w:sz w:val="20"/>
        </w:rPr>
        <w:t>(rr)</w:t>
      </w:r>
      <w:r>
        <w:rPr>
          <w:rFonts w:ascii="Times New Roman" w:hAnsi="Times New Roman"/>
          <w:sz w:val="20"/>
        </w:rPr>
        <w:t xml:space="preserve"> </w:t>
      </w:r>
      <w:r>
        <w:rPr>
          <w:rFonts w:ascii="Times New Roman" w:hAnsi="Times New Roman"/>
          <w:b/>
          <w:i/>
          <w:sz w:val="20"/>
        </w:rPr>
        <w:t>Restricted Stock Award Agreement</w:t>
      </w:r>
      <w:r>
        <w:rPr>
          <w:rFonts w:ascii="Times New Roman" w:hAnsi="Times New Roman"/>
          <w:sz w:val="20"/>
        </w:rPr>
        <w:t xml:space="preserve"> means a written agreement between the Company and a holder of a Restricted Stock Award evidencing the terms and conditions of a Restricted Stock Award grant. Each Restricted Stock Award Agreement will be subject to the terms and conditions of the Plan. </w:t>
      </w:r>
    </w:p>
    <w:p>
      <w:pPr>
        <w:pStyle w:val="TextBody"/>
        <w:spacing w:before="240" w:after="0"/>
        <w:jc w:val="left"/>
        <w:rPr>
          <w:rFonts w:ascii="Times New Roman" w:hAnsi="Times New Roman"/>
          <w:sz w:val="20"/>
        </w:rPr>
      </w:pPr>
      <w:r>
        <w:rPr>
          <w:rFonts w:ascii="Times New Roman" w:hAnsi="Times New Roman"/>
          <w:b/>
          <w:sz w:val="20"/>
        </w:rPr>
        <w:t>(ss)</w:t>
      </w:r>
      <w:r>
        <w:rPr>
          <w:rFonts w:ascii="Times New Roman" w:hAnsi="Times New Roman"/>
          <w:sz w:val="20"/>
        </w:rPr>
        <w:t xml:space="preserve"> </w:t>
      </w:r>
      <w:r>
        <w:rPr>
          <w:rFonts w:ascii="Times New Roman" w:hAnsi="Times New Roman"/>
          <w:b/>
          <w:i/>
          <w:sz w:val="20"/>
        </w:rPr>
        <w:t>Restricted Stock Unit Award</w:t>
      </w:r>
      <w:r>
        <w:rPr>
          <w:rFonts w:ascii="Times New Roman" w:hAnsi="Times New Roman"/>
          <w:sz w:val="20"/>
        </w:rPr>
        <w:t xml:space="preserve"> means a right to receive shares of Common Stock which is granted pursuant to the terms and conditions of Section 6(b). </w:t>
      </w:r>
    </w:p>
    <w:p>
      <w:pPr>
        <w:pStyle w:val="TextBody"/>
        <w:spacing w:before="240" w:after="0"/>
        <w:jc w:val="left"/>
        <w:rPr>
          <w:rFonts w:ascii="Times New Roman" w:hAnsi="Times New Roman"/>
          <w:sz w:val="20"/>
        </w:rPr>
      </w:pPr>
      <w:r>
        <w:rPr>
          <w:rFonts w:ascii="Times New Roman" w:hAnsi="Times New Roman"/>
          <w:b/>
          <w:sz w:val="20"/>
        </w:rPr>
        <w:t>(tt)</w:t>
      </w:r>
      <w:r>
        <w:rPr>
          <w:rFonts w:ascii="Times New Roman" w:hAnsi="Times New Roman"/>
          <w:sz w:val="20"/>
        </w:rPr>
        <w:t xml:space="preserve"> </w:t>
      </w:r>
      <w:r>
        <w:rPr>
          <w:rFonts w:ascii="Times New Roman" w:hAnsi="Times New Roman"/>
          <w:b/>
          <w:i/>
          <w:sz w:val="20"/>
        </w:rPr>
        <w:t>Restricted Stock Unit Award Agreement</w:t>
      </w:r>
      <w:r>
        <w:rPr>
          <w:rFonts w:ascii="Times New Roman" w:hAnsi="Times New Roman"/>
          <w:sz w:val="20"/>
        </w:rPr>
        <w:t xml:space="preserve"> means a written agreement between the Company and a holder of a Restricted Stock Unit Award evidencing the terms and conditions of a Restricted Stock Unit Award grant. Each Restricted Stock Unit Award Agreement will be subject to the terms and conditions of the Plan. </w:t>
      </w:r>
    </w:p>
    <w:p>
      <w:pPr>
        <w:pStyle w:val="TextBody"/>
        <w:spacing w:before="240" w:after="0"/>
        <w:jc w:val="left"/>
        <w:rPr>
          <w:rFonts w:ascii="Times New Roman" w:hAnsi="Times New Roman"/>
          <w:sz w:val="20"/>
        </w:rPr>
      </w:pPr>
      <w:r>
        <w:rPr>
          <w:rFonts w:ascii="Times New Roman" w:hAnsi="Times New Roman"/>
          <w:b/>
          <w:sz w:val="20"/>
        </w:rPr>
        <w:t>(uu)</w:t>
      </w:r>
      <w:r>
        <w:rPr>
          <w:rFonts w:ascii="Times New Roman" w:hAnsi="Times New Roman"/>
          <w:sz w:val="20"/>
        </w:rPr>
        <w:t xml:space="preserve"> </w:t>
      </w:r>
      <w:r>
        <w:rPr>
          <w:rFonts w:ascii="Times New Roman" w:hAnsi="Times New Roman"/>
          <w:b/>
          <w:i/>
          <w:sz w:val="20"/>
        </w:rPr>
        <w:t>Rule 16b-3</w:t>
      </w:r>
      <w:r>
        <w:rPr>
          <w:rFonts w:ascii="Times New Roman" w:hAnsi="Times New Roman"/>
          <w:sz w:val="20"/>
        </w:rPr>
        <w:t xml:space="preserve"> means Rule 16b-3 promulgated under the Exchange Act or any successor to Rule 16b-3, as in effect from time to time. </w:t>
      </w:r>
    </w:p>
    <w:p>
      <w:pPr>
        <w:pStyle w:val="TextBody"/>
        <w:spacing w:before="240" w:after="0"/>
        <w:jc w:val="left"/>
        <w:rPr>
          <w:rFonts w:ascii="Times New Roman" w:hAnsi="Times New Roman"/>
          <w:sz w:val="20"/>
        </w:rPr>
      </w:pPr>
      <w:r>
        <w:rPr>
          <w:rFonts w:ascii="Times New Roman" w:hAnsi="Times New Roman"/>
          <w:b/>
          <w:sz w:val="20"/>
        </w:rPr>
        <w:t>(vv)</w:t>
      </w:r>
      <w:r>
        <w:rPr>
          <w:rFonts w:ascii="Times New Roman" w:hAnsi="Times New Roman"/>
          <w:sz w:val="20"/>
        </w:rPr>
        <w:t xml:space="preserve"> </w:t>
      </w:r>
      <w:r>
        <w:rPr>
          <w:rFonts w:ascii="Times New Roman" w:hAnsi="Times New Roman"/>
          <w:b/>
          <w:i/>
          <w:sz w:val="20"/>
        </w:rPr>
        <w:t>Securities Act</w:t>
      </w:r>
      <w:r>
        <w:rPr>
          <w:rFonts w:ascii="Times New Roman" w:hAnsi="Times New Roman"/>
          <w:sz w:val="20"/>
        </w:rPr>
        <w:t xml:space="preserve"> means the Securities Act of 1933, as amended. </w:t>
      </w:r>
    </w:p>
    <w:p>
      <w:pPr>
        <w:pStyle w:val="TextBody"/>
        <w:spacing w:before="240" w:after="0"/>
        <w:jc w:val="left"/>
        <w:rPr>
          <w:rFonts w:ascii="Times New Roman" w:hAnsi="Times New Roman"/>
          <w:sz w:val="20"/>
        </w:rPr>
      </w:pPr>
      <w:r>
        <w:rPr>
          <w:rFonts w:ascii="Times New Roman" w:hAnsi="Times New Roman"/>
          <w:b/>
          <w:sz w:val="20"/>
        </w:rPr>
        <w:t>(ww)</w:t>
      </w:r>
      <w:r>
        <w:rPr>
          <w:rFonts w:ascii="Times New Roman" w:hAnsi="Times New Roman"/>
          <w:sz w:val="20"/>
        </w:rPr>
        <w:t xml:space="preserve"> </w:t>
      </w:r>
      <w:r>
        <w:rPr>
          <w:rFonts w:ascii="Times New Roman" w:hAnsi="Times New Roman"/>
          <w:b/>
          <w:i/>
          <w:sz w:val="20"/>
        </w:rPr>
        <w:t>Stock Appreciation Right</w:t>
      </w:r>
      <w:r>
        <w:rPr>
          <w:rFonts w:ascii="Times New Roman" w:hAnsi="Times New Roman"/>
          <w:sz w:val="20"/>
        </w:rPr>
        <w:t> or </w:t>
      </w:r>
      <w:r>
        <w:rPr>
          <w:rFonts w:ascii="Times New Roman" w:hAnsi="Times New Roman"/>
          <w:b/>
          <w:i/>
          <w:sz w:val="20"/>
        </w:rPr>
        <w:t>SAR</w:t>
      </w:r>
      <w:r>
        <w:rPr>
          <w:rFonts w:ascii="Times New Roman" w:hAnsi="Times New Roman"/>
          <w:sz w:val="20"/>
        </w:rPr>
        <w:t xml:space="preserve"> means a right to receive the appreciation on Common Stock that is granted pursuant to the terms and conditions of Section 5.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sz w:val="20"/>
        </w:rPr>
        <w:t>(xx)</w:t>
      </w:r>
      <w:r>
        <w:rPr>
          <w:rFonts w:ascii="Times New Roman" w:hAnsi="Times New Roman"/>
          <w:sz w:val="20"/>
        </w:rPr>
        <w:t xml:space="preserve"> </w:t>
      </w:r>
      <w:r>
        <w:rPr>
          <w:rFonts w:ascii="Times New Roman" w:hAnsi="Times New Roman"/>
          <w:b/>
          <w:i/>
          <w:sz w:val="20"/>
        </w:rPr>
        <w:t>Stock Appreciation Right Agreement</w:t>
      </w:r>
      <w:r>
        <w:rPr>
          <w:rFonts w:ascii="Times New Roman" w:hAnsi="Times New Roman"/>
          <w:sz w:val="20"/>
        </w:rPr>
        <w:t xml:space="preserve"> means a written agreement between the Company and a holder of a Stock Appreciation Right evidencing the terms and conditions of a Stock Appreciation Right grant. Each Stock Appreciation Right Agreement will be subject to the terms and conditions of the Plan. </w:t>
      </w:r>
    </w:p>
    <w:p>
      <w:pPr>
        <w:pStyle w:val="TextBody"/>
        <w:spacing w:before="240" w:after="0"/>
        <w:jc w:val="left"/>
        <w:rPr>
          <w:rFonts w:ascii="Times New Roman" w:hAnsi="Times New Roman"/>
          <w:sz w:val="20"/>
        </w:rPr>
      </w:pPr>
      <w:r>
        <w:rPr>
          <w:rFonts w:ascii="Times New Roman" w:hAnsi="Times New Roman"/>
          <w:b/>
          <w:sz w:val="20"/>
        </w:rPr>
        <w:t>(yy)</w:t>
      </w:r>
      <w:r>
        <w:rPr>
          <w:rFonts w:ascii="Times New Roman" w:hAnsi="Times New Roman"/>
          <w:sz w:val="20"/>
        </w:rPr>
        <w:t xml:space="preserve"> </w:t>
      </w:r>
      <w:r>
        <w:rPr>
          <w:rFonts w:ascii="Times New Roman" w:hAnsi="Times New Roman"/>
          <w:b/>
          <w:i/>
          <w:sz w:val="20"/>
        </w:rPr>
        <w:t>Stock Award</w:t>
      </w:r>
      <w:r>
        <w:rPr>
          <w:rFonts w:ascii="Times New Roman" w:hAnsi="Times New Roman"/>
          <w:sz w:val="20"/>
        </w:rPr>
        <w:t xml:space="preserve"> means any right to receive Common Stock granted under the Plan, including an Incentive Stock Option, a Nonstatutory Stock Option, a Restricted Stock Award, a Restricted Stock Unit Award, a Stock Appreciation Right, a Performance Stock Award or any Other Stock Award. </w:t>
      </w:r>
    </w:p>
    <w:p>
      <w:pPr>
        <w:pStyle w:val="TextBody"/>
        <w:spacing w:before="240" w:after="0"/>
        <w:jc w:val="left"/>
        <w:rPr>
          <w:rFonts w:ascii="Times New Roman" w:hAnsi="Times New Roman"/>
          <w:sz w:val="20"/>
        </w:rPr>
      </w:pPr>
      <w:r>
        <w:rPr>
          <w:rFonts w:ascii="Times New Roman" w:hAnsi="Times New Roman"/>
          <w:b/>
          <w:sz w:val="20"/>
        </w:rPr>
        <w:t>(zz)</w:t>
      </w:r>
      <w:r>
        <w:rPr>
          <w:rFonts w:ascii="Times New Roman" w:hAnsi="Times New Roman"/>
          <w:sz w:val="20"/>
        </w:rPr>
        <w:t xml:space="preserve"> </w:t>
      </w:r>
      <w:r>
        <w:rPr>
          <w:rFonts w:ascii="Times New Roman" w:hAnsi="Times New Roman"/>
          <w:b/>
          <w:i/>
          <w:sz w:val="20"/>
        </w:rPr>
        <w:t>Stock Award Agreement</w:t>
      </w:r>
      <w:r>
        <w:rPr>
          <w:rFonts w:ascii="Times New Roman" w:hAnsi="Times New Roman"/>
          <w:sz w:val="20"/>
        </w:rPr>
        <w:t xml:space="preserve"> means a written agreement between the Company and a Participant evidencing the terms and conditions of a Stock Award grant. Each Stock Award Agreement will be subject to the terms and conditions of the Plan. </w:t>
      </w:r>
    </w:p>
    <w:p>
      <w:pPr>
        <w:pStyle w:val="TextBody"/>
        <w:spacing w:before="240" w:after="0"/>
        <w:jc w:val="left"/>
        <w:rPr>
          <w:rFonts w:ascii="Times New Roman" w:hAnsi="Times New Roman"/>
          <w:sz w:val="20"/>
        </w:rPr>
      </w:pPr>
      <w:r>
        <w:rPr>
          <w:rFonts w:ascii="Times New Roman" w:hAnsi="Times New Roman"/>
          <w:b/>
          <w:sz w:val="20"/>
        </w:rPr>
        <w:t>(aaa)</w:t>
      </w:r>
      <w:r>
        <w:rPr>
          <w:rFonts w:ascii="Times New Roman" w:hAnsi="Times New Roman"/>
          <w:sz w:val="20"/>
        </w:rPr>
        <w:t xml:space="preserve"> </w:t>
      </w:r>
      <w:r>
        <w:rPr>
          <w:rFonts w:ascii="Times New Roman" w:hAnsi="Times New Roman"/>
          <w:b/>
          <w:i/>
          <w:sz w:val="20"/>
        </w:rPr>
        <w:t>Subsidiary</w:t>
      </w:r>
      <w:r>
        <w:rPr>
          <w:rFonts w:ascii="Times New Roman" w:hAnsi="Times New Roman"/>
          <w:sz w:val="20"/>
        </w:rPr>
        <w:t xml:space="preserve">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 </w:t>
      </w:r>
    </w:p>
    <w:p>
      <w:pPr>
        <w:pStyle w:val="TextBody"/>
        <w:spacing w:before="240" w:after="0"/>
        <w:jc w:val="left"/>
        <w:rPr>
          <w:rFonts w:ascii="Times New Roman" w:hAnsi="Times New Roman"/>
          <w:sz w:val="20"/>
        </w:rPr>
      </w:pPr>
      <w:r>
        <w:rPr>
          <w:rFonts w:ascii="Times New Roman" w:hAnsi="Times New Roman"/>
          <w:b/>
          <w:sz w:val="20"/>
        </w:rPr>
        <w:t>(bbb)</w:t>
      </w:r>
      <w:r>
        <w:rPr>
          <w:rFonts w:ascii="Times New Roman" w:hAnsi="Times New Roman"/>
          <w:sz w:val="20"/>
        </w:rPr>
        <w:t xml:space="preserve"> </w:t>
      </w:r>
      <w:r>
        <w:rPr>
          <w:rFonts w:ascii="Times New Roman" w:hAnsi="Times New Roman"/>
          <w:b/>
          <w:i/>
          <w:sz w:val="20"/>
        </w:rPr>
        <w:t>Tax-Related Items</w:t>
      </w:r>
      <w:r>
        <w:rPr>
          <w:rFonts w:ascii="Times New Roman" w:hAnsi="Times New Roman"/>
          <w:sz w:val="20"/>
        </w:rPr>
        <w:t xml:space="preserve"> means any income tax, social insurance, payroll tax, fringe benefit tax, payment on account or other tax-related items arising out of or in relation to a Participants participation in the Plan and legally applicable or deemed applicable to the Participant. </w:t>
      </w:r>
    </w:p>
    <w:p>
      <w:pPr>
        <w:pStyle w:val="TextBody"/>
        <w:spacing w:before="240" w:after="0"/>
        <w:jc w:val="left"/>
        <w:rPr>
          <w:rFonts w:ascii="Times New Roman" w:hAnsi="Times New Roman"/>
          <w:sz w:val="20"/>
        </w:rPr>
      </w:pPr>
      <w:r>
        <w:rPr>
          <w:rFonts w:ascii="Times New Roman" w:hAnsi="Times New Roman"/>
          <w:b/>
          <w:sz w:val="20"/>
        </w:rPr>
        <w:t xml:space="preserve">(ccc) </w:t>
      </w:r>
      <w:r>
        <w:rPr>
          <w:rFonts w:ascii="Times New Roman" w:hAnsi="Times New Roman"/>
          <w:i/>
          <w:sz w:val="20"/>
        </w:rPr>
        <w:t></w:t>
      </w:r>
      <w:r>
        <w:rPr>
          <w:rFonts w:ascii="Times New Roman" w:hAnsi="Times New Roman"/>
          <w:b/>
          <w:i/>
          <w:sz w:val="20"/>
        </w:rPr>
        <w:t>Ten Percent Stockholder</w:t>
      </w:r>
      <w:r>
        <w:rPr>
          <w:rFonts w:ascii="Times New Roman" w:hAnsi="Times New Roman"/>
          <w:sz w:val="20"/>
        </w:rPr>
        <w:t xml:space="preserve"> means a person who Owns (or is deemed to Own pursuant to Section 424(d) of the Code) stock possessing more than 10% of the total combined voting power of all classes of stock of the Company or any Affiliate. </w:t>
      </w:r>
    </w:p>
    <w:p>
      <w:pPr>
        <w:pStyle w:val="TextBody"/>
        <w:spacing w:before="240" w:after="0"/>
        <w:jc w:val="left"/>
        <w:rPr>
          <w:rFonts w:ascii="Times New Roman" w:hAnsi="Times New Roman"/>
          <w:sz w:val="20"/>
        </w:rPr>
      </w:pPr>
      <w:r>
        <w:rPr>
          <w:rFonts w:ascii="Times New Roman" w:hAnsi="Times New Roman"/>
          <w:b/>
          <w:sz w:val="20"/>
        </w:rPr>
        <w:t>(ddd)</w:t>
      </w:r>
      <w:r>
        <w:rPr>
          <w:rFonts w:ascii="Times New Roman" w:hAnsi="Times New Roman"/>
          <w:sz w:val="20"/>
        </w:rPr>
        <w:t xml:space="preserve"> </w:t>
      </w:r>
      <w:r>
        <w:rPr>
          <w:rFonts w:ascii="Times New Roman" w:hAnsi="Times New Roman"/>
          <w:b/>
          <w:i/>
          <w:sz w:val="20"/>
        </w:rPr>
        <w:t>Transaction</w:t>
      </w:r>
      <w:r>
        <w:rPr>
          <w:rFonts w:ascii="Times New Roman" w:hAnsi="Times New Roman"/>
          <w:sz w:val="20"/>
        </w:rPr>
        <w:t xml:space="preserve"> means a Corporate Transaction or a Change in Control.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APPENDIX I </w:t>
      </w:r>
    </w:p>
    <w:p>
      <w:pPr>
        <w:pStyle w:val="TextBody"/>
        <w:spacing w:before="0" w:after="0"/>
        <w:jc w:val="center"/>
        <w:rPr>
          <w:rFonts w:ascii="Times New Roman" w:hAnsi="Times New Roman"/>
          <w:b/>
          <w:sz w:val="20"/>
        </w:rPr>
      </w:pPr>
      <w:r>
        <w:rPr>
          <w:rFonts w:ascii="Times New Roman" w:hAnsi="Times New Roman"/>
          <w:b/>
          <w:sz w:val="20"/>
        </w:rPr>
        <w:t xml:space="preserve">Amended and Restated 2023 Equity Incentive Plan </w:t>
      </w:r>
    </w:p>
    <w:p>
      <w:pPr>
        <w:pStyle w:val="TextBody"/>
        <w:spacing w:before="0" w:after="0"/>
        <w:jc w:val="center"/>
        <w:rPr>
          <w:rFonts w:ascii="Times New Roman" w:hAnsi="Times New Roman"/>
          <w:b/>
          <w:sz w:val="20"/>
        </w:rPr>
      </w:pPr>
      <w:r>
        <w:rPr>
          <w:rFonts w:ascii="Times New Roman" w:hAnsi="Times New Roman"/>
          <w:b/>
          <w:sz w:val="20"/>
        </w:rPr>
        <w:t xml:space="preserve">Stock OptionsSub-Plan for French Residents </w:t>
      </w:r>
    </w:p>
    <w:p>
      <w:pPr>
        <w:pStyle w:val="TextBody"/>
        <w:spacing w:before="240" w:after="0"/>
        <w:jc w:val="left"/>
        <w:rPr>
          <w:rFonts w:ascii="Times New Roman" w:hAnsi="Times New Roman"/>
          <w:sz w:val="20"/>
        </w:rPr>
      </w:pPr>
      <w:r>
        <w:rPr>
          <w:rFonts w:ascii="Times New Roman" w:hAnsi="Times New Roman"/>
          <w:sz w:val="20"/>
        </w:rPr>
        <w:t xml:space="preserve">Options granted under this French Sub-plan (also referred to as the SO French Sub-Plan) to an employee who is a French resident taxpayer and/or subject to the French social security scheme in France shall comply with the terms of this SO French Sub-plan. The purpose of the SO French Sub-plan is to grant Options that qualify for favorable income tax and social security tax treatment under French law (the French Options). </w:t>
      </w:r>
    </w:p>
    <w:p>
      <w:pPr>
        <w:pStyle w:val="TextBody"/>
        <w:spacing w:before="240" w:after="0"/>
        <w:jc w:val="left"/>
        <w:rPr>
          <w:rFonts w:ascii="Times New Roman" w:hAnsi="Times New Roman"/>
          <w:sz w:val="20"/>
        </w:rPr>
      </w:pPr>
      <w:r>
        <w:rPr>
          <w:rFonts w:ascii="Times New Roman" w:hAnsi="Times New Roman"/>
          <w:sz w:val="20"/>
        </w:rPr>
        <w:t xml:space="preserve">As a matter of principle, any provision included in the Plan or any other document evidencing the terms and conditions of the Plan that would contravene any substantive principle set out in Articles L. 225-177 to L. 225-186 of the French Code de Commerce shall not be applicable to Participant who are residents of France and employed or providing services in France. </w:t>
      </w:r>
    </w:p>
    <w:p>
      <w:pPr>
        <w:pStyle w:val="TextBody"/>
        <w:spacing w:before="360" w:after="0"/>
        <w:jc w:val="left"/>
        <w:rPr>
          <w:rFonts w:ascii="Times New Roman" w:hAnsi="Times New Roman"/>
          <w:i/>
          <w:sz w:val="20"/>
        </w:rPr>
      </w:pPr>
      <w:r>
        <w:rPr>
          <w:rFonts w:ascii="Times New Roman" w:hAnsi="Times New Roman"/>
          <w:i/>
          <w:sz w:val="20"/>
        </w:rPr>
        <w:t xml:space="preserve">Article 1: Administration </w:t>
      </w:r>
    </w:p>
    <w:p>
      <w:pPr>
        <w:pStyle w:val="TextBody"/>
        <w:spacing w:before="120" w:after="0"/>
        <w:jc w:val="left"/>
        <w:rPr>
          <w:rFonts w:ascii="Times New Roman" w:hAnsi="Times New Roman"/>
          <w:sz w:val="20"/>
        </w:rPr>
      </w:pPr>
      <w:r>
        <w:rPr>
          <w:rFonts w:ascii="Times New Roman" w:hAnsi="Times New Roman"/>
          <w:sz w:val="20"/>
        </w:rPr>
        <w:t xml:space="preserve">Notwithstanding any other provision of the Plan, unless otherwise agreed by the Board, French Options will be exercisable under the vesting schedule set out in the Plan or in the Stock Option Agreement for employees subject to taxation under the laws of France. </w:t>
      </w:r>
    </w:p>
    <w:p>
      <w:pPr>
        <w:pStyle w:val="TextBody"/>
        <w:spacing w:before="240" w:after="0"/>
        <w:jc w:val="left"/>
        <w:rPr>
          <w:rFonts w:ascii="Times New Roman" w:hAnsi="Times New Roman"/>
          <w:sz w:val="20"/>
        </w:rPr>
      </w:pPr>
      <w:r>
        <w:rPr>
          <w:rFonts w:ascii="Times New Roman" w:hAnsi="Times New Roman"/>
          <w:sz w:val="20"/>
        </w:rPr>
        <w:t xml:space="preserve">Notwithstanding any other provision of the Plan, the Board is authorized to unilaterally accelerate, reduce, lift or cancel vesting of any option granted under this SO French Sub-Plan, as may be necessary or desirable to comply with the French applicable social or tax laws. </w:t>
      </w:r>
    </w:p>
    <w:p>
      <w:pPr>
        <w:pStyle w:val="TextBody"/>
        <w:spacing w:before="240" w:after="0"/>
        <w:jc w:val="left"/>
        <w:rPr>
          <w:rFonts w:ascii="Times New Roman" w:hAnsi="Times New Roman"/>
          <w:sz w:val="20"/>
        </w:rPr>
      </w:pPr>
      <w:r>
        <w:rPr>
          <w:rFonts w:ascii="Times New Roman" w:hAnsi="Times New Roman"/>
          <w:sz w:val="20"/>
        </w:rPr>
        <w:t xml:space="preserve">Notwithstanding any other provision of the Plan, the exercise price shall remain unchanged. </w:t>
      </w:r>
    </w:p>
    <w:p>
      <w:pPr>
        <w:pStyle w:val="TextBody"/>
        <w:spacing w:before="240" w:after="0"/>
        <w:jc w:val="left"/>
        <w:rPr>
          <w:rFonts w:ascii="Times New Roman" w:hAnsi="Times New Roman"/>
          <w:sz w:val="20"/>
        </w:rPr>
      </w:pPr>
      <w:r>
        <w:rPr>
          <w:rFonts w:ascii="Times New Roman" w:hAnsi="Times New Roman"/>
          <w:sz w:val="20"/>
        </w:rPr>
        <w:t xml:space="preserve">Where there is an increase or change in the Companys share capital, and more generally where one of the events provided for under Article L.225-181 of the French Commercial Code occurs, an adjustment shall be made to the number and/or purchase price of Shares, in accordance with the provisions of Article R.225-137 of the French Commercial Code. Notification of said adjustment shall be made to the Participant. In addition the total number of options granted and remaining unexercised (outstanding options) will never cover a number of shares exceeding one-third of the share capital of the Company. </w:t>
      </w:r>
    </w:p>
    <w:p>
      <w:pPr>
        <w:pStyle w:val="TextBody"/>
        <w:spacing w:before="360" w:after="0"/>
        <w:jc w:val="left"/>
        <w:rPr>
          <w:rFonts w:ascii="Times New Roman" w:hAnsi="Times New Roman"/>
          <w:i/>
          <w:sz w:val="20"/>
        </w:rPr>
      </w:pPr>
      <w:r>
        <w:rPr>
          <w:rFonts w:ascii="Times New Roman" w:hAnsi="Times New Roman"/>
          <w:i/>
          <w:sz w:val="20"/>
        </w:rPr>
        <w:t xml:space="preserve">Article 2: Eligibility </w:t>
      </w:r>
    </w:p>
    <w:p>
      <w:pPr>
        <w:pStyle w:val="TextBody"/>
        <w:spacing w:before="120" w:after="0"/>
        <w:jc w:val="left"/>
        <w:rPr>
          <w:rFonts w:ascii="Times New Roman" w:hAnsi="Times New Roman"/>
          <w:sz w:val="20"/>
        </w:rPr>
      </w:pPr>
      <w:r>
        <w:rPr>
          <w:rFonts w:ascii="Times New Roman" w:hAnsi="Times New Roman"/>
          <w:sz w:val="20"/>
        </w:rPr>
        <w:t xml:space="preserve">French Options may be granted only to an employee who is a French resident taxpayer and/or subject to the French social security scheme in France. </w:t>
      </w:r>
    </w:p>
    <w:p>
      <w:pPr>
        <w:pStyle w:val="TextBody"/>
        <w:spacing w:before="240" w:after="0"/>
        <w:jc w:val="left"/>
        <w:rPr>
          <w:rFonts w:ascii="Times New Roman" w:hAnsi="Times New Roman"/>
          <w:sz w:val="20"/>
        </w:rPr>
      </w:pPr>
      <w:r>
        <w:rPr>
          <w:rFonts w:ascii="Times New Roman" w:hAnsi="Times New Roman"/>
          <w:sz w:val="20"/>
        </w:rPr>
        <w:t xml:space="preserve">For purposes of this SO French Sub-Plan, the Company is the granting Company or a Related Entity whose at least ten percent (10%) of the capital is held, directly or indirectly, by the granting Company. </w:t>
      </w:r>
    </w:p>
    <w:p>
      <w:pPr>
        <w:pStyle w:val="TextBody"/>
        <w:spacing w:before="240" w:after="0"/>
        <w:jc w:val="left"/>
        <w:rPr>
          <w:rFonts w:ascii="Times New Roman" w:hAnsi="Times New Roman"/>
          <w:sz w:val="20"/>
        </w:rPr>
      </w:pPr>
      <w:r>
        <w:rPr>
          <w:rFonts w:ascii="Times New Roman" w:hAnsi="Times New Roman"/>
          <w:sz w:val="20"/>
        </w:rPr>
        <w:t xml:space="preserve">French Options may not be granted under this SO French Sub-Plan to Participant owning, upon the date of grant, more than ten percent (10%) of the Companys capital shares, except as permitted under Article L. 225-185 of the French Commercial Code. </w:t>
      </w:r>
    </w:p>
    <w:p>
      <w:pPr>
        <w:pStyle w:val="TextBody"/>
        <w:spacing w:before="240" w:after="0"/>
        <w:jc w:val="left"/>
        <w:rPr>
          <w:rFonts w:ascii="Times New Roman" w:hAnsi="Times New Roman"/>
          <w:sz w:val="20"/>
        </w:rPr>
      </w:pPr>
      <w:r>
        <w:rPr>
          <w:rFonts w:ascii="Times New Roman" w:hAnsi="Times New Roman"/>
          <w:sz w:val="20"/>
        </w:rPr>
        <w:t xml:space="preserve">Notwithstanding any other provision of the Plan, French Options may only be granted to individuals: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(a)</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being considered as a French tax resident subject to taxation in France and having an employment contract either with the granting Company or one of its Related Entity upon the date of grant; and/or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non-employed directors having a management function (the président-directeur général, the directeur-général, the directeur général délégué, the members of the directoire) of a Related Entity, upon the date of grant.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French Options granting the right to subscribe securities which are not admitted to trading on a regulated market may be granted only to the employees of the company granting these options or to those of the companies mentioned in Article L. 225-180, 1° of the French Commercial Code. </w:t>
      </w:r>
    </w:p>
    <w:p>
      <w:pPr>
        <w:pStyle w:val="TextBody"/>
        <w:spacing w:before="360" w:after="0"/>
        <w:jc w:val="left"/>
        <w:rPr>
          <w:rFonts w:ascii="Times New Roman" w:hAnsi="Times New Roman"/>
          <w:i/>
          <w:sz w:val="20"/>
        </w:rPr>
      </w:pPr>
      <w:r>
        <w:rPr>
          <w:rFonts w:ascii="Times New Roman" w:hAnsi="Times New Roman"/>
          <w:i/>
          <w:sz w:val="20"/>
        </w:rPr>
        <w:t xml:space="preserve">Article 3: Limitations on Grant under the SO French Sub-Plan </w:t>
      </w:r>
    </w:p>
    <w:p>
      <w:pPr>
        <w:pStyle w:val="TextBody"/>
        <w:spacing w:before="120" w:after="0"/>
        <w:jc w:val="left"/>
        <w:rPr>
          <w:rFonts w:ascii="Times New Roman" w:hAnsi="Times New Roman"/>
          <w:sz w:val="20"/>
        </w:rPr>
      </w:pPr>
      <w:r>
        <w:rPr>
          <w:rFonts w:ascii="Times New Roman" w:hAnsi="Times New Roman"/>
          <w:sz w:val="20"/>
        </w:rPr>
        <w:t xml:space="preserve">If the shares of the Company are admitted to trading on a regulated market: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exercise price may not be less than 80% of the average market price over the last twenty trading days preceding that day,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 option may be granted less than twenty trading sessions after the detachment of the shares of a coupon giving right to a dividend or a capital increase. </w:t>
            </w:r>
          </w:p>
        </w:tc>
      </w:tr>
    </w:tbl>
    <w:p>
      <w:pPr>
        <w:pStyle w:val="TextBody"/>
        <w:spacing w:before="240" w:after="0"/>
        <w:jc w:val="left"/>
        <w:rPr>
          <w:rFonts w:ascii="Times New Roman" w:hAnsi="Times New Roman"/>
          <w:sz w:val="20"/>
        </w:rPr>
      </w:pPr>
      <w:r>
        <w:rPr>
          <w:rFonts w:ascii="Times New Roman" w:hAnsi="Times New Roman"/>
          <w:sz w:val="20"/>
        </w:rPr>
        <w:t xml:space="preserve">The Company shall not grant French Options during the closed periods required under Section L.225-177 of the French Commercial Code. </w:t>
      </w:r>
    </w:p>
    <w:p>
      <w:pPr>
        <w:pStyle w:val="TextBody"/>
        <w:spacing w:before="240" w:after="0"/>
        <w:jc w:val="left"/>
        <w:rPr>
          <w:rFonts w:ascii="Times New Roman" w:hAnsi="Times New Roman"/>
          <w:sz w:val="20"/>
        </w:rPr>
      </w:pPr>
      <w:r>
        <w:rPr>
          <w:rFonts w:ascii="Times New Roman" w:hAnsi="Times New Roman"/>
          <w:sz w:val="20"/>
        </w:rPr>
        <w:t xml:space="preserve">As a result, notwithstanding any other provision of the Plan, French Options cannot be granted: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(a)</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during the ten (10) trading days preceding and following the date on which the consolidated accounts, or, if unavailable, the annual accounts, are made public;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(b)</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during the period between the date on which the Companys governing bodies (i.e., the Board of Directors) become aware of information which, if made public, could have a material impact on the price of the Shares, and the date ten (10) trading days after such information is made public. </w:t>
            </w:r>
          </w:p>
        </w:tc>
      </w:tr>
    </w:tbl>
    <w:p>
      <w:pPr>
        <w:pStyle w:val="TextBody"/>
        <w:spacing w:before="360" w:after="0"/>
        <w:jc w:val="left"/>
        <w:rPr>
          <w:rFonts w:ascii="Times New Roman" w:hAnsi="Times New Roman"/>
          <w:i/>
          <w:sz w:val="20"/>
        </w:rPr>
      </w:pPr>
      <w:r>
        <w:rPr>
          <w:rFonts w:ascii="Times New Roman" w:hAnsi="Times New Roman"/>
          <w:i/>
          <w:sz w:val="20"/>
        </w:rPr>
        <w:t xml:space="preserve">Article 4: Restrictions on Transfer </w:t>
      </w:r>
    </w:p>
    <w:p>
      <w:pPr>
        <w:pStyle w:val="TextBody"/>
        <w:spacing w:before="120" w:after="0"/>
        <w:jc w:val="left"/>
        <w:rPr>
          <w:rFonts w:ascii="Times New Roman" w:hAnsi="Times New Roman"/>
          <w:sz w:val="20"/>
        </w:rPr>
      </w:pPr>
      <w:r>
        <w:rPr>
          <w:rFonts w:ascii="Times New Roman" w:hAnsi="Times New Roman"/>
          <w:sz w:val="20"/>
        </w:rPr>
        <w:t xml:space="preserve">This Agreement is personal to the Participant and is not transferable by the Participant in any manner other than by inheritance. The French Options may be exercised during the Participants lifetime only by the Participant. </w:t>
      </w:r>
    </w:p>
    <w:p>
      <w:pPr>
        <w:pStyle w:val="TextBody"/>
        <w:spacing w:before="240" w:after="0"/>
        <w:jc w:val="left"/>
        <w:rPr>
          <w:rFonts w:ascii="Times New Roman" w:hAnsi="Times New Roman"/>
          <w:sz w:val="20"/>
        </w:rPr>
      </w:pPr>
      <w:r>
        <w:rPr>
          <w:rFonts w:ascii="Times New Roman" w:hAnsi="Times New Roman"/>
          <w:sz w:val="20"/>
        </w:rPr>
        <w:t xml:space="preserve">In the event of death of the beneficiary during the exercise period of the French Options, the beneficiarys heirs will have a period of six (6) months following the date of death, to exercise the option. Upon expiry of this period the option will be null and void. </w:t>
      </w:r>
    </w:p>
    <w:p>
      <w:pPr>
        <w:pStyle w:val="TextBody"/>
        <w:spacing w:before="240" w:after="0"/>
        <w:jc w:val="left"/>
        <w:rPr>
          <w:rFonts w:ascii="Times New Roman" w:hAnsi="Times New Roman"/>
          <w:sz w:val="20"/>
        </w:rPr>
      </w:pPr>
      <w:r>
        <w:rPr>
          <w:rFonts w:ascii="Times New Roman" w:hAnsi="Times New Roman"/>
          <w:sz w:val="20"/>
        </w:rPr>
        <w:t xml:space="preserve">Moreover, at the time of the grant of French Options, the Board shall, if any of the Participant is an officer or director of the Company, either decide that such officer or director cannot sell the shares of Common Stock received upon Vesting or exercise of the French Options before the end of his or her functions, or determine the number of shares of Common Stock received upon Vesting of such French Options that such officer or director shall keep up to the end of his or her functions. </w:t>
      </w:r>
    </w:p>
    <w:p>
      <w:pPr>
        <w:pStyle w:val="TextBody"/>
        <w:spacing w:before="240" w:after="0"/>
        <w:jc w:val="left"/>
        <w:rPr>
          <w:rFonts w:ascii="Times New Roman" w:hAnsi="Times New Roman"/>
          <w:sz w:val="20"/>
        </w:rPr>
      </w:pPr>
      <w:r>
        <w:rPr>
          <w:rFonts w:ascii="Times New Roman" w:hAnsi="Times New Roman"/>
          <w:sz w:val="20"/>
        </w:rPr>
        <w:t xml:space="preserve">The shares acquired upon exercise of the French Options shall also be subject to certain transfer restrictions and other limitations including, without limitation, the provisions contained in the present Plan. </w:t>
      </w:r>
    </w:p>
    <w:p>
      <w:pPr>
        <w:pStyle w:val="TextBody"/>
        <w:spacing w:before="360" w:after="0"/>
        <w:jc w:val="left"/>
        <w:rPr>
          <w:rFonts w:ascii="Times New Roman" w:hAnsi="Times New Roman"/>
          <w:i/>
          <w:sz w:val="20"/>
        </w:rPr>
      </w:pPr>
      <w:r>
        <w:rPr>
          <w:rFonts w:ascii="Times New Roman" w:hAnsi="Times New Roman"/>
          <w:i/>
          <w:sz w:val="20"/>
        </w:rPr>
        <w:t xml:space="preserve">Article 5: Other Compliance with French Tax and Social Security Law </w:t>
      </w:r>
    </w:p>
    <w:p>
      <w:pPr>
        <w:pStyle w:val="TextBody"/>
        <w:spacing w:before="120" w:after="0"/>
        <w:jc w:val="left"/>
        <w:rPr>
          <w:rFonts w:ascii="Times New Roman" w:hAnsi="Times New Roman"/>
          <w:sz w:val="20"/>
        </w:rPr>
      </w:pPr>
      <w:r>
        <w:rPr>
          <w:rFonts w:ascii="Times New Roman" w:hAnsi="Times New Roman"/>
          <w:sz w:val="20"/>
        </w:rPr>
        <w:t xml:space="preserve">French Options granted under the SO French Sub-plan must also comply with any other requirements set forth by the French tax and social security law as interpreted and supplemented by the French tax and social security guidelines in effect at the date of grant of such options. </w:t>
      </w:r>
    </w:p>
    <w:p>
      <w:pPr>
        <w:pStyle w:val="TextBody"/>
        <w:spacing w:before="240" w:after="0"/>
        <w:jc w:val="left"/>
        <w:rPr>
          <w:rFonts w:ascii="Times New Roman" w:hAnsi="Times New Roman"/>
          <w:sz w:val="20"/>
        </w:rPr>
      </w:pPr>
      <w:r>
        <w:rPr>
          <w:rFonts w:ascii="Times New Roman" w:hAnsi="Times New Roman"/>
          <w:sz w:val="20"/>
        </w:rPr>
        <w:t xml:space="preserve">Except as the Company and Participant agree in writing, the Company shall not modify the terms of a French Award agreement (or this SO French Sub-plan) in such a manner as to cause the recipient to no longer benefit from the favorable tax and social contribution regimes provided by articles 80 quaterdecies and 200 A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the French Tax Code (</w:t>
      </w:r>
      <w:r>
        <w:rPr>
          <w:rFonts w:ascii="Times New Roman" w:hAnsi="Times New Roman"/>
          <w:i/>
          <w:sz w:val="20"/>
        </w:rPr>
        <w:t>Code Général des Impôts</w:t>
      </w:r>
      <w:r>
        <w:rPr>
          <w:rFonts w:ascii="Times New Roman" w:hAnsi="Times New Roman"/>
          <w:sz w:val="20"/>
        </w:rPr>
        <w:t>) and article L.242-1 and L.242-14 of the French Social Security Code (</w:t>
      </w:r>
      <w:r>
        <w:rPr>
          <w:rFonts w:ascii="Times New Roman" w:hAnsi="Times New Roman"/>
          <w:i/>
          <w:sz w:val="20"/>
        </w:rPr>
        <w:t>Code de la Sécurité Sociale</w:t>
      </w:r>
      <w:r>
        <w:rPr>
          <w:rFonts w:ascii="Times New Roman" w:hAnsi="Times New Roman"/>
          <w:sz w:val="20"/>
        </w:rPr>
        <w:t xml:space="preserve">) in connection with the grant and settlement of Award and the disposition of the shares received upon the Vesting pursuant to the Stock Option agreement, this SO French Sub-plan, and the Plan. </w:t>
      </w:r>
    </w:p>
    <w:p>
      <w:pPr>
        <w:pStyle w:val="TextBody"/>
        <w:spacing w:before="360" w:after="0"/>
        <w:jc w:val="left"/>
        <w:rPr>
          <w:rFonts w:ascii="Times New Roman" w:hAnsi="Times New Roman"/>
          <w:i/>
          <w:sz w:val="20"/>
        </w:rPr>
      </w:pPr>
      <w:r>
        <w:rPr>
          <w:rFonts w:ascii="Times New Roman" w:hAnsi="Times New Roman"/>
          <w:i/>
          <w:sz w:val="20"/>
        </w:rPr>
        <w:t xml:space="preserve">Article 6: No Rights as a Shareholder </w:t>
      </w:r>
    </w:p>
    <w:p>
      <w:pPr>
        <w:pStyle w:val="TextBody"/>
        <w:spacing w:before="120" w:after="0"/>
        <w:jc w:val="left"/>
        <w:rPr>
          <w:rFonts w:ascii="Times New Roman" w:hAnsi="Times New Roman"/>
          <w:sz w:val="20"/>
        </w:rPr>
      </w:pPr>
      <w:r>
        <w:rPr>
          <w:rFonts w:ascii="Times New Roman" w:hAnsi="Times New Roman"/>
          <w:sz w:val="20"/>
        </w:rPr>
        <w:t xml:space="preserve">The holder of a French Option shall not have any rights as a shareholder of the Company unless and until shares are issued to the holder with respect to the option. </w:t>
      </w:r>
    </w:p>
    <w:p>
      <w:pPr>
        <w:pStyle w:val="TextBody"/>
        <w:spacing w:before="360" w:after="0"/>
        <w:jc w:val="left"/>
        <w:rPr>
          <w:rFonts w:ascii="Times New Roman" w:hAnsi="Times New Roman"/>
          <w:i/>
          <w:sz w:val="20"/>
        </w:rPr>
      </w:pPr>
      <w:r>
        <w:rPr>
          <w:rFonts w:ascii="Times New Roman" w:hAnsi="Times New Roman"/>
          <w:i/>
          <w:sz w:val="20"/>
        </w:rPr>
        <w:t xml:space="preserve">Article 7: Amendment or Termination of the Plan </w:t>
      </w:r>
    </w:p>
    <w:p>
      <w:pPr>
        <w:pStyle w:val="TextBody"/>
        <w:spacing w:before="120" w:after="0"/>
        <w:jc w:val="left"/>
        <w:rPr>
          <w:rFonts w:ascii="Times New Roman" w:hAnsi="Times New Roman"/>
          <w:sz w:val="20"/>
        </w:rPr>
      </w:pPr>
      <w:r>
        <w:rPr>
          <w:rFonts w:ascii="Times New Roman" w:hAnsi="Times New Roman"/>
          <w:sz w:val="20"/>
        </w:rPr>
        <w:t xml:space="preserve">Subject to the terms of the Plan, the Board reserves the right to amend or terminate this SO French Sub-Plan at any time, without any retroactive effect. </w:t>
      </w:r>
    </w:p>
    <w:p>
      <w:pPr>
        <w:pStyle w:val="TextBody"/>
        <w:spacing w:before="360" w:after="0"/>
        <w:jc w:val="left"/>
        <w:rPr>
          <w:rFonts w:ascii="Times New Roman" w:hAnsi="Times New Roman"/>
          <w:i/>
          <w:sz w:val="20"/>
        </w:rPr>
      </w:pPr>
      <w:r>
        <w:rPr>
          <w:rFonts w:ascii="Times New Roman" w:hAnsi="Times New Roman"/>
          <w:i/>
          <w:sz w:val="20"/>
        </w:rPr>
        <w:t xml:space="preserve">Article 8: Data Protection </w:t>
      </w:r>
    </w:p>
    <w:p>
      <w:pPr>
        <w:pStyle w:val="TextBody"/>
        <w:spacing w:before="120" w:after="0"/>
        <w:jc w:val="left"/>
        <w:rPr>
          <w:rFonts w:ascii="Times New Roman" w:hAnsi="Times New Roman"/>
          <w:sz w:val="20"/>
        </w:rPr>
      </w:pPr>
      <w:r>
        <w:rPr>
          <w:rFonts w:ascii="Times New Roman" w:hAnsi="Times New Roman"/>
          <w:sz w:val="20"/>
        </w:rPr>
        <w:t xml:space="preserve">The Company will satisfy any notification, application or prior authorization required under applicable laws in order to comply with French and European Union data protection legislation or regulations, including but not limited to the Generation Data Protection Regulation (EU) 2016/679.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APPENDIX II </w:t>
      </w:r>
    </w:p>
    <w:p>
      <w:pPr>
        <w:pStyle w:val="TextBody"/>
        <w:spacing w:before="0" w:after="0"/>
        <w:jc w:val="center"/>
        <w:rPr>
          <w:rFonts w:ascii="Times New Roman" w:hAnsi="Times New Roman"/>
          <w:b/>
          <w:sz w:val="20"/>
        </w:rPr>
      </w:pPr>
      <w:r>
        <w:rPr>
          <w:rFonts w:ascii="Times New Roman" w:hAnsi="Times New Roman"/>
          <w:b/>
          <w:sz w:val="20"/>
        </w:rPr>
        <w:t xml:space="preserve">Amended and Restated 2023 Equity Incentive Plan </w:t>
      </w:r>
    </w:p>
    <w:p>
      <w:pPr>
        <w:pStyle w:val="TextBody"/>
        <w:spacing w:before="0" w:after="0"/>
        <w:jc w:val="center"/>
        <w:rPr>
          <w:rFonts w:ascii="Times New Roman" w:hAnsi="Times New Roman"/>
          <w:b/>
          <w:sz w:val="20"/>
        </w:rPr>
      </w:pPr>
      <w:r>
        <w:rPr>
          <w:rFonts w:ascii="Times New Roman" w:hAnsi="Times New Roman"/>
          <w:b/>
          <w:sz w:val="20"/>
        </w:rPr>
        <w:t xml:space="preserve">Restricted Stock UnitsSub-Plan for French Residents </w:t>
      </w:r>
    </w:p>
    <w:p>
      <w:pPr>
        <w:pStyle w:val="TextBody"/>
        <w:spacing w:before="120" w:after="0"/>
        <w:jc w:val="left"/>
        <w:rPr>
          <w:rFonts w:ascii="Times New Roman" w:hAnsi="Times New Roman"/>
          <w:sz w:val="20"/>
        </w:rPr>
      </w:pPr>
      <w:r>
        <w:rPr>
          <w:rFonts w:ascii="Times New Roman" w:hAnsi="Times New Roman"/>
          <w:sz w:val="20"/>
        </w:rPr>
        <w:t xml:space="preserve">Restricted Stock Units granted under this French Sub-plan (also referred to as the RSU French Sub-Plan) to an employee who is a French resident taxpayer and/or subject to the French social security scheme in France shall comply with the terms of this RSU French Sub-plan. The purpose of the RSU French Sub-plan is to grant Restricted Stock Units that qualify for favorable income tax and social security tax treatment under French law. </w:t>
      </w:r>
    </w:p>
    <w:p>
      <w:pPr>
        <w:pStyle w:val="TextBody"/>
        <w:spacing w:before="240" w:after="0"/>
        <w:jc w:val="left"/>
        <w:rPr>
          <w:rFonts w:ascii="Times New Roman" w:hAnsi="Times New Roman"/>
          <w:sz w:val="20"/>
        </w:rPr>
      </w:pPr>
      <w:r>
        <w:rPr>
          <w:rFonts w:ascii="Times New Roman" w:hAnsi="Times New Roman"/>
          <w:sz w:val="20"/>
        </w:rPr>
        <w:t xml:space="preserve">As a matter of principle, any provision included in the Plan or any other document evidencing the terms and conditions of the Plan that would contravene any substantive principle set out in Articles L.225-197-1 to L.225-197-6 of the French Code de Commerce shall not be applicable to Participant who are residents of France and employed or providing services in France. </w:t>
      </w:r>
    </w:p>
    <w:p>
      <w:pPr>
        <w:pStyle w:val="TextBody"/>
        <w:spacing w:before="240" w:after="0"/>
        <w:jc w:val="left"/>
        <w:rPr>
          <w:rFonts w:ascii="Times New Roman" w:hAnsi="Times New Roman"/>
          <w:sz w:val="20"/>
        </w:rPr>
      </w:pPr>
      <w:r>
        <w:rPr>
          <w:rFonts w:ascii="Times New Roman" w:hAnsi="Times New Roman"/>
          <w:sz w:val="20"/>
        </w:rPr>
        <w:t>Provided that he or she complies with the provisions of the RSU French Sub-Plan, Participants will benefit from the favorable tax and social contribution regimes provided by articles 80 quaterdecies and 200 A of the French Tax Code (</w:t>
      </w:r>
      <w:r>
        <w:rPr>
          <w:rFonts w:ascii="Times New Roman" w:hAnsi="Times New Roman"/>
          <w:i/>
          <w:sz w:val="20"/>
        </w:rPr>
        <w:t>Code Général des Impôts</w:t>
      </w:r>
      <w:r>
        <w:rPr>
          <w:rFonts w:ascii="Times New Roman" w:hAnsi="Times New Roman"/>
          <w:sz w:val="20"/>
        </w:rPr>
        <w:t>) and article L.242-1 of the French Social Security Code (</w:t>
      </w:r>
      <w:r>
        <w:rPr>
          <w:rFonts w:ascii="Times New Roman" w:hAnsi="Times New Roman"/>
          <w:i/>
          <w:sz w:val="20"/>
        </w:rPr>
        <w:t>Code de la Sécurité Sociale</w:t>
      </w:r>
      <w:r>
        <w:rPr>
          <w:rFonts w:ascii="Times New Roman" w:hAnsi="Times New Roman"/>
          <w:sz w:val="20"/>
        </w:rPr>
        <w:t xml:space="preserve">) in connection with the grant and settlement of Restricted Stock Units and the disposition of the shares received upon Vesting of the Restricted Stock Units pursuant to the Plan. </w:t>
      </w:r>
    </w:p>
    <w:p>
      <w:pPr>
        <w:pStyle w:val="TextBody"/>
        <w:spacing w:before="360" w:after="0"/>
        <w:jc w:val="left"/>
        <w:rPr>
          <w:rFonts w:ascii="Times New Roman" w:hAnsi="Times New Roman"/>
          <w:i/>
          <w:sz w:val="20"/>
        </w:rPr>
      </w:pPr>
      <w:r>
        <w:rPr>
          <w:rFonts w:ascii="Times New Roman" w:hAnsi="Times New Roman"/>
          <w:i/>
          <w:sz w:val="20"/>
        </w:rPr>
        <w:t xml:space="preserve">Article 1: Definitions </w:t>
      </w:r>
    </w:p>
    <w:p>
      <w:pPr>
        <w:pStyle w:val="TextBody"/>
        <w:spacing w:before="120" w:after="0"/>
        <w:jc w:val="left"/>
        <w:rPr>
          <w:rFonts w:ascii="Times New Roman" w:hAnsi="Times New Roman"/>
          <w:sz w:val="20"/>
        </w:rPr>
      </w:pPr>
      <w:r>
        <w:rPr>
          <w:rFonts w:ascii="Times New Roman" w:hAnsi="Times New Roman"/>
          <w:sz w:val="20"/>
        </w:rPr>
        <w:t xml:space="preserve">The following terms shall have the following meanings for purposes of this RSU French Sub-plan: </w:t>
      </w:r>
    </w:p>
    <w:p>
      <w:pPr>
        <w:pStyle w:val="TextBody"/>
        <w:spacing w:before="240" w:after="0"/>
        <w:jc w:val="left"/>
        <w:rPr>
          <w:rFonts w:ascii="Times New Roman" w:hAnsi="Times New Roman"/>
          <w:sz w:val="20"/>
        </w:rPr>
      </w:pPr>
      <w:r>
        <w:rPr>
          <w:rFonts w:ascii="Times New Roman" w:hAnsi="Times New Roman"/>
          <w:sz w:val="20"/>
        </w:rPr>
        <w:t xml:space="preserve">French Award or Award means, individually or collectively, any Award granted under this RSU French Sub-Plan to Participant who are French resident taxpayers and/or subject to the French social security scheme in France. </w:t>
      </w:r>
    </w:p>
    <w:p>
      <w:pPr>
        <w:pStyle w:val="TextBody"/>
        <w:spacing w:before="240" w:after="0"/>
        <w:jc w:val="left"/>
        <w:rPr>
          <w:rFonts w:ascii="Times New Roman" w:hAnsi="Times New Roman"/>
          <w:sz w:val="20"/>
        </w:rPr>
      </w:pPr>
      <w:r>
        <w:rPr>
          <w:rFonts w:ascii="Times New Roman" w:hAnsi="Times New Roman"/>
          <w:sz w:val="20"/>
        </w:rPr>
        <w:t>Disability means a physical or mental condition corresponding to the classification in the second or third categories laid down in Article L. 341-4 of the French Social Security Code (</w:t>
      </w:r>
      <w:r>
        <w:rPr>
          <w:rFonts w:ascii="Times New Roman" w:hAnsi="Times New Roman"/>
          <w:i/>
          <w:sz w:val="20"/>
        </w:rPr>
        <w:t>Code de la Sécurité Sociale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Grant Date means the date on which the Committee both (i) designates the Participant, and (ii) specifies the material terms and conditions of the Award including the number of Shares subject to each Award, the method for determining the exercise price of the Award (if any), the conditions for the vesting Award, the conditions for exercising the Award and any restrictions on the transfer or sale of the Shares subject to each Award. </w:t>
      </w:r>
    </w:p>
    <w:p>
      <w:pPr>
        <w:pStyle w:val="TextBody"/>
        <w:spacing w:before="240" w:after="0"/>
        <w:jc w:val="left"/>
        <w:rPr>
          <w:rFonts w:ascii="Times New Roman" w:hAnsi="Times New Roman"/>
          <w:sz w:val="20"/>
        </w:rPr>
      </w:pPr>
      <w:r>
        <w:rPr>
          <w:rFonts w:ascii="Times New Roman" w:hAnsi="Times New Roman"/>
          <w:sz w:val="20"/>
        </w:rPr>
        <w:t xml:space="preserve">Vesting Period means, with respect to any French Award, the vesting period described in Section 4 below. </w:t>
      </w:r>
    </w:p>
    <w:p>
      <w:pPr>
        <w:pStyle w:val="TextBody"/>
        <w:spacing w:before="240" w:after="0"/>
        <w:jc w:val="left"/>
        <w:rPr>
          <w:rFonts w:ascii="Times New Roman" w:hAnsi="Times New Roman"/>
          <w:sz w:val="20"/>
        </w:rPr>
      </w:pPr>
      <w:r>
        <w:rPr>
          <w:rFonts w:ascii="Times New Roman" w:hAnsi="Times New Roman"/>
          <w:sz w:val="20"/>
        </w:rPr>
        <w:t xml:space="preserve">Holding Period means, with respect to any French Award, the holding period described in Section 5 below </w:t>
      </w:r>
    </w:p>
    <w:p>
      <w:pPr>
        <w:pStyle w:val="TextBody"/>
        <w:spacing w:before="360" w:after="0"/>
        <w:jc w:val="left"/>
        <w:rPr>
          <w:rFonts w:ascii="Times New Roman" w:hAnsi="Times New Roman"/>
          <w:i/>
          <w:sz w:val="20"/>
        </w:rPr>
      </w:pPr>
      <w:r>
        <w:rPr>
          <w:rFonts w:ascii="Times New Roman" w:hAnsi="Times New Roman"/>
          <w:i/>
          <w:sz w:val="20"/>
        </w:rPr>
        <w:t xml:space="preserve">Article 2: Eligibility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10"/>
        <w:gridCol w:w="9287"/>
      </w:tblGrid>
      <w:tr>
        <w:trPr/>
        <w:tc>
          <w:tcPr>
            <w:tcW w:w="408"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(a)</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Subject to Sections 2(b), 2(c) and 3 below, the following persons shall be eligible to receive Awards, provided that he or she also satisfies the eligibility conditions of the Plan: any Participant who, on the Grant Date and to the extent required under French law, is (1) employed under the terms and conditions of an employment contract (contrat de travail) with a French Entity or (2) while the Shares are traded on a regulated exchange market, a corporate officer having a management function in the French Entity, as specified under the French Commercial Code.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Awards may not be granted to corporate officers (as specified under the French Commercial Code) of a French Entity, other than the chairman of the board of directors (président du conseil dadministration),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6"/>
        <w:gridCol w:w="9289"/>
      </w:tblGrid>
      <w:tr>
        <w:trPr/>
        <w:tc>
          <w:tcPr>
            <w:tcW w:w="916" w:type="dxa"/>
            <w:tcBorders/>
            <w:shd w:fill="auto" w:val="clear"/>
            <w:vAlign w:val="center"/>
          </w:tcPr>
          <w:p>
            <w:pPr>
              <w:pStyle w:val="TableContents"/>
              <w:spacing w:before="0" w:after="283"/>
              <w:rPr/>
            </w:pPr>
            <w:r>
              <w:rPr/>
              <w:t> </w:t>
            </w:r>
          </w:p>
        </w:tc>
        <w:tc>
          <w:tcPr>
            <w:tcW w:w="9289" w:type="dxa"/>
            <w:tcBorders/>
            <w:shd w:fill="auto" w:val="clear"/>
          </w:tcPr>
          <w:p>
            <w:pPr>
              <w:pStyle w:val="TableContents"/>
              <w:spacing w:before="0" w:after="283"/>
              <w:jc w:val="left"/>
              <w:rPr/>
            </w:pPr>
            <w:r>
              <w:rPr/>
              <w:t xml:space="preserve">the chief executive officer (directeur général), the deputy chief executive officer (directeur général délégué), the members of the management board (membres du directoire) and the manager of a joint-stock company (gérant dune société par actions), unless the officer is employed under the terms and conditions of an employment contract (contrat de travail) with a French Entity, as defined by French law.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(c)</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French Award under the RSU French Sub-plan may be granted only to a Participant who is a French resident taxpayer and/or subject to the French social security scheme in France. </w:t>
            </w:r>
          </w:p>
        </w:tc>
      </w:tr>
    </w:tbl>
    <w:p>
      <w:pPr>
        <w:pStyle w:val="TextBody"/>
        <w:spacing w:before="360" w:after="0"/>
        <w:jc w:val="left"/>
        <w:rPr>
          <w:rFonts w:ascii="Times New Roman" w:hAnsi="Times New Roman"/>
          <w:i/>
          <w:sz w:val="20"/>
        </w:rPr>
      </w:pPr>
      <w:r>
        <w:rPr>
          <w:rFonts w:ascii="Times New Roman" w:hAnsi="Times New Roman"/>
          <w:i/>
          <w:sz w:val="20"/>
        </w:rPr>
        <w:t xml:space="preserve">Article 3: Limitations on Grant under the RSU French Sub-Plan </w:t>
      </w:r>
    </w:p>
    <w:p>
      <w:pPr>
        <w:pStyle w:val="TextBody"/>
        <w:spacing w:before="240" w:after="0"/>
        <w:jc w:val="left"/>
        <w:rPr>
          <w:rFonts w:ascii="Times New Roman" w:hAnsi="Times New Roman"/>
          <w:sz w:val="20"/>
        </w:rPr>
      </w:pPr>
      <w:r>
        <w:rPr>
          <w:rFonts w:ascii="Times New Roman" w:hAnsi="Times New Roman"/>
          <w:sz w:val="20"/>
        </w:rPr>
        <w:t xml:space="preserve">French Awards may not be granted to a Participant who holds more than 10% of the Companys outstanding shares at the date of grant or a Participant who would hold more than 10% of the Companys outstanding shares following the French Award grant. </w:t>
      </w:r>
    </w:p>
    <w:p>
      <w:pPr>
        <w:pStyle w:val="TextBody"/>
        <w:spacing w:before="240" w:after="0"/>
        <w:jc w:val="left"/>
        <w:rPr>
          <w:rFonts w:ascii="Times New Roman" w:hAnsi="Times New Roman"/>
          <w:sz w:val="20"/>
        </w:rPr>
      </w:pPr>
      <w:r>
        <w:rPr>
          <w:rFonts w:ascii="Times New Roman" w:hAnsi="Times New Roman"/>
          <w:sz w:val="20"/>
        </w:rPr>
        <w:t xml:space="preserve">Any share of Common Stock granted in violation of this rule shall not be deemed to have been granted. Settlement of French Awards shall only be in shares; there shall be no settlement of French Awards in cash. </w:t>
      </w:r>
    </w:p>
    <w:p>
      <w:pPr>
        <w:pStyle w:val="TextBody"/>
        <w:spacing w:before="240" w:after="0"/>
        <w:jc w:val="left"/>
        <w:rPr>
          <w:rFonts w:ascii="Times New Roman" w:hAnsi="Times New Roman"/>
          <w:sz w:val="20"/>
        </w:rPr>
      </w:pPr>
      <w:r>
        <w:rPr>
          <w:rFonts w:ascii="Times New Roman" w:hAnsi="Times New Roman"/>
          <w:sz w:val="20"/>
        </w:rPr>
        <w:t xml:space="preserve">The aggregate number of shares underlying the Awards will not exceed 10% of the Companys share capital. </w:t>
      </w:r>
    </w:p>
    <w:p>
      <w:pPr>
        <w:pStyle w:val="TextBody"/>
        <w:spacing w:before="360" w:after="0"/>
        <w:jc w:val="left"/>
        <w:rPr>
          <w:rFonts w:ascii="Times New Roman" w:hAnsi="Times New Roman"/>
          <w:i/>
          <w:sz w:val="20"/>
        </w:rPr>
      </w:pPr>
      <w:r>
        <w:rPr>
          <w:rFonts w:ascii="Times New Roman" w:hAnsi="Times New Roman"/>
          <w:i/>
          <w:sz w:val="20"/>
        </w:rPr>
        <w:t xml:space="preserve">Article 4: Vesting Period </w:t>
      </w:r>
    </w:p>
    <w:p>
      <w:pPr>
        <w:pStyle w:val="TextBody"/>
        <w:spacing w:before="120" w:after="0"/>
        <w:jc w:val="left"/>
        <w:rPr>
          <w:rFonts w:ascii="Times New Roman" w:hAnsi="Times New Roman"/>
          <w:sz w:val="20"/>
        </w:rPr>
      </w:pPr>
      <w:r>
        <w:rPr>
          <w:rFonts w:ascii="Times New Roman" w:hAnsi="Times New Roman"/>
          <w:sz w:val="20"/>
        </w:rPr>
        <w:t xml:space="preserve">Except in the case of the death or Disability of the Participant, no portion of any French Award may Vest (whether such Vesting results from the achievement of one or more goals relating to the completion of service by the French Award holder and/or the achievement of performance or other objectives) until at least the first anniversary of the date of grant of such French Award. </w:t>
      </w:r>
    </w:p>
    <w:p>
      <w:pPr>
        <w:pStyle w:val="TextBody"/>
        <w:spacing w:before="240" w:after="0"/>
        <w:jc w:val="left"/>
        <w:rPr>
          <w:rFonts w:ascii="Times New Roman" w:hAnsi="Times New Roman"/>
          <w:sz w:val="20"/>
        </w:rPr>
      </w:pPr>
      <w:r>
        <w:rPr>
          <w:rFonts w:ascii="Times New Roman" w:hAnsi="Times New Roman"/>
          <w:sz w:val="20"/>
        </w:rPr>
        <w:t xml:space="preserve">The holder of a French Award shall be 100% Vested in such French Award in the event his or her Employment is terminated by reason of death or Disability, provided, however, that if the Vesting of such French Award is based, at least in part, on performance conditions, the acceleration, if any, of such performance-based Vesting upon such death of Disability shall be determined as set forth in the applicable award agreement. In the event of death or Disability, the remaining shares subject to the Award that have not been issued as of the date the Award holders service relationship with the Company (and its subsidiaries) so terminates will be issued to the holder or, in the case of death, his or her heirs upon their request as provided under applicable law. In such event (either death or Disability), the Company shall issue the shares within six months of such termination, and the Holding Period, if any, will not apply to such shares, but the blackout restrictions on sale described in Section 6 will continue to apply. </w:t>
      </w:r>
    </w:p>
    <w:p>
      <w:pPr>
        <w:pStyle w:val="TextBody"/>
        <w:spacing w:before="360" w:after="0"/>
        <w:jc w:val="left"/>
        <w:rPr>
          <w:rFonts w:ascii="Times New Roman" w:hAnsi="Times New Roman"/>
          <w:i/>
          <w:sz w:val="20"/>
        </w:rPr>
      </w:pPr>
      <w:r>
        <w:rPr>
          <w:rFonts w:ascii="Times New Roman" w:hAnsi="Times New Roman"/>
          <w:i/>
          <w:sz w:val="20"/>
        </w:rPr>
        <w:t xml:space="preserve">Article 5: Holding Period </w:t>
      </w:r>
    </w:p>
    <w:p>
      <w:pPr>
        <w:pStyle w:val="TextBody"/>
        <w:spacing w:before="120" w:after="0"/>
        <w:jc w:val="left"/>
        <w:rPr>
          <w:rFonts w:ascii="Times New Roman" w:hAnsi="Times New Roman"/>
          <w:sz w:val="20"/>
        </w:rPr>
      </w:pPr>
      <w:r>
        <w:rPr>
          <w:rFonts w:ascii="Times New Roman" w:hAnsi="Times New Roman"/>
          <w:sz w:val="20"/>
        </w:rPr>
        <w:t xml:space="preserve">With respect to each French Award, if the Vesting Period is shorter than two years, there shall be a one-year period following each Vesting date applicable to such French Award so that the cumulated Vesting Period and Holding Period will be at least equal to two years. </w:t>
      </w:r>
    </w:p>
    <w:p>
      <w:pPr>
        <w:pStyle w:val="TextBody"/>
        <w:spacing w:before="240" w:after="0"/>
        <w:jc w:val="left"/>
        <w:rPr>
          <w:rFonts w:ascii="Times New Roman" w:hAnsi="Times New Roman"/>
          <w:sz w:val="20"/>
        </w:rPr>
      </w:pPr>
      <w:r>
        <w:rPr>
          <w:rFonts w:ascii="Times New Roman" w:hAnsi="Times New Roman"/>
          <w:sz w:val="20"/>
        </w:rPr>
        <w:t xml:space="preserve">During the Holding Period the Participant issued such French Award may not sell or loan any shares issued upon the Vesting. </w:t>
      </w:r>
    </w:p>
    <w:p>
      <w:pPr>
        <w:pStyle w:val="TextBody"/>
        <w:spacing w:before="360" w:after="0"/>
        <w:jc w:val="left"/>
        <w:rPr>
          <w:rFonts w:ascii="Times New Roman" w:hAnsi="Times New Roman"/>
          <w:i/>
          <w:sz w:val="20"/>
        </w:rPr>
      </w:pPr>
      <w:r>
        <w:rPr>
          <w:rFonts w:ascii="Times New Roman" w:hAnsi="Times New Roman"/>
          <w:i/>
          <w:sz w:val="20"/>
        </w:rPr>
        <w:t xml:space="preserve">Article 6: Restrictions on SaleBlack Out Periods </w:t>
      </w:r>
    </w:p>
    <w:p>
      <w:pPr>
        <w:pStyle w:val="TextBody"/>
        <w:spacing w:before="120" w:after="0"/>
        <w:jc w:val="left"/>
        <w:rPr>
          <w:rFonts w:ascii="Times New Roman" w:hAnsi="Times New Roman"/>
          <w:sz w:val="20"/>
        </w:rPr>
      </w:pPr>
      <w:r>
        <w:rPr>
          <w:rFonts w:ascii="Times New Roman" w:hAnsi="Times New Roman"/>
          <w:sz w:val="20"/>
        </w:rPr>
        <w:t xml:space="preserve">Following the expiration of the Vesting and/or Holding Periods described Sections 4 and 5, shares of Common Stock issued may not be sold: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(a)</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during the ten existing blackout periods established by the Company, which are hereby made applicable to all French Awards;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(b)</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during the ten stock exchange trading days preceding and following the date on which the Companys consolidated accounts are made public, or failing that, the annual accounts are published;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(c)</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between (i) the date on which the Companys management bodies have knowledge of information which, if made public, could have a significant impact on the share price of the Common Stock; and (ii) ten stock exchange trading days following the date on which this information is published;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(d)</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the Participant has nonpublic material information about the Company and such sale would violate any applicable securities laws of the United States of America or France. </w:t>
            </w:r>
          </w:p>
        </w:tc>
      </w:tr>
    </w:tbl>
    <w:p>
      <w:pPr>
        <w:pStyle w:val="TextBody"/>
        <w:spacing w:before="360" w:after="0"/>
        <w:jc w:val="left"/>
        <w:rPr>
          <w:rFonts w:ascii="Times New Roman" w:hAnsi="Times New Roman"/>
          <w:i/>
          <w:sz w:val="20"/>
        </w:rPr>
      </w:pPr>
      <w:r>
        <w:rPr>
          <w:rFonts w:ascii="Times New Roman" w:hAnsi="Times New Roman"/>
          <w:i/>
          <w:sz w:val="20"/>
        </w:rPr>
        <w:t xml:space="preserve">Article 7: Restrictions on Sale for Officers and Directors </w:t>
      </w:r>
    </w:p>
    <w:p>
      <w:pPr>
        <w:pStyle w:val="TextBody"/>
        <w:spacing w:before="120" w:after="0"/>
        <w:jc w:val="left"/>
        <w:rPr>
          <w:rFonts w:ascii="Times New Roman" w:hAnsi="Times New Roman"/>
          <w:sz w:val="20"/>
        </w:rPr>
      </w:pPr>
      <w:r>
        <w:rPr>
          <w:rFonts w:ascii="Times New Roman" w:hAnsi="Times New Roman"/>
          <w:sz w:val="20"/>
        </w:rPr>
        <w:t xml:space="preserve">At the time of the grant of French Awards, the Committee shall, if any of the Participants is an officer or director of the Company, either decide that such officer or director cannot sell the shares of Common Stock received upon Vesting or exercise of the French Award before the end of his or her functions, or determine the number of shares of Common Stock received upon Vesting of such French Award that such officer or director shall keep up to the end of his or her functions. </w:t>
      </w:r>
    </w:p>
    <w:p>
      <w:pPr>
        <w:pStyle w:val="TextBody"/>
        <w:spacing w:before="360" w:after="0"/>
        <w:jc w:val="left"/>
        <w:rPr>
          <w:rFonts w:ascii="Times New Roman" w:hAnsi="Times New Roman"/>
          <w:i/>
          <w:sz w:val="20"/>
        </w:rPr>
      </w:pPr>
      <w:r>
        <w:rPr>
          <w:rFonts w:ascii="Times New Roman" w:hAnsi="Times New Roman"/>
          <w:i/>
          <w:sz w:val="20"/>
        </w:rPr>
        <w:t xml:space="preserve">Article 8: Restrictions on Transfer </w:t>
      </w:r>
    </w:p>
    <w:p>
      <w:pPr>
        <w:pStyle w:val="TextBody"/>
        <w:spacing w:before="240" w:after="0"/>
        <w:jc w:val="left"/>
        <w:rPr>
          <w:rFonts w:ascii="Times New Roman" w:hAnsi="Times New Roman"/>
          <w:sz w:val="20"/>
        </w:rPr>
      </w:pPr>
      <w:r>
        <w:rPr>
          <w:rFonts w:ascii="Times New Roman" w:hAnsi="Times New Roman"/>
          <w:sz w:val="20"/>
        </w:rPr>
        <w:t xml:space="preserve">Shares of Common Stock subject to French Awards may not be transferred, assigned, pledged or hypothecated in any manner until they have Vested in accordance with this RSU French Sub-plan. </w:t>
      </w:r>
    </w:p>
    <w:p>
      <w:pPr>
        <w:pStyle w:val="TextBody"/>
        <w:spacing w:before="240" w:after="0"/>
        <w:jc w:val="left"/>
        <w:rPr>
          <w:rFonts w:ascii="Times New Roman" w:hAnsi="Times New Roman"/>
          <w:sz w:val="20"/>
        </w:rPr>
      </w:pPr>
      <w:r>
        <w:rPr>
          <w:rFonts w:ascii="Times New Roman" w:hAnsi="Times New Roman"/>
          <w:sz w:val="20"/>
        </w:rPr>
        <w:t xml:space="preserve">Rights granted under the RSU French Sub-plan shall not be transferable by the recipient of such grants other than by will or by the laws of descent and distribution. </w:t>
      </w:r>
    </w:p>
    <w:p>
      <w:pPr>
        <w:pStyle w:val="TextBody"/>
        <w:spacing w:before="360" w:after="0"/>
        <w:jc w:val="left"/>
        <w:rPr>
          <w:rFonts w:ascii="Times New Roman" w:hAnsi="Times New Roman"/>
          <w:i/>
          <w:sz w:val="20"/>
        </w:rPr>
      </w:pPr>
      <w:r>
        <w:rPr>
          <w:rFonts w:ascii="Times New Roman" w:hAnsi="Times New Roman"/>
          <w:i/>
          <w:sz w:val="20"/>
        </w:rPr>
        <w:t xml:space="preserve">Article 9: Other Compliance with French Tax and Social Security Law </w:t>
      </w:r>
    </w:p>
    <w:p>
      <w:pPr>
        <w:pStyle w:val="TextBody"/>
        <w:spacing w:before="120" w:after="0"/>
        <w:jc w:val="left"/>
        <w:rPr>
          <w:rFonts w:ascii="Times New Roman" w:hAnsi="Times New Roman"/>
          <w:sz w:val="20"/>
        </w:rPr>
      </w:pPr>
      <w:r>
        <w:rPr>
          <w:rFonts w:ascii="Times New Roman" w:hAnsi="Times New Roman"/>
          <w:sz w:val="20"/>
        </w:rPr>
        <w:t xml:space="preserve">French Awards granted under the RSU French Sub-plan must also comply with any other requirements set forth by the French tax and social security law as interpreted and supplemented by the French tax and social security guidelines in effect at the date of grant of such Awards. </w:t>
      </w:r>
    </w:p>
    <w:p>
      <w:pPr>
        <w:pStyle w:val="TextBody"/>
        <w:spacing w:before="240" w:after="0"/>
        <w:jc w:val="left"/>
        <w:rPr>
          <w:rFonts w:ascii="Times New Roman" w:hAnsi="Times New Roman"/>
          <w:sz w:val="20"/>
        </w:rPr>
      </w:pPr>
      <w:r>
        <w:rPr>
          <w:rFonts w:ascii="Times New Roman" w:hAnsi="Times New Roman"/>
          <w:sz w:val="20"/>
        </w:rPr>
        <w:t>Except as the Company and Participant agree in writing, the Company shall not modify the terms of a French Award agreement (or this RSU French Sub-plan) in such a manner as to cause the recipient to no longer benefit from the favorable tax and social contribution regimes provided by articles 80 quaterdecies and 200 A of the French Tax Code (</w:t>
      </w:r>
      <w:r>
        <w:rPr>
          <w:rFonts w:ascii="Times New Roman" w:hAnsi="Times New Roman"/>
          <w:i/>
          <w:sz w:val="20"/>
        </w:rPr>
        <w:t>Code Général des Impôts</w:t>
      </w:r>
      <w:r>
        <w:rPr>
          <w:rFonts w:ascii="Times New Roman" w:hAnsi="Times New Roman"/>
          <w:sz w:val="20"/>
        </w:rPr>
        <w:t>) and article L.242-1 and L.242-14 of the French Social Security Code (</w:t>
      </w:r>
      <w:r>
        <w:rPr>
          <w:rFonts w:ascii="Times New Roman" w:hAnsi="Times New Roman"/>
          <w:i/>
          <w:sz w:val="20"/>
        </w:rPr>
        <w:t>Code de la Sécurité Sociale</w:t>
      </w:r>
      <w:r>
        <w:rPr>
          <w:rFonts w:ascii="Times New Roman" w:hAnsi="Times New Roman"/>
          <w:sz w:val="20"/>
        </w:rPr>
        <w:t xml:space="preserve">) in connection with the grant and settlement of Award and the disposition of the shares received upon the Vesting pursuant to the Award agreement, this RSU French Sub-plan, and the Plan. </w:t>
      </w:r>
    </w:p>
    <w:p>
      <w:pPr>
        <w:pStyle w:val="TextBody"/>
        <w:spacing w:before="360" w:after="0"/>
        <w:jc w:val="left"/>
        <w:rPr>
          <w:rFonts w:ascii="Times New Roman" w:hAnsi="Times New Roman"/>
          <w:i/>
          <w:sz w:val="20"/>
        </w:rPr>
      </w:pPr>
      <w:r>
        <w:rPr>
          <w:rFonts w:ascii="Times New Roman" w:hAnsi="Times New Roman"/>
          <w:i/>
          <w:sz w:val="20"/>
        </w:rPr>
        <w:t xml:space="preserve">Article 10: No Rights as a Shareholder </w:t>
      </w:r>
    </w:p>
    <w:p>
      <w:pPr>
        <w:pStyle w:val="TextBody"/>
        <w:spacing w:before="120" w:after="0"/>
        <w:jc w:val="left"/>
        <w:rPr>
          <w:rFonts w:ascii="Times New Roman" w:hAnsi="Times New Roman"/>
          <w:sz w:val="20"/>
        </w:rPr>
      </w:pPr>
      <w:r>
        <w:rPr>
          <w:rFonts w:ascii="Times New Roman" w:hAnsi="Times New Roman"/>
          <w:sz w:val="20"/>
        </w:rPr>
        <w:t xml:space="preserve">The holder of a French Award shall not have any rights as a shareholder of the Company unless and until shares are issued to the holder with respect to the Award. </w:t>
      </w:r>
    </w:p>
    <w:p>
      <w:pPr>
        <w:pStyle w:val="TextBody"/>
        <w:spacing w:before="360" w:after="0"/>
        <w:jc w:val="left"/>
        <w:rPr>
          <w:rFonts w:ascii="Times New Roman" w:hAnsi="Times New Roman"/>
          <w:i/>
          <w:sz w:val="20"/>
        </w:rPr>
      </w:pPr>
      <w:r>
        <w:rPr>
          <w:rFonts w:ascii="Times New Roman" w:hAnsi="Times New Roman"/>
          <w:i/>
          <w:sz w:val="20"/>
        </w:rPr>
        <w:t xml:space="preserve">Article 11: Amendment or Termination of the Plan </w:t>
      </w:r>
    </w:p>
    <w:p>
      <w:pPr>
        <w:pStyle w:val="TextBody"/>
        <w:spacing w:before="120" w:after="0"/>
        <w:jc w:val="left"/>
        <w:rPr>
          <w:rFonts w:ascii="Times New Roman" w:hAnsi="Times New Roman"/>
          <w:sz w:val="20"/>
        </w:rPr>
      </w:pPr>
      <w:r>
        <w:rPr>
          <w:rFonts w:ascii="Times New Roman" w:hAnsi="Times New Roman"/>
          <w:sz w:val="20"/>
        </w:rPr>
        <w:t xml:space="preserve">Subject to the terms of the Plan, the Committee reserves the right to amend or terminate this RSU French Sub-Plan at any time, without any retroactive effect. </w:t>
      </w:r>
    </w:p>
    <w:p>
      <w:pPr>
        <w:pStyle w:val="TextBody"/>
        <w:spacing w:before="360" w:after="0"/>
        <w:jc w:val="left"/>
        <w:rPr>
          <w:rFonts w:ascii="Times New Roman" w:hAnsi="Times New Roman"/>
          <w:i/>
          <w:sz w:val="20"/>
        </w:rPr>
      </w:pPr>
      <w:r>
        <w:rPr>
          <w:rFonts w:ascii="Times New Roman" w:hAnsi="Times New Roman"/>
          <w:i/>
          <w:sz w:val="20"/>
        </w:rPr>
        <w:t xml:space="preserve">Article 12: Modification of the Share Capital </w:t>
      </w:r>
    </w:p>
    <w:p>
      <w:pPr>
        <w:pStyle w:val="TextBody"/>
        <w:spacing w:before="120" w:after="0"/>
        <w:jc w:val="left"/>
        <w:rPr>
          <w:rFonts w:ascii="Times New Roman" w:hAnsi="Times New Roman"/>
          <w:sz w:val="20"/>
        </w:rPr>
      </w:pPr>
      <w:r>
        <w:rPr>
          <w:rFonts w:ascii="Times New Roman" w:hAnsi="Times New Roman"/>
          <w:sz w:val="20"/>
        </w:rPr>
        <w:t xml:space="preserve">If the share capital of the Company is modified during the Vesting or Holding Periods, the Awards may be adjusted in order for this change to be neutral for the Participants, provided that such adjustment has the sole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purpose and consequence of preserving the rights of the Participants and that additional shares which could be issued as a result remain subject to the same requirements (including the Vesting Period and the Holding Period requirement) as those applying to the original Award. </w:t>
      </w:r>
    </w:p>
    <w:p>
      <w:pPr>
        <w:pStyle w:val="TextBody"/>
        <w:spacing w:before="360" w:after="0"/>
        <w:jc w:val="left"/>
        <w:rPr>
          <w:rFonts w:ascii="Times New Roman" w:hAnsi="Times New Roman"/>
          <w:i/>
          <w:sz w:val="20"/>
        </w:rPr>
      </w:pPr>
      <w:r>
        <w:rPr>
          <w:rFonts w:ascii="Times New Roman" w:hAnsi="Times New Roman"/>
          <w:i/>
          <w:sz w:val="20"/>
        </w:rPr>
        <w:t xml:space="preserve">Article 13: Data Protection </w:t>
      </w:r>
    </w:p>
    <w:p>
      <w:pPr>
        <w:pStyle w:val="TextBody"/>
        <w:spacing w:before="120" w:after="0"/>
        <w:jc w:val="left"/>
        <w:rPr>
          <w:rFonts w:ascii="Times New Roman" w:hAnsi="Times New Roman"/>
          <w:sz w:val="20"/>
        </w:rPr>
      </w:pPr>
      <w:r>
        <w:rPr>
          <w:rFonts w:ascii="Times New Roman" w:hAnsi="Times New Roman"/>
          <w:sz w:val="20"/>
        </w:rPr>
        <w:t xml:space="preserve">The Company will satisfy any notification, application or prior authorization required under applicable laws in order to comply with French and European Union data protection legislation or regulations, including but not limited to the Generation Data Protection Regulation (EU) 2016/679.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jc w:val="left"/>
        <w:rPr/>
      </w:pPr>
      <w:r>
        <w:rPr/>
        <w:t>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3766820"/>
                <wp:effectExtent l="0" t="0" r="0" b="0"/>
                <wp:wrapSquare wrapText="largest"/>
                <wp:docPr id="19" name="Frame2"/>
                <a:graphic xmlns:a="http://schemas.openxmlformats.org/drawingml/2006/main">
                  <a:graphicData uri="http://schemas.microsoft.com/office/word/2010/wordprocessingShape">
                    <wps:wsp>
                      <wps:cNvSpPr txBox="1"/>
                      <wps:spPr>
                        <a:xfrm>
                          <a:off x="0" y="0"/>
                          <a:ext cx="3175000" cy="3766820"/>
                        </a:xfrm>
                        <a:prstGeom prst="rect"/>
                      </wps:spPr>
                      <wps:txbx>
                        <w:txbxContent>
                          <w:p>
                            <w:pPr>
                              <w:pStyle w:val="TextBody"/>
                              <w:spacing w:before="0" w:after="0"/>
                              <w:rPr/>
                            </w:pPr>
                            <w:r>
                              <w:rPr/>
                              <w:t> </w:t>
                            </w:r>
                          </w:p>
                          <w:p>
                            <w:pPr>
                              <w:pStyle w:val="TextBody"/>
                              <w:spacing w:before="0" w:after="0"/>
                              <w:jc w:val="both"/>
                              <w:rPr/>
                            </w:pPr>
                            <w:r>
                              <w:rPr/>
                              <w:drawing>
                                <wp:inline distT="0" distB="0" distL="0" distR="0">
                                  <wp:extent cx="2428875" cy="647700"/>
                                  <wp:effectExtent l="0" t="0" r="0" b="0"/>
                                  <wp:docPr id="2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9" descr=""/>
                                          <pic:cNvPicPr>
                                            <a:picLocks noChangeAspect="1" noChangeArrowheads="1"/>
                                          </pic:cNvPicPr>
                                        </pic:nvPicPr>
                                        <pic:blipFill>
                                          <a:blip r:embed="rId20"/>
                                          <a:stretch>
                                            <a:fillRect/>
                                          </a:stretch>
                                        </pic:blipFill>
                                        <pic:spPr bwMode="auto">
                                          <a:xfrm>
                                            <a:off x="0" y="0"/>
                                            <a:ext cx="2428875" cy="647700"/>
                                          </a:xfrm>
                                          <a:prstGeom prst="rect">
                                            <a:avLst/>
                                          </a:prstGeom>
                                        </pic:spPr>
                                      </pic:pic>
                                    </a:graphicData>
                                  </a:graphic>
                                </wp:inline>
                              </w:drawing>
                            </w:r>
                            <w:r>
                              <w:rPr/>
                              <w:t xml:space="preserve"> </w:t>
                            </w:r>
                          </w:p>
                          <w:p>
                            <w:pPr>
                              <w:pStyle w:val="TextBody"/>
                              <w:spacing w:before="120" w:after="0"/>
                              <w:jc w:val="both"/>
                              <w:rPr>
                                <w:rFonts w:ascii="Times New Roman" w:hAnsi="Times New Roman"/>
                                <w:b/>
                                <w:sz w:val="16"/>
                              </w:rPr>
                            </w:pPr>
                            <w:r>
                              <w:rPr>
                                <w:rFonts w:ascii="Times New Roman" w:hAnsi="Times New Roman"/>
                                <w:b/>
                                <w:sz w:val="16"/>
                              </w:rPr>
                              <w:t xml:space="preserve">VOTE BY INTERNET </w:t>
                            </w:r>
                          </w:p>
                          <w:p>
                            <w:pPr>
                              <w:pStyle w:val="TextBody"/>
                              <w:spacing w:before="0" w:after="0"/>
                              <w:jc w:val="both"/>
                              <w:rPr>
                                <w:rFonts w:ascii="Times New Roman" w:hAnsi="Times New Roman"/>
                                <w:sz w:val="16"/>
                              </w:rPr>
                            </w:pPr>
                            <w:r>
                              <w:rPr>
                                <w:rFonts w:ascii="Times New Roman" w:hAnsi="Times New Roman"/>
                                <w:i/>
                                <w:sz w:val="16"/>
                              </w:rPr>
                              <w:t xml:space="preserve">Before The Meeting </w:t>
                            </w:r>
                            <w:r>
                              <w:rPr>
                                <w:rFonts w:ascii="Times New Roman" w:hAnsi="Times New Roman"/>
                                <w:sz w:val="16"/>
                              </w:rPr>
                              <w:t xml:space="preserve">- Go to </w:t>
                            </w:r>
                            <w:r>
                              <w:rPr>
                                <w:rFonts w:ascii="Times New Roman" w:hAnsi="Times New Roman"/>
                                <w:b/>
                                <w:sz w:val="16"/>
                                <w:u w:val="single"/>
                              </w:rPr>
                              <w:t>www.proxyvote.com</w:t>
                            </w:r>
                            <w:r>
                              <w:rPr>
                                <w:rFonts w:ascii="Times New Roman" w:hAnsi="Times New Roman"/>
                                <w:sz w:val="16"/>
                              </w:rPr>
                              <w:t xml:space="preserve"> </w:t>
                            </w:r>
                            <w:r>
                              <w:rPr>
                                <w:rFonts w:ascii="Times New Roman" w:hAnsi="Times New Roman"/>
                                <w:b/>
                                <w:sz w:val="16"/>
                              </w:rPr>
                              <w:t>or scan the QR Barcode above</w:t>
                            </w:r>
                            <w:r>
                              <w:rPr>
                                <w:rFonts w:ascii="Times New Roman" w:hAnsi="Times New Roman"/>
                                <w:sz w:val="16"/>
                              </w:rPr>
                              <w:t xml:space="preserve"> </w:t>
                            </w:r>
                          </w:p>
                          <w:p>
                            <w:pPr>
                              <w:pStyle w:val="TextBody"/>
                              <w:spacing w:before="120" w:after="0"/>
                              <w:jc w:val="both"/>
                              <w:rPr>
                                <w:rFonts w:ascii="Times New Roman" w:hAnsi="Times New Roman"/>
                                <w:sz w:val="16"/>
                              </w:rPr>
                            </w:pPr>
                            <w:r>
                              <w:rPr>
                                <w:rFonts w:ascii="Times New Roman" w:hAnsi="Times New Roman"/>
                                <w:sz w:val="16"/>
                              </w:rPr>
                              <w:t xml:space="preserve">Use the Internet to transmit your voting instructions and for electronic delivery of information Vote by 11:59 p.m. Eastern Time on June 14, 2023. Have your proxy card in hand when you access the web site and follow the instructions to obtain your records and to create an electronic voting instruction form. </w:t>
                            </w:r>
                          </w:p>
                          <w:p>
                            <w:pPr>
                              <w:pStyle w:val="TextBody"/>
                              <w:spacing w:before="120" w:after="0"/>
                              <w:jc w:val="both"/>
                              <w:rPr>
                                <w:rFonts w:ascii="Times New Roman" w:hAnsi="Times New Roman"/>
                                <w:sz w:val="16"/>
                              </w:rPr>
                            </w:pPr>
                            <w:r>
                              <w:rPr>
                                <w:rFonts w:ascii="Times New Roman" w:hAnsi="Times New Roman"/>
                                <w:i/>
                                <w:sz w:val="16"/>
                              </w:rPr>
                              <w:t xml:space="preserve">During The Meeting </w:t>
                            </w:r>
                            <w:r>
                              <w:rPr>
                                <w:rFonts w:ascii="Times New Roman" w:hAnsi="Times New Roman"/>
                                <w:sz w:val="16"/>
                              </w:rPr>
                              <w:t xml:space="preserve">- Go to </w:t>
                            </w:r>
                            <w:r>
                              <w:rPr>
                                <w:rFonts w:ascii="Times New Roman" w:hAnsi="Times New Roman"/>
                                <w:b/>
                                <w:sz w:val="16"/>
                                <w:u w:val="single"/>
                              </w:rPr>
                              <w:t>www.virtualshareholdermeeting.com/TPST2023</w:t>
                            </w:r>
                            <w:r>
                              <w:rPr>
                                <w:rFonts w:ascii="Times New Roman" w:hAnsi="Times New Roman"/>
                                <w:sz w:val="16"/>
                              </w:rPr>
                              <w:t xml:space="preserve"> </w:t>
                            </w:r>
                          </w:p>
                          <w:p>
                            <w:pPr>
                              <w:pStyle w:val="TextBody"/>
                              <w:spacing w:before="120" w:after="0"/>
                              <w:jc w:val="both"/>
                              <w:rPr>
                                <w:rFonts w:ascii="Times New Roman" w:hAnsi="Times New Roman"/>
                                <w:sz w:val="16"/>
                              </w:rPr>
                            </w:pPr>
                            <w:r>
                              <w:rPr>
                                <w:rFonts w:ascii="Times New Roman" w:hAnsi="Times New Roman"/>
                                <w:sz w:val="16"/>
                              </w:rPr>
                              <w:t xml:space="preserve">You may attend the meeting via the Internet and vote during the meeting. Have the information that is printed in the box marked by the arrow available and follow the instructions. </w:t>
                            </w:r>
                          </w:p>
                          <w:p>
                            <w:pPr>
                              <w:pStyle w:val="TextBody"/>
                              <w:spacing w:before="120" w:after="0"/>
                              <w:jc w:val="both"/>
                              <w:rPr>
                                <w:rFonts w:ascii="Times New Roman" w:hAnsi="Times New Roman"/>
                                <w:b/>
                                <w:sz w:val="16"/>
                              </w:rPr>
                            </w:pPr>
                            <w:r>
                              <w:rPr>
                                <w:rFonts w:ascii="Times New Roman" w:hAnsi="Times New Roman"/>
                                <w:b/>
                                <w:sz w:val="16"/>
                              </w:rPr>
                              <w:t xml:space="preserve">VOTE BY PHONE - 1-800-690-6903 </w:t>
                            </w:r>
                          </w:p>
                          <w:p>
                            <w:pPr>
                              <w:pStyle w:val="TextBody"/>
                              <w:spacing w:before="0" w:after="0"/>
                              <w:jc w:val="both"/>
                              <w:rPr>
                                <w:rFonts w:ascii="Times New Roman" w:hAnsi="Times New Roman"/>
                                <w:sz w:val="16"/>
                              </w:rPr>
                            </w:pPr>
                            <w:r>
                              <w:rPr>
                                <w:rFonts w:ascii="Times New Roman" w:hAnsi="Times New Roman"/>
                                <w:sz w:val="16"/>
                              </w:rPr>
                              <w:t xml:space="preserve">Use any touch-tone telephone to transmit your voting instructions. Vote by 11:59 p.m. Eastern Time on June 14, 2023. Have your proxy card in hand when you call and then follow the instructions. </w:t>
                            </w:r>
                          </w:p>
                          <w:p>
                            <w:pPr>
                              <w:pStyle w:val="TextBody"/>
                              <w:spacing w:before="120" w:after="0"/>
                              <w:jc w:val="both"/>
                              <w:rPr>
                                <w:rFonts w:ascii="Times New Roman" w:hAnsi="Times New Roman"/>
                                <w:b/>
                                <w:sz w:val="16"/>
                              </w:rPr>
                            </w:pPr>
                            <w:r>
                              <w:rPr>
                                <w:rFonts w:ascii="Times New Roman" w:hAnsi="Times New Roman"/>
                                <w:b/>
                                <w:sz w:val="16"/>
                              </w:rPr>
                              <w:t xml:space="preserve">VOTE BY MAIL </w:t>
                            </w:r>
                          </w:p>
                          <w:p>
                            <w:pPr>
                              <w:pStyle w:val="TextBody"/>
                              <w:spacing w:before="0" w:after="0"/>
                              <w:jc w:val="both"/>
                              <w:rPr>
                                <w:rFonts w:ascii="Times New Roman" w:hAnsi="Times New Roman"/>
                                <w:sz w:val="16"/>
                              </w:rPr>
                            </w:pPr>
                            <w:r>
                              <w:rPr>
                                <w:rFonts w:ascii="Times New Roman" w:hAnsi="Times New Roman"/>
                                <w:sz w:val="16"/>
                              </w:rPr>
                              <w:t xml:space="preserve">Mark, sign and date your proxy card and return it in the postage-paid envelope we have provided or return it to Vote Processing, c/o Broadridge, 51 Mercedes Way, Edgewood, NY 11717.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96.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pPr>
                      <w:r>
                        <w:rPr/>
                        <w:t> </w:t>
                      </w:r>
                    </w:p>
                    <w:p>
                      <w:pPr>
                        <w:pStyle w:val="TextBody"/>
                        <w:spacing w:before="0" w:after="0"/>
                        <w:jc w:val="both"/>
                        <w:rPr/>
                      </w:pPr>
                      <w:r>
                        <w:rPr/>
                        <w:drawing>
                          <wp:inline distT="0" distB="0" distL="0" distR="0">
                            <wp:extent cx="2428875" cy="647700"/>
                            <wp:effectExtent l="0" t="0" r="0" b="0"/>
                            <wp:docPr id="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 descr=""/>
                                    <pic:cNvPicPr>
                                      <a:picLocks noChangeAspect="1" noChangeArrowheads="1"/>
                                    </pic:cNvPicPr>
                                  </pic:nvPicPr>
                                  <pic:blipFill>
                                    <a:blip r:embed="rId20"/>
                                    <a:stretch>
                                      <a:fillRect/>
                                    </a:stretch>
                                  </pic:blipFill>
                                  <pic:spPr bwMode="auto">
                                    <a:xfrm>
                                      <a:off x="0" y="0"/>
                                      <a:ext cx="2428875" cy="647700"/>
                                    </a:xfrm>
                                    <a:prstGeom prst="rect">
                                      <a:avLst/>
                                    </a:prstGeom>
                                  </pic:spPr>
                                </pic:pic>
                              </a:graphicData>
                            </a:graphic>
                          </wp:inline>
                        </w:drawing>
                      </w:r>
                      <w:r>
                        <w:rPr/>
                        <w:t xml:space="preserve"> </w:t>
                      </w:r>
                    </w:p>
                    <w:p>
                      <w:pPr>
                        <w:pStyle w:val="TextBody"/>
                        <w:spacing w:before="120" w:after="0"/>
                        <w:jc w:val="both"/>
                        <w:rPr>
                          <w:rFonts w:ascii="Times New Roman" w:hAnsi="Times New Roman"/>
                          <w:b/>
                          <w:sz w:val="16"/>
                        </w:rPr>
                      </w:pPr>
                      <w:r>
                        <w:rPr>
                          <w:rFonts w:ascii="Times New Roman" w:hAnsi="Times New Roman"/>
                          <w:b/>
                          <w:sz w:val="16"/>
                        </w:rPr>
                        <w:t xml:space="preserve">VOTE BY INTERNET </w:t>
                      </w:r>
                    </w:p>
                    <w:p>
                      <w:pPr>
                        <w:pStyle w:val="TextBody"/>
                        <w:spacing w:before="0" w:after="0"/>
                        <w:jc w:val="both"/>
                        <w:rPr>
                          <w:rFonts w:ascii="Times New Roman" w:hAnsi="Times New Roman"/>
                          <w:sz w:val="16"/>
                        </w:rPr>
                      </w:pPr>
                      <w:r>
                        <w:rPr>
                          <w:rFonts w:ascii="Times New Roman" w:hAnsi="Times New Roman"/>
                          <w:i/>
                          <w:sz w:val="16"/>
                        </w:rPr>
                        <w:t xml:space="preserve">Before The Meeting </w:t>
                      </w:r>
                      <w:r>
                        <w:rPr>
                          <w:rFonts w:ascii="Times New Roman" w:hAnsi="Times New Roman"/>
                          <w:sz w:val="16"/>
                        </w:rPr>
                        <w:t xml:space="preserve">- Go to </w:t>
                      </w:r>
                      <w:r>
                        <w:rPr>
                          <w:rFonts w:ascii="Times New Roman" w:hAnsi="Times New Roman"/>
                          <w:b/>
                          <w:sz w:val="16"/>
                          <w:u w:val="single"/>
                        </w:rPr>
                        <w:t>www.proxyvote.com</w:t>
                      </w:r>
                      <w:r>
                        <w:rPr>
                          <w:rFonts w:ascii="Times New Roman" w:hAnsi="Times New Roman"/>
                          <w:sz w:val="16"/>
                        </w:rPr>
                        <w:t xml:space="preserve"> </w:t>
                      </w:r>
                      <w:r>
                        <w:rPr>
                          <w:rFonts w:ascii="Times New Roman" w:hAnsi="Times New Roman"/>
                          <w:b/>
                          <w:sz w:val="16"/>
                        </w:rPr>
                        <w:t>or scan the QR Barcode above</w:t>
                      </w:r>
                      <w:r>
                        <w:rPr>
                          <w:rFonts w:ascii="Times New Roman" w:hAnsi="Times New Roman"/>
                          <w:sz w:val="16"/>
                        </w:rPr>
                        <w:t xml:space="preserve"> </w:t>
                      </w:r>
                    </w:p>
                    <w:p>
                      <w:pPr>
                        <w:pStyle w:val="TextBody"/>
                        <w:spacing w:before="120" w:after="0"/>
                        <w:jc w:val="both"/>
                        <w:rPr>
                          <w:rFonts w:ascii="Times New Roman" w:hAnsi="Times New Roman"/>
                          <w:sz w:val="16"/>
                        </w:rPr>
                      </w:pPr>
                      <w:r>
                        <w:rPr>
                          <w:rFonts w:ascii="Times New Roman" w:hAnsi="Times New Roman"/>
                          <w:sz w:val="16"/>
                        </w:rPr>
                        <w:t xml:space="preserve">Use the Internet to transmit your voting instructions and for electronic delivery of information Vote by 11:59 p.m. Eastern Time on June 14, 2023. Have your proxy card in hand when you access the web site and follow the instructions to obtain your records and to create an electronic voting instruction form. </w:t>
                      </w:r>
                    </w:p>
                    <w:p>
                      <w:pPr>
                        <w:pStyle w:val="TextBody"/>
                        <w:spacing w:before="120" w:after="0"/>
                        <w:jc w:val="both"/>
                        <w:rPr>
                          <w:rFonts w:ascii="Times New Roman" w:hAnsi="Times New Roman"/>
                          <w:sz w:val="16"/>
                        </w:rPr>
                      </w:pPr>
                      <w:r>
                        <w:rPr>
                          <w:rFonts w:ascii="Times New Roman" w:hAnsi="Times New Roman"/>
                          <w:i/>
                          <w:sz w:val="16"/>
                        </w:rPr>
                        <w:t xml:space="preserve">During The Meeting </w:t>
                      </w:r>
                      <w:r>
                        <w:rPr>
                          <w:rFonts w:ascii="Times New Roman" w:hAnsi="Times New Roman"/>
                          <w:sz w:val="16"/>
                        </w:rPr>
                        <w:t xml:space="preserve">- Go to </w:t>
                      </w:r>
                      <w:r>
                        <w:rPr>
                          <w:rFonts w:ascii="Times New Roman" w:hAnsi="Times New Roman"/>
                          <w:b/>
                          <w:sz w:val="16"/>
                          <w:u w:val="single"/>
                        </w:rPr>
                        <w:t>www.virtualshareholdermeeting.com/TPST2023</w:t>
                      </w:r>
                      <w:r>
                        <w:rPr>
                          <w:rFonts w:ascii="Times New Roman" w:hAnsi="Times New Roman"/>
                          <w:sz w:val="16"/>
                        </w:rPr>
                        <w:t xml:space="preserve"> </w:t>
                      </w:r>
                    </w:p>
                    <w:p>
                      <w:pPr>
                        <w:pStyle w:val="TextBody"/>
                        <w:spacing w:before="120" w:after="0"/>
                        <w:jc w:val="both"/>
                        <w:rPr>
                          <w:rFonts w:ascii="Times New Roman" w:hAnsi="Times New Roman"/>
                          <w:sz w:val="16"/>
                        </w:rPr>
                      </w:pPr>
                      <w:r>
                        <w:rPr>
                          <w:rFonts w:ascii="Times New Roman" w:hAnsi="Times New Roman"/>
                          <w:sz w:val="16"/>
                        </w:rPr>
                        <w:t xml:space="preserve">You may attend the meeting via the Internet and vote during the meeting. Have the information that is printed in the box marked by the arrow available and follow the instructions. </w:t>
                      </w:r>
                    </w:p>
                    <w:p>
                      <w:pPr>
                        <w:pStyle w:val="TextBody"/>
                        <w:spacing w:before="120" w:after="0"/>
                        <w:jc w:val="both"/>
                        <w:rPr>
                          <w:rFonts w:ascii="Times New Roman" w:hAnsi="Times New Roman"/>
                          <w:b/>
                          <w:sz w:val="16"/>
                        </w:rPr>
                      </w:pPr>
                      <w:r>
                        <w:rPr>
                          <w:rFonts w:ascii="Times New Roman" w:hAnsi="Times New Roman"/>
                          <w:b/>
                          <w:sz w:val="16"/>
                        </w:rPr>
                        <w:t xml:space="preserve">VOTE BY PHONE - 1-800-690-6903 </w:t>
                      </w:r>
                    </w:p>
                    <w:p>
                      <w:pPr>
                        <w:pStyle w:val="TextBody"/>
                        <w:spacing w:before="0" w:after="0"/>
                        <w:jc w:val="both"/>
                        <w:rPr>
                          <w:rFonts w:ascii="Times New Roman" w:hAnsi="Times New Roman"/>
                          <w:sz w:val="16"/>
                        </w:rPr>
                      </w:pPr>
                      <w:r>
                        <w:rPr>
                          <w:rFonts w:ascii="Times New Roman" w:hAnsi="Times New Roman"/>
                          <w:sz w:val="16"/>
                        </w:rPr>
                        <w:t xml:space="preserve">Use any touch-tone telephone to transmit your voting instructions. Vote by 11:59 p.m. Eastern Time on June 14, 2023. Have your proxy card in hand when you call and then follow the instructions. </w:t>
                      </w:r>
                    </w:p>
                    <w:p>
                      <w:pPr>
                        <w:pStyle w:val="TextBody"/>
                        <w:spacing w:before="120" w:after="0"/>
                        <w:jc w:val="both"/>
                        <w:rPr>
                          <w:rFonts w:ascii="Times New Roman" w:hAnsi="Times New Roman"/>
                          <w:b/>
                          <w:sz w:val="16"/>
                        </w:rPr>
                      </w:pPr>
                      <w:r>
                        <w:rPr>
                          <w:rFonts w:ascii="Times New Roman" w:hAnsi="Times New Roman"/>
                          <w:b/>
                          <w:sz w:val="16"/>
                        </w:rPr>
                        <w:t xml:space="preserve">VOTE BY MAIL </w:t>
                      </w:r>
                    </w:p>
                    <w:p>
                      <w:pPr>
                        <w:pStyle w:val="TextBody"/>
                        <w:spacing w:before="0" w:after="0"/>
                        <w:jc w:val="both"/>
                        <w:rPr>
                          <w:rFonts w:ascii="Times New Roman" w:hAnsi="Times New Roman"/>
                          <w:sz w:val="16"/>
                        </w:rPr>
                      </w:pPr>
                      <w:r>
                        <w:rPr>
                          <w:rFonts w:ascii="Times New Roman" w:hAnsi="Times New Roman"/>
                          <w:sz w:val="16"/>
                        </w:rPr>
                        <w:t xml:space="preserve">Mark, sign and date your proxy card and return it in the postage-paid envelope we have provided or return it to Vote Processing, c/o Broadridge, 51 Mercedes Way, Edgewood, NY 11717. </w:t>
                      </w:r>
                    </w:p>
                  </w:txbxContent>
                </v:textbox>
                <w10:wrap type="square" side="right"/>
              </v:rect>
            </w:pict>
          </mc:Fallback>
        </mc:AlternateConten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3110230" cy="1076960"/>
                <wp:effectExtent l="0" t="0" r="0" b="0"/>
                <wp:wrapSquare wrapText="largest"/>
                <wp:docPr id="22" name="Frame1"/>
                <a:graphic xmlns:a="http://schemas.openxmlformats.org/drawingml/2006/main">
                  <a:graphicData uri="http://schemas.microsoft.com/office/word/2010/wordprocessingShape">
                    <wps:wsp>
                      <wps:cNvSpPr txBox="1"/>
                      <wps:spPr>
                        <a:xfrm>
                          <a:off x="0" y="0"/>
                          <a:ext cx="3110230" cy="1076960"/>
                        </a:xfrm>
                        <a:prstGeom prst="rect"/>
                      </wps:spPr>
                      <wps:txbx>
                        <w:txbxContent>
                          <w:p>
                            <w:pPr>
                              <w:pStyle w:val="TextBody"/>
                              <w:spacing w:before="960" w:after="0"/>
                              <w:rPr>
                                <w:rFonts w:ascii="Times New Roman" w:hAnsi="Times New Roman"/>
                                <w:i/>
                                <w:sz w:val="16"/>
                              </w:rPr>
                            </w:pPr>
                            <w:r>
                              <w:rPr>
                                <w:rFonts w:ascii="Times New Roman" w:hAnsi="Times New Roman"/>
                                <w:i/>
                                <w:sz w:val="16"/>
                              </w:rPr>
                              <w:t xml:space="preserve">TEMPEST THERAPEUTICS, INC. </w:t>
                            </w:r>
                          </w:p>
                          <w:p>
                            <w:pPr>
                              <w:pStyle w:val="TextBody"/>
                              <w:spacing w:before="0" w:after="0"/>
                              <w:rPr>
                                <w:rFonts w:ascii="Times New Roman" w:hAnsi="Times New Roman"/>
                                <w:i/>
                                <w:sz w:val="16"/>
                              </w:rPr>
                            </w:pPr>
                            <w:r>
                              <w:rPr>
                                <w:rFonts w:ascii="Times New Roman" w:hAnsi="Times New Roman"/>
                                <w:i/>
                                <w:sz w:val="16"/>
                              </w:rPr>
                              <w:t xml:space="preserve">2000 SIERRA POINT PARKWAY </w:t>
                            </w:r>
                          </w:p>
                          <w:p>
                            <w:pPr>
                              <w:pStyle w:val="TextBody"/>
                              <w:spacing w:before="0" w:after="0"/>
                              <w:rPr>
                                <w:rFonts w:ascii="Times New Roman" w:hAnsi="Times New Roman"/>
                                <w:i/>
                                <w:sz w:val="16"/>
                              </w:rPr>
                            </w:pPr>
                            <w:r>
                              <w:rPr>
                                <w:rFonts w:ascii="Times New Roman" w:hAnsi="Times New Roman"/>
                                <w:i/>
                                <w:sz w:val="16"/>
                              </w:rPr>
                              <w:t xml:space="preserve">SUITE 400 </w:t>
                            </w:r>
                          </w:p>
                          <w:p>
                            <w:pPr>
                              <w:pStyle w:val="TextBody"/>
                              <w:spacing w:before="0" w:after="0"/>
                              <w:rPr>
                                <w:rFonts w:ascii="Times New Roman" w:hAnsi="Times New Roman"/>
                                <w:i/>
                                <w:sz w:val="16"/>
                              </w:rPr>
                            </w:pPr>
                            <w:r>
                              <w:rPr>
                                <w:rFonts w:ascii="Times New Roman" w:hAnsi="Times New Roman"/>
                                <w:i/>
                                <w:sz w:val="16"/>
                              </w:rPr>
                              <w:t xml:space="preserve">BRISBANE, CALIFORNIA 94080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84.8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spacing w:before="960" w:after="0"/>
                        <w:rPr>
                          <w:rFonts w:ascii="Times New Roman" w:hAnsi="Times New Roman"/>
                          <w:i/>
                          <w:sz w:val="16"/>
                        </w:rPr>
                      </w:pPr>
                      <w:r>
                        <w:rPr>
                          <w:rFonts w:ascii="Times New Roman" w:hAnsi="Times New Roman"/>
                          <w:i/>
                          <w:sz w:val="16"/>
                        </w:rPr>
                        <w:t xml:space="preserve">TEMPEST THERAPEUTICS, INC. </w:t>
                      </w:r>
                    </w:p>
                    <w:p>
                      <w:pPr>
                        <w:pStyle w:val="TextBody"/>
                        <w:spacing w:before="0" w:after="0"/>
                        <w:rPr>
                          <w:rFonts w:ascii="Times New Roman" w:hAnsi="Times New Roman"/>
                          <w:i/>
                          <w:sz w:val="16"/>
                        </w:rPr>
                      </w:pPr>
                      <w:r>
                        <w:rPr>
                          <w:rFonts w:ascii="Times New Roman" w:hAnsi="Times New Roman"/>
                          <w:i/>
                          <w:sz w:val="16"/>
                        </w:rPr>
                        <w:t xml:space="preserve">2000 SIERRA POINT PARKWAY </w:t>
                      </w:r>
                    </w:p>
                    <w:p>
                      <w:pPr>
                        <w:pStyle w:val="TextBody"/>
                        <w:spacing w:before="0" w:after="0"/>
                        <w:rPr>
                          <w:rFonts w:ascii="Times New Roman" w:hAnsi="Times New Roman"/>
                          <w:i/>
                          <w:sz w:val="16"/>
                        </w:rPr>
                      </w:pPr>
                      <w:r>
                        <w:rPr>
                          <w:rFonts w:ascii="Times New Roman" w:hAnsi="Times New Roman"/>
                          <w:i/>
                          <w:sz w:val="16"/>
                        </w:rPr>
                        <w:t xml:space="preserve">SUITE 400 </w:t>
                      </w:r>
                    </w:p>
                    <w:p>
                      <w:pPr>
                        <w:pStyle w:val="TextBody"/>
                        <w:spacing w:before="0" w:after="0"/>
                        <w:rPr>
                          <w:rFonts w:ascii="Times New Roman" w:hAnsi="Times New Roman"/>
                          <w:i/>
                          <w:sz w:val="16"/>
                        </w:rPr>
                      </w:pPr>
                      <w:r>
                        <w:rPr>
                          <w:rFonts w:ascii="Times New Roman" w:hAnsi="Times New Roman"/>
                          <w:i/>
                          <w:sz w:val="16"/>
                        </w:rPr>
                        <w:t xml:space="preserve">BRISBANE, CALIFORNIA 94080 </w:t>
                      </w:r>
                    </w:p>
                  </w:txbxContent>
                </v:textbox>
                <w10:wrap type="square" side="right"/>
              </v:rect>
            </w:pict>
          </mc:Fallback>
        </mc:AlternateContent>
      </w:r>
    </w:p>
    <w:p>
      <w:pPr>
        <w:pStyle w:val="TextBody"/>
        <w:spacing w:before="0" w:after="0"/>
        <w:jc w:val="left"/>
        <w:rPr/>
      </w:pPr>
      <w:r>
        <w:rPr/>
        <w:t> </w:t>
      </w:r>
    </w:p>
    <w:p>
      <w:pPr>
        <w:pStyle w:val="TextBody"/>
        <w:spacing w:before="1200" w:after="0"/>
        <w:jc w:val="left"/>
        <w:rPr/>
      </w:pPr>
      <w:r>
        <w:rPr/>
        <w:t>  </w:t>
      </w:r>
      <w:r>
        <w:rPr>
          <w:rFonts w:ascii="Times New Roman" w:hAnsi="Times New Roman"/>
          <w:sz w:val="16"/>
        </w:rPr>
        <w:t xml:space="preserve">TO VOTE, MARK BLOCKS BELOW IN BLUE OR BLACK INK AS FOLLOWS: </w:t>
      </w:r>
    </w:p>
    <w:p>
      <w:pPr>
        <w:pStyle w:val="TextBody"/>
        <w:spacing w:before="0" w:after="0"/>
        <w:jc w:val="right"/>
        <w:rPr>
          <w:rFonts w:ascii="Times New Roman" w:hAnsi="Times New Roman"/>
          <w:sz w:val="14"/>
        </w:rPr>
      </w:pPr>
      <w:r>
        <w:rPr>
          <w:rFonts w:ascii="Times New Roman" w:hAnsi="Times New Roman"/>
          <w:sz w:val="14"/>
        </w:rPr>
        <w:t xml:space="preserve">V14934-P90816                                 KEEP THIS PORTION FOR YOUR RECORDS </w:t>
      </w:r>
    </w:p>
    <w:p>
      <w:pPr>
        <w:pStyle w:val="TextBody"/>
        <w:spacing w:before="0" w:after="0"/>
        <w:jc w:val="left"/>
        <w:rPr/>
      </w:pPr>
      <w:r>
        <w:rPr/>
        <w:t>  </w:t>
      </w:r>
      <w:r>
        <w:rPr>
          <w:rFonts w:ascii="Times New Roman" w:hAnsi="Times New Roman"/>
          <w:sz w:val="20"/>
        </w:rPr>
        <w:t xml:space="preserve">                                                    </w:t>
      </w:r>
    </w:p>
    <w:p>
      <w:pPr>
        <w:pStyle w:val="TextBody"/>
        <w:spacing w:before="0" w:after="0"/>
        <w:jc w:val="right"/>
        <w:rPr>
          <w:rFonts w:ascii="Times New Roman" w:hAnsi="Times New Roman"/>
          <w:sz w:val="16"/>
        </w:rPr>
      </w:pPr>
      <w:r>
        <w:rPr>
          <w:rFonts w:ascii="Times New Roman" w:hAnsi="Times New Roman"/>
          <w:sz w:val="16"/>
        </w:rPr>
        <w:t xml:space="preserve">DETACH AND RETURN THIS PORTION ONLY </w:t>
      </w:r>
    </w:p>
    <w:p>
      <w:pPr>
        <w:pStyle w:val="TextBody"/>
        <w:spacing w:before="0" w:after="0"/>
        <w:jc w:val="center"/>
        <w:rPr>
          <w:rFonts w:ascii="Times New Roman" w:hAnsi="Times New Roman"/>
          <w:b/>
          <w:sz w:val="20"/>
        </w:rPr>
      </w:pPr>
      <w:r>
        <w:rPr>
          <w:rFonts w:ascii="Times New Roman" w:hAnsi="Times New Roman"/>
          <w:b/>
          <w:sz w:val="20"/>
        </w:rPr>
        <w:t xml:space="preserve">THIS  PROXY  CARD  IS  VALID  ONLY  WHEN  SIGNED  AND   DATED.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36"/>
        <w:gridCol w:w="139"/>
        <w:gridCol w:w="476"/>
        <w:gridCol w:w="610"/>
        <w:gridCol w:w="144"/>
        <w:gridCol w:w="386"/>
        <w:gridCol w:w="2165"/>
        <w:gridCol w:w="82"/>
        <w:gridCol w:w="502"/>
        <w:gridCol w:w="82"/>
        <w:gridCol w:w="1087"/>
        <w:gridCol w:w="82"/>
        <w:gridCol w:w="60"/>
        <w:gridCol w:w="139"/>
        <w:gridCol w:w="744"/>
        <w:gridCol w:w="60"/>
        <w:gridCol w:w="583"/>
        <w:gridCol w:w="82"/>
        <w:gridCol w:w="428"/>
        <w:gridCol w:w="82"/>
        <w:gridCol w:w="176"/>
        <w:gridCol w:w="152"/>
        <w:gridCol w:w="586"/>
        <w:gridCol w:w="81"/>
        <w:gridCol w:w="724"/>
        <w:gridCol w:w="102"/>
        <w:gridCol w:w="115"/>
      </w:tblGrid>
      <w:tr>
        <w:trPr/>
        <w:tc>
          <w:tcPr>
            <w:tcW w:w="336" w:type="dxa"/>
            <w:tcBorders/>
            <w:shd w:fill="auto" w:val="clear"/>
            <w:vAlign w:val="center"/>
          </w:tcPr>
          <w:p>
            <w:pPr>
              <w:pStyle w:val="TableContents"/>
              <w:spacing w:before="0" w:after="283"/>
              <w:rPr>
                <w:sz w:val="4"/>
                <w:szCs w:val="4"/>
              </w:rPr>
            </w:pPr>
            <w:r>
              <w:rPr>
                <w:sz w:val="4"/>
                <w:szCs w:val="4"/>
              </w:rPr>
            </w:r>
          </w:p>
        </w:tc>
        <w:tc>
          <w:tcPr>
            <w:tcW w:w="139" w:type="dxa"/>
            <w:tcBorders>
              <w:top w:val="single" w:sz="4" w:space="0" w:color="000000"/>
              <w:left w:val="single" w:sz="4" w:space="0" w:color="000000"/>
              <w:bottom w:val="single" w:sz="4" w:space="0" w:color="000000"/>
              <w:right w:val="single" w:sz="4" w:space="0" w:color="000000"/>
            </w:tcBorders>
            <w:shd w:fill="auto" w:val="clear"/>
            <w:tcMar>
              <w:top w:w="28" w:type="dxa"/>
              <w:left w:w="28" w:type="dxa"/>
              <w:bottom w:w="28" w:type="dxa"/>
              <w:right w:w="28" w:type="dxa"/>
            </w:tcMar>
            <w:vAlign w:val="bottom"/>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610" w:type="dxa"/>
            <w:tcBorders>
              <w:top w:val="single" w:sz="4" w:space="0" w:color="000000"/>
              <w:left w:val="single" w:sz="4" w:space="0" w:color="000000"/>
              <w:bottom w:val="single" w:sz="4" w:space="0" w:color="000000"/>
              <w:right w:val="single" w:sz="4" w:space="0" w:color="000000"/>
            </w:tcBorders>
            <w:shd w:fill="auto" w:val="clear"/>
            <w:tcMar>
              <w:top w:w="28" w:type="dxa"/>
              <w:left w:w="28" w:type="dxa"/>
              <w:bottom w:w="28" w:type="dxa"/>
              <w:right w:w="28" w:type="dxa"/>
            </w:tcMar>
            <w:vAlign w:val="bottom"/>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386" w:type="dxa"/>
            <w:tcBorders>
              <w:top w:val="single" w:sz="4" w:space="0" w:color="000000"/>
              <w:left w:val="single" w:sz="4" w:space="0" w:color="000000"/>
              <w:bottom w:val="single" w:sz="4" w:space="0" w:color="000000"/>
              <w:right w:val="single" w:sz="4" w:space="0" w:color="000000"/>
            </w:tcBorders>
            <w:shd w:fill="auto" w:val="clear"/>
            <w:tcMar>
              <w:top w:w="28" w:type="dxa"/>
              <w:left w:w="28" w:type="dxa"/>
              <w:bottom w:w="28" w:type="dxa"/>
              <w:right w:w="28" w:type="dxa"/>
            </w:tcMar>
            <w:vAlign w:val="bottom"/>
          </w:tcPr>
          <w:p>
            <w:pPr>
              <w:pStyle w:val="TableContents"/>
              <w:spacing w:before="0" w:after="283"/>
              <w:rPr>
                <w:sz w:val="4"/>
                <w:szCs w:val="4"/>
              </w:rPr>
            </w:pPr>
            <w:r>
              <w:rPr>
                <w:sz w:val="4"/>
                <w:szCs w:val="4"/>
              </w:rPr>
            </w:r>
          </w:p>
        </w:tc>
        <w:tc>
          <w:tcPr>
            <w:tcW w:w="2165"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bottom"/>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bottom"/>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r>
      <w:tr>
        <w:trPr/>
        <w:tc>
          <w:tcPr>
            <w:tcW w:w="336" w:type="dxa"/>
            <w:vMerge w:val="restart"/>
            <w:tcBorders/>
            <w:shd w:fill="auto" w:val="clear"/>
            <w:vAlign w:val="bottom"/>
          </w:tcPr>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139" w:type="dxa"/>
            <w:tcBorders>
              <w:top w:val="single" w:sz="16" w:space="0" w:color="000000"/>
              <w:left w:val="single" w:sz="16" w:space="0" w:color="000000"/>
            </w:tcBorders>
            <w:shd w:fill="auto" w:val="clear"/>
            <w:tcMar>
              <w:top w:w="28" w:type="dxa"/>
              <w:left w:w="28" w:type="dxa"/>
            </w:tcMar>
            <w:vAlign w:val="bottom"/>
          </w:tcPr>
          <w:p>
            <w:pPr>
              <w:pStyle w:val="TableContents"/>
              <w:spacing w:before="0" w:after="283"/>
              <w:rPr/>
            </w:pPr>
            <w:r>
              <w:rPr/>
              <w:t>  </w:t>
            </w:r>
          </w:p>
        </w:tc>
        <w:tc>
          <w:tcPr>
            <w:tcW w:w="3781" w:type="dxa"/>
            <w:gridSpan w:val="5"/>
            <w:tcBorders>
              <w:top w:val="single" w:sz="16" w:space="0" w:color="000000"/>
            </w:tcBorders>
            <w:shd w:fill="auto" w:val="clear"/>
            <w:tcMar>
              <w:top w:w="28" w:type="dxa"/>
            </w:tcMar>
          </w:tcPr>
          <w:p>
            <w:pPr>
              <w:pStyle w:val="TableContents"/>
              <w:spacing w:before="0" w:after="0"/>
              <w:rPr/>
            </w:pPr>
            <w:r>
              <w:rPr/>
              <w:t> </w:t>
            </w:r>
          </w:p>
          <w:p>
            <w:pPr>
              <w:pStyle w:val="TableContents"/>
              <w:spacing w:before="0" w:after="20"/>
              <w:rPr>
                <w:rFonts w:ascii="Times New Roman" w:hAnsi="Times New Roman"/>
                <w:b/>
                <w:sz w:val="16"/>
              </w:rPr>
            </w:pPr>
            <w:r>
              <w:rPr>
                <w:rFonts w:ascii="Times New Roman" w:hAnsi="Times New Roman"/>
                <w:b/>
                <w:sz w:val="16"/>
              </w:rPr>
              <w:t>TEMPEST THERAPEUTICS, INC.</w:t>
            </w:r>
          </w:p>
        </w:tc>
        <w:tc>
          <w:tcPr>
            <w:tcW w:w="82" w:type="dxa"/>
            <w:tcBorders>
              <w:top w:val="single" w:sz="16" w:space="0" w:color="000000"/>
            </w:tcBorders>
            <w:shd w:fill="auto" w:val="clear"/>
            <w:tcMar>
              <w:top w:w="28" w:type="dxa"/>
            </w:tcMar>
            <w:vAlign w:val="bottom"/>
          </w:tcPr>
          <w:p>
            <w:pPr>
              <w:pStyle w:val="TableContents"/>
              <w:spacing w:before="0" w:after="283"/>
              <w:rPr/>
            </w:pPr>
            <w:r>
              <w:rPr/>
              <w:t> </w:t>
            </w:r>
          </w:p>
        </w:tc>
        <w:tc>
          <w:tcPr>
            <w:tcW w:w="502" w:type="dxa"/>
            <w:tcBorders>
              <w:top w:val="single" w:sz="16" w:space="0" w:color="000000"/>
            </w:tcBorders>
            <w:shd w:fill="auto" w:val="clear"/>
            <w:tcMar>
              <w:top w:w="28" w:type="dxa"/>
            </w:tcMar>
          </w:tcPr>
          <w:p>
            <w:pPr>
              <w:pStyle w:val="TableContents"/>
              <w:spacing w:before="0" w:after="283"/>
              <w:rPr/>
            </w:pPr>
            <w:r>
              <w:rPr/>
              <w:t> </w:t>
            </w:r>
          </w:p>
        </w:tc>
        <w:tc>
          <w:tcPr>
            <w:tcW w:w="82" w:type="dxa"/>
            <w:tcBorders>
              <w:top w:val="single" w:sz="16" w:space="0" w:color="000000"/>
            </w:tcBorders>
            <w:shd w:fill="auto" w:val="clear"/>
            <w:tcMar>
              <w:top w:w="28" w:type="dxa"/>
            </w:tcMar>
            <w:vAlign w:val="bottom"/>
          </w:tcPr>
          <w:p>
            <w:pPr>
              <w:pStyle w:val="TableContents"/>
              <w:spacing w:before="0" w:after="283"/>
              <w:rPr/>
            </w:pPr>
            <w:r>
              <w:rPr/>
              <w:t> </w:t>
            </w:r>
          </w:p>
        </w:tc>
        <w:tc>
          <w:tcPr>
            <w:tcW w:w="1087" w:type="dxa"/>
            <w:tcBorders>
              <w:top w:val="single" w:sz="16" w:space="0" w:color="000000"/>
            </w:tcBorders>
            <w:shd w:fill="auto" w:val="clear"/>
            <w:tcMar>
              <w:top w:w="28" w:type="dxa"/>
            </w:tcMar>
          </w:tcPr>
          <w:p>
            <w:pPr>
              <w:pStyle w:val="TableContents"/>
              <w:spacing w:before="0" w:after="283"/>
              <w:rPr/>
            </w:pPr>
            <w:r>
              <w:rPr/>
              <w:t> </w:t>
            </w:r>
          </w:p>
        </w:tc>
        <w:tc>
          <w:tcPr>
            <w:tcW w:w="82" w:type="dxa"/>
            <w:tcBorders>
              <w:top w:val="single" w:sz="16" w:space="0" w:color="000000"/>
            </w:tcBorders>
            <w:shd w:fill="auto" w:val="clear"/>
            <w:tcMar>
              <w:top w:w="28" w:type="dxa"/>
            </w:tcMar>
            <w:vAlign w:val="bottom"/>
          </w:tcPr>
          <w:p>
            <w:pPr>
              <w:pStyle w:val="TableContents"/>
              <w:spacing w:before="0" w:after="283"/>
              <w:rPr/>
            </w:pPr>
            <w:r>
              <w:rPr/>
              <w:t> </w:t>
            </w:r>
          </w:p>
        </w:tc>
        <w:tc>
          <w:tcPr>
            <w:tcW w:w="60" w:type="dxa"/>
            <w:tcBorders>
              <w:top w:val="single" w:sz="16" w:space="0" w:color="000000"/>
            </w:tcBorders>
            <w:shd w:fill="auto" w:val="clear"/>
            <w:tcMar>
              <w:top w:w="28" w:type="dxa"/>
            </w:tcMar>
          </w:tcPr>
          <w:p>
            <w:pPr>
              <w:pStyle w:val="TableContents"/>
              <w:spacing w:before="0" w:after="283"/>
              <w:rPr/>
            </w:pPr>
            <w:r>
              <w:rPr/>
              <w:t> </w:t>
            </w:r>
          </w:p>
        </w:tc>
        <w:tc>
          <w:tcPr>
            <w:tcW w:w="139" w:type="dxa"/>
            <w:tcBorders>
              <w:top w:val="single" w:sz="16" w:space="0" w:color="000000"/>
            </w:tcBorders>
            <w:shd w:fill="auto" w:val="clear"/>
            <w:tcMar>
              <w:top w:w="28" w:type="dxa"/>
            </w:tcMar>
            <w:vAlign w:val="bottom"/>
          </w:tcPr>
          <w:p>
            <w:pPr>
              <w:pStyle w:val="TableContents"/>
              <w:spacing w:before="0" w:after="283"/>
              <w:rPr/>
            </w:pPr>
            <w:r>
              <w:rPr/>
              <w:t>  </w:t>
            </w:r>
          </w:p>
        </w:tc>
        <w:tc>
          <w:tcPr>
            <w:tcW w:w="744" w:type="dxa"/>
            <w:tcBorders>
              <w:top w:val="single" w:sz="16" w:space="0" w:color="000000"/>
            </w:tcBorders>
            <w:shd w:fill="auto" w:val="clear"/>
            <w:tcMar>
              <w:top w:w="28" w:type="dxa"/>
            </w:tcMar>
          </w:tcPr>
          <w:p>
            <w:pPr>
              <w:pStyle w:val="TableContents"/>
              <w:spacing w:before="0" w:after="283"/>
              <w:rPr/>
            </w:pPr>
            <w:r>
              <w:rPr/>
              <w:t> </w:t>
            </w:r>
          </w:p>
        </w:tc>
        <w:tc>
          <w:tcPr>
            <w:tcW w:w="60" w:type="dxa"/>
            <w:vMerge w:val="restart"/>
            <w:tcBorders>
              <w:top w:val="single" w:sz="16" w:space="0" w:color="000000"/>
            </w:tcBorders>
            <w:shd w:fill="auto" w:val="clear"/>
            <w:tcMar>
              <w:top w:w="28" w:type="dxa"/>
            </w:tcMar>
            <w:vAlign w:val="bottom"/>
          </w:tcPr>
          <w:p>
            <w:pPr>
              <w:pStyle w:val="TableContents"/>
              <w:spacing w:before="0" w:after="283"/>
              <w:rPr/>
            </w:pPr>
            <w:r>
              <w:rPr/>
              <w:t> </w:t>
            </w:r>
          </w:p>
        </w:tc>
        <w:tc>
          <w:tcPr>
            <w:tcW w:w="583" w:type="dxa"/>
            <w:vMerge w:val="restart"/>
            <w:tcBorders>
              <w:top w:val="single" w:sz="16" w:space="0" w:color="000000"/>
            </w:tcBorders>
            <w:shd w:fill="auto" w:val="clear"/>
            <w:tcMar>
              <w:top w:w="28" w:type="dxa"/>
            </w:tcMar>
          </w:tcPr>
          <w:p>
            <w:pPr>
              <w:pStyle w:val="TableContents"/>
              <w:spacing w:before="0" w:after="283"/>
              <w:rPr/>
            </w:pPr>
            <w:r>
              <w:rPr/>
              <w:t> </w:t>
            </w:r>
          </w:p>
        </w:tc>
        <w:tc>
          <w:tcPr>
            <w:tcW w:w="82" w:type="dxa"/>
            <w:tcBorders>
              <w:top w:val="single" w:sz="16" w:space="0" w:color="000000"/>
            </w:tcBorders>
            <w:shd w:fill="auto" w:val="clear"/>
            <w:tcMar>
              <w:top w:w="28" w:type="dxa"/>
            </w:tcMar>
            <w:vAlign w:val="bottom"/>
          </w:tcPr>
          <w:p>
            <w:pPr>
              <w:pStyle w:val="TableContents"/>
              <w:spacing w:before="0" w:after="283"/>
              <w:rPr/>
            </w:pPr>
            <w:r>
              <w:rPr/>
              <w:t> </w:t>
            </w:r>
          </w:p>
        </w:tc>
        <w:tc>
          <w:tcPr>
            <w:tcW w:w="428" w:type="dxa"/>
            <w:tcBorders>
              <w:top w:val="single" w:sz="16" w:space="0" w:color="000000"/>
            </w:tcBorders>
            <w:shd w:fill="auto" w:val="clear"/>
            <w:tcMar>
              <w:top w:w="28" w:type="dxa"/>
            </w:tcMar>
            <w:vAlign w:val="bottom"/>
          </w:tcPr>
          <w:p>
            <w:pPr>
              <w:pStyle w:val="TableContents"/>
              <w:spacing w:before="0" w:after="283"/>
              <w:rPr/>
            </w:pPr>
            <w:r>
              <w:rPr/>
              <w:t> </w:t>
            </w:r>
          </w:p>
        </w:tc>
        <w:tc>
          <w:tcPr>
            <w:tcW w:w="82" w:type="dxa"/>
            <w:tcBorders>
              <w:top w:val="single" w:sz="16" w:space="0" w:color="000000"/>
            </w:tcBorders>
            <w:shd w:fill="auto" w:val="clear"/>
            <w:tcMar>
              <w:top w:w="28" w:type="dxa"/>
            </w:tcMar>
            <w:vAlign w:val="bottom"/>
          </w:tcPr>
          <w:p>
            <w:pPr>
              <w:pStyle w:val="TableContents"/>
              <w:spacing w:before="0" w:after="283"/>
              <w:rPr/>
            </w:pPr>
            <w:r>
              <w:rPr/>
              <w:t> </w:t>
            </w:r>
          </w:p>
        </w:tc>
        <w:tc>
          <w:tcPr>
            <w:tcW w:w="176" w:type="dxa"/>
            <w:tcBorders>
              <w:top w:val="single" w:sz="16" w:space="0" w:color="000000"/>
            </w:tcBorders>
            <w:shd w:fill="auto" w:val="clear"/>
            <w:tcMar>
              <w:top w:w="28" w:type="dxa"/>
            </w:tcMar>
            <w:vAlign w:val="bottom"/>
          </w:tcPr>
          <w:p>
            <w:pPr>
              <w:pStyle w:val="TableContents"/>
              <w:spacing w:before="0" w:after="283"/>
              <w:rPr/>
            </w:pPr>
            <w:r>
              <w:rPr/>
              <w:t> </w:t>
            </w:r>
          </w:p>
        </w:tc>
        <w:tc>
          <w:tcPr>
            <w:tcW w:w="152" w:type="dxa"/>
            <w:tcBorders>
              <w:top w:val="single" w:sz="16" w:space="0" w:color="000000"/>
            </w:tcBorders>
            <w:shd w:fill="auto" w:val="clear"/>
            <w:tcMar>
              <w:top w:w="28" w:type="dxa"/>
            </w:tcMar>
            <w:vAlign w:val="bottom"/>
          </w:tcPr>
          <w:p>
            <w:pPr>
              <w:pStyle w:val="TableContents"/>
              <w:spacing w:before="0" w:after="283"/>
              <w:rPr/>
            </w:pPr>
            <w:r>
              <w:rPr/>
              <w:t> </w:t>
            </w:r>
          </w:p>
        </w:tc>
        <w:tc>
          <w:tcPr>
            <w:tcW w:w="586" w:type="dxa"/>
            <w:tcBorders>
              <w:top w:val="single" w:sz="16" w:space="0" w:color="000000"/>
            </w:tcBorders>
            <w:shd w:fill="auto" w:val="clear"/>
            <w:tcMar>
              <w:top w:w="28" w:type="dxa"/>
            </w:tcMar>
            <w:vAlign w:val="bottom"/>
          </w:tcPr>
          <w:p>
            <w:pPr>
              <w:pStyle w:val="TableContents"/>
              <w:spacing w:before="0" w:after="283"/>
              <w:rPr/>
            </w:pPr>
            <w:r>
              <w:rPr/>
              <w:t> </w:t>
            </w:r>
          </w:p>
        </w:tc>
        <w:tc>
          <w:tcPr>
            <w:tcW w:w="81" w:type="dxa"/>
            <w:tcBorders>
              <w:top w:val="single" w:sz="16" w:space="0" w:color="000000"/>
            </w:tcBorders>
            <w:shd w:fill="auto" w:val="clear"/>
            <w:tcMar>
              <w:top w:w="28" w:type="dxa"/>
            </w:tcMar>
            <w:vAlign w:val="bottom"/>
          </w:tcPr>
          <w:p>
            <w:pPr>
              <w:pStyle w:val="TableContents"/>
              <w:spacing w:before="0" w:after="283"/>
              <w:rPr/>
            </w:pPr>
            <w:r>
              <w:rPr/>
              <w:t> </w:t>
            </w:r>
          </w:p>
        </w:tc>
        <w:tc>
          <w:tcPr>
            <w:tcW w:w="724" w:type="dxa"/>
            <w:tcBorders>
              <w:top w:val="single" w:sz="16" w:space="0" w:color="000000"/>
            </w:tcBorders>
            <w:shd w:fill="auto" w:val="clear"/>
            <w:tcMar>
              <w:top w:w="28" w:type="dxa"/>
            </w:tcMar>
            <w:vAlign w:val="bottom"/>
          </w:tcPr>
          <w:p>
            <w:pPr>
              <w:pStyle w:val="TableContents"/>
              <w:spacing w:before="0" w:after="283"/>
              <w:rPr/>
            </w:pPr>
            <w:r>
              <w:rPr/>
              <w:t> </w:t>
            </w:r>
          </w:p>
        </w:tc>
        <w:tc>
          <w:tcPr>
            <w:tcW w:w="102" w:type="dxa"/>
            <w:tcBorders>
              <w:top w:val="single" w:sz="16" w:space="0" w:color="000000"/>
            </w:tcBorders>
            <w:shd w:fill="auto" w:val="clear"/>
            <w:tcMar>
              <w:top w:w="28" w:type="dxa"/>
            </w:tcMar>
            <w:vAlign w:val="bottom"/>
          </w:tcPr>
          <w:p>
            <w:pPr>
              <w:pStyle w:val="TableContents"/>
              <w:spacing w:before="0" w:after="283"/>
              <w:rPr/>
            </w:pPr>
            <w:r>
              <w:rPr/>
              <w:t> </w:t>
            </w:r>
          </w:p>
        </w:tc>
        <w:tc>
          <w:tcPr>
            <w:tcW w:w="115" w:type="dxa"/>
            <w:tcBorders>
              <w:top w:val="single" w:sz="16" w:space="0" w:color="000000"/>
              <w:right w:val="single" w:sz="16" w:space="0" w:color="000000"/>
            </w:tcBorders>
            <w:shd w:fill="auto" w:val="clear"/>
            <w:tcMar>
              <w:top w:w="28" w:type="dxa"/>
              <w:right w:w="40" w:type="dxa"/>
            </w:tcMar>
            <w:vAlign w:val="bottom"/>
          </w:tcPr>
          <w:p>
            <w:pPr>
              <w:pStyle w:val="TableContents"/>
              <w:spacing w:before="0" w:after="283"/>
              <w:rPr/>
            </w:pPr>
            <w:r>
              <w:rPr/>
              <w:t> </w:t>
            </w:r>
          </w:p>
        </w:tc>
      </w:tr>
      <w:tr>
        <w:trPr/>
        <w:tc>
          <w:tcPr>
            <w:tcW w:w="336" w:type="dxa"/>
            <w:vMerge w:val="continue"/>
            <w:tcBorders/>
            <w:shd w:fill="auto" w:val="clear"/>
            <w:vAlign w:val="bottom"/>
          </w:tcPr>
          <w:p>
            <w:pPr>
              <w:pStyle w:val="Normal"/>
              <w:rPr/>
            </w:pPr>
            <w:r>
              <w:rPr/>
            </w:r>
          </w:p>
        </w:tc>
        <w:tc>
          <w:tcPr>
            <w:tcW w:w="139" w:type="dxa"/>
            <w:tcBorders>
              <w:left w:val="single" w:sz="16" w:space="0" w:color="000000"/>
            </w:tcBorders>
            <w:shd w:fill="auto" w:val="clear"/>
            <w:tcMar>
              <w:left w:w="28" w:type="dxa"/>
            </w:tcMar>
            <w:vAlign w:val="bottom"/>
          </w:tcPr>
          <w:p>
            <w:pPr>
              <w:pStyle w:val="TableContents"/>
              <w:spacing w:before="0" w:after="283"/>
              <w:rPr/>
            </w:pPr>
            <w:r>
              <w:rPr/>
              <w:t>  </w:t>
            </w:r>
          </w:p>
        </w:tc>
        <w:tc>
          <w:tcPr>
            <w:tcW w:w="3781" w:type="dxa"/>
            <w:gridSpan w:val="5"/>
            <w:tcBorders/>
            <w:shd w:fill="auto" w:val="clear"/>
          </w:tcPr>
          <w:p>
            <w:pPr>
              <w:pStyle w:val="TableContents"/>
              <w:spacing w:before="0" w:after="0"/>
              <w:rPr>
                <w:rFonts w:ascii="Times New Roman" w:hAnsi="Times New Roman"/>
                <w:b/>
                <w:sz w:val="16"/>
              </w:rPr>
            </w:pPr>
            <w:r>
              <w:rPr>
                <w:rFonts w:ascii="Times New Roman" w:hAnsi="Times New Roman"/>
                <w:b/>
                <w:sz w:val="16"/>
              </w:rPr>
              <w:t>The Board of Directors recommends you vote FOR the following:</w:t>
            </w:r>
          </w:p>
          <w:p>
            <w:pPr>
              <w:pStyle w:val="TableContents"/>
              <w:spacing w:before="0" w:after="0"/>
              <w:rPr/>
            </w:pPr>
            <w:r>
              <w:rPr/>
              <w:t> </w:t>
            </w:r>
          </w:p>
          <w:p>
            <w:pPr>
              <w:pStyle w:val="TableContents"/>
              <w:spacing w:before="0" w:after="20"/>
              <w:rPr>
                <w:rFonts w:ascii="Times New Roman" w:hAnsi="Times New Roman"/>
                <w:sz w:val="16"/>
              </w:rPr>
            </w:pPr>
            <w:r>
              <w:rPr>
                <w:rFonts w:ascii="Times New Roman" w:hAnsi="Times New Roman"/>
                <w:sz w:val="16"/>
              </w:rPr>
              <w:t>1.     Election of Directors</w:t>
            </w:r>
          </w:p>
        </w:tc>
        <w:tc>
          <w:tcPr>
            <w:tcW w:w="82" w:type="dxa"/>
            <w:tcBorders/>
            <w:shd w:fill="auto" w:val="clear"/>
            <w:vAlign w:val="bottom"/>
          </w:tcPr>
          <w:p>
            <w:pPr>
              <w:pStyle w:val="TableContents"/>
              <w:spacing w:before="0" w:after="283"/>
              <w:rPr/>
            </w:pPr>
            <w:r>
              <w:rPr/>
              <w:t> </w:t>
            </w:r>
          </w:p>
        </w:tc>
        <w:tc>
          <w:tcPr>
            <w:tcW w:w="502" w:type="dxa"/>
            <w:tcBorders/>
            <w:shd w:fill="auto" w:val="clear"/>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1087" w:type="dxa"/>
            <w:tcBorders/>
            <w:shd w:fill="auto" w:val="clear"/>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pPr>
            <w:r>
              <w:rPr/>
              <w:t>  </w:t>
            </w:r>
          </w:p>
        </w:tc>
        <w:tc>
          <w:tcPr>
            <w:tcW w:w="744" w:type="dxa"/>
            <w:tcBorders/>
            <w:shd w:fill="auto" w:val="clear"/>
          </w:tcPr>
          <w:p>
            <w:pPr>
              <w:pStyle w:val="TableContents"/>
              <w:spacing w:before="0" w:after="283"/>
              <w:rPr>
                <w:sz w:val="4"/>
                <w:szCs w:val="4"/>
              </w:rPr>
            </w:pPr>
            <w:r>
              <w:rPr>
                <w:sz w:val="4"/>
                <w:szCs w:val="4"/>
              </w:rPr>
            </w:r>
          </w:p>
        </w:tc>
        <w:tc>
          <w:tcPr>
            <w:tcW w:w="60" w:type="dxa"/>
            <w:vMerge w:val="continue"/>
            <w:tcBorders>
              <w:top w:val="single" w:sz="16" w:space="0" w:color="000000"/>
            </w:tcBorders>
            <w:shd w:fill="auto" w:val="clear"/>
            <w:tcMar>
              <w:top w:w="28" w:type="dxa"/>
            </w:tcMar>
            <w:vAlign w:val="bottom"/>
          </w:tcPr>
          <w:p>
            <w:pPr>
              <w:pStyle w:val="Normal"/>
              <w:rPr/>
            </w:pPr>
            <w:r>
              <w:rPr/>
            </w:r>
          </w:p>
        </w:tc>
        <w:tc>
          <w:tcPr>
            <w:tcW w:w="583" w:type="dxa"/>
            <w:vMerge w:val="continue"/>
            <w:tcBorders>
              <w:top w:val="single" w:sz="16" w:space="0" w:color="000000"/>
            </w:tcBorders>
            <w:shd w:fill="auto" w:val="clear"/>
            <w:tcMar>
              <w:top w:w="28" w:type="dxa"/>
            </w:tcMar>
          </w:tcPr>
          <w:p>
            <w:pPr>
              <w:pStyle w:val="Normal"/>
              <w:rPr/>
            </w:pPr>
            <w:r>
              <w:rPr/>
            </w:r>
          </w:p>
        </w:tc>
        <w:tc>
          <w:tcPr>
            <w:tcW w:w="82"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sz w:val="4"/>
                <w:szCs w:val="4"/>
              </w:rPr>
            </w:pPr>
            <w:r>
              <w:rPr>
                <w:sz w:val="4"/>
                <w:szCs w:val="4"/>
              </w:rPr>
            </w:r>
          </w:p>
        </w:tc>
        <w:tc>
          <w:tcPr>
            <w:tcW w:w="152" w:type="dxa"/>
            <w:tcBorders>
              <w:top w:val="single" w:sz="16" w:space="0" w:color="000000"/>
            </w:tcBorders>
            <w:shd w:fill="auto" w:val="clear"/>
            <w:tcMar>
              <w:top w:w="28" w:type="dxa"/>
            </w:tcMar>
            <w:vAlign w:val="bottom"/>
          </w:tcPr>
          <w:p>
            <w:pPr>
              <w:pStyle w:val="TableContents"/>
              <w:spacing w:before="0" w:after="283"/>
              <w:rPr/>
            </w:pPr>
            <w:r>
              <w:rPr/>
              <w:t> </w:t>
            </w:r>
          </w:p>
        </w:tc>
        <w:tc>
          <w:tcPr>
            <w:tcW w:w="586" w:type="dxa"/>
            <w:tcBorders>
              <w:top w:val="single" w:sz="16" w:space="0" w:color="000000"/>
            </w:tcBorders>
            <w:shd w:fill="auto" w:val="clear"/>
            <w:tcMar>
              <w:top w:w="28" w:type="dxa"/>
            </w:tcMar>
            <w:vAlign w:val="bottom"/>
          </w:tcPr>
          <w:p>
            <w:pPr>
              <w:pStyle w:val="TableContents"/>
              <w:spacing w:before="0" w:after="283"/>
              <w:rPr/>
            </w:pPr>
            <w:r>
              <w:rPr/>
              <w:t> </w:t>
            </w:r>
          </w:p>
        </w:tc>
        <w:tc>
          <w:tcPr>
            <w:tcW w:w="81" w:type="dxa"/>
            <w:tcBorders>
              <w:top w:val="single" w:sz="16" w:space="0" w:color="000000"/>
            </w:tcBorders>
            <w:shd w:fill="auto" w:val="clear"/>
            <w:tcMar>
              <w:top w:w="28" w:type="dxa"/>
            </w:tcMar>
            <w:vAlign w:val="bottom"/>
          </w:tcPr>
          <w:p>
            <w:pPr>
              <w:pStyle w:val="TableContents"/>
              <w:spacing w:before="0" w:after="283"/>
              <w:rPr/>
            </w:pPr>
            <w:r>
              <w:rPr/>
              <w:t> </w:t>
            </w:r>
          </w:p>
        </w:tc>
        <w:tc>
          <w:tcPr>
            <w:tcW w:w="724" w:type="dxa"/>
            <w:tcBorders>
              <w:top w:val="single" w:sz="16" w:space="0" w:color="000000"/>
              <w:right w:val="single" w:sz="16" w:space="0" w:color="000000"/>
            </w:tcBorders>
            <w:shd w:fill="auto" w:val="clear"/>
            <w:tcMar>
              <w:top w:w="28" w:type="dxa"/>
              <w:right w:w="28" w:type="dxa"/>
            </w:tcM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15" w:type="dxa"/>
            <w:tcBorders>
              <w:right w:val="single" w:sz="16" w:space="0" w:color="000000"/>
            </w:tcBorders>
            <w:shd w:fill="auto" w:val="clear"/>
            <w:tcMar>
              <w:right w:w="40" w:type="dxa"/>
            </w:tcMar>
            <w:vAlign w:val="bottom"/>
          </w:tcPr>
          <w:p>
            <w:pPr>
              <w:pStyle w:val="TableContents"/>
              <w:spacing w:before="0" w:after="0"/>
              <w:jc w:val="both"/>
              <w:rPr/>
            </w:pPr>
            <w:r>
              <w:rPr/>
              <w:t> </w:t>
            </w:r>
          </w:p>
        </w:tc>
      </w:tr>
      <w:tr>
        <w:trPr/>
        <w:tc>
          <w:tcPr>
            <w:tcW w:w="336" w:type="dxa"/>
            <w:vMerge w:val="continue"/>
            <w:tcBorders/>
            <w:shd w:fill="auto" w:val="clear"/>
            <w:vAlign w:val="bottom"/>
          </w:tcPr>
          <w:p>
            <w:pPr>
              <w:pStyle w:val="Normal"/>
              <w:rPr/>
            </w:pPr>
            <w:r>
              <w:rPr/>
            </w:r>
          </w:p>
        </w:tc>
        <w:tc>
          <w:tcPr>
            <w:tcW w:w="139" w:type="dxa"/>
            <w:tcBorders>
              <w:left w:val="single" w:sz="16" w:space="0" w:color="000000"/>
            </w:tcBorders>
            <w:shd w:fill="auto" w:val="clear"/>
            <w:tcMar>
              <w:left w:w="28" w:type="dxa"/>
            </w:tcMar>
            <w:vAlign w:val="bottom"/>
          </w:tcPr>
          <w:p>
            <w:pPr>
              <w:pStyle w:val="TableContents"/>
              <w:spacing w:before="0" w:after="283"/>
              <w:rPr/>
            </w:pPr>
            <w:r>
              <w:rPr/>
              <w:t>  </w:t>
            </w:r>
          </w:p>
        </w:tc>
        <w:tc>
          <w:tcPr>
            <w:tcW w:w="3781" w:type="dxa"/>
            <w:gridSpan w:val="5"/>
            <w:tcBorders/>
            <w:shd w:fill="auto" w:val="clear"/>
            <w:vAlign w:val="bottom"/>
          </w:tcPr>
          <w:p>
            <w:pPr>
              <w:pStyle w:val="TableContents"/>
              <w:spacing w:before="0" w:after="0"/>
              <w:rPr/>
            </w:pPr>
            <w:r>
              <w:rPr/>
              <w:t>       </w:t>
            </w:r>
          </w:p>
        </w:tc>
        <w:tc>
          <w:tcPr>
            <w:tcW w:w="82"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pPr>
            <w:r>
              <w:rPr/>
              <w:t>  </w:t>
            </w:r>
          </w:p>
        </w:tc>
        <w:tc>
          <w:tcPr>
            <w:tcW w:w="74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rPr>
                <w:sz w:val="4"/>
                <w:szCs w:val="4"/>
              </w:rPr>
            </w:pPr>
            <w:r>
              <w:rPr>
                <w:sz w:val="4"/>
                <w:szCs w:val="4"/>
              </w:rPr>
            </w:r>
          </w:p>
        </w:tc>
        <w:tc>
          <w:tcPr>
            <w:tcW w:w="81"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0"/>
              <w:jc w:val="both"/>
              <w:rPr/>
            </w:pPr>
            <w:r>
              <w:rPr/>
              <w:t>        </w:t>
            </w:r>
          </w:p>
        </w:tc>
        <w:tc>
          <w:tcPr>
            <w:tcW w:w="102" w:type="dxa"/>
            <w:tcBorders/>
            <w:shd w:fill="auto" w:val="clear"/>
            <w:vAlign w:val="bottom"/>
          </w:tcPr>
          <w:p>
            <w:pPr>
              <w:pStyle w:val="TableContents"/>
              <w:spacing w:before="0" w:after="283"/>
              <w:rPr/>
            </w:pPr>
            <w:r>
              <w:rPr/>
              <w:t> </w:t>
            </w:r>
          </w:p>
        </w:tc>
        <w:tc>
          <w:tcPr>
            <w:tcW w:w="115" w:type="dxa"/>
            <w:tcBorders>
              <w:right w:val="single" w:sz="16" w:space="0" w:color="000000"/>
            </w:tcBorders>
            <w:shd w:fill="auto" w:val="clear"/>
            <w:tcMar>
              <w:right w:w="40" w:type="dxa"/>
            </w:tcMar>
            <w:vAlign w:val="bottom"/>
          </w:tcPr>
          <w:p>
            <w:pPr>
              <w:pStyle w:val="TableContents"/>
              <w:spacing w:before="0" w:after="283"/>
              <w:rPr/>
            </w:pPr>
            <w:r>
              <w:rPr/>
              <w:t> </w:t>
            </w:r>
          </w:p>
        </w:tc>
      </w:tr>
      <w:tr>
        <w:trPr/>
        <w:tc>
          <w:tcPr>
            <w:tcW w:w="336" w:type="dxa"/>
            <w:vMerge w:val="continue"/>
            <w:tcBorders/>
            <w:shd w:fill="auto" w:val="clear"/>
            <w:vAlign w:val="bottom"/>
          </w:tcPr>
          <w:p>
            <w:pPr>
              <w:pStyle w:val="Normal"/>
              <w:rPr/>
            </w:pPr>
            <w:r>
              <w:rPr/>
            </w:r>
          </w:p>
        </w:tc>
        <w:tc>
          <w:tcPr>
            <w:tcW w:w="139" w:type="dxa"/>
            <w:tcBorders>
              <w:left w:val="single" w:sz="16" w:space="0" w:color="000000"/>
            </w:tcBorders>
            <w:shd w:fill="auto" w:val="clear"/>
            <w:tcMar>
              <w:left w:w="28" w:type="dxa"/>
            </w:tcMar>
            <w:vAlign w:val="bottom"/>
          </w:tcPr>
          <w:p>
            <w:pPr>
              <w:pStyle w:val="TableContents"/>
              <w:spacing w:before="0" w:after="283"/>
              <w:rPr/>
            </w:pPr>
            <w:r>
              <w:rPr/>
              <w:t>  </w:t>
            </w:r>
          </w:p>
        </w:tc>
        <w:tc>
          <w:tcPr>
            <w:tcW w:w="3781" w:type="dxa"/>
            <w:gridSpan w:val="5"/>
            <w:tcBorders/>
            <w:shd w:fill="auto" w:val="clear"/>
            <w:vAlign w:val="bottom"/>
          </w:tcPr>
          <w:p>
            <w:pPr>
              <w:pStyle w:val="TableContents"/>
              <w:spacing w:before="0" w:after="0"/>
              <w:rPr/>
            </w:pPr>
            <w:r>
              <w:rPr/>
              <w:t> </w:t>
            </w:r>
          </w:p>
          <w:p>
            <w:pPr>
              <w:pStyle w:val="TableContents"/>
              <w:spacing w:before="0" w:after="20"/>
              <w:rPr>
                <w:rFonts w:ascii="Times New Roman" w:hAnsi="Times New Roman"/>
                <w:b/>
                <w:sz w:val="16"/>
              </w:rPr>
            </w:pPr>
            <w:r>
              <w:rPr>
                <w:rFonts w:ascii="Times New Roman" w:hAnsi="Times New Roman"/>
                <w:b/>
                <w:sz w:val="16"/>
              </w:rPr>
              <w:t>Nominees:</w:t>
            </w:r>
          </w:p>
        </w:tc>
        <w:tc>
          <w:tcPr>
            <w:tcW w:w="82"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jc w:val="center"/>
              <w:rPr>
                <w:b/>
              </w:rPr>
            </w:pPr>
            <w:r>
              <w:rPr>
                <w:b/>
              </w:rPr>
              <w:t>For</w:t>
            </w:r>
          </w:p>
        </w:tc>
        <w:tc>
          <w:tcPr>
            <w:tcW w:w="82"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jc w:val="center"/>
              <w:rPr>
                <w:b/>
              </w:rPr>
            </w:pPr>
            <w:r>
              <w:rPr>
                <w:b/>
              </w:rPr>
              <w:t>Withhold</w:t>
            </w:r>
          </w:p>
        </w:tc>
        <w:tc>
          <w:tcPr>
            <w:tcW w:w="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pPr>
            <w:r>
              <w:rPr/>
              <w:t>  </w:t>
            </w:r>
          </w:p>
        </w:tc>
        <w:tc>
          <w:tcPr>
            <w:tcW w:w="74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0"/>
              <w:jc w:val="both"/>
              <w:rPr/>
            </w:pPr>
            <w:r>
              <w:rPr/>
              <w:t>    </w:t>
            </w:r>
          </w:p>
        </w:tc>
        <w:tc>
          <w:tcPr>
            <w:tcW w:w="81"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115" w:type="dxa"/>
            <w:tcBorders>
              <w:right w:val="single" w:sz="16" w:space="0" w:color="000000"/>
            </w:tcBorders>
            <w:shd w:fill="auto" w:val="clear"/>
            <w:tcMar>
              <w:right w:w="40" w:type="dxa"/>
            </w:tcMar>
            <w:vAlign w:val="bottom"/>
          </w:tcPr>
          <w:p>
            <w:pPr>
              <w:pStyle w:val="TableContents"/>
              <w:spacing w:before="0" w:after="283"/>
              <w:rPr/>
            </w:pPr>
            <w:r>
              <w:rPr/>
              <w:t> </w:t>
            </w:r>
          </w:p>
        </w:tc>
      </w:tr>
      <w:tr>
        <w:trPr/>
        <w:tc>
          <w:tcPr>
            <w:tcW w:w="336" w:type="dxa"/>
            <w:vMerge w:val="continue"/>
            <w:tcBorders/>
            <w:shd w:fill="auto" w:val="clear"/>
            <w:vAlign w:val="bottom"/>
          </w:tcPr>
          <w:p>
            <w:pPr>
              <w:pStyle w:val="Normal"/>
              <w:rPr/>
            </w:pPr>
            <w:r>
              <w:rPr/>
            </w:r>
          </w:p>
        </w:tc>
        <w:tc>
          <w:tcPr>
            <w:tcW w:w="139" w:type="dxa"/>
            <w:tcBorders>
              <w:left w:val="single" w:sz="16" w:space="0" w:color="000000"/>
            </w:tcBorders>
            <w:shd w:fill="auto" w:val="clear"/>
            <w:tcMar>
              <w:left w:w="28" w:type="dxa"/>
            </w:tcMar>
            <w:vAlign w:val="bottom"/>
          </w:tcPr>
          <w:p>
            <w:pPr>
              <w:pStyle w:val="TableContents"/>
              <w:spacing w:before="0" w:after="283"/>
              <w:rPr/>
            </w:pPr>
            <w:r>
              <w:rPr/>
              <w:t>  </w:t>
            </w:r>
          </w:p>
        </w:tc>
        <w:tc>
          <w:tcPr>
            <w:tcW w:w="3781" w:type="dxa"/>
            <w:gridSpan w:val="5"/>
            <w:tcBorders/>
            <w:shd w:fill="auto" w:val="clear"/>
            <w:vAlign w:val="bottom"/>
          </w:tcPr>
          <w:p>
            <w:pPr>
              <w:pStyle w:val="TableContents"/>
              <w:spacing w:before="0" w:after="0"/>
              <w:rPr/>
            </w:pPr>
            <w:r>
              <w:rPr/>
              <w:t> </w:t>
            </w:r>
          </w:p>
          <w:p>
            <w:pPr>
              <w:pStyle w:val="TableContents"/>
              <w:spacing w:before="0" w:after="20"/>
              <w:rPr>
                <w:rFonts w:ascii="Times New Roman" w:hAnsi="Times New Roman"/>
                <w:sz w:val="16"/>
              </w:rPr>
            </w:pPr>
            <w:r>
              <w:rPr>
                <w:rFonts w:ascii="Times New Roman" w:hAnsi="Times New Roman"/>
                <w:sz w:val="16"/>
              </w:rPr>
              <w:t>1a.   Thomas Dubensky</w:t>
            </w:r>
          </w:p>
        </w:tc>
        <w:tc>
          <w:tcPr>
            <w:tcW w:w="82"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jc w:val="center"/>
              <w:rPr/>
            </w:pPr>
            <w:r>
              <w:rPr/>
              <w:t>☐</w:t>
            </w:r>
          </w:p>
        </w:tc>
        <w:tc>
          <w:tcPr>
            <w:tcW w:w="82"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jc w:val="center"/>
              <w:rPr/>
            </w:pPr>
            <w:r>
              <w:rPr/>
              <w:t>☐</w:t>
            </w:r>
          </w:p>
        </w:tc>
        <w:tc>
          <w:tcPr>
            <w:tcW w:w="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pPr>
            <w:r>
              <w:rPr/>
              <w:t>  </w:t>
            </w:r>
          </w:p>
        </w:tc>
        <w:tc>
          <w:tcPr>
            <w:tcW w:w="74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spacing w:before="0" w:after="0"/>
              <w:jc w:val="both"/>
              <w:rPr/>
            </w:pPr>
            <w:r>
              <w:rPr/>
              <w:t>        </w:t>
            </w:r>
          </w:p>
        </w:tc>
        <w:tc>
          <w:tcPr>
            <w:tcW w:w="82"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0"/>
              <w:jc w:val="both"/>
              <w:rPr/>
            </w:pPr>
            <w:r>
              <w:rPr/>
              <w:t> </w:t>
            </w:r>
          </w:p>
        </w:tc>
        <w:tc>
          <w:tcPr>
            <w:tcW w:w="152"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rPr>
                <w:sz w:val="4"/>
                <w:szCs w:val="4"/>
              </w:rPr>
            </w:pPr>
            <w:r>
              <w:rPr>
                <w:sz w:val="4"/>
                <w:szCs w:val="4"/>
              </w:rPr>
            </w:r>
          </w:p>
        </w:tc>
        <w:tc>
          <w:tcPr>
            <w:tcW w:w="81"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115" w:type="dxa"/>
            <w:tcBorders>
              <w:right w:val="single" w:sz="16" w:space="0" w:color="000000"/>
            </w:tcBorders>
            <w:shd w:fill="auto" w:val="clear"/>
            <w:tcMar>
              <w:right w:w="40" w:type="dxa"/>
            </w:tcMar>
            <w:vAlign w:val="bottom"/>
          </w:tcPr>
          <w:p>
            <w:pPr>
              <w:pStyle w:val="TableContents"/>
              <w:spacing w:before="0" w:after="283"/>
              <w:rPr/>
            </w:pPr>
            <w:r>
              <w:rPr/>
              <w:t> </w:t>
            </w:r>
          </w:p>
        </w:tc>
      </w:tr>
      <w:tr>
        <w:trPr/>
        <w:tc>
          <w:tcPr>
            <w:tcW w:w="336" w:type="dxa"/>
            <w:vMerge w:val="continue"/>
            <w:tcBorders/>
            <w:shd w:fill="auto" w:val="clear"/>
            <w:vAlign w:val="bottom"/>
          </w:tcPr>
          <w:p>
            <w:pPr>
              <w:pStyle w:val="Normal"/>
              <w:rPr/>
            </w:pPr>
            <w:r>
              <w:rPr/>
            </w:r>
          </w:p>
        </w:tc>
        <w:tc>
          <w:tcPr>
            <w:tcW w:w="139" w:type="dxa"/>
            <w:tcBorders>
              <w:left w:val="single" w:sz="16" w:space="0" w:color="000000"/>
            </w:tcBorders>
            <w:shd w:fill="auto" w:val="clear"/>
            <w:tcMar>
              <w:left w:w="28" w:type="dxa"/>
            </w:tcMar>
            <w:vAlign w:val="bottom"/>
          </w:tcPr>
          <w:p>
            <w:pPr>
              <w:pStyle w:val="TableContents"/>
              <w:spacing w:before="0" w:after="283"/>
              <w:rPr/>
            </w:pPr>
            <w:r>
              <w:rPr/>
              <w:t>  </w:t>
            </w:r>
          </w:p>
        </w:tc>
        <w:tc>
          <w:tcPr>
            <w:tcW w:w="3781" w:type="dxa"/>
            <w:gridSpan w:val="5"/>
            <w:tcBorders/>
            <w:shd w:fill="auto" w:val="clear"/>
            <w:vAlign w:val="bottom"/>
          </w:tcPr>
          <w:p>
            <w:pPr>
              <w:pStyle w:val="TableContents"/>
              <w:spacing w:before="0" w:after="0"/>
              <w:rPr/>
            </w:pPr>
            <w:r>
              <w:rPr/>
              <w:t> </w:t>
            </w:r>
          </w:p>
          <w:p>
            <w:pPr>
              <w:pStyle w:val="TableContents"/>
              <w:spacing w:before="0" w:after="20"/>
              <w:rPr>
                <w:rFonts w:ascii="Times New Roman" w:hAnsi="Times New Roman"/>
                <w:sz w:val="16"/>
              </w:rPr>
            </w:pPr>
            <w:r>
              <w:rPr>
                <w:rFonts w:ascii="Times New Roman" w:hAnsi="Times New Roman"/>
                <w:sz w:val="16"/>
              </w:rPr>
              <w:t>1b.  Christine Pellizzari</w:t>
            </w:r>
          </w:p>
        </w:tc>
        <w:tc>
          <w:tcPr>
            <w:tcW w:w="82"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jc w:val="center"/>
              <w:rPr/>
            </w:pPr>
            <w:r>
              <w:rPr/>
              <w:t>☐</w:t>
            </w:r>
          </w:p>
        </w:tc>
        <w:tc>
          <w:tcPr>
            <w:tcW w:w="82"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jc w:val="center"/>
              <w:rPr/>
            </w:pPr>
            <w:r>
              <w:rPr/>
              <w:t>☐</w:t>
            </w:r>
          </w:p>
        </w:tc>
        <w:tc>
          <w:tcPr>
            <w:tcW w:w="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pPr>
            <w:r>
              <w:rPr/>
              <w:t>  </w:t>
            </w:r>
          </w:p>
        </w:tc>
        <w:tc>
          <w:tcPr>
            <w:tcW w:w="74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rPr>
                <w:sz w:val="4"/>
                <w:szCs w:val="4"/>
              </w:rPr>
            </w:pPr>
            <w:r>
              <w:rPr>
                <w:sz w:val="4"/>
                <w:szCs w:val="4"/>
              </w:rPr>
            </w:r>
          </w:p>
        </w:tc>
        <w:tc>
          <w:tcPr>
            <w:tcW w:w="81"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115" w:type="dxa"/>
            <w:tcBorders>
              <w:right w:val="single" w:sz="16" w:space="0" w:color="000000"/>
            </w:tcBorders>
            <w:shd w:fill="auto" w:val="clear"/>
            <w:tcMar>
              <w:right w:w="40" w:type="dxa"/>
            </w:tcMar>
            <w:vAlign w:val="bottom"/>
          </w:tcPr>
          <w:p>
            <w:pPr>
              <w:pStyle w:val="TableContents"/>
              <w:spacing w:before="0" w:after="283"/>
              <w:rPr/>
            </w:pPr>
            <w:r>
              <w:rPr/>
              <w:t> </w:t>
            </w:r>
          </w:p>
        </w:tc>
      </w:tr>
      <w:tr>
        <w:trPr/>
        <w:tc>
          <w:tcPr>
            <w:tcW w:w="336" w:type="dxa"/>
            <w:vMerge w:val="continue"/>
            <w:tcBorders/>
            <w:shd w:fill="auto" w:val="clear"/>
            <w:vAlign w:val="bottom"/>
          </w:tcPr>
          <w:p>
            <w:pPr>
              <w:pStyle w:val="Normal"/>
              <w:rPr/>
            </w:pPr>
            <w:r>
              <w:rPr/>
            </w:r>
          </w:p>
        </w:tc>
        <w:tc>
          <w:tcPr>
            <w:tcW w:w="139" w:type="dxa"/>
            <w:tcBorders>
              <w:left w:val="single" w:sz="16" w:space="0" w:color="000000"/>
            </w:tcBorders>
            <w:shd w:fill="auto" w:val="clear"/>
            <w:tcMar>
              <w:left w:w="28" w:type="dxa"/>
            </w:tcMar>
            <w:vAlign w:val="bottom"/>
          </w:tcPr>
          <w:p>
            <w:pPr>
              <w:pStyle w:val="TableContents"/>
              <w:spacing w:before="0" w:after="283"/>
              <w:rPr/>
            </w:pPr>
            <w:r>
              <w:rPr/>
              <w:t>  </w:t>
            </w:r>
          </w:p>
        </w:tc>
        <w:tc>
          <w:tcPr>
            <w:tcW w:w="6559" w:type="dxa"/>
            <w:gridSpan w:val="13"/>
            <w:tcBorders/>
            <w:shd w:fill="auto" w:val="clear"/>
            <w:vAlign w:val="bottom"/>
          </w:tcPr>
          <w:p>
            <w:pPr>
              <w:pStyle w:val="TableContents"/>
              <w:spacing w:before="0" w:after="0"/>
              <w:rPr/>
            </w:pPr>
            <w:r>
              <w:rPr/>
              <w:t> </w:t>
            </w:r>
          </w:p>
          <w:p>
            <w:pPr>
              <w:pStyle w:val="TableContents"/>
              <w:spacing w:before="0" w:after="20"/>
              <w:rPr>
                <w:rFonts w:ascii="Times New Roman" w:hAnsi="Times New Roman"/>
                <w:b/>
                <w:sz w:val="16"/>
              </w:rPr>
            </w:pPr>
            <w:r>
              <w:rPr>
                <w:rFonts w:ascii="Times New Roman" w:hAnsi="Times New Roman"/>
                <w:b/>
                <w:sz w:val="16"/>
              </w:rPr>
              <w:t>The Board of Directors recommends you vote FOR the following proposals:</w:t>
            </w:r>
          </w:p>
        </w:tc>
        <w:tc>
          <w:tcPr>
            <w:tcW w:w="60" w:type="dxa"/>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jc w:val="center"/>
              <w:rPr>
                <w:b/>
              </w:rPr>
            </w:pPr>
            <w:r>
              <w:rPr>
                <w:b/>
              </w:rPr>
              <w:t>For</w:t>
            </w:r>
          </w:p>
        </w:tc>
        <w:tc>
          <w:tcPr>
            <w:tcW w:w="82" w:type="dxa"/>
            <w:tcBorders/>
            <w:shd w:fill="auto" w:val="clear"/>
            <w:vAlign w:val="bottom"/>
          </w:tcPr>
          <w:p>
            <w:pPr>
              <w:pStyle w:val="TableContents"/>
              <w:spacing w:before="0" w:after="283"/>
              <w:rPr/>
            </w:pPr>
            <w:r>
              <w:rPr/>
              <w:t> </w:t>
            </w:r>
          </w:p>
        </w:tc>
        <w:tc>
          <w:tcPr>
            <w:tcW w:w="914" w:type="dxa"/>
            <w:gridSpan w:val="3"/>
            <w:tcBorders/>
            <w:shd w:fill="auto" w:val="clear"/>
            <w:vAlign w:val="bottom"/>
          </w:tcPr>
          <w:p>
            <w:pPr>
              <w:pStyle w:val="TableContents"/>
              <w:spacing w:before="0" w:after="283"/>
              <w:jc w:val="center"/>
              <w:rPr>
                <w:b/>
              </w:rPr>
            </w:pPr>
            <w:r>
              <w:rPr>
                <w:b/>
              </w:rPr>
              <w:t>Against</w:t>
            </w:r>
          </w:p>
        </w:tc>
        <w:tc>
          <w:tcPr>
            <w:tcW w:w="81" w:type="dxa"/>
            <w:tcBorders/>
            <w:shd w:fill="auto" w:val="clear"/>
            <w:vAlign w:val="bottom"/>
          </w:tcPr>
          <w:p>
            <w:pPr>
              <w:pStyle w:val="TableContents"/>
              <w:spacing w:before="0" w:after="283"/>
              <w:rPr/>
            </w:pPr>
            <w:r>
              <w:rPr/>
              <w:t> </w:t>
            </w:r>
          </w:p>
        </w:tc>
        <w:tc>
          <w:tcPr>
            <w:tcW w:w="941" w:type="dxa"/>
            <w:gridSpan w:val="3"/>
            <w:tcBorders>
              <w:right w:val="single" w:sz="12" w:space="0" w:color="000000"/>
            </w:tcBorders>
            <w:shd w:fill="auto" w:val="clear"/>
            <w:tcMar>
              <w:right w:w="40" w:type="dxa"/>
            </w:tcMar>
            <w:vAlign w:val="bottom"/>
          </w:tcPr>
          <w:p>
            <w:pPr>
              <w:pStyle w:val="TableContents"/>
              <w:spacing w:before="0" w:after="283"/>
              <w:jc w:val="center"/>
              <w:rPr>
                <w:b/>
              </w:rPr>
            </w:pPr>
            <w:r>
              <w:rPr>
                <w:b/>
              </w:rPr>
              <w:t>Abstain</w:t>
            </w:r>
          </w:p>
        </w:tc>
      </w:tr>
      <w:tr>
        <w:trPr/>
        <w:tc>
          <w:tcPr>
            <w:tcW w:w="336" w:type="dxa"/>
            <w:vMerge w:val="continue"/>
            <w:tcBorders/>
            <w:shd w:fill="auto" w:val="clear"/>
            <w:vAlign w:val="bottom"/>
          </w:tcPr>
          <w:p>
            <w:pPr>
              <w:pStyle w:val="Normal"/>
              <w:rPr/>
            </w:pPr>
            <w:r>
              <w:rPr/>
            </w:r>
          </w:p>
        </w:tc>
        <w:tc>
          <w:tcPr>
            <w:tcW w:w="139" w:type="dxa"/>
            <w:tcBorders>
              <w:left w:val="single" w:sz="16" w:space="0" w:color="000000"/>
            </w:tcBorders>
            <w:shd w:fill="auto" w:val="clear"/>
            <w:tcMar>
              <w:left w:w="28" w:type="dxa"/>
            </w:tcMar>
            <w:vAlign w:val="bottom"/>
          </w:tcPr>
          <w:p>
            <w:pPr>
              <w:pStyle w:val="TableContents"/>
              <w:spacing w:before="0" w:after="283"/>
              <w:rPr/>
            </w:pPr>
            <w:r>
              <w:rPr/>
              <w:t>  </w:t>
            </w:r>
          </w:p>
        </w:tc>
        <w:tc>
          <w:tcPr>
            <w:tcW w:w="6559" w:type="dxa"/>
            <w:gridSpan w:val="13"/>
            <w:tcBorders/>
            <w:shd w:fill="auto" w:val="clear"/>
            <w:vAlign w:val="bottom"/>
          </w:tcPr>
          <w:p>
            <w:pPr>
              <w:pStyle w:val="TableContents"/>
              <w:spacing w:before="0" w:after="0"/>
              <w:rPr/>
            </w:pPr>
            <w:r>
              <w:rPr/>
              <w:t> </w:t>
            </w:r>
          </w:p>
          <w:p>
            <w:pPr>
              <w:pStyle w:val="TableContents"/>
              <w:spacing w:before="0" w:after="20"/>
              <w:rPr>
                <w:rFonts w:ascii="Times New Roman" w:hAnsi="Times New Roman"/>
                <w:sz w:val="16"/>
              </w:rPr>
            </w:pPr>
            <w:r>
              <w:rPr>
                <w:rFonts w:ascii="Times New Roman" w:hAnsi="Times New Roman"/>
                <w:sz w:val="16"/>
              </w:rPr>
              <w:t>2.  To approve the Amended and Restated 2023 Equity Incentive Plan.</w:t>
            </w:r>
          </w:p>
        </w:tc>
        <w:tc>
          <w:tcPr>
            <w:tcW w:w="60" w:type="dxa"/>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428" w:type="dxa"/>
            <w:tcBorders/>
            <w:shd w:fill="auto" w:val="clear"/>
          </w:tcPr>
          <w:p>
            <w:pPr>
              <w:pStyle w:val="TableContents"/>
              <w:spacing w:before="0" w:after="283"/>
              <w:jc w:val="center"/>
              <w:rPr/>
            </w:pPr>
            <w:r>
              <w:rPr/>
              <w:t>☐</w:t>
            </w:r>
          </w:p>
        </w:tc>
        <w:tc>
          <w:tcPr>
            <w:tcW w:w="82" w:type="dxa"/>
            <w:tcBorders/>
            <w:shd w:fill="auto" w:val="clear"/>
            <w:vAlign w:val="bottom"/>
          </w:tcPr>
          <w:p>
            <w:pPr>
              <w:pStyle w:val="TableContents"/>
              <w:spacing w:before="0" w:after="283"/>
              <w:rPr/>
            </w:pPr>
            <w:r>
              <w:rPr/>
              <w:t> </w:t>
            </w:r>
          </w:p>
        </w:tc>
        <w:tc>
          <w:tcPr>
            <w:tcW w:w="914" w:type="dxa"/>
            <w:gridSpan w:val="3"/>
            <w:tcBorders/>
            <w:shd w:fill="auto" w:val="clear"/>
          </w:tcPr>
          <w:p>
            <w:pPr>
              <w:pStyle w:val="TableContents"/>
              <w:spacing w:before="0" w:after="283"/>
              <w:jc w:val="center"/>
              <w:rPr/>
            </w:pPr>
            <w:r>
              <w:rPr/>
              <w:t>☐</w:t>
            </w:r>
          </w:p>
        </w:tc>
        <w:tc>
          <w:tcPr>
            <w:tcW w:w="81" w:type="dxa"/>
            <w:tcBorders/>
            <w:shd w:fill="auto" w:val="clear"/>
            <w:vAlign w:val="bottom"/>
          </w:tcPr>
          <w:p>
            <w:pPr>
              <w:pStyle w:val="TableContents"/>
              <w:spacing w:before="0" w:after="283"/>
              <w:rPr/>
            </w:pPr>
            <w:r>
              <w:rPr/>
              <w:t> </w:t>
            </w:r>
          </w:p>
        </w:tc>
        <w:tc>
          <w:tcPr>
            <w:tcW w:w="941" w:type="dxa"/>
            <w:gridSpan w:val="3"/>
            <w:tcBorders>
              <w:right w:val="single" w:sz="16" w:space="0" w:color="000000"/>
            </w:tcBorders>
            <w:shd w:fill="auto" w:val="clear"/>
            <w:tcMar>
              <w:right w:w="40" w:type="dxa"/>
            </w:tcMar>
          </w:tcPr>
          <w:p>
            <w:pPr>
              <w:pStyle w:val="TableContents"/>
              <w:spacing w:before="0" w:after="283"/>
              <w:jc w:val="center"/>
              <w:rPr/>
            </w:pPr>
            <w:r>
              <w:rPr/>
              <w:t>☐</w:t>
            </w:r>
          </w:p>
        </w:tc>
      </w:tr>
      <w:tr>
        <w:trPr/>
        <w:tc>
          <w:tcPr>
            <w:tcW w:w="336" w:type="dxa"/>
            <w:vMerge w:val="continue"/>
            <w:tcBorders/>
            <w:shd w:fill="auto" w:val="clear"/>
            <w:vAlign w:val="bottom"/>
          </w:tcPr>
          <w:p>
            <w:pPr>
              <w:pStyle w:val="Normal"/>
              <w:rPr/>
            </w:pPr>
            <w:r>
              <w:rPr/>
            </w:r>
          </w:p>
        </w:tc>
        <w:tc>
          <w:tcPr>
            <w:tcW w:w="139" w:type="dxa"/>
            <w:tcBorders>
              <w:left w:val="single" w:sz="16" w:space="0" w:color="000000"/>
            </w:tcBorders>
            <w:shd w:fill="auto" w:val="clear"/>
            <w:tcMar>
              <w:left w:w="28" w:type="dxa"/>
            </w:tcMar>
            <w:vAlign w:val="bottom"/>
          </w:tcPr>
          <w:p>
            <w:pPr>
              <w:pStyle w:val="TableContents"/>
              <w:spacing w:before="0" w:after="283"/>
              <w:rPr/>
            </w:pPr>
            <w:r>
              <w:rPr/>
              <w:t>  </w:t>
            </w:r>
          </w:p>
        </w:tc>
        <w:tc>
          <w:tcPr>
            <w:tcW w:w="6559" w:type="dxa"/>
            <w:gridSpan w:val="13"/>
            <w:tcBorders/>
            <w:shd w:fill="auto" w:val="clear"/>
          </w:tcPr>
          <w:p>
            <w:pPr>
              <w:pStyle w:val="TableContents"/>
              <w:spacing w:before="0" w:after="0"/>
              <w:rPr/>
            </w:pPr>
            <w:r>
              <w:rPr/>
              <w:t> </w:t>
            </w:r>
          </w:p>
          <w:p>
            <w:pPr>
              <w:pStyle w:val="TableContents"/>
              <w:spacing w:before="0" w:after="20"/>
              <w:rPr>
                <w:rFonts w:ascii="Times New Roman" w:hAnsi="Times New Roman"/>
                <w:sz w:val="16"/>
              </w:rPr>
            </w:pPr>
            <w:r>
              <w:rPr>
                <w:rFonts w:ascii="Times New Roman" w:hAnsi="Times New Roman"/>
                <w:sz w:val="16"/>
              </w:rPr>
              <w:t>3.  To approve, on an advisory basis, the compensation of our named executive officers.</w:t>
            </w:r>
          </w:p>
        </w:tc>
        <w:tc>
          <w:tcPr>
            <w:tcW w:w="60" w:type="dxa"/>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428" w:type="dxa"/>
            <w:tcBorders/>
            <w:shd w:fill="auto" w:val="clear"/>
          </w:tcPr>
          <w:p>
            <w:pPr>
              <w:pStyle w:val="TableContents"/>
              <w:spacing w:before="0" w:after="283"/>
              <w:jc w:val="center"/>
              <w:rPr/>
            </w:pPr>
            <w:r>
              <w:rPr/>
              <w:t>☐</w:t>
            </w:r>
          </w:p>
        </w:tc>
        <w:tc>
          <w:tcPr>
            <w:tcW w:w="82" w:type="dxa"/>
            <w:tcBorders/>
            <w:shd w:fill="auto" w:val="clear"/>
            <w:vAlign w:val="bottom"/>
          </w:tcPr>
          <w:p>
            <w:pPr>
              <w:pStyle w:val="TableContents"/>
              <w:spacing w:before="0" w:after="283"/>
              <w:rPr/>
            </w:pPr>
            <w:r>
              <w:rPr/>
              <w:t> </w:t>
            </w:r>
          </w:p>
        </w:tc>
        <w:tc>
          <w:tcPr>
            <w:tcW w:w="914" w:type="dxa"/>
            <w:gridSpan w:val="3"/>
            <w:tcBorders/>
            <w:shd w:fill="auto" w:val="clear"/>
          </w:tcPr>
          <w:p>
            <w:pPr>
              <w:pStyle w:val="TableContents"/>
              <w:spacing w:before="0" w:after="283"/>
              <w:jc w:val="center"/>
              <w:rPr/>
            </w:pPr>
            <w:r>
              <w:rPr/>
              <w:t>☐</w:t>
            </w:r>
          </w:p>
        </w:tc>
        <w:tc>
          <w:tcPr>
            <w:tcW w:w="81" w:type="dxa"/>
            <w:tcBorders/>
            <w:shd w:fill="auto" w:val="clear"/>
            <w:vAlign w:val="bottom"/>
          </w:tcPr>
          <w:p>
            <w:pPr>
              <w:pStyle w:val="TableContents"/>
              <w:spacing w:before="0" w:after="283"/>
              <w:rPr/>
            </w:pPr>
            <w:r>
              <w:rPr/>
              <w:t> </w:t>
            </w:r>
          </w:p>
        </w:tc>
        <w:tc>
          <w:tcPr>
            <w:tcW w:w="941" w:type="dxa"/>
            <w:gridSpan w:val="3"/>
            <w:tcBorders>
              <w:right w:val="single" w:sz="16" w:space="0" w:color="000000"/>
            </w:tcBorders>
            <w:shd w:fill="auto" w:val="clear"/>
            <w:tcMar>
              <w:right w:w="40" w:type="dxa"/>
            </w:tcMar>
          </w:tcPr>
          <w:p>
            <w:pPr>
              <w:pStyle w:val="TableContents"/>
              <w:spacing w:before="0" w:after="283"/>
              <w:jc w:val="center"/>
              <w:rPr/>
            </w:pPr>
            <w:r>
              <w:rPr/>
              <w:t>☐</w:t>
            </w:r>
          </w:p>
        </w:tc>
      </w:tr>
      <w:tr>
        <w:trPr/>
        <w:tc>
          <w:tcPr>
            <w:tcW w:w="336" w:type="dxa"/>
            <w:vMerge w:val="continue"/>
            <w:tcBorders/>
            <w:shd w:fill="auto" w:val="clear"/>
            <w:vAlign w:val="bottom"/>
          </w:tcPr>
          <w:p>
            <w:pPr>
              <w:pStyle w:val="Normal"/>
              <w:rPr/>
            </w:pPr>
            <w:r>
              <w:rPr/>
            </w:r>
          </w:p>
        </w:tc>
        <w:tc>
          <w:tcPr>
            <w:tcW w:w="139" w:type="dxa"/>
            <w:tcBorders>
              <w:left w:val="single" w:sz="16" w:space="0" w:color="000000"/>
            </w:tcBorders>
            <w:shd w:fill="auto" w:val="clear"/>
            <w:tcMar>
              <w:left w:w="28" w:type="dxa"/>
            </w:tcMar>
            <w:vAlign w:val="bottom"/>
          </w:tcPr>
          <w:p>
            <w:pPr>
              <w:pStyle w:val="TableContents"/>
              <w:spacing w:before="0" w:after="283"/>
              <w:rPr/>
            </w:pPr>
            <w:r>
              <w:rPr/>
              <w:t>  </w:t>
            </w:r>
          </w:p>
        </w:tc>
        <w:tc>
          <w:tcPr>
            <w:tcW w:w="6559" w:type="dxa"/>
            <w:gridSpan w:val="13"/>
            <w:tcBorders/>
            <w:shd w:fill="auto" w:val="clear"/>
          </w:tcPr>
          <w:p>
            <w:pPr>
              <w:pStyle w:val="TableContents"/>
              <w:spacing w:before="0" w:after="0"/>
              <w:rPr/>
            </w:pPr>
            <w:r>
              <w:rPr/>
              <w:t> </w:t>
            </w:r>
          </w:p>
          <w:p>
            <w:pPr>
              <w:pStyle w:val="TableContents"/>
              <w:spacing w:before="0" w:after="20"/>
              <w:rPr>
                <w:rFonts w:ascii="Times New Roman" w:hAnsi="Times New Roman"/>
                <w:sz w:val="16"/>
              </w:rPr>
            </w:pPr>
            <w:r>
              <w:rPr>
                <w:rFonts w:ascii="Times New Roman" w:hAnsi="Times New Roman"/>
                <w:sz w:val="16"/>
              </w:rPr>
              <w:t>4.  To ratify the appointment of Ernst &amp; Young LLP as the Companys independent registered public accounting firm for the fiscal year ending December 31, 2023.</w:t>
            </w:r>
          </w:p>
        </w:tc>
        <w:tc>
          <w:tcPr>
            <w:tcW w:w="60" w:type="dxa"/>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428" w:type="dxa"/>
            <w:tcBorders/>
            <w:shd w:fill="auto" w:val="clear"/>
          </w:tcPr>
          <w:p>
            <w:pPr>
              <w:pStyle w:val="TableContents"/>
              <w:spacing w:before="0" w:after="283"/>
              <w:jc w:val="center"/>
              <w:rPr/>
            </w:pPr>
            <w:r>
              <w:rPr/>
              <w:t>☐</w:t>
            </w:r>
          </w:p>
        </w:tc>
        <w:tc>
          <w:tcPr>
            <w:tcW w:w="82" w:type="dxa"/>
            <w:tcBorders/>
            <w:shd w:fill="auto" w:val="clear"/>
            <w:vAlign w:val="bottom"/>
          </w:tcPr>
          <w:p>
            <w:pPr>
              <w:pStyle w:val="TableContents"/>
              <w:spacing w:before="0" w:after="283"/>
              <w:rPr/>
            </w:pPr>
            <w:r>
              <w:rPr/>
              <w:t> </w:t>
            </w:r>
          </w:p>
        </w:tc>
        <w:tc>
          <w:tcPr>
            <w:tcW w:w="914" w:type="dxa"/>
            <w:gridSpan w:val="3"/>
            <w:tcBorders/>
            <w:shd w:fill="auto" w:val="clear"/>
          </w:tcPr>
          <w:p>
            <w:pPr>
              <w:pStyle w:val="TableContents"/>
              <w:spacing w:before="0" w:after="283"/>
              <w:jc w:val="center"/>
              <w:rPr/>
            </w:pPr>
            <w:r>
              <w:rPr/>
              <w:t>☐</w:t>
            </w:r>
          </w:p>
        </w:tc>
        <w:tc>
          <w:tcPr>
            <w:tcW w:w="81" w:type="dxa"/>
            <w:tcBorders/>
            <w:shd w:fill="auto" w:val="clear"/>
            <w:vAlign w:val="bottom"/>
          </w:tcPr>
          <w:p>
            <w:pPr>
              <w:pStyle w:val="TableContents"/>
              <w:spacing w:before="0" w:after="283"/>
              <w:rPr/>
            </w:pPr>
            <w:r>
              <w:rPr/>
              <w:t> </w:t>
            </w:r>
          </w:p>
        </w:tc>
        <w:tc>
          <w:tcPr>
            <w:tcW w:w="941" w:type="dxa"/>
            <w:gridSpan w:val="3"/>
            <w:tcBorders>
              <w:right w:val="single" w:sz="16" w:space="0" w:color="000000"/>
            </w:tcBorders>
            <w:shd w:fill="auto" w:val="clear"/>
            <w:tcMar>
              <w:right w:w="40" w:type="dxa"/>
            </w:tcMar>
          </w:tcPr>
          <w:p>
            <w:pPr>
              <w:pStyle w:val="TableContents"/>
              <w:spacing w:before="0" w:after="283"/>
              <w:jc w:val="center"/>
              <w:rPr/>
            </w:pPr>
            <w:r>
              <w:rPr/>
              <w:t>☐</w:t>
            </w:r>
          </w:p>
        </w:tc>
      </w:tr>
      <w:tr>
        <w:trPr/>
        <w:tc>
          <w:tcPr>
            <w:tcW w:w="336" w:type="dxa"/>
            <w:vMerge w:val="continue"/>
            <w:tcBorders/>
            <w:shd w:fill="auto" w:val="clear"/>
            <w:vAlign w:val="bottom"/>
          </w:tcPr>
          <w:p>
            <w:pPr>
              <w:pStyle w:val="Normal"/>
              <w:rPr/>
            </w:pPr>
            <w:r>
              <w:rPr/>
            </w:r>
          </w:p>
        </w:tc>
        <w:tc>
          <w:tcPr>
            <w:tcW w:w="139" w:type="dxa"/>
            <w:tcBorders>
              <w:left w:val="single" w:sz="16" w:space="0" w:color="000000"/>
            </w:tcBorders>
            <w:shd w:fill="auto" w:val="clear"/>
            <w:tcMar>
              <w:left w:w="28" w:type="dxa"/>
            </w:tcMar>
            <w:vAlign w:val="bottom"/>
          </w:tcPr>
          <w:p>
            <w:pPr>
              <w:pStyle w:val="TableContents"/>
              <w:spacing w:before="0" w:after="283"/>
              <w:rPr/>
            </w:pPr>
            <w:r>
              <w:rPr/>
              <w:t>  </w:t>
            </w:r>
          </w:p>
        </w:tc>
        <w:tc>
          <w:tcPr>
            <w:tcW w:w="6559" w:type="dxa"/>
            <w:gridSpan w:val="13"/>
            <w:tcBorders/>
            <w:shd w:fill="auto" w:val="clear"/>
          </w:tcPr>
          <w:p>
            <w:pPr>
              <w:pStyle w:val="TableContents"/>
              <w:spacing w:before="0" w:after="0"/>
              <w:rPr/>
            </w:pPr>
            <w:r>
              <w:rPr/>
              <w:t> </w:t>
            </w:r>
          </w:p>
          <w:p>
            <w:pPr>
              <w:pStyle w:val="TableContents"/>
              <w:spacing w:before="0" w:after="20"/>
              <w:rPr>
                <w:rFonts w:ascii="Times New Roman" w:hAnsi="Times New Roman"/>
                <w:sz w:val="16"/>
              </w:rPr>
            </w:pPr>
            <w:r>
              <w:rPr>
                <w:rFonts w:ascii="Times New Roman" w:hAnsi="Times New Roman"/>
                <w:b/>
                <w:sz w:val="16"/>
              </w:rPr>
              <w:t>NOTE:</w:t>
            </w:r>
            <w:r>
              <w:rPr>
                <w:rFonts w:ascii="Times New Roman" w:hAnsi="Times New Roman"/>
                <w:sz w:val="16"/>
              </w:rPr>
              <w:t xml:space="preserve"> Such other business as may properly come before the meeting or any adjournment thereof.</w:t>
            </w:r>
          </w:p>
        </w:tc>
        <w:tc>
          <w:tcPr>
            <w:tcW w:w="60" w:type="dxa"/>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428" w:type="dxa"/>
            <w:tcBorders/>
            <w:shd w:fill="auto" w:val="clear"/>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914" w:type="dxa"/>
            <w:gridSpan w:val="3"/>
            <w:tcBorders/>
            <w:shd w:fill="auto" w:val="clear"/>
          </w:tcPr>
          <w:p>
            <w:pPr>
              <w:pStyle w:val="TableContents"/>
              <w:spacing w:before="0" w:after="283"/>
              <w:rPr>
                <w:sz w:val="4"/>
                <w:szCs w:val="4"/>
              </w:rPr>
            </w:pPr>
            <w:r>
              <w:rPr>
                <w:sz w:val="4"/>
                <w:szCs w:val="4"/>
              </w:rPr>
            </w:r>
          </w:p>
        </w:tc>
        <w:tc>
          <w:tcPr>
            <w:tcW w:w="81" w:type="dxa"/>
            <w:tcBorders/>
            <w:shd w:fill="auto" w:val="clear"/>
            <w:vAlign w:val="bottom"/>
          </w:tcPr>
          <w:p>
            <w:pPr>
              <w:pStyle w:val="TableContents"/>
              <w:spacing w:before="0" w:after="283"/>
              <w:rPr/>
            </w:pPr>
            <w:r>
              <w:rPr/>
              <w:t> </w:t>
            </w:r>
          </w:p>
        </w:tc>
        <w:tc>
          <w:tcPr>
            <w:tcW w:w="941" w:type="dxa"/>
            <w:gridSpan w:val="3"/>
            <w:tcBorders>
              <w:right w:val="single" w:sz="16" w:space="0" w:color="000000"/>
            </w:tcBorders>
            <w:shd w:fill="auto" w:val="clear"/>
            <w:tcMar>
              <w:right w:w="40" w:type="dxa"/>
            </w:tcMar>
          </w:tcPr>
          <w:p>
            <w:pPr>
              <w:pStyle w:val="TableContents"/>
              <w:spacing w:before="0" w:after="283"/>
              <w:rPr/>
            </w:pPr>
            <w:r>
              <w:rPr/>
              <w:t> </w:t>
            </w:r>
          </w:p>
        </w:tc>
      </w:tr>
      <w:tr>
        <w:trPr/>
        <w:tc>
          <w:tcPr>
            <w:tcW w:w="336" w:type="dxa"/>
            <w:vMerge w:val="continue"/>
            <w:tcBorders/>
            <w:shd w:fill="auto" w:val="clear"/>
            <w:vAlign w:val="bottom"/>
          </w:tcPr>
          <w:p>
            <w:pPr>
              <w:pStyle w:val="Normal"/>
              <w:rPr/>
            </w:pPr>
            <w:r>
              <w:rPr/>
            </w:r>
          </w:p>
        </w:tc>
        <w:tc>
          <w:tcPr>
            <w:tcW w:w="139" w:type="dxa"/>
            <w:tcBorders>
              <w:left w:val="single" w:sz="16" w:space="0" w:color="000000"/>
            </w:tcBorders>
            <w:shd w:fill="auto" w:val="clear"/>
            <w:tcMar>
              <w:left w:w="28" w:type="dxa"/>
            </w:tcMar>
            <w:vAlign w:val="bottom"/>
          </w:tcPr>
          <w:p>
            <w:pPr>
              <w:pStyle w:val="TableContents"/>
              <w:spacing w:before="0" w:after="283"/>
              <w:rPr/>
            </w:pPr>
            <w:r>
              <w:rPr/>
              <w:t>  </w:t>
            </w:r>
          </w:p>
        </w:tc>
        <w:tc>
          <w:tcPr>
            <w:tcW w:w="6559" w:type="dxa"/>
            <w:gridSpan w:val="13"/>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rPr>
                <w:sz w:val="4"/>
                <w:szCs w:val="4"/>
              </w:rPr>
            </w:pPr>
            <w:r>
              <w:rPr>
                <w:sz w:val="4"/>
                <w:szCs w:val="4"/>
              </w:rPr>
            </w:r>
          </w:p>
        </w:tc>
        <w:tc>
          <w:tcPr>
            <w:tcW w:w="81"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115" w:type="dxa"/>
            <w:tcBorders>
              <w:right w:val="single" w:sz="16" w:space="0" w:color="000000"/>
            </w:tcBorders>
            <w:shd w:fill="auto" w:val="clear"/>
            <w:tcMar>
              <w:right w:w="40" w:type="dxa"/>
            </w:tcMar>
            <w:vAlign w:val="bottom"/>
          </w:tcPr>
          <w:p>
            <w:pPr>
              <w:pStyle w:val="TableContents"/>
              <w:spacing w:before="0" w:after="283"/>
              <w:rPr/>
            </w:pPr>
            <w:r>
              <w:rPr/>
              <w:t> </w:t>
            </w:r>
          </w:p>
        </w:tc>
      </w:tr>
      <w:tr>
        <w:trPr/>
        <w:tc>
          <w:tcPr>
            <w:tcW w:w="336" w:type="dxa"/>
            <w:tcBorders/>
            <w:shd w:fill="auto" w:val="clear"/>
            <w:vAlign w:val="bottom"/>
          </w:tcPr>
          <w:p>
            <w:pPr>
              <w:pStyle w:val="TableContents"/>
              <w:spacing w:before="0" w:after="283"/>
              <w:rPr>
                <w:sz w:val="4"/>
                <w:szCs w:val="4"/>
              </w:rPr>
            </w:pPr>
            <w:r>
              <w:rPr>
                <w:sz w:val="4"/>
                <w:szCs w:val="4"/>
              </w:rPr>
            </w:r>
          </w:p>
        </w:tc>
        <w:tc>
          <w:tcPr>
            <w:tcW w:w="139" w:type="dxa"/>
            <w:tcBorders>
              <w:left w:val="single" w:sz="16" w:space="0" w:color="000000"/>
            </w:tcBorders>
            <w:shd w:fill="auto" w:val="clear"/>
            <w:tcMar>
              <w:left w:w="28" w:type="dxa"/>
            </w:tcMar>
            <w:vAlign w:val="bottom"/>
          </w:tcPr>
          <w:p>
            <w:pPr>
              <w:pStyle w:val="TableContents"/>
              <w:spacing w:before="0" w:after="283"/>
              <w:rPr/>
            </w:pPr>
            <w:r>
              <w:rPr/>
              <w:t>  </w:t>
            </w:r>
          </w:p>
        </w:tc>
        <w:tc>
          <w:tcPr>
            <w:tcW w:w="7202" w:type="dxa"/>
            <w:gridSpan w:val="15"/>
            <w:tcBorders/>
            <w:shd w:fill="auto" w:val="clear"/>
            <w:vAlign w:val="bottom"/>
          </w:tcPr>
          <w:p>
            <w:pPr>
              <w:pStyle w:val="TableContents"/>
              <w:spacing w:before="0" w:after="0"/>
              <w:rPr/>
            </w:pPr>
            <w:r>
              <w:rPr/>
              <w:t> </w:t>
            </w:r>
          </w:p>
          <w:p>
            <w:pPr>
              <w:pStyle w:val="TableContents"/>
              <w:spacing w:before="0" w:after="0"/>
              <w:rPr/>
            </w:pPr>
            <w:r>
              <w:rPr/>
              <w:t> </w:t>
            </w:r>
          </w:p>
          <w:p>
            <w:pPr>
              <w:pStyle w:val="TableContents"/>
              <w:spacing w:before="0" w:after="0"/>
              <w:jc w:val="both"/>
              <w:rPr>
                <w:rFonts w:ascii="Times New Roman" w:hAnsi="Times New Roman"/>
                <w:sz w:val="16"/>
              </w:rPr>
            </w:pPr>
            <w:r>
              <w:rPr>
                <w:rFonts w:ascii="Times New Roman" w:hAnsi="Times New Roman"/>
                <w:sz w:val="16"/>
              </w:rPr>
              <w:t>Please sign exactly as your name(s) appear(s) hereon. When signing as attorney, executor,</w:t>
            </w:r>
          </w:p>
          <w:p>
            <w:pPr>
              <w:pStyle w:val="TableContents"/>
              <w:spacing w:before="0" w:after="0"/>
              <w:jc w:val="both"/>
              <w:rPr>
                <w:rFonts w:ascii="Times New Roman" w:hAnsi="Times New Roman"/>
                <w:sz w:val="16"/>
              </w:rPr>
            </w:pPr>
            <w:r>
              <w:rPr>
                <w:rFonts w:ascii="Times New Roman" w:hAnsi="Times New Roman"/>
                <w:sz w:val="16"/>
              </w:rPr>
              <w:t>administrator, or other fiduciary, please give full title as such. Joint owners should each sign</w:t>
            </w:r>
          </w:p>
          <w:p>
            <w:pPr>
              <w:pStyle w:val="TableContents"/>
              <w:spacing w:before="0" w:after="0"/>
              <w:jc w:val="both"/>
              <w:rPr>
                <w:rFonts w:ascii="Times New Roman" w:hAnsi="Times New Roman"/>
                <w:sz w:val="16"/>
              </w:rPr>
            </w:pPr>
            <w:r>
              <w:rPr>
                <w:rFonts w:ascii="Times New Roman" w:hAnsi="Times New Roman"/>
                <w:sz w:val="16"/>
              </w:rPr>
              <w:t>personally. All holders must sign. If a corporation or partnership, please sign in full corporate</w:t>
            </w:r>
          </w:p>
          <w:p>
            <w:pPr>
              <w:pStyle w:val="TableContents"/>
              <w:spacing w:before="0" w:after="0"/>
              <w:jc w:val="both"/>
              <w:rPr>
                <w:rFonts w:ascii="Times New Roman" w:hAnsi="Times New Roman"/>
                <w:sz w:val="16"/>
              </w:rPr>
            </w:pPr>
            <w:r>
              <w:rPr>
                <w:rFonts w:ascii="Times New Roman" w:hAnsi="Times New Roman"/>
                <w:sz w:val="16"/>
              </w:rPr>
              <w:t>or partnership name by authorized officer.</w:t>
            </w:r>
          </w:p>
          <w:p>
            <w:pPr>
              <w:pStyle w:val="TableContents"/>
              <w:spacing w:before="0" w:after="20"/>
              <w:jc w:val="left"/>
              <w:rPr/>
            </w:pPr>
            <w:r>
              <w:rPr/>
              <w:t> </w:t>
            </w:r>
          </w:p>
        </w:tc>
        <w:tc>
          <w:tcPr>
            <w:tcW w:w="82"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rPr>
                <w:sz w:val="4"/>
                <w:szCs w:val="4"/>
              </w:rPr>
            </w:pPr>
            <w:r>
              <w:rPr>
                <w:sz w:val="4"/>
                <w:szCs w:val="4"/>
              </w:rPr>
            </w:r>
          </w:p>
        </w:tc>
        <w:tc>
          <w:tcPr>
            <w:tcW w:w="81"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115" w:type="dxa"/>
            <w:tcBorders>
              <w:right w:val="single" w:sz="16" w:space="0" w:color="000000"/>
            </w:tcBorders>
            <w:shd w:fill="auto" w:val="clear"/>
            <w:tcMar>
              <w:right w:w="40" w:type="dxa"/>
            </w:tcMar>
            <w:vAlign w:val="bottom"/>
          </w:tcPr>
          <w:p>
            <w:pPr>
              <w:pStyle w:val="TableContents"/>
              <w:spacing w:before="0" w:after="283"/>
              <w:rPr/>
            </w:pPr>
            <w:r>
              <w:rPr/>
              <w:t> </w:t>
            </w:r>
          </w:p>
        </w:tc>
      </w:tr>
      <w:tr>
        <w:trPr/>
        <w:tc>
          <w:tcPr>
            <w:tcW w:w="336" w:type="dxa"/>
            <w:tcBorders/>
            <w:shd w:fill="auto" w:val="clear"/>
            <w:vAlign w:val="bottom"/>
          </w:tcPr>
          <w:p>
            <w:pPr>
              <w:pStyle w:val="TableContents"/>
              <w:spacing w:before="0" w:after="283"/>
              <w:rPr>
                <w:sz w:val="4"/>
                <w:szCs w:val="4"/>
              </w:rPr>
            </w:pPr>
            <w:r>
              <w:rPr>
                <w:sz w:val="4"/>
                <w:szCs w:val="4"/>
              </w:rPr>
            </w:r>
          </w:p>
        </w:tc>
        <w:tc>
          <w:tcPr>
            <w:tcW w:w="139" w:type="dxa"/>
            <w:tcBorders>
              <w:left w:val="single" w:sz="12" w:space="0" w:color="000000"/>
            </w:tcBorders>
            <w:shd w:fill="auto" w:val="clear"/>
            <w:tcMar>
              <w:left w:w="28" w:type="dxa"/>
            </w:tcM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sz w:val="4"/>
                <w:szCs w:val="4"/>
              </w:rPr>
            </w:pPr>
            <w:r>
              <w:rPr>
                <w:sz w:val="4"/>
                <w:szCs w:val="4"/>
              </w:rPr>
            </w:r>
          </w:p>
        </w:tc>
        <w:tc>
          <w:tcPr>
            <w:tcW w:w="61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sz w:val="4"/>
                <w:szCs w:val="4"/>
              </w:rPr>
            </w:pPr>
            <w:r>
              <w:rPr>
                <w:sz w:val="4"/>
                <w:szCs w:val="4"/>
              </w:rPr>
            </w:r>
          </w:p>
        </w:tc>
        <w:tc>
          <w:tcPr>
            <w:tcW w:w="386" w:type="dxa"/>
            <w:tcBorders>
              <w:top w:val="single" w:sz="2" w:space="0" w:color="000000"/>
              <w:left w:val="single" w:sz="2" w:space="0" w:color="000000"/>
              <w:bottom w:val="single" w:sz="12" w:space="0" w:color="000000"/>
            </w:tcBorders>
            <w:shd w:fill="auto" w:val="clear"/>
            <w:tcMar>
              <w:top w:w="28" w:type="dxa"/>
              <w:left w:w="28" w:type="dxa"/>
              <w:bottom w:w="28" w:type="dxa"/>
            </w:tcMar>
            <w:vAlign w:val="bottom"/>
          </w:tcPr>
          <w:p>
            <w:pPr>
              <w:pStyle w:val="TableContents"/>
              <w:spacing w:before="0" w:after="283"/>
              <w:rPr/>
            </w:pPr>
            <w:r>
              <w:rPr/>
              <w:t> </w:t>
            </w:r>
          </w:p>
        </w:tc>
        <w:tc>
          <w:tcPr>
            <w:tcW w:w="2165" w:type="dxa"/>
            <w:tcBorders>
              <w:top w:val="single" w:sz="2" w:space="0" w:color="000000"/>
              <w:bottom w:val="single" w:sz="12" w:space="0" w:color="000000"/>
            </w:tcBorders>
            <w:shd w:fill="auto" w:val="clear"/>
            <w:tcMar>
              <w:top w:w="28" w:type="dxa"/>
              <w:bottom w:w="28" w:type="dxa"/>
            </w:tcMar>
            <w:vAlign w:val="bottom"/>
          </w:tcPr>
          <w:p>
            <w:pPr>
              <w:pStyle w:val="TableContents"/>
              <w:spacing w:before="0" w:after="0"/>
              <w:rPr/>
            </w:pPr>
            <w:r>
              <w:rPr/>
              <w:t>    </w:t>
            </w:r>
          </w:p>
        </w:tc>
        <w:tc>
          <w:tcPr>
            <w:tcW w:w="82" w:type="dxa"/>
            <w:tcBorders>
              <w:top w:val="single" w:sz="2" w:space="0" w:color="000000"/>
              <w:left w:val="single" w:sz="2" w:space="0" w:color="000000"/>
              <w:bottom w:val="single" w:sz="12" w:space="0" w:color="000000"/>
            </w:tcBorders>
            <w:shd w:fill="auto" w:val="clear"/>
            <w:tcMar>
              <w:top w:w="28" w:type="dxa"/>
              <w:left w:w="28" w:type="dxa"/>
              <w:bottom w:w="28" w:type="dxa"/>
            </w:tcMar>
            <w:vAlign w:val="bottom"/>
          </w:tcPr>
          <w:p>
            <w:pPr>
              <w:pStyle w:val="TableContents"/>
              <w:spacing w:before="0" w:after="283"/>
              <w:rPr/>
            </w:pPr>
            <w:r>
              <w:rPr/>
              <w:t> </w:t>
            </w:r>
          </w:p>
        </w:tc>
        <w:tc>
          <w:tcPr>
            <w:tcW w:w="502" w:type="dxa"/>
            <w:tcBorders>
              <w:top w:val="single" w:sz="2" w:space="0" w:color="000000"/>
              <w:bottom w:val="single" w:sz="12" w:space="0" w:color="000000"/>
              <w:right w:val="single" w:sz="2" w:space="0" w:color="000000"/>
            </w:tcBorders>
            <w:shd w:fill="auto" w:val="clear"/>
            <w:tcMar>
              <w:top w:w="28" w:type="dxa"/>
              <w:bottom w:w="28" w:type="dxa"/>
              <w:right w:w="28" w:type="dxa"/>
            </w:tcMar>
            <w:vAlign w:val="bottom"/>
          </w:tcPr>
          <w:p>
            <w:pPr>
              <w:pStyle w:val="TableContents"/>
              <w:spacing w:before="0" w:after="0"/>
              <w:jc w:val="both"/>
              <w:rPr/>
            </w:pPr>
            <w:r>
              <w:rPr/>
              <w:t>      </w:t>
            </w:r>
          </w:p>
        </w:tc>
        <w:tc>
          <w:tcPr>
            <w:tcW w:w="82"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39" w:type="dxa"/>
            <w:tcBorders>
              <w:top w:val="single" w:sz="2" w:space="0" w:color="000000"/>
              <w:left w:val="single" w:sz="2" w:space="0" w:color="000000"/>
              <w:bottom w:val="single" w:sz="12" w:space="0" w:color="000000"/>
            </w:tcBorders>
            <w:shd w:fill="auto" w:val="clear"/>
            <w:tcMar>
              <w:top w:w="28" w:type="dxa"/>
              <w:left w:w="28" w:type="dxa"/>
              <w:bottom w:w="28" w:type="dxa"/>
            </w:tcMar>
            <w:vAlign w:val="bottom"/>
          </w:tcPr>
          <w:p>
            <w:pPr>
              <w:pStyle w:val="TableContents"/>
              <w:spacing w:before="0" w:after="283"/>
              <w:rPr/>
            </w:pPr>
            <w:r>
              <w:rPr/>
              <w:t>  </w:t>
            </w:r>
          </w:p>
        </w:tc>
        <w:tc>
          <w:tcPr>
            <w:tcW w:w="744" w:type="dxa"/>
            <w:tcBorders>
              <w:top w:val="single" w:sz="2" w:space="0" w:color="000000"/>
              <w:bottom w:val="single" w:sz="12" w:space="0" w:color="000000"/>
            </w:tcBorders>
            <w:shd w:fill="auto" w:val="clear"/>
            <w:tcMar>
              <w:top w:w="28" w:type="dxa"/>
              <w:bottom w:w="28" w:type="dxa"/>
            </w:tcMar>
            <w:vAlign w:val="bottom"/>
          </w:tcPr>
          <w:p>
            <w:pPr>
              <w:pStyle w:val="TableContents"/>
              <w:spacing w:before="0" w:after="283"/>
              <w:rPr/>
            </w:pPr>
            <w:r>
              <w:rPr/>
              <w:t> </w:t>
            </w:r>
          </w:p>
        </w:tc>
        <w:tc>
          <w:tcPr>
            <w:tcW w:w="60" w:type="dxa"/>
            <w:tcBorders>
              <w:top w:val="single" w:sz="2" w:space="0" w:color="000000"/>
              <w:left w:val="single" w:sz="2" w:space="0" w:color="000000"/>
              <w:bottom w:val="single" w:sz="12" w:space="0" w:color="000000"/>
            </w:tcBorders>
            <w:shd w:fill="auto" w:val="clear"/>
            <w:tcMar>
              <w:top w:w="28" w:type="dxa"/>
              <w:left w:w="28" w:type="dxa"/>
              <w:bottom w:w="28" w:type="dxa"/>
            </w:tcMar>
            <w:vAlign w:val="bottom"/>
          </w:tcPr>
          <w:p>
            <w:pPr>
              <w:pStyle w:val="TableContents"/>
              <w:spacing w:before="0" w:after="283"/>
              <w:rPr/>
            </w:pPr>
            <w:r>
              <w:rPr/>
              <w:t> </w:t>
            </w:r>
          </w:p>
        </w:tc>
        <w:tc>
          <w:tcPr>
            <w:tcW w:w="583" w:type="dxa"/>
            <w:tcBorders>
              <w:top w:val="single" w:sz="2" w:space="0" w:color="000000"/>
              <w:bottom w:val="single" w:sz="12" w:space="0" w:color="000000"/>
              <w:right w:val="single" w:sz="2" w:space="0" w:color="000000"/>
            </w:tcBorders>
            <w:shd w:fill="auto" w:val="clear"/>
            <w:tcMar>
              <w:top w:w="28" w:type="dxa"/>
              <w:bottom w:w="28" w:type="dxa"/>
              <w:right w:w="28" w:type="dxa"/>
            </w:tcMar>
            <w:vAlign w:val="bottom"/>
          </w:tcPr>
          <w:p>
            <w:pPr>
              <w:pStyle w:val="TableContents"/>
              <w:spacing w:before="0" w:after="0"/>
              <w:jc w:val="both"/>
              <w:rPr/>
            </w:pPr>
            <w:r>
              <w:rPr/>
              <w:t>      </w:t>
            </w:r>
          </w:p>
        </w:tc>
        <w:tc>
          <w:tcPr>
            <w:tcW w:w="82"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rPr>
                <w:sz w:val="4"/>
                <w:szCs w:val="4"/>
              </w:rPr>
            </w:pPr>
            <w:r>
              <w:rPr>
                <w:sz w:val="4"/>
                <w:szCs w:val="4"/>
              </w:rPr>
            </w:r>
          </w:p>
        </w:tc>
        <w:tc>
          <w:tcPr>
            <w:tcW w:w="81"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115" w:type="dxa"/>
            <w:tcBorders>
              <w:right w:val="single" w:sz="16" w:space="0" w:color="000000"/>
            </w:tcBorders>
            <w:shd w:fill="auto" w:val="clear"/>
            <w:tcMar>
              <w:right w:w="40" w:type="dxa"/>
            </w:tcMar>
            <w:vAlign w:val="bottom"/>
          </w:tcPr>
          <w:p>
            <w:pPr>
              <w:pStyle w:val="TableContents"/>
              <w:spacing w:before="0" w:after="283"/>
              <w:rPr/>
            </w:pPr>
            <w:r>
              <w:rPr/>
              <w:t> </w:t>
            </w:r>
          </w:p>
        </w:tc>
      </w:tr>
      <w:tr>
        <w:trPr/>
        <w:tc>
          <w:tcPr>
            <w:tcW w:w="336" w:type="dxa"/>
            <w:tcBorders/>
            <w:shd w:fill="auto" w:val="clear"/>
            <w:vAlign w:val="bottom"/>
          </w:tcPr>
          <w:p>
            <w:pPr>
              <w:pStyle w:val="TableContents"/>
              <w:spacing w:before="0" w:after="283"/>
              <w:rPr>
                <w:sz w:val="4"/>
                <w:szCs w:val="4"/>
              </w:rPr>
            </w:pPr>
            <w:r>
              <w:rPr>
                <w:sz w:val="4"/>
                <w:szCs w:val="4"/>
              </w:rPr>
            </w:r>
          </w:p>
        </w:tc>
        <w:tc>
          <w:tcPr>
            <w:tcW w:w="139" w:type="dxa"/>
            <w:tcBorders>
              <w:left w:val="single" w:sz="16" w:space="0" w:color="000000"/>
              <w:bottom w:val="single" w:sz="16" w:space="0" w:color="000000"/>
            </w:tcBorders>
            <w:shd w:fill="auto" w:val="clear"/>
            <w:tcMar>
              <w:left w:w="28" w:type="dxa"/>
              <w:bottom w:w="28" w:type="dxa"/>
            </w:tcMar>
            <w:vAlign w:val="bottom"/>
          </w:tcPr>
          <w:p>
            <w:pPr>
              <w:pStyle w:val="TableContents"/>
              <w:spacing w:before="0" w:after="283"/>
              <w:rPr/>
            </w:pPr>
            <w:r>
              <w:rPr/>
              <w:t>  </w:t>
            </w:r>
          </w:p>
        </w:tc>
        <w:tc>
          <w:tcPr>
            <w:tcW w:w="4365" w:type="dxa"/>
            <w:gridSpan w:val="7"/>
            <w:tcBorders>
              <w:bottom w:val="single" w:sz="16" w:space="0" w:color="000000"/>
            </w:tcBorders>
            <w:shd w:fill="auto" w:val="clear"/>
            <w:tcMar>
              <w:bottom w:w="28" w:type="dxa"/>
            </w:tcMar>
            <w:vAlign w:val="bottom"/>
          </w:tcPr>
          <w:p>
            <w:pPr>
              <w:pStyle w:val="TableContents"/>
              <w:spacing w:before="0" w:after="0"/>
              <w:rPr/>
            </w:pPr>
            <w:r>
              <w:rPr/>
              <w:t> </w:t>
            </w:r>
          </w:p>
          <w:p>
            <w:pPr>
              <w:pStyle w:val="TableContents"/>
              <w:spacing w:before="0" w:after="20"/>
              <w:rPr>
                <w:rFonts w:ascii="Times New Roman" w:hAnsi="Times New Roman"/>
                <w:sz w:val="16"/>
              </w:rPr>
            </w:pPr>
            <w:r>
              <w:rPr>
                <w:rFonts w:ascii="Times New Roman" w:hAnsi="Times New Roman"/>
                <w:sz w:val="16"/>
              </w:rPr>
              <w:t>Signature [PLEASE SIGN WITHIN BOX]                 Date</w:t>
            </w:r>
          </w:p>
        </w:tc>
        <w:tc>
          <w:tcPr>
            <w:tcW w:w="82" w:type="dxa"/>
            <w:tcBorders>
              <w:bottom w:val="single" w:sz="16" w:space="0" w:color="000000"/>
            </w:tcBorders>
            <w:shd w:fill="auto" w:val="clear"/>
            <w:tcMar>
              <w:bottom w:w="28" w:type="dxa"/>
            </w:tcMar>
            <w:vAlign w:val="bottom"/>
          </w:tcPr>
          <w:p>
            <w:pPr>
              <w:pStyle w:val="TableContents"/>
              <w:spacing w:before="0" w:after="283"/>
              <w:rPr/>
            </w:pPr>
            <w:r>
              <w:rPr/>
              <w:t> </w:t>
            </w:r>
          </w:p>
        </w:tc>
        <w:tc>
          <w:tcPr>
            <w:tcW w:w="1087" w:type="dxa"/>
            <w:tcBorders>
              <w:bottom w:val="single" w:sz="16" w:space="0" w:color="000000"/>
            </w:tcBorders>
            <w:shd w:fill="auto" w:val="clear"/>
            <w:tcMar>
              <w:bottom w:w="28" w:type="dxa"/>
            </w:tcMar>
            <w:vAlign w:val="bottom"/>
          </w:tcPr>
          <w:p>
            <w:pPr>
              <w:pStyle w:val="TableContents"/>
              <w:spacing w:before="0" w:after="283"/>
              <w:rPr/>
            </w:pPr>
            <w:r>
              <w:rPr/>
              <w:t> </w:t>
            </w:r>
          </w:p>
        </w:tc>
        <w:tc>
          <w:tcPr>
            <w:tcW w:w="82" w:type="dxa"/>
            <w:tcBorders>
              <w:bottom w:val="single" w:sz="16" w:space="0" w:color="000000"/>
            </w:tcBorders>
            <w:shd w:fill="auto" w:val="clear"/>
            <w:tcMar>
              <w:bottom w:w="28" w:type="dxa"/>
            </w:tcMar>
            <w:vAlign w:val="bottom"/>
          </w:tcPr>
          <w:p>
            <w:pPr>
              <w:pStyle w:val="TableContents"/>
              <w:spacing w:before="0" w:after="283"/>
              <w:rPr/>
            </w:pPr>
            <w:r>
              <w:rPr/>
              <w:t> </w:t>
            </w:r>
          </w:p>
        </w:tc>
        <w:tc>
          <w:tcPr>
            <w:tcW w:w="3092" w:type="dxa"/>
            <w:gridSpan w:val="11"/>
            <w:tcBorders>
              <w:bottom w:val="single" w:sz="16" w:space="0" w:color="000000"/>
            </w:tcBorders>
            <w:shd w:fill="auto" w:val="clear"/>
            <w:tcMar>
              <w:bottom w:w="28" w:type="dxa"/>
            </w:tcMar>
            <w:vAlign w:val="bottom"/>
          </w:tcPr>
          <w:p>
            <w:pPr>
              <w:pStyle w:val="TableContents"/>
              <w:spacing w:before="0" w:after="0"/>
              <w:rPr/>
            </w:pPr>
            <w:r>
              <w:rPr/>
              <w:t>   </w:t>
            </w:r>
            <w:r>
              <w:rPr>
                <w:rFonts w:ascii="Times New Roman" w:hAnsi="Times New Roman"/>
                <w:sz w:val="16"/>
              </w:rPr>
              <w:t>Signature (Joint Owners)                                              Date</w:t>
            </w:r>
          </w:p>
        </w:tc>
        <w:tc>
          <w:tcPr>
            <w:tcW w:w="81" w:type="dxa"/>
            <w:tcBorders>
              <w:bottom w:val="single" w:sz="12" w:space="0" w:color="000000"/>
            </w:tcBorders>
            <w:shd w:fill="auto" w:val="clear"/>
            <w:tcMar>
              <w:bottom w:w="28" w:type="dxa"/>
            </w:tcMar>
            <w:vAlign w:val="bottom"/>
          </w:tcPr>
          <w:p>
            <w:pPr>
              <w:pStyle w:val="TableContents"/>
              <w:spacing w:before="0" w:after="283"/>
              <w:rPr/>
            </w:pPr>
            <w:r>
              <w:rPr/>
              <w:t> </w:t>
            </w:r>
          </w:p>
        </w:tc>
        <w:tc>
          <w:tcPr>
            <w:tcW w:w="724" w:type="dxa"/>
            <w:tcBorders>
              <w:bottom w:val="single" w:sz="12" w:space="0" w:color="000000"/>
            </w:tcBorders>
            <w:shd w:fill="auto" w:val="clear"/>
            <w:tcMar>
              <w:bottom w:w="28" w:type="dxa"/>
            </w:tcMar>
            <w:vAlign w:val="bottom"/>
          </w:tcPr>
          <w:p>
            <w:pPr>
              <w:pStyle w:val="TableContents"/>
              <w:spacing w:before="0" w:after="283"/>
              <w:rPr/>
            </w:pPr>
            <w:r>
              <w:rPr/>
              <w:t> </w:t>
            </w:r>
          </w:p>
        </w:tc>
        <w:tc>
          <w:tcPr>
            <w:tcW w:w="102" w:type="dxa"/>
            <w:tcBorders>
              <w:bottom w:val="single" w:sz="16" w:space="0" w:color="000000"/>
            </w:tcBorders>
            <w:shd w:fill="auto" w:val="clear"/>
            <w:tcMar>
              <w:bottom w:w="28" w:type="dxa"/>
            </w:tcMar>
            <w:vAlign w:val="bottom"/>
          </w:tcPr>
          <w:p>
            <w:pPr>
              <w:pStyle w:val="TableContents"/>
              <w:spacing w:before="0" w:after="283"/>
              <w:rPr/>
            </w:pPr>
            <w:r>
              <w:rPr/>
              <w:t> </w:t>
            </w:r>
          </w:p>
        </w:tc>
        <w:tc>
          <w:tcPr>
            <w:tcW w:w="115" w:type="dxa"/>
            <w:tcBorders>
              <w:bottom w:val="single" w:sz="16" w:space="0" w:color="000000"/>
              <w:right w:val="single" w:sz="16" w:space="0" w:color="000000"/>
            </w:tcBorders>
            <w:shd w:fill="auto" w:val="clear"/>
            <w:tcMar>
              <w:bottom w:w="28" w:type="dxa"/>
              <w:right w:w="40" w:type="dxa"/>
            </w:tcMar>
            <w:vAlign w:val="bottom"/>
          </w:tcPr>
          <w:p>
            <w:pPr>
              <w:pStyle w:val="TableContents"/>
              <w:spacing w:before="0" w:after="283"/>
              <w:rPr/>
            </w:pPr>
            <w:r>
              <w:rPr/>
              <w:t>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pPr>
      <w:r>
        <w:rPr/>
        <w:t> </w:t>
      </w:r>
    </w:p>
    <w:p>
      <w:pPr>
        <w:pStyle w:val="TextBody"/>
        <w:spacing w:before="2200" w:after="0"/>
        <w:jc w:val="center"/>
        <w:rPr>
          <w:rFonts w:ascii="Times New Roman" w:hAnsi="Times New Roman"/>
          <w:b/>
          <w:sz w:val="20"/>
        </w:rPr>
      </w:pPr>
      <w:r>
        <w:rPr>
          <w:rFonts w:ascii="Times New Roman" w:hAnsi="Times New Roman"/>
          <w:b/>
          <w:sz w:val="20"/>
        </w:rPr>
        <w:t xml:space="preserve">Important Notice Regarding the Availability of Proxy Materials for the Annual Meeting: </w:t>
      </w:r>
    </w:p>
    <w:p>
      <w:pPr>
        <w:pStyle w:val="TextBody"/>
        <w:spacing w:before="0" w:after="0"/>
        <w:jc w:val="center"/>
        <w:rPr>
          <w:rFonts w:ascii="Times New Roman" w:hAnsi="Times New Roman"/>
          <w:sz w:val="20"/>
        </w:rPr>
      </w:pPr>
      <w:r>
        <w:rPr>
          <w:rFonts w:ascii="Times New Roman" w:hAnsi="Times New Roman"/>
          <w:sz w:val="20"/>
        </w:rPr>
        <w:t xml:space="preserve">The Notice and Proxy Statement and Form 10-K are available at </w:t>
      </w:r>
      <w:r>
        <w:rPr>
          <w:rFonts w:ascii="Times New Roman" w:hAnsi="Times New Roman"/>
          <w:sz w:val="20"/>
          <w:u w:val="single"/>
        </w:rPr>
        <w:t>www.proxyvote.com.</w:t>
      </w:r>
      <w:r>
        <w:rPr>
          <w:rFonts w:ascii="Times New Roman" w:hAnsi="Times New Roman"/>
          <w:sz w:val="20"/>
        </w:rPr>
        <w:t xml:space="preserve"> </w:t>
      </w:r>
    </w:p>
    <w:p>
      <w:pPr>
        <w:pStyle w:val="TextBody"/>
        <w:spacing w:before="2400" w:after="0"/>
        <w:jc w:val="left"/>
        <w:rPr/>
      </w:pPr>
      <w:r>
        <w:rPr/>
        <w:t> </w:t>
      </w:r>
      <w:r>
        <w:rPr>
          <w:rFonts w:ascii="Times New Roman" w:hAnsi="Times New Roman"/>
          <w:sz w:val="20"/>
        </w:rPr>
        <w:t xml:space="preserve">                                                    </w:t>
      </w:r>
    </w:p>
    <w:p>
      <w:pPr>
        <w:pStyle w:val="TextBody"/>
        <w:spacing w:before="0" w:after="0"/>
        <w:jc w:val="right"/>
        <w:rPr>
          <w:rFonts w:ascii="Times New Roman" w:hAnsi="Times New Roman"/>
          <w:sz w:val="14"/>
        </w:rPr>
      </w:pPr>
      <w:r>
        <w:rPr>
          <w:rFonts w:ascii="Times New Roman" w:hAnsi="Times New Roman"/>
          <w:sz w:val="14"/>
        </w:rPr>
        <w:t xml:space="preserve">V14935-P90816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pPr>
            <w:r>
              <w:rPr/>
              <w:t> </w:t>
            </w:r>
          </w:p>
          <w:p>
            <w:pPr>
              <w:pStyle w:val="TableContents"/>
              <w:spacing w:before="0" w:after="0"/>
              <w:jc w:val="center"/>
              <w:rPr>
                <w:rFonts w:ascii="Times New Roman" w:hAnsi="Times New Roman"/>
                <w:b/>
                <w:sz w:val="20"/>
              </w:rPr>
            </w:pPr>
            <w:r>
              <w:rPr>
                <w:rFonts w:ascii="Times New Roman" w:hAnsi="Times New Roman"/>
                <w:b/>
                <w:sz w:val="20"/>
              </w:rPr>
              <w:t>TEMPEST THERAPEUTICS, INC.</w:t>
            </w:r>
          </w:p>
          <w:p>
            <w:pPr>
              <w:pStyle w:val="TableContents"/>
              <w:spacing w:before="0" w:after="0"/>
              <w:jc w:val="center"/>
              <w:rPr>
                <w:rFonts w:ascii="Times New Roman" w:hAnsi="Times New Roman"/>
                <w:b/>
                <w:sz w:val="20"/>
              </w:rPr>
            </w:pPr>
            <w:r>
              <w:rPr>
                <w:rFonts w:ascii="Times New Roman" w:hAnsi="Times New Roman"/>
                <w:b/>
                <w:sz w:val="20"/>
              </w:rPr>
              <w:t>Annual Meeting of Stockholders</w:t>
            </w:r>
          </w:p>
          <w:p>
            <w:pPr>
              <w:pStyle w:val="TableContents"/>
              <w:spacing w:before="0" w:after="0"/>
              <w:jc w:val="center"/>
              <w:rPr>
                <w:rFonts w:ascii="Times New Roman" w:hAnsi="Times New Roman"/>
                <w:b/>
                <w:sz w:val="20"/>
              </w:rPr>
            </w:pPr>
            <w:r>
              <w:rPr>
                <w:rFonts w:ascii="Times New Roman" w:hAnsi="Times New Roman"/>
                <w:b/>
                <w:sz w:val="20"/>
              </w:rPr>
              <w:t>June 15, 2023 1:00 P.M. Pacific Time</w:t>
            </w:r>
          </w:p>
          <w:p>
            <w:pPr>
              <w:pStyle w:val="TableContents"/>
              <w:spacing w:before="0" w:after="0"/>
              <w:jc w:val="center"/>
              <w:rPr>
                <w:rFonts w:ascii="Times New Roman" w:hAnsi="Times New Roman"/>
                <w:b/>
                <w:sz w:val="20"/>
              </w:rPr>
            </w:pPr>
            <w:r>
              <w:rPr>
                <w:rFonts w:ascii="Times New Roman" w:hAnsi="Times New Roman"/>
                <w:b/>
                <w:sz w:val="20"/>
              </w:rPr>
              <w:t>This proxy is solicited by the Board of Directors</w:t>
            </w:r>
          </w:p>
          <w:p>
            <w:pPr>
              <w:pStyle w:val="TableContents"/>
              <w:spacing w:before="0" w:after="0"/>
              <w:jc w:val="left"/>
              <w:rPr/>
            </w:pPr>
            <w:r>
              <w:rPr/>
              <w:t> </w:t>
            </w:r>
          </w:p>
          <w:p>
            <w:pPr>
              <w:pStyle w:val="TableContents"/>
              <w:spacing w:before="0" w:after="0"/>
              <w:jc w:val="both"/>
              <w:rPr>
                <w:rFonts w:ascii="Times New Roman" w:hAnsi="Times New Roman"/>
                <w:sz w:val="20"/>
              </w:rPr>
            </w:pPr>
            <w:r>
              <w:rPr>
                <w:rFonts w:ascii="Times New Roman" w:hAnsi="Times New Roman"/>
                <w:sz w:val="20"/>
              </w:rPr>
              <w:t>The stockholder(s) hereby appoint(s) Stephen Brady and Michael Raab, or either of them, as proxies, each with the power to appoint his substitute, and hereby authorize(s) them to represent and to vote, as designated on the reverse side of this ballot, all of the shares of common stock of TEMPEST THERAPEUTICS, INC. that the stockholder(s) is/are entitled to vote at the Annual Meeting of Stockholders to be held at 1:00 P.M., Pacific Time, on June 15, 2023, and any adjournment or postponement thereof.</w:t>
            </w:r>
          </w:p>
          <w:p>
            <w:pPr>
              <w:pStyle w:val="TableContents"/>
              <w:spacing w:before="0" w:after="0"/>
              <w:jc w:val="left"/>
              <w:rPr/>
            </w:pPr>
            <w:r>
              <w:rPr/>
              <w:t> </w:t>
            </w:r>
          </w:p>
          <w:p>
            <w:pPr>
              <w:pStyle w:val="TableContents"/>
              <w:spacing w:before="0" w:after="0"/>
              <w:jc w:val="both"/>
              <w:rPr>
                <w:rFonts w:ascii="Times New Roman" w:hAnsi="Times New Roman"/>
                <w:b/>
                <w:sz w:val="20"/>
              </w:rPr>
            </w:pPr>
            <w:r>
              <w:rPr>
                <w:rFonts w:ascii="Times New Roman" w:hAnsi="Times New Roman"/>
                <w:b/>
                <w:sz w:val="20"/>
              </w:rPr>
              <w:t>This proxy, when properly executed, will be voted in the manner directed herein. If no such direction is made, this proxy will be voted in accordance with the Board of Directors recommendations.</w:t>
            </w:r>
          </w:p>
          <w:p>
            <w:pPr>
              <w:pStyle w:val="TableContents"/>
              <w:spacing w:before="0" w:after="0"/>
              <w:jc w:val="left"/>
              <w:rPr/>
            </w:pPr>
            <w:r>
              <w:rPr/>
              <w:t> </w:t>
            </w:r>
          </w:p>
          <w:p>
            <w:pPr>
              <w:pStyle w:val="TableContents"/>
              <w:spacing w:before="0" w:after="0"/>
              <w:jc w:val="center"/>
              <w:rPr>
                <w:rFonts w:ascii="Times New Roman" w:hAnsi="Times New Roman"/>
                <w:b/>
                <w:sz w:val="20"/>
              </w:rPr>
            </w:pPr>
            <w:r>
              <w:rPr>
                <w:rFonts w:ascii="Times New Roman" w:hAnsi="Times New Roman"/>
                <w:b/>
                <w:sz w:val="20"/>
              </w:rPr>
              <w:t>Continued and to be signed on reverse side</w:t>
            </w:r>
          </w:p>
          <w:p>
            <w:pPr>
              <w:pStyle w:val="TableContents"/>
              <w:spacing w:before="0" w:after="20"/>
              <w:jc w:val="left"/>
              <w:rPr/>
            </w:pPr>
            <w:r>
              <w:rPr/>
              <w:t> </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90</Pages>
  <Words>49033</Words>
  <CharactersWithSpaces>299242</CharactersWithSpaces>
  <Paragraphs>3901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 14A</dc:title>
</cp:coreProperties>
</file>