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As filed with the U.S. Securities and Exchange Commission on November 17, 2023</w:t>
      </w:r>
    </w:p>
    <w:p>
      <w:pPr>
        <w:spacing w:after="0" w:line="3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Tempest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229" w:right="439" w:bottom="1121"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45-1472564</w:t>
      </w:r>
    </w:p>
    <w:p>
      <w:pPr>
        <w:spacing w:after="0" w:line="31" w:lineRule="exact"/>
        <w:rPr>
          <w:sz w:val="24"/>
          <w:szCs w:val="24"/>
          <w:color w:val="auto"/>
        </w:rPr>
      </w:pPr>
    </w:p>
    <w:p>
      <w:pPr>
        <w:sectPr>
          <w:pgSz w:w="11900" w:h="16838" w:orient="portrait"/>
          <w:cols w:equalWidth="0" w:num="2">
            <w:col w:w="7180" w:space="720"/>
            <w:col w:w="3120"/>
          </w:cols>
          <w:pgMar w:left="440" w:top="229" w:right="439" w:bottom="1121" w:gutter="0" w:footer="0" w:header="0"/>
          <w:type w:val="continuous"/>
        </w:sectPr>
      </w:pPr>
    </w:p>
    <w:p>
      <w:pPr>
        <w:spacing w:after="0" w:line="12"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(State or other jurisdiction of</w:t>
      </w: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240"/>
          </w:cols>
          <w:pgMar w:left="440" w:top="229" w:right="439" w:bottom="1121" w:gutter="0" w:footer="0" w:header="0"/>
          <w:type w:val="continuous"/>
        </w:sectPr>
      </w:pP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2000 Sierra Point Parkway, Suite 400</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Brisbane, California 94005</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(415) 798-8589</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(Address of principal executive offices) (Zip code)</w:t>
      </w:r>
    </w:p>
    <w:p>
      <w:pPr>
        <w:sectPr>
          <w:pgSz w:w="11900" w:h="16838" w:orient="portrait"/>
          <w:cols w:equalWidth="0" w:num="1">
            <w:col w:w="11020"/>
          </w:cols>
          <w:pgMar w:left="440" w:top="229" w:right="439" w:bottom="1121" w:gutter="0" w:footer="0" w:header="0"/>
          <w:type w:val="continuous"/>
        </w:sectPr>
      </w:pPr>
    </w:p>
    <w:p>
      <w:pPr>
        <w:spacing w:after="0" w:line="215" w:lineRule="exact"/>
        <w:rPr>
          <w:sz w:val="24"/>
          <w:szCs w:val="24"/>
          <w:color w:val="auto"/>
        </w:rPr>
      </w:pPr>
    </w:p>
    <w:p>
      <w:pPr>
        <w:jc w:val="center"/>
        <w:ind w:left="480" w:right="2440"/>
        <w:spacing w:after="0" w:line="253" w:lineRule="auto"/>
        <w:rPr>
          <w:sz w:val="20"/>
          <w:szCs w:val="20"/>
          <w:color w:val="auto"/>
        </w:rPr>
      </w:pPr>
      <w:r>
        <w:rPr>
          <w:rFonts w:ascii="Arial" w:cs="Arial" w:eastAsia="Arial" w:hAnsi="Arial"/>
          <w:sz w:val="18"/>
          <w:szCs w:val="18"/>
          <w:b w:val="1"/>
          <w:bCs w:val="1"/>
          <w:color w:val="auto"/>
        </w:rPr>
        <w:t>Tempest Therapeutics, Inc. Amended and Restated 2019 Equity Incentive Plan Tempest Therapeutics, Inc. Amended and Restated 2023 Equity Incentive Plan Tempest Therapeutics, Inc. 2023 Inducement Plan Inducement Stock Options</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(Full titles of the plans)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Stephen Brady</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Tempest Therapeutics, Inc.</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2000 Sierra Point Parkway,</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Suite 400 Brisbane, California 94005</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(415) 798-8589</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Laura Berezin</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Jaime Chase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Julia Stark</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Cooley LLP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1700 Seventh Avenue, Suite 1900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Seattle, Washington 98101</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(206) 452-8756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4" w:lineRule="exact"/>
        <w:rPr>
          <w:sz w:val="24"/>
          <w:szCs w:val="24"/>
          <w:color w:val="auto"/>
        </w:rPr>
      </w:pPr>
    </w:p>
    <w:p>
      <w:pPr>
        <w:ind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9" w:right="439" w:bottom="1121"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7"/>
          <w:szCs w:val="17"/>
          <w:color w:val="auto"/>
        </w:rPr>
        <w:t>Pursuant to General Instruction E of Form S-8, Tempest Therapeutics, Inc. (the “</w:t>
      </w:r>
      <w:r>
        <w:rPr>
          <w:rFonts w:ascii="Arial" w:cs="Arial" w:eastAsia="Arial" w:hAnsi="Arial"/>
          <w:sz w:val="17"/>
          <w:szCs w:val="17"/>
          <w:b w:val="1"/>
          <w:bCs w:val="1"/>
          <w:color w:val="auto"/>
        </w:rPr>
        <w:t>Registrant</w:t>
      </w:r>
      <w:r>
        <w:rPr>
          <w:rFonts w:ascii="Arial" w:cs="Arial" w:eastAsia="Arial" w:hAnsi="Arial"/>
          <w:sz w:val="17"/>
          <w:szCs w:val="17"/>
          <w:color w:val="auto"/>
        </w:rPr>
        <w:t>”) is filing this Registration Statement with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to register an aggregate of 1,570,742 shares, which consists of (i) 1,703 shares of common stock reserved for future grant under the Registrant’s Amended and Restated 2023 Equity Incentive Plan (the successor plan to the 2019 Plan) (the “</w:t>
      </w:r>
      <w:r>
        <w:rPr>
          <w:rFonts w:ascii="Arial" w:cs="Arial" w:eastAsia="Arial" w:hAnsi="Arial"/>
          <w:sz w:val="17"/>
          <w:szCs w:val="17"/>
          <w:b w:val="1"/>
          <w:bCs w:val="1"/>
          <w:color w:val="auto"/>
        </w:rPr>
        <w:t>2023</w:t>
      </w:r>
      <w:r>
        <w:rPr>
          <w:rFonts w:ascii="Arial" w:cs="Arial" w:eastAsia="Arial" w:hAnsi="Arial"/>
          <w:sz w:val="17"/>
          <w:szCs w:val="17"/>
          <w:color w:val="auto"/>
        </w:rPr>
        <w:t xml:space="preserve"> </w:t>
      </w:r>
      <w:r>
        <w:rPr>
          <w:rFonts w:ascii="Arial" w:cs="Arial" w:eastAsia="Arial" w:hAnsi="Arial"/>
          <w:sz w:val="17"/>
          <w:szCs w:val="17"/>
          <w:b w:val="1"/>
          <w:bCs w:val="1"/>
          <w:color w:val="auto"/>
        </w:rPr>
        <w:t>Plan</w:t>
      </w:r>
      <w:r>
        <w:rPr>
          <w:rFonts w:ascii="Arial" w:cs="Arial" w:eastAsia="Arial" w:hAnsi="Arial"/>
          <w:sz w:val="17"/>
          <w:szCs w:val="17"/>
          <w:color w:val="auto"/>
        </w:rPr>
        <w:t>”), and (ii) 1,569,039 shares of common stock issuable upon the exercise of outstanding options granted pursuant to the 2023 Plan. The 2023 Plan</w:t>
      </w:r>
      <w:r>
        <w:rPr>
          <w:rFonts w:ascii="Arial" w:cs="Arial" w:eastAsia="Arial" w:hAnsi="Arial"/>
          <w:sz w:val="17"/>
          <w:szCs w:val="17"/>
          <w:b w:val="1"/>
          <w:bCs w:val="1"/>
          <w:color w:val="auto"/>
        </w:rPr>
        <w:t xml:space="preserve"> </w:t>
      </w:r>
      <w:r>
        <w:rPr>
          <w:rFonts w:ascii="Arial" w:cs="Arial" w:eastAsia="Arial" w:hAnsi="Arial"/>
          <w:sz w:val="17"/>
          <w:szCs w:val="17"/>
          <w:color w:val="auto"/>
        </w:rPr>
        <w:t>was approved by the Registrant’s stockholders at its annual meeting of stockholders held on June 15, 2023.</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addition, the Registrant is registering 1,150,000 shares of common stock reserved for future grant to eligible persons under the Registrant’s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2023 Inducement Plan (the “</w:t>
      </w:r>
      <w:r>
        <w:rPr>
          <w:rFonts w:ascii="Arial" w:cs="Arial" w:eastAsia="Arial" w:hAnsi="Arial"/>
          <w:sz w:val="16"/>
          <w:szCs w:val="16"/>
          <w:b w:val="1"/>
          <w:bCs w:val="1"/>
          <w:color w:val="auto"/>
        </w:rPr>
        <w:t>Inducement Plan</w:t>
      </w:r>
      <w:r>
        <w:rPr>
          <w:rFonts w:ascii="Arial" w:cs="Arial" w:eastAsia="Arial" w:hAnsi="Arial"/>
          <w:sz w:val="16"/>
          <w:szCs w:val="16"/>
          <w:color w:val="auto"/>
        </w:rPr>
        <w:t>”) and 12,600 shares of common stock issuable upon the exercise of outstanding stock options granted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new employee as an inducement award in connection with the commencement of employment pursuant to Nasdaq Listing Rule 5635(c)(4)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Inducement Award</w:t>
      </w:r>
      <w:r>
        <w:rPr>
          <w:rFonts w:ascii="Arial" w:cs="Arial" w:eastAsia="Arial" w:hAnsi="Arial"/>
          <w:sz w:val="17"/>
          <w:szCs w:val="17"/>
          <w:color w:val="auto"/>
        </w:rPr>
        <w:t>”). The Inducement Award was approved by the Registrant’s Board of Directors in compliance with and in reliance on Nasdaq</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Listing Rule 5635(c)(4) and was granted outside of the Inducement Plan.</w:t>
      </w:r>
    </w:p>
    <w:p>
      <w:pPr>
        <w:spacing w:after="0" w:line="21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In accordance with the instructional note to Part I of Form S-8 as promulgated by the SEC, the information specified by Part I of the Form S-8 has been omitted from this Registration Statement.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Certain Documents By Reference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documents filed by the Registrant with the SEC are incorporated by reference into this Registration Statement:</w:t>
      </w:r>
    </w:p>
    <w:p>
      <w:pPr>
        <w:spacing w:after="0" w:line="225" w:lineRule="exact"/>
        <w:rPr>
          <w:sz w:val="20"/>
          <w:szCs w:val="20"/>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 xml:space="preserve">(a) the contents of the Registrant’s Registration Statements on Form S-8, previously filed with the SEC on </w:t>
      </w:r>
      <w:hyperlink r:id="rId17">
        <w:r>
          <w:rPr>
            <w:rFonts w:ascii="Arial" w:cs="Arial" w:eastAsia="Arial" w:hAnsi="Arial"/>
            <w:sz w:val="18"/>
            <w:szCs w:val="18"/>
            <w:u w:val="single" w:color="auto"/>
            <w:color w:val="0000EE"/>
          </w:rPr>
          <w:t>December 16,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w:t>
      </w:r>
    </w:p>
    <w:p>
      <w:pPr>
        <w:spacing w:after="0" w:line="23" w:lineRule="exact"/>
        <w:rPr>
          <w:sz w:val="20"/>
          <w:szCs w:val="20"/>
          <w:color w:val="auto"/>
        </w:rPr>
      </w:pPr>
    </w:p>
    <w:p>
      <w:pPr>
        <w:ind w:right="40"/>
        <w:spacing w:after="0" w:line="260" w:lineRule="auto"/>
        <w:rPr>
          <w:rFonts w:ascii="Arial" w:cs="Arial" w:eastAsia="Arial" w:hAnsi="Arial"/>
          <w:sz w:val="18"/>
          <w:szCs w:val="18"/>
          <w:color w:val="0000EE"/>
        </w:rPr>
      </w:pPr>
      <w:hyperlink r:id="rId18">
        <w:r>
          <w:rPr>
            <w:rFonts w:ascii="Arial" w:cs="Arial" w:eastAsia="Arial" w:hAnsi="Arial"/>
            <w:sz w:val="18"/>
            <w:szCs w:val="18"/>
            <w:color w:val="auto"/>
          </w:rPr>
          <w:t xml:space="preserve">No. 333-235515), </w:t>
        </w:r>
        <w:r>
          <w:rPr>
            <w:rFonts w:ascii="Arial" w:cs="Arial" w:eastAsia="Arial" w:hAnsi="Arial"/>
            <w:sz w:val="18"/>
            <w:szCs w:val="18"/>
            <w:u w:val="single" w:color="auto"/>
            <w:color w:val="0000EE"/>
          </w:rPr>
          <w:t>November 10, 2020</w:t>
        </w:r>
        <w:r>
          <w:rPr>
            <w:rFonts w:ascii="Arial" w:cs="Arial" w:eastAsia="Arial" w:hAnsi="Arial"/>
            <w:sz w:val="18"/>
            <w:szCs w:val="18"/>
            <w:color w:val="auto"/>
          </w:rPr>
          <w:t xml:space="preserve"> (File No. 333-249993), </w:t>
        </w:r>
        <w:r>
          <w:rPr>
            <w:rFonts w:ascii="Arial" w:cs="Arial" w:eastAsia="Arial" w:hAnsi="Arial"/>
            <w:sz w:val="18"/>
            <w:szCs w:val="18"/>
            <w:u w:val="single" w:color="auto"/>
            <w:color w:val="0000EE"/>
          </w:rPr>
          <w:t>April 15, 2021</w:t>
        </w:r>
        <w:r>
          <w:rPr>
            <w:rFonts w:ascii="Arial" w:cs="Arial" w:eastAsia="Arial" w:hAnsi="Arial"/>
            <w:sz w:val="18"/>
            <w:szCs w:val="18"/>
            <w:color w:val="auto"/>
          </w:rPr>
          <w:t xml:space="preserve"> (File No. 333-255261), </w:t>
        </w:r>
        <w:r>
          <w:rPr>
            <w:rFonts w:ascii="Arial" w:cs="Arial" w:eastAsia="Arial" w:hAnsi="Arial"/>
            <w:sz w:val="18"/>
            <w:szCs w:val="18"/>
            <w:u w:val="single" w:color="auto"/>
            <w:color w:val="0000EE"/>
          </w:rPr>
          <w:t>May 13, 2022</w:t>
        </w:r>
        <w:r>
          <w:rPr>
            <w:rFonts w:ascii="Arial" w:cs="Arial" w:eastAsia="Arial" w:hAnsi="Arial"/>
            <w:sz w:val="18"/>
            <w:szCs w:val="18"/>
            <w:color w:val="auto"/>
          </w:rPr>
          <w:t xml:space="preserve"> (File No. 333-264943) and </w:t>
        </w:r>
        <w:r>
          <w:rPr>
            <w:rFonts w:ascii="Arial" w:cs="Arial" w:eastAsia="Arial" w:hAnsi="Arial"/>
            <w:sz w:val="18"/>
            <w:szCs w:val="18"/>
            <w:u w:val="single" w:color="auto"/>
            <w:color w:val="0000EE"/>
          </w:rPr>
          <w:t>June 21,</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EE"/>
          </w:rPr>
          <w:t>2022</w:t>
        </w:r>
        <w:r>
          <w:rPr>
            <w:rFonts w:ascii="Arial" w:cs="Arial" w:eastAsia="Arial" w:hAnsi="Arial"/>
            <w:sz w:val="18"/>
            <w:szCs w:val="18"/>
            <w:color w:val="0000EE"/>
          </w:rPr>
          <w:t xml:space="preserve"> </w:t>
        </w:r>
        <w:r>
          <w:rPr>
            <w:rFonts w:ascii="Arial" w:cs="Arial" w:eastAsia="Arial" w:hAnsi="Arial"/>
            <w:sz w:val="18"/>
            <w:szCs w:val="18"/>
            <w:color w:val="000000"/>
          </w:rPr>
          <w:t>(File No. 333-265718);</w:t>
        </w:r>
      </w:hyperlink>
    </w:p>
    <w:p>
      <w:pPr>
        <w:spacing w:after="0" w:line="185" w:lineRule="exact"/>
        <w:rPr>
          <w:sz w:val="20"/>
          <w:szCs w:val="20"/>
          <w:color w:val="auto"/>
        </w:rPr>
      </w:pPr>
    </w:p>
    <w:p>
      <w:pPr>
        <w:ind w:right="540" w:firstLine="436"/>
        <w:spacing w:after="0" w:line="277" w:lineRule="auto"/>
        <w:tabs>
          <w:tab w:leader="none" w:pos="695"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Form 10-K for the fiscal year ended December 31, 2022, filed with the SEC on </w:t>
      </w:r>
      <w:hyperlink r:id="rId19">
        <w:r>
          <w:rPr>
            <w:rFonts w:ascii="Arial" w:cs="Arial" w:eastAsia="Arial" w:hAnsi="Arial"/>
            <w:sz w:val="18"/>
            <w:szCs w:val="18"/>
            <w:u w:val="single" w:color="auto"/>
            <w:color w:val="0000EE"/>
          </w:rPr>
          <w:t>March 22,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001-35890);</w:t>
      </w:r>
    </w:p>
    <w:p>
      <w:pPr>
        <w:spacing w:after="0" w:line="170" w:lineRule="exact"/>
        <w:rPr>
          <w:rFonts w:ascii="Arial" w:cs="Arial" w:eastAsia="Arial" w:hAnsi="Arial"/>
          <w:sz w:val="18"/>
          <w:szCs w:val="18"/>
          <w:color w:val="auto"/>
        </w:rPr>
      </w:pPr>
    </w:p>
    <w:p>
      <w:pPr>
        <w:ind w:firstLine="436"/>
        <w:spacing w:after="0" w:line="277" w:lineRule="auto"/>
        <w:tabs>
          <w:tab w:leader="none" w:pos="685"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Quarterly Reports on Form 10-Q for the quarters ended March 31, 2023, June 30, 2023 and September 30, 2023, filed with the SEC on </w:t>
      </w:r>
      <w:hyperlink r:id="rId20">
        <w:r>
          <w:rPr>
            <w:rFonts w:ascii="Arial" w:cs="Arial" w:eastAsia="Arial" w:hAnsi="Arial"/>
            <w:sz w:val="18"/>
            <w:szCs w:val="18"/>
            <w:u w:val="single" w:color="auto"/>
            <w:color w:val="0000EE"/>
          </w:rPr>
          <w:t>May 10, 2023</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EE"/>
          </w:rPr>
          <w:t>August 10,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2">
        <w:r>
          <w:rPr>
            <w:rFonts w:ascii="Arial" w:cs="Arial" w:eastAsia="Arial" w:hAnsi="Arial"/>
            <w:sz w:val="18"/>
            <w:szCs w:val="18"/>
            <w:u w:val="single" w:color="auto"/>
            <w:color w:val="0000EE"/>
          </w:rPr>
          <w:t>November 8, 2023</w:t>
        </w:r>
      </w:hyperlink>
      <w:r>
        <w:rPr>
          <w:rFonts w:ascii="Arial" w:cs="Arial" w:eastAsia="Arial" w:hAnsi="Arial"/>
          <w:sz w:val="18"/>
          <w:szCs w:val="18"/>
          <w:color w:val="auto"/>
        </w:rPr>
        <w:t>, respectively (File No. 001-35890);</w:t>
      </w:r>
    </w:p>
    <w:p>
      <w:pPr>
        <w:spacing w:after="0" w:line="170" w:lineRule="exact"/>
        <w:rPr>
          <w:rFonts w:ascii="Arial" w:cs="Arial" w:eastAsia="Arial" w:hAnsi="Arial"/>
          <w:sz w:val="18"/>
          <w:szCs w:val="18"/>
          <w:color w:val="auto"/>
        </w:rPr>
      </w:pPr>
    </w:p>
    <w:p>
      <w:pPr>
        <w:ind w:right="300" w:firstLine="436"/>
        <w:spacing w:after="0" w:line="277" w:lineRule="auto"/>
        <w:tabs>
          <w:tab w:leader="none" w:pos="695" w:val="left"/>
        </w:tabs>
        <w:numPr>
          <w:ilvl w:val="0"/>
          <w:numId w:val="1"/>
        </w:numPr>
        <w:rPr>
          <w:rFonts w:ascii="Arial" w:cs="Arial" w:eastAsia="Arial" w:hAnsi="Arial"/>
          <w:sz w:val="18"/>
          <w:szCs w:val="18"/>
          <w:color w:val="0000EE"/>
        </w:rPr>
      </w:pPr>
      <w:r>
        <w:rPr>
          <w:rFonts w:ascii="Arial" w:cs="Arial" w:eastAsia="Arial" w:hAnsi="Arial"/>
          <w:sz w:val="18"/>
          <w:szCs w:val="18"/>
          <w:color w:val="auto"/>
        </w:rPr>
        <w:t xml:space="preserve">the Registrant’s Current Reports on Form 8-K filed with the SEC on </w:t>
      </w:r>
      <w:hyperlink r:id="rId23">
        <w:r>
          <w:rPr>
            <w:rFonts w:ascii="Arial" w:cs="Arial" w:eastAsia="Arial" w:hAnsi="Arial"/>
            <w:sz w:val="18"/>
            <w:szCs w:val="18"/>
            <w:u w:val="single" w:color="auto"/>
            <w:color w:val="0000EE"/>
          </w:rPr>
          <w:t>March 31, 2023</w:t>
        </w:r>
      </w:hyperlink>
      <w:r>
        <w:rPr>
          <w:rFonts w:ascii="Arial" w:cs="Arial" w:eastAsia="Arial" w:hAnsi="Arial"/>
          <w:sz w:val="18"/>
          <w:szCs w:val="18"/>
          <w:color w:val="auto"/>
        </w:rPr>
        <w:t xml:space="preserve">, </w:t>
      </w:r>
      <w:hyperlink r:id="rId24">
        <w:r>
          <w:rPr>
            <w:rFonts w:ascii="Arial" w:cs="Arial" w:eastAsia="Arial" w:hAnsi="Arial"/>
            <w:sz w:val="18"/>
            <w:szCs w:val="18"/>
            <w:u w:val="single" w:color="auto"/>
            <w:color w:val="0000EE"/>
          </w:rPr>
          <w:t>April 28, 2023</w:t>
        </w:r>
      </w:hyperlink>
      <w:r>
        <w:rPr>
          <w:rFonts w:ascii="Arial" w:cs="Arial" w:eastAsia="Arial" w:hAnsi="Arial"/>
          <w:sz w:val="18"/>
          <w:szCs w:val="18"/>
          <w:color w:val="auto"/>
        </w:rPr>
        <w:t xml:space="preserve">, </w:t>
      </w:r>
      <w:hyperlink r:id="rId25">
        <w:r>
          <w:rPr>
            <w:rFonts w:ascii="Arial" w:cs="Arial" w:eastAsia="Arial" w:hAnsi="Arial"/>
            <w:sz w:val="18"/>
            <w:szCs w:val="18"/>
            <w:u w:val="single" w:color="auto"/>
            <w:color w:val="0000EE"/>
          </w:rPr>
          <w:t>June 16, 2023</w:t>
        </w:r>
      </w:hyperlink>
      <w:r>
        <w:rPr>
          <w:rFonts w:ascii="Arial" w:cs="Arial" w:eastAsia="Arial" w:hAnsi="Arial"/>
          <w:sz w:val="18"/>
          <w:szCs w:val="18"/>
          <w:color w:val="auto"/>
        </w:rPr>
        <w:t xml:space="preserve">, </w:t>
      </w:r>
      <w:hyperlink r:id="rId26">
        <w:r>
          <w:rPr>
            <w:rFonts w:ascii="Arial" w:cs="Arial" w:eastAsia="Arial" w:hAnsi="Arial"/>
            <w:sz w:val="18"/>
            <w:szCs w:val="18"/>
            <w:u w:val="single" w:color="auto"/>
            <w:color w:val="0000EE"/>
          </w:rPr>
          <w:t>September 7, 2023</w:t>
        </w:r>
      </w:hyperlink>
      <w:r>
        <w:rPr>
          <w:rFonts w:ascii="Arial" w:cs="Arial" w:eastAsia="Arial" w:hAnsi="Arial"/>
          <w:sz w:val="18"/>
          <w:szCs w:val="18"/>
          <w:color w:val="auto"/>
        </w:rPr>
        <w:t xml:space="preserve">, </w:t>
      </w:r>
      <w:hyperlink r:id="rId27">
        <w:r>
          <w:rPr>
            <w:rFonts w:ascii="Arial" w:cs="Arial" w:eastAsia="Arial" w:hAnsi="Arial"/>
            <w:sz w:val="18"/>
            <w:szCs w:val="18"/>
            <w:u w:val="single" w:color="auto"/>
            <w:color w:val="0000EE"/>
          </w:rPr>
          <w:t>September 8, 2023</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8">
        <w:r>
          <w:rPr>
            <w:rFonts w:ascii="Arial" w:cs="Arial" w:eastAsia="Arial" w:hAnsi="Arial"/>
            <w:sz w:val="18"/>
            <w:szCs w:val="18"/>
            <w:u w:val="single" w:color="auto"/>
            <w:color w:val="0000EE"/>
          </w:rPr>
          <w:t xml:space="preserve">October 11, 2023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29">
        <w:r>
          <w:rPr>
            <w:rFonts w:ascii="Arial" w:cs="Arial" w:eastAsia="Arial" w:hAnsi="Arial"/>
            <w:sz w:val="18"/>
            <w:szCs w:val="18"/>
            <w:u w:val="single" w:color="auto"/>
            <w:color w:val="0000EE"/>
          </w:rPr>
          <w:t xml:space="preserve">October 30, 2023 </w:t>
        </w:r>
      </w:hyperlink>
      <w:r>
        <w:rPr>
          <w:rFonts w:ascii="Arial" w:cs="Arial" w:eastAsia="Arial" w:hAnsi="Arial"/>
          <w:sz w:val="18"/>
          <w:szCs w:val="18"/>
          <w:color w:val="000000"/>
        </w:rPr>
        <w:t>and</w:t>
      </w:r>
      <w:r>
        <w:rPr>
          <w:rFonts w:ascii="Arial" w:cs="Arial" w:eastAsia="Arial" w:hAnsi="Arial"/>
          <w:sz w:val="18"/>
          <w:szCs w:val="18"/>
          <w:color w:val="0000EE"/>
        </w:rPr>
        <w:t xml:space="preserve"> </w:t>
      </w:r>
      <w:r>
        <w:rPr>
          <w:rFonts w:ascii="Arial" w:cs="Arial" w:eastAsia="Arial" w:hAnsi="Arial"/>
          <w:sz w:val="18"/>
          <w:szCs w:val="18"/>
          <w:color w:val="000000"/>
        </w:rPr>
        <w:t>(File No. 001-35890); and</w:t>
      </w:r>
    </w:p>
    <w:p>
      <w:pPr>
        <w:spacing w:after="0" w:line="170" w:lineRule="exact"/>
        <w:rPr>
          <w:rFonts w:ascii="Arial" w:cs="Arial" w:eastAsia="Arial" w:hAnsi="Arial"/>
          <w:sz w:val="18"/>
          <w:szCs w:val="18"/>
          <w:color w:val="0000EE"/>
        </w:rPr>
      </w:pPr>
    </w:p>
    <w:p>
      <w:pPr>
        <w:ind w:right="20" w:firstLine="436"/>
        <w:spacing w:after="0" w:line="286" w:lineRule="auto"/>
        <w:tabs>
          <w:tab w:leader="none" w:pos="685"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the description of the Common Stock set forth in the Registrant’s registration statement on Form 8-A (File No. 001-35890), filed with the Commission on </w:t>
      </w:r>
      <w:hyperlink r:id="rId30">
        <w:r>
          <w:rPr>
            <w:rFonts w:ascii="Arial" w:cs="Arial" w:eastAsia="Arial" w:hAnsi="Arial"/>
            <w:sz w:val="17"/>
            <w:szCs w:val="17"/>
            <w:u w:val="single" w:color="auto"/>
            <w:color w:val="0000EE"/>
          </w:rPr>
          <w:t>April 25, 2013</w:t>
        </w:r>
      </w:hyperlink>
      <w:r>
        <w:rPr>
          <w:rFonts w:ascii="Arial" w:cs="Arial" w:eastAsia="Arial" w:hAnsi="Arial"/>
          <w:sz w:val="17"/>
          <w:szCs w:val="17"/>
          <w:color w:val="auto"/>
        </w:rPr>
        <w:t xml:space="preserve">, including any amendments thereto or reports filed for the purposes of updating this description, including Exhibit 4.1 to the Registrant’s Annual Report on Form 10-K/A for the fiscal year ended December 31, 2021 filed with the SEC on </w:t>
      </w:r>
      <w:hyperlink r:id="rId31">
        <w:r>
          <w:rPr>
            <w:rFonts w:ascii="Arial" w:cs="Arial" w:eastAsia="Arial" w:hAnsi="Arial"/>
            <w:sz w:val="17"/>
            <w:szCs w:val="17"/>
            <w:u w:val="single" w:color="auto"/>
            <w:color w:val="0000EE"/>
          </w:rPr>
          <w:t>April 1, 2022</w:t>
        </w:r>
      </w:hyperlink>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firstLine="440"/>
        <w:spacing w:after="0" w:line="270" w:lineRule="auto"/>
        <w:rPr>
          <w:sz w:val="20"/>
          <w:szCs w:val="20"/>
          <w:color w:val="auto"/>
        </w:rPr>
      </w:pPr>
      <w:r>
        <w:rPr>
          <w:rFonts w:ascii="Arial" w:cs="Arial" w:eastAsia="Arial" w:hAnsi="Arial"/>
          <w:sz w:val="17"/>
          <w:szCs w:val="17"/>
          <w:color w:val="auto"/>
        </w:rPr>
        <w:t>All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000"/>
          </w:cols>
          <w:pgMar w:left="440" w:top="270" w:right="4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8. Exhibits</w:t>
      </w:r>
    </w:p>
    <w:p>
      <w:pPr>
        <w:spacing w:after="0" w:line="200" w:lineRule="exact"/>
        <w:rPr>
          <w:sz w:val="20"/>
          <w:szCs w:val="20"/>
          <w:color w:val="auto"/>
        </w:rPr>
      </w:pPr>
    </w:p>
    <w:p>
      <w:pPr>
        <w:spacing w:after="0" w:line="22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20" w:type="dxa"/>
            <w:vAlign w:val="bottom"/>
            <w:gridSpan w:val="13"/>
            <w:vMerge w:val="restart"/>
          </w:tcPr>
          <w:p>
            <w:pPr>
              <w:ind w:left="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1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2"/>
                <w:szCs w:val="22"/>
                <w:color w:val="auto"/>
              </w:rPr>
            </w:pPr>
          </w:p>
        </w:tc>
        <w:tc>
          <w:tcPr>
            <w:tcW w:w="5540" w:type="dxa"/>
            <w:vAlign w:val="bottom"/>
            <w:gridSpan w:val="18"/>
          </w:tcPr>
          <w:p>
            <w:pPr>
              <w:spacing w:after="0"/>
              <w:rPr>
                <w:rFonts w:ascii="Arial" w:cs="Arial" w:eastAsia="Arial" w:hAnsi="Arial"/>
                <w:sz w:val="18"/>
                <w:szCs w:val="18"/>
                <w:color w:val="0000EE"/>
              </w:rPr>
            </w:pPr>
            <w:hyperlink r:id="rId33">
              <w:r>
                <w:rPr>
                  <w:rFonts w:ascii="Arial" w:cs="Arial" w:eastAsia="Arial" w:hAnsi="Arial"/>
                  <w:sz w:val="18"/>
                  <w:szCs w:val="18"/>
                  <w:color w:val="0000EE"/>
                </w:rPr>
                <w:t>Restated Certificate of Incorporation of the Registrant, as amended</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5540" w:type="dxa"/>
            <w:vAlign w:val="bottom"/>
            <w:gridSpan w:val="18"/>
          </w:tcPr>
          <w:p>
            <w:pPr>
              <w:spacing w:after="0"/>
              <w:rPr>
                <w:rFonts w:ascii="Arial" w:cs="Arial" w:eastAsia="Arial" w:hAnsi="Arial"/>
                <w:sz w:val="18"/>
                <w:szCs w:val="18"/>
                <w:color w:val="0000EE"/>
                <w:w w:val="92"/>
              </w:rPr>
            </w:pPr>
            <w:hyperlink r:id="rId34">
              <w:r>
                <w:rPr>
                  <w:rFonts w:ascii="Arial" w:cs="Arial" w:eastAsia="Arial" w:hAnsi="Arial"/>
                  <w:sz w:val="18"/>
                  <w:szCs w:val="18"/>
                  <w:color w:val="0000EE"/>
                  <w:w w:val="92"/>
                </w:rPr>
                <w:t>Certificate of Amendment to the Restated Certificate of Incorporation of the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34">
              <w:r>
                <w:rPr>
                  <w:rFonts w:ascii="Arial" w:cs="Arial" w:eastAsia="Arial" w:hAnsi="Arial"/>
                  <w:sz w:val="18"/>
                  <w:szCs w:val="18"/>
                  <w:color w:val="0000EE"/>
                  <w:w w:val="90"/>
                </w:rPr>
                <w:t>Company, as filed with the Secretary of State of the State of Delaware on</w:t>
              </w:r>
            </w:hyperlink>
          </w:p>
        </w:tc>
        <w:tc>
          <w:tcPr>
            <w:tcW w:w="200" w:type="dxa"/>
            <w:vAlign w:val="bottom"/>
            <w:tcBorders>
              <w:top w:val="single" w:sz="8" w:color="0000EE"/>
            </w:tcBorders>
            <w:gridSpan w:val="4"/>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540" w:type="dxa"/>
            <w:vAlign w:val="bottom"/>
            <w:gridSpan w:val="18"/>
          </w:tcPr>
          <w:p>
            <w:pPr>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June 24, 2021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24"/>
                <w:szCs w:val="24"/>
                <w:color w:val="auto"/>
              </w:rPr>
            </w:pPr>
          </w:p>
        </w:tc>
        <w:tc>
          <w:tcPr>
            <w:tcW w:w="5540" w:type="dxa"/>
            <w:vAlign w:val="bottom"/>
            <w:gridSpan w:val="18"/>
          </w:tcPr>
          <w:p>
            <w:pPr>
              <w:spacing w:after="0"/>
              <w:rPr>
                <w:rFonts w:ascii="Arial" w:cs="Arial" w:eastAsia="Arial" w:hAnsi="Arial"/>
                <w:sz w:val="18"/>
                <w:szCs w:val="18"/>
                <w:color w:val="0000EE"/>
                <w:w w:val="92"/>
              </w:rPr>
            </w:pPr>
            <w:hyperlink r:id="rId35">
              <w:r>
                <w:rPr>
                  <w:rFonts w:ascii="Arial" w:cs="Arial" w:eastAsia="Arial" w:hAnsi="Arial"/>
                  <w:sz w:val="18"/>
                  <w:szCs w:val="18"/>
                  <w:color w:val="0000EE"/>
                  <w:w w:val="92"/>
                </w:rPr>
                <w:t>Certificate of Amendment to the Restated Certificate of Incorporation of the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35">
              <w:r>
                <w:rPr>
                  <w:rFonts w:ascii="Arial" w:cs="Arial" w:eastAsia="Arial" w:hAnsi="Arial"/>
                  <w:sz w:val="18"/>
                  <w:szCs w:val="18"/>
                  <w:color w:val="0000EE"/>
                  <w:w w:val="90"/>
                </w:rPr>
                <w:t>Company, as filed with the Secretary of State of the State of Delaware on</w:t>
              </w:r>
            </w:hyperlink>
          </w:p>
        </w:tc>
        <w:tc>
          <w:tcPr>
            <w:tcW w:w="200" w:type="dxa"/>
            <w:vAlign w:val="bottom"/>
            <w:tcBorders>
              <w:top w:val="single" w:sz="8" w:color="0000EE"/>
            </w:tcBorders>
            <w:gridSpan w:val="4"/>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540" w:type="dxa"/>
            <w:vAlign w:val="bottom"/>
            <w:gridSpan w:val="18"/>
          </w:tcPr>
          <w:p>
            <w:pPr>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June 25, 2021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24"/>
                <w:szCs w:val="24"/>
                <w:color w:val="auto"/>
              </w:rPr>
            </w:pPr>
          </w:p>
        </w:tc>
        <w:tc>
          <w:tcPr>
            <w:tcW w:w="5400" w:type="dxa"/>
            <w:vAlign w:val="bottom"/>
            <w:tcBorders>
              <w:bottom w:val="single" w:sz="8" w:color="0000EE"/>
            </w:tcBorders>
            <w:gridSpan w:val="16"/>
          </w:tcPr>
          <w:p>
            <w:pPr>
              <w:spacing w:after="0"/>
              <w:rPr>
                <w:rFonts w:ascii="Arial" w:cs="Arial" w:eastAsia="Arial" w:hAnsi="Arial"/>
                <w:sz w:val="18"/>
                <w:szCs w:val="18"/>
                <w:color w:val="0000EE"/>
                <w:w w:val="91"/>
              </w:rPr>
            </w:pPr>
            <w:hyperlink r:id="rId36">
              <w:r>
                <w:rPr>
                  <w:rFonts w:ascii="Arial" w:cs="Arial" w:eastAsia="Arial" w:hAnsi="Arial"/>
                  <w:sz w:val="18"/>
                  <w:szCs w:val="18"/>
                  <w:color w:val="0000EE"/>
                  <w:w w:val="91"/>
                </w:rPr>
                <w:t>Certificate of Designation of Series A Junior Participating Preferred Stock,</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36">
              <w:r>
                <w:rPr>
                  <w:rFonts w:ascii="Arial" w:cs="Arial" w:eastAsia="Arial" w:hAnsi="Arial"/>
                  <w:sz w:val="18"/>
                  <w:szCs w:val="18"/>
                  <w:color w:val="0000EE"/>
                  <w:w w:val="90"/>
                </w:rPr>
                <w:t>as filed with the Secretary of State of the State of Delaware on October 10,</w:t>
              </w:r>
            </w:hyperlink>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80" w:type="dxa"/>
            <w:vAlign w:val="bottom"/>
            <w:gridSpan w:val="2"/>
          </w:tcPr>
          <w:p>
            <w:pPr>
              <w:ind w:left="320"/>
              <w:spacing w:after="0" w:line="196" w:lineRule="exact"/>
              <w:rPr>
                <w:rFonts w:ascii="Arial" w:cs="Arial" w:eastAsia="Arial" w:hAnsi="Arial"/>
                <w:sz w:val="18"/>
                <w:szCs w:val="18"/>
                <w:color w:val="0000EE"/>
                <w:w w:val="84"/>
              </w:rPr>
            </w:pPr>
            <w:hyperlink r:id="rId36">
              <w:r>
                <w:rPr>
                  <w:rFonts w:ascii="Arial" w:cs="Arial" w:eastAsia="Arial" w:hAnsi="Arial"/>
                  <w:sz w:val="18"/>
                  <w:szCs w:val="18"/>
                  <w:color w:val="0000EE"/>
                  <w:w w:val="84"/>
                </w:rPr>
                <w:t>2023</w:t>
              </w:r>
            </w:hyperlink>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24"/>
                <w:szCs w:val="24"/>
                <w:color w:val="auto"/>
              </w:rPr>
            </w:pPr>
          </w:p>
        </w:tc>
        <w:tc>
          <w:tcPr>
            <w:tcW w:w="3500" w:type="dxa"/>
            <w:vAlign w:val="bottom"/>
            <w:tcBorders>
              <w:bottom w:val="single" w:sz="8" w:color="0000EE"/>
            </w:tcBorders>
            <w:gridSpan w:val="6"/>
          </w:tcPr>
          <w:p>
            <w:pPr>
              <w:spacing w:after="0"/>
              <w:rPr>
                <w:rFonts w:ascii="Arial" w:cs="Arial" w:eastAsia="Arial" w:hAnsi="Arial"/>
                <w:sz w:val="18"/>
                <w:szCs w:val="18"/>
                <w:color w:val="0000EE"/>
                <w:w w:val="89"/>
              </w:rPr>
            </w:pPr>
            <w:hyperlink r:id="rId37">
              <w:r>
                <w:rPr>
                  <w:rFonts w:ascii="Arial" w:cs="Arial" w:eastAsia="Arial" w:hAnsi="Arial"/>
                  <w:sz w:val="18"/>
                  <w:szCs w:val="18"/>
                  <w:color w:val="0000EE"/>
                  <w:w w:val="89"/>
                </w:rPr>
                <w:t>Amended and Restated Bylaws of the Registrant</w:t>
              </w:r>
            </w:hyperlink>
          </w:p>
        </w:tc>
        <w:tc>
          <w:tcPr>
            <w:tcW w:w="20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24"/>
                <w:szCs w:val="24"/>
                <w:color w:val="auto"/>
              </w:rPr>
            </w:pPr>
          </w:p>
        </w:tc>
        <w:tc>
          <w:tcPr>
            <w:tcW w:w="17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4"/>
              </w:rPr>
              <w:t>Opinion of Cooley LLP</w:t>
            </w:r>
          </w:p>
        </w:tc>
        <w:tc>
          <w:tcPr>
            <w:tcW w:w="38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24"/>
                <w:szCs w:val="24"/>
                <w:color w:val="auto"/>
              </w:rPr>
            </w:pPr>
          </w:p>
        </w:tc>
        <w:tc>
          <w:tcPr>
            <w:tcW w:w="35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3"/>
              </w:rPr>
              <w:t>Consent of Cooley LLP (included in Exhibit 5.1).</w:t>
            </w:r>
          </w:p>
        </w:tc>
        <w:tc>
          <w:tcPr>
            <w:tcW w:w="19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320" w:type="dxa"/>
            <w:vAlign w:val="bottom"/>
          </w:tcPr>
          <w:p>
            <w:pPr>
              <w:spacing w:after="0"/>
              <w:rPr>
                <w:sz w:val="24"/>
                <w:szCs w:val="24"/>
                <w:color w:val="auto"/>
              </w:rPr>
            </w:pPr>
          </w:p>
        </w:tc>
        <w:tc>
          <w:tcPr>
            <w:tcW w:w="532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0"/>
              </w:rPr>
              <w:t>Consent of Ernst &amp; Young LLP, independent registered public accounting</w:t>
            </w:r>
          </w:p>
        </w:tc>
        <w:tc>
          <w:tcPr>
            <w:tcW w:w="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7"/>
              </w:rPr>
              <w:t>firm.</w:t>
            </w:r>
          </w:p>
        </w:tc>
        <w:tc>
          <w:tcPr>
            <w:tcW w:w="51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320" w:type="dxa"/>
            <w:vAlign w:val="bottom"/>
          </w:tcPr>
          <w:p>
            <w:pPr>
              <w:spacing w:after="0"/>
              <w:rPr>
                <w:sz w:val="24"/>
                <w:szCs w:val="24"/>
                <w:color w:val="auto"/>
              </w:rPr>
            </w:pPr>
          </w:p>
        </w:tc>
        <w:tc>
          <w:tcPr>
            <w:tcW w:w="49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1"/>
              </w:rPr>
              <w:t>Power of Attorney (included on the signature page of this Form S-8).</w:t>
            </w:r>
          </w:p>
        </w:tc>
        <w:tc>
          <w:tcPr>
            <w:tcW w:w="5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4"/>
                <w:szCs w:val="24"/>
                <w:color w:val="auto"/>
              </w:rPr>
            </w:pPr>
          </w:p>
        </w:tc>
        <w:tc>
          <w:tcPr>
            <w:tcW w:w="3660" w:type="dxa"/>
            <w:vAlign w:val="bottom"/>
            <w:tcBorders>
              <w:bottom w:val="single" w:sz="8" w:color="0000EE"/>
            </w:tcBorders>
            <w:gridSpan w:val="8"/>
          </w:tcPr>
          <w:p>
            <w:pPr>
              <w:spacing w:after="0"/>
              <w:rPr>
                <w:rFonts w:ascii="Arial" w:cs="Arial" w:eastAsia="Arial" w:hAnsi="Arial"/>
                <w:sz w:val="18"/>
                <w:szCs w:val="18"/>
                <w:color w:val="0000EE"/>
                <w:w w:val="89"/>
              </w:rPr>
            </w:pPr>
            <w:hyperlink r:id="rId38">
              <w:r>
                <w:rPr>
                  <w:rFonts w:ascii="Arial" w:cs="Arial" w:eastAsia="Arial" w:hAnsi="Arial"/>
                  <w:sz w:val="18"/>
                  <w:szCs w:val="18"/>
                  <w:color w:val="0000EE"/>
                  <w:w w:val="89"/>
                </w:rPr>
                <w:t>Tempest Therapeutics, Inc. 2023 Inducement Plan.</w:t>
              </w:r>
            </w:hyperlink>
          </w:p>
        </w:tc>
        <w:tc>
          <w:tcPr>
            <w:tcW w:w="18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99.2</w:t>
            </w:r>
          </w:p>
        </w:tc>
        <w:tc>
          <w:tcPr>
            <w:tcW w:w="320" w:type="dxa"/>
            <w:vAlign w:val="bottom"/>
          </w:tcPr>
          <w:p>
            <w:pPr>
              <w:spacing w:after="0"/>
              <w:rPr>
                <w:sz w:val="24"/>
                <w:szCs w:val="24"/>
                <w:color w:val="auto"/>
              </w:rPr>
            </w:pPr>
          </w:p>
        </w:tc>
        <w:tc>
          <w:tcPr>
            <w:tcW w:w="4100" w:type="dxa"/>
            <w:vAlign w:val="bottom"/>
            <w:tcBorders>
              <w:bottom w:val="single" w:sz="8" w:color="0000EE"/>
            </w:tcBorders>
            <w:gridSpan w:val="9"/>
          </w:tcPr>
          <w:p>
            <w:pPr>
              <w:spacing w:after="0"/>
              <w:rPr>
                <w:rFonts w:ascii="Arial" w:cs="Arial" w:eastAsia="Arial" w:hAnsi="Arial"/>
                <w:sz w:val="18"/>
                <w:szCs w:val="18"/>
                <w:color w:val="0000EE"/>
                <w:w w:val="90"/>
              </w:rPr>
            </w:pPr>
            <w:hyperlink r:id="rId39">
              <w:r>
                <w:rPr>
                  <w:rFonts w:ascii="Arial" w:cs="Arial" w:eastAsia="Arial" w:hAnsi="Arial"/>
                  <w:sz w:val="18"/>
                  <w:szCs w:val="18"/>
                  <w:color w:val="0000EE"/>
                  <w:w w:val="90"/>
                </w:rPr>
                <w:t>Form of Inducement Grant under 2023 Inducement Plan.</w:t>
              </w:r>
            </w:hyperlink>
          </w:p>
        </w:tc>
        <w:tc>
          <w:tcPr>
            <w:tcW w:w="14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99.3</w:t>
            </w:r>
          </w:p>
        </w:tc>
        <w:tc>
          <w:tcPr>
            <w:tcW w:w="320" w:type="dxa"/>
            <w:vAlign w:val="bottom"/>
          </w:tcPr>
          <w:p>
            <w:pPr>
              <w:spacing w:after="0"/>
              <w:rPr>
                <w:sz w:val="24"/>
                <w:szCs w:val="24"/>
                <w:color w:val="auto"/>
              </w:rPr>
            </w:pPr>
          </w:p>
        </w:tc>
        <w:tc>
          <w:tcPr>
            <w:tcW w:w="5540" w:type="dxa"/>
            <w:vAlign w:val="bottom"/>
            <w:gridSpan w:val="18"/>
          </w:tcPr>
          <w:p>
            <w:pPr>
              <w:spacing w:after="0"/>
              <w:rPr>
                <w:rFonts w:ascii="Arial" w:cs="Arial" w:eastAsia="Arial" w:hAnsi="Arial"/>
                <w:sz w:val="18"/>
                <w:szCs w:val="18"/>
                <w:color w:val="0000EE"/>
                <w:w w:val="93"/>
              </w:rPr>
            </w:pPr>
            <w:hyperlink r:id="rId40">
              <w:r>
                <w:rPr>
                  <w:rFonts w:ascii="Arial" w:cs="Arial" w:eastAsia="Arial" w:hAnsi="Arial"/>
                  <w:sz w:val="18"/>
                  <w:szCs w:val="18"/>
                  <w:color w:val="0000EE"/>
                  <w:w w:val="93"/>
                </w:rPr>
                <w:t>Tempest Therapeutics, Inc. Amended and Restated 2023 Equity Incentive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3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40">
              <w:r>
                <w:rPr>
                  <w:rFonts w:ascii="Arial" w:cs="Arial" w:eastAsia="Arial" w:hAnsi="Arial"/>
                  <w:sz w:val="18"/>
                  <w:szCs w:val="18"/>
                  <w:color w:val="0000EE"/>
                </w:rPr>
                <w:t>Plan.</w:t>
              </w:r>
            </w:hyperlink>
          </w:p>
        </w:tc>
        <w:tc>
          <w:tcPr>
            <w:tcW w:w="2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40" w:type="dxa"/>
            <w:vAlign w:val="bottom"/>
            <w:gridSpan w:val="8"/>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99.4</w:t>
            </w:r>
          </w:p>
        </w:tc>
        <w:tc>
          <w:tcPr>
            <w:tcW w:w="320" w:type="dxa"/>
            <w:vAlign w:val="bottom"/>
          </w:tcPr>
          <w:p>
            <w:pPr>
              <w:spacing w:after="0"/>
              <w:rPr>
                <w:sz w:val="24"/>
                <w:szCs w:val="24"/>
                <w:color w:val="auto"/>
              </w:rPr>
            </w:pPr>
          </w:p>
        </w:tc>
        <w:tc>
          <w:tcPr>
            <w:tcW w:w="5140" w:type="dxa"/>
            <w:vAlign w:val="bottom"/>
            <w:tcBorders>
              <w:bottom w:val="single" w:sz="8" w:color="0000EE"/>
            </w:tcBorders>
            <w:gridSpan w:val="12"/>
          </w:tcPr>
          <w:p>
            <w:pPr>
              <w:spacing w:after="0"/>
              <w:rPr>
                <w:rFonts w:ascii="Arial" w:cs="Arial" w:eastAsia="Arial" w:hAnsi="Arial"/>
                <w:sz w:val="18"/>
                <w:szCs w:val="18"/>
                <w:color w:val="0000EE"/>
                <w:w w:val="90"/>
              </w:rPr>
            </w:pPr>
            <w:hyperlink r:id="rId41">
              <w:r>
                <w:rPr>
                  <w:rFonts w:ascii="Arial" w:cs="Arial" w:eastAsia="Arial" w:hAnsi="Arial"/>
                  <w:sz w:val="18"/>
                  <w:szCs w:val="18"/>
                  <w:color w:val="0000EE"/>
                  <w:w w:val="90"/>
                </w:rPr>
                <w:t>Form of Stock Option Grant Notice under Amended and Restated 2023</w:t>
              </w:r>
            </w:hyperlink>
          </w:p>
        </w:tc>
        <w:tc>
          <w:tcPr>
            <w:tcW w:w="4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540" w:type="dxa"/>
            <w:vAlign w:val="bottom"/>
            <w:gridSpan w:val="18"/>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Equity Incentive Plan.</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24"/>
                <w:szCs w:val="24"/>
                <w:color w:val="auto"/>
              </w:rPr>
            </w:pPr>
          </w:p>
        </w:tc>
        <w:tc>
          <w:tcPr>
            <w:tcW w:w="11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89"/>
              </w:rPr>
              <w:t>Filing Fee Table</w:t>
            </w:r>
          </w:p>
        </w:tc>
        <w:tc>
          <w:tcPr>
            <w:tcW w:w="420" w:type="dxa"/>
            <w:vAlign w:val="bottom"/>
            <w:tcBorders>
              <w:top w:val="single" w:sz="8" w:color="0000EE"/>
            </w:tcBorders>
          </w:tcPr>
          <w:p>
            <w:pPr>
              <w:spacing w:after="0"/>
              <w:rPr>
                <w:sz w:val="24"/>
                <w:szCs w:val="24"/>
                <w:color w:val="auto"/>
              </w:rPr>
            </w:pPr>
          </w:p>
        </w:tc>
        <w:tc>
          <w:tcPr>
            <w:tcW w:w="39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715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8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2"/>
              </w:rPr>
              <w:t>Incorporated by Reference</w:t>
            </w:r>
          </w:p>
        </w:tc>
        <w:tc>
          <w:tcPr>
            <w:tcW w:w="8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19"/>
        </w:trPr>
        <w:tc>
          <w:tcPr>
            <w:tcW w:w="820" w:type="dxa"/>
            <w:vAlign w:val="bottom"/>
          </w:tcPr>
          <w:p>
            <w:pPr>
              <w:jc w:val="center"/>
              <w:ind w:left="96"/>
              <w:spacing w:after="0" w:line="119" w:lineRule="exact"/>
              <w:rPr>
                <w:sz w:val="20"/>
                <w:szCs w:val="20"/>
                <w:color w:val="auto"/>
              </w:rPr>
            </w:pPr>
            <w:r>
              <w:rPr>
                <w:rFonts w:ascii="Arial" w:cs="Arial" w:eastAsia="Arial" w:hAnsi="Arial"/>
                <w:sz w:val="13"/>
                <w:szCs w:val="13"/>
                <w:b w:val="1"/>
                <w:bCs w:val="1"/>
                <w:color w:val="auto"/>
                <w:w w:val="96"/>
              </w:rPr>
              <w:t>Schedule</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85"/>
        </w:trPr>
        <w:tc>
          <w:tcPr>
            <w:tcW w:w="820" w:type="dxa"/>
            <w:vAlign w:val="bottom"/>
            <w:tcBorders>
              <w:bottom w:val="single" w:sz="8" w:color="auto"/>
            </w:tcBorders>
          </w:tcPr>
          <w:p>
            <w:pPr>
              <w:jc w:val="center"/>
              <w:ind w:left="76"/>
              <w:spacing w:after="0"/>
              <w:rPr>
                <w:sz w:val="20"/>
                <w:szCs w:val="20"/>
                <w:color w:val="auto"/>
              </w:rPr>
            </w:pPr>
            <w:r>
              <w:rPr>
                <w:rFonts w:ascii="Arial" w:cs="Arial" w:eastAsia="Arial" w:hAnsi="Arial"/>
                <w:sz w:val="14"/>
                <w:szCs w:val="14"/>
                <w:b w:val="1"/>
                <w:bCs w:val="1"/>
                <w:color w:val="auto"/>
                <w:w w:val="97"/>
              </w:rPr>
              <w:t>Form</w:t>
            </w:r>
          </w:p>
        </w:tc>
        <w:tc>
          <w:tcPr>
            <w:tcW w:w="1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File Number</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4"/>
              </w:rPr>
              <w:t>Exhibit</w:t>
            </w:r>
          </w:p>
        </w:tc>
        <w:tc>
          <w:tcPr>
            <w:tcW w:w="200" w:type="dxa"/>
            <w:vAlign w:val="bottom"/>
          </w:tcPr>
          <w:p>
            <w:pPr>
              <w:spacing w:after="0"/>
              <w:rPr>
                <w:sz w:val="16"/>
                <w:szCs w:val="16"/>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Filing Date</w:t>
            </w:r>
          </w:p>
        </w:tc>
      </w:tr>
      <w:tr>
        <w:trPr>
          <w:trHeight w:val="304"/>
        </w:trPr>
        <w:tc>
          <w:tcPr>
            <w:tcW w:w="820" w:type="dxa"/>
            <w:vAlign w:val="bottom"/>
          </w:tcPr>
          <w:p>
            <w:pPr>
              <w:jc w:val="center"/>
              <w:ind w:left="96"/>
              <w:spacing w:after="0"/>
              <w:rPr>
                <w:sz w:val="20"/>
                <w:szCs w:val="20"/>
                <w:color w:val="auto"/>
              </w:rPr>
            </w:pPr>
            <w:r>
              <w:rPr>
                <w:rFonts w:ascii="Arial" w:cs="Arial" w:eastAsia="Arial" w:hAnsi="Arial"/>
                <w:sz w:val="18"/>
                <w:szCs w:val="18"/>
                <w:color w:val="auto"/>
                <w:w w:val="89"/>
              </w:rPr>
              <w:t>10-Q</w:t>
            </w:r>
          </w:p>
        </w:tc>
        <w:tc>
          <w:tcPr>
            <w:tcW w:w="1380" w:type="dxa"/>
            <w:vAlign w:val="bottom"/>
            <w:gridSpan w:val="3"/>
          </w:tcPr>
          <w:p>
            <w:pPr>
              <w:jc w:val="center"/>
              <w:ind w:left="273"/>
              <w:spacing w:after="0"/>
              <w:rPr>
                <w:sz w:val="20"/>
                <w:szCs w:val="20"/>
                <w:color w:val="auto"/>
              </w:rPr>
            </w:pPr>
            <w:r>
              <w:rPr>
                <w:rFonts w:ascii="Arial" w:cs="Arial" w:eastAsia="Arial" w:hAnsi="Arial"/>
                <w:sz w:val="18"/>
                <w:szCs w:val="18"/>
                <w:color w:val="auto"/>
                <w:w w:val="90"/>
              </w:rPr>
              <w:t>001-35890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center"/>
              <w:ind w:right="113"/>
              <w:spacing w:after="0"/>
              <w:rPr>
                <w:sz w:val="20"/>
                <w:szCs w:val="20"/>
                <w:color w:val="auto"/>
              </w:rPr>
            </w:pPr>
            <w:r>
              <w:rPr>
                <w:rFonts w:ascii="Arial" w:cs="Arial" w:eastAsia="Arial" w:hAnsi="Arial"/>
                <w:sz w:val="18"/>
                <w:szCs w:val="18"/>
                <w:color w:val="auto"/>
                <w:w w:val="95"/>
              </w:rPr>
              <w:t>3.1</w:t>
            </w:r>
          </w:p>
        </w:tc>
        <w:tc>
          <w:tcPr>
            <w:tcW w:w="2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5/15/2019</w:t>
            </w:r>
          </w:p>
        </w:tc>
      </w:tr>
      <w:tr>
        <w:trPr>
          <w:trHeight w:val="756"/>
        </w:trPr>
        <w:tc>
          <w:tcPr>
            <w:tcW w:w="820" w:type="dxa"/>
            <w:vAlign w:val="bottom"/>
          </w:tcPr>
          <w:p>
            <w:pPr>
              <w:jc w:val="center"/>
              <w:ind w:left="96"/>
              <w:spacing w:after="0"/>
              <w:rPr>
                <w:sz w:val="20"/>
                <w:szCs w:val="20"/>
                <w:color w:val="auto"/>
              </w:rPr>
            </w:pPr>
            <w:r>
              <w:rPr>
                <w:rFonts w:ascii="Arial" w:cs="Arial" w:eastAsia="Arial" w:hAnsi="Arial"/>
                <w:sz w:val="18"/>
                <w:szCs w:val="18"/>
                <w:color w:val="auto"/>
                <w:w w:val="99"/>
              </w:rPr>
              <w:t>8-K</w:t>
            </w:r>
          </w:p>
        </w:tc>
        <w:tc>
          <w:tcPr>
            <w:tcW w:w="1380" w:type="dxa"/>
            <w:vAlign w:val="bottom"/>
            <w:gridSpan w:val="3"/>
          </w:tcPr>
          <w:p>
            <w:pPr>
              <w:jc w:val="center"/>
              <w:ind w:left="273"/>
              <w:spacing w:after="0"/>
              <w:rPr>
                <w:sz w:val="20"/>
                <w:szCs w:val="20"/>
                <w:color w:val="auto"/>
              </w:rPr>
            </w:pPr>
            <w:r>
              <w:rPr>
                <w:rFonts w:ascii="Arial" w:cs="Arial" w:eastAsia="Arial" w:hAnsi="Arial"/>
                <w:sz w:val="18"/>
                <w:szCs w:val="18"/>
                <w:color w:val="auto"/>
                <w:w w:val="90"/>
              </w:rPr>
              <w:t>001-35890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center"/>
              <w:ind w:right="113"/>
              <w:spacing w:after="0"/>
              <w:rPr>
                <w:sz w:val="20"/>
                <w:szCs w:val="20"/>
                <w:color w:val="auto"/>
              </w:rPr>
            </w:pPr>
            <w:r>
              <w:rPr>
                <w:rFonts w:ascii="Arial" w:cs="Arial" w:eastAsia="Arial" w:hAnsi="Arial"/>
                <w:sz w:val="18"/>
                <w:szCs w:val="18"/>
                <w:color w:val="auto"/>
                <w:w w:val="95"/>
              </w:rPr>
              <w:t>3.1</w:t>
            </w:r>
          </w:p>
        </w:tc>
        <w:tc>
          <w:tcPr>
            <w:tcW w:w="2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6/28/2021</w:t>
            </w:r>
          </w:p>
        </w:tc>
      </w:tr>
      <w:tr>
        <w:trPr>
          <w:trHeight w:val="756"/>
        </w:trPr>
        <w:tc>
          <w:tcPr>
            <w:tcW w:w="820" w:type="dxa"/>
            <w:vAlign w:val="bottom"/>
          </w:tcPr>
          <w:p>
            <w:pPr>
              <w:jc w:val="center"/>
              <w:ind w:left="96"/>
              <w:spacing w:after="0"/>
              <w:rPr>
                <w:sz w:val="20"/>
                <w:szCs w:val="20"/>
                <w:color w:val="auto"/>
              </w:rPr>
            </w:pPr>
            <w:r>
              <w:rPr>
                <w:rFonts w:ascii="Arial" w:cs="Arial" w:eastAsia="Arial" w:hAnsi="Arial"/>
                <w:sz w:val="18"/>
                <w:szCs w:val="18"/>
                <w:color w:val="auto"/>
                <w:w w:val="99"/>
              </w:rPr>
              <w:t>8-K</w:t>
            </w:r>
          </w:p>
        </w:tc>
        <w:tc>
          <w:tcPr>
            <w:tcW w:w="1380" w:type="dxa"/>
            <w:vAlign w:val="bottom"/>
            <w:gridSpan w:val="3"/>
          </w:tcPr>
          <w:p>
            <w:pPr>
              <w:jc w:val="center"/>
              <w:ind w:left="273"/>
              <w:spacing w:after="0"/>
              <w:rPr>
                <w:sz w:val="20"/>
                <w:szCs w:val="20"/>
                <w:color w:val="auto"/>
              </w:rPr>
            </w:pPr>
            <w:r>
              <w:rPr>
                <w:rFonts w:ascii="Arial" w:cs="Arial" w:eastAsia="Arial" w:hAnsi="Arial"/>
                <w:sz w:val="18"/>
                <w:szCs w:val="18"/>
                <w:color w:val="auto"/>
                <w:w w:val="90"/>
              </w:rPr>
              <w:t>001-35890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center"/>
              <w:ind w:right="113"/>
              <w:spacing w:after="0"/>
              <w:rPr>
                <w:sz w:val="20"/>
                <w:szCs w:val="20"/>
                <w:color w:val="auto"/>
              </w:rPr>
            </w:pPr>
            <w:r>
              <w:rPr>
                <w:rFonts w:ascii="Arial" w:cs="Arial" w:eastAsia="Arial" w:hAnsi="Arial"/>
                <w:sz w:val="18"/>
                <w:szCs w:val="18"/>
                <w:color w:val="auto"/>
                <w:w w:val="95"/>
              </w:rPr>
              <w:t>3.2</w:t>
            </w:r>
          </w:p>
        </w:tc>
        <w:tc>
          <w:tcPr>
            <w:tcW w:w="2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6/28/2021</w:t>
            </w:r>
          </w:p>
        </w:tc>
      </w:tr>
      <w:tr>
        <w:trPr>
          <w:trHeight w:val="756"/>
        </w:trPr>
        <w:tc>
          <w:tcPr>
            <w:tcW w:w="820" w:type="dxa"/>
            <w:vAlign w:val="bottom"/>
          </w:tcPr>
          <w:p>
            <w:pPr>
              <w:jc w:val="center"/>
              <w:ind w:left="96"/>
              <w:spacing w:after="0"/>
              <w:rPr>
                <w:sz w:val="20"/>
                <w:szCs w:val="20"/>
                <w:color w:val="auto"/>
              </w:rPr>
            </w:pPr>
            <w:r>
              <w:rPr>
                <w:rFonts w:ascii="Arial" w:cs="Arial" w:eastAsia="Arial" w:hAnsi="Arial"/>
                <w:sz w:val="18"/>
                <w:szCs w:val="18"/>
                <w:color w:val="auto"/>
                <w:w w:val="99"/>
              </w:rPr>
              <w:t>8-K</w:t>
            </w:r>
          </w:p>
        </w:tc>
        <w:tc>
          <w:tcPr>
            <w:tcW w:w="1380" w:type="dxa"/>
            <w:vAlign w:val="bottom"/>
            <w:gridSpan w:val="3"/>
          </w:tcPr>
          <w:p>
            <w:pPr>
              <w:jc w:val="center"/>
              <w:ind w:left="273"/>
              <w:spacing w:after="0"/>
              <w:rPr>
                <w:sz w:val="20"/>
                <w:szCs w:val="20"/>
                <w:color w:val="auto"/>
              </w:rPr>
            </w:pPr>
            <w:r>
              <w:rPr>
                <w:rFonts w:ascii="Arial" w:cs="Arial" w:eastAsia="Arial" w:hAnsi="Arial"/>
                <w:sz w:val="18"/>
                <w:szCs w:val="18"/>
                <w:color w:val="auto"/>
                <w:w w:val="90"/>
              </w:rPr>
              <w:t>001-35890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center"/>
              <w:ind w:right="113"/>
              <w:spacing w:after="0"/>
              <w:rPr>
                <w:sz w:val="20"/>
                <w:szCs w:val="20"/>
                <w:color w:val="auto"/>
              </w:rPr>
            </w:pPr>
            <w:r>
              <w:rPr>
                <w:rFonts w:ascii="Arial" w:cs="Arial" w:eastAsia="Arial" w:hAnsi="Arial"/>
                <w:sz w:val="18"/>
                <w:szCs w:val="18"/>
                <w:color w:val="auto"/>
                <w:w w:val="95"/>
              </w:rPr>
              <w:t>3.1</w:t>
            </w:r>
          </w:p>
        </w:tc>
        <w:tc>
          <w:tcPr>
            <w:tcW w:w="2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10/11/2023</w:t>
            </w:r>
          </w:p>
        </w:tc>
      </w:tr>
      <w:tr>
        <w:trPr>
          <w:trHeight w:val="324"/>
        </w:trPr>
        <w:tc>
          <w:tcPr>
            <w:tcW w:w="820" w:type="dxa"/>
            <w:vAlign w:val="bottom"/>
          </w:tcPr>
          <w:p>
            <w:pPr>
              <w:jc w:val="center"/>
              <w:ind w:left="96"/>
              <w:spacing w:after="0"/>
              <w:rPr>
                <w:sz w:val="20"/>
                <w:szCs w:val="20"/>
                <w:color w:val="auto"/>
              </w:rPr>
            </w:pPr>
            <w:r>
              <w:rPr>
                <w:rFonts w:ascii="Arial" w:cs="Arial" w:eastAsia="Arial" w:hAnsi="Arial"/>
                <w:sz w:val="18"/>
                <w:szCs w:val="18"/>
                <w:color w:val="auto"/>
                <w:w w:val="99"/>
              </w:rPr>
              <w:t>8-K</w:t>
            </w:r>
          </w:p>
        </w:tc>
        <w:tc>
          <w:tcPr>
            <w:tcW w:w="1380" w:type="dxa"/>
            <w:vAlign w:val="bottom"/>
            <w:gridSpan w:val="3"/>
          </w:tcPr>
          <w:p>
            <w:pPr>
              <w:jc w:val="center"/>
              <w:ind w:left="273"/>
              <w:spacing w:after="0"/>
              <w:rPr>
                <w:sz w:val="20"/>
                <w:szCs w:val="20"/>
                <w:color w:val="auto"/>
              </w:rPr>
            </w:pPr>
            <w:r>
              <w:rPr>
                <w:rFonts w:ascii="Arial" w:cs="Arial" w:eastAsia="Arial" w:hAnsi="Arial"/>
                <w:sz w:val="18"/>
                <w:szCs w:val="18"/>
                <w:color w:val="auto"/>
                <w:w w:val="90"/>
              </w:rPr>
              <w:t>001-35890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center"/>
              <w:ind w:right="113"/>
              <w:spacing w:after="0"/>
              <w:rPr>
                <w:sz w:val="20"/>
                <w:szCs w:val="20"/>
                <w:color w:val="auto"/>
              </w:rPr>
            </w:pPr>
            <w:r>
              <w:rPr>
                <w:rFonts w:ascii="Arial" w:cs="Arial" w:eastAsia="Arial" w:hAnsi="Arial"/>
                <w:sz w:val="18"/>
                <w:szCs w:val="18"/>
                <w:color w:val="auto"/>
                <w:w w:val="95"/>
              </w:rPr>
              <w:t>3.1</w:t>
            </w:r>
          </w:p>
        </w:tc>
        <w:tc>
          <w:tcPr>
            <w:tcW w:w="2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9/4/2021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10-Q</w:t>
            </w: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001-35890</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10.3</w:t>
            </w:r>
          </w:p>
        </w:tc>
        <w:tc>
          <w:tcPr>
            <w:tcW w:w="1020" w:type="dxa"/>
            <w:vAlign w:val="bottom"/>
          </w:tcPr>
          <w:p>
            <w:pPr>
              <w:jc w:val="right"/>
              <w:spacing w:after="0"/>
              <w:rPr>
                <w:sz w:val="20"/>
                <w:szCs w:val="20"/>
                <w:color w:val="auto"/>
              </w:rPr>
            </w:pPr>
            <w:r>
              <w:rPr>
                <w:rFonts w:ascii="Arial" w:cs="Arial" w:eastAsia="Arial" w:hAnsi="Arial"/>
                <w:sz w:val="18"/>
                <w:szCs w:val="18"/>
                <w:color w:val="auto"/>
              </w:rPr>
              <w:t>8/10/2023</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10-Q</w:t>
            </w: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001-35890</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10.4</w:t>
            </w:r>
          </w:p>
        </w:tc>
        <w:tc>
          <w:tcPr>
            <w:tcW w:w="1020" w:type="dxa"/>
            <w:vAlign w:val="bottom"/>
          </w:tcPr>
          <w:p>
            <w:pPr>
              <w:jc w:val="right"/>
              <w:spacing w:after="0"/>
              <w:rPr>
                <w:sz w:val="20"/>
                <w:szCs w:val="20"/>
                <w:color w:val="auto"/>
              </w:rPr>
            </w:pPr>
            <w:r>
              <w:rPr>
                <w:rFonts w:ascii="Arial" w:cs="Arial" w:eastAsia="Arial" w:hAnsi="Arial"/>
                <w:sz w:val="18"/>
                <w:szCs w:val="18"/>
                <w:color w:val="auto"/>
              </w:rPr>
              <w:t>8/10/2023</w:t>
            </w:r>
          </w:p>
        </w:tc>
      </w:tr>
      <w:tr>
        <w:trPr>
          <w:trHeight w:val="540"/>
        </w:trPr>
        <w:tc>
          <w:tcPr>
            <w:tcW w:w="680" w:type="dxa"/>
            <w:vAlign w:val="bottom"/>
          </w:tcPr>
          <w:p>
            <w:pPr>
              <w:spacing w:after="0"/>
              <w:rPr>
                <w:sz w:val="20"/>
                <w:szCs w:val="20"/>
                <w:color w:val="auto"/>
              </w:rPr>
            </w:pPr>
            <w:r>
              <w:rPr>
                <w:rFonts w:ascii="Arial" w:cs="Arial" w:eastAsia="Arial" w:hAnsi="Arial"/>
                <w:sz w:val="18"/>
                <w:szCs w:val="18"/>
                <w:color w:val="auto"/>
              </w:rPr>
              <w:t>10-Q</w:t>
            </w: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001-35890</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10.1</w:t>
            </w:r>
          </w:p>
        </w:tc>
        <w:tc>
          <w:tcPr>
            <w:tcW w:w="1020" w:type="dxa"/>
            <w:vAlign w:val="bottom"/>
          </w:tcPr>
          <w:p>
            <w:pPr>
              <w:jc w:val="right"/>
              <w:spacing w:after="0"/>
              <w:rPr>
                <w:sz w:val="20"/>
                <w:szCs w:val="20"/>
                <w:color w:val="auto"/>
              </w:rPr>
            </w:pPr>
            <w:r>
              <w:rPr>
                <w:rFonts w:ascii="Arial" w:cs="Arial" w:eastAsia="Arial" w:hAnsi="Arial"/>
                <w:sz w:val="18"/>
                <w:szCs w:val="18"/>
                <w:color w:val="auto"/>
              </w:rPr>
              <w:t>8/10/2023</w:t>
            </w:r>
          </w:p>
        </w:tc>
      </w:tr>
      <w:tr>
        <w:trPr>
          <w:trHeight w:val="540"/>
        </w:trPr>
        <w:tc>
          <w:tcPr>
            <w:tcW w:w="680" w:type="dxa"/>
            <w:vAlign w:val="bottom"/>
          </w:tcPr>
          <w:p>
            <w:pPr>
              <w:spacing w:after="0"/>
              <w:rPr>
                <w:sz w:val="20"/>
                <w:szCs w:val="20"/>
                <w:color w:val="auto"/>
              </w:rPr>
            </w:pPr>
            <w:r>
              <w:rPr>
                <w:rFonts w:ascii="Arial" w:cs="Arial" w:eastAsia="Arial" w:hAnsi="Arial"/>
                <w:sz w:val="18"/>
                <w:szCs w:val="18"/>
                <w:color w:val="auto"/>
              </w:rPr>
              <w:t>10-Q</w:t>
            </w: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001-35890</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10.2</w:t>
            </w:r>
          </w:p>
        </w:tc>
        <w:tc>
          <w:tcPr>
            <w:tcW w:w="1020" w:type="dxa"/>
            <w:vAlign w:val="bottom"/>
          </w:tcPr>
          <w:p>
            <w:pPr>
              <w:jc w:val="right"/>
              <w:spacing w:after="0"/>
              <w:rPr>
                <w:sz w:val="20"/>
                <w:szCs w:val="20"/>
                <w:color w:val="auto"/>
              </w:rPr>
            </w:pPr>
            <w:r>
              <w:rPr>
                <w:rFonts w:ascii="Arial" w:cs="Arial" w:eastAsia="Arial" w:hAnsi="Arial"/>
                <w:sz w:val="18"/>
                <w:szCs w:val="18"/>
                <w:color w:val="auto"/>
              </w:rPr>
              <w:t>8/10/2023</w:t>
            </w:r>
          </w:p>
        </w:tc>
      </w:tr>
    </w:tbl>
    <w:p>
      <w:pPr>
        <w:sectPr>
          <w:pgSz w:w="11900" w:h="16838" w:orient="portrait"/>
          <w:cols w:equalWidth="0" w:num="2">
            <w:col w:w="6364" w:space="220"/>
            <w:col w:w="4440"/>
          </w:cols>
          <w:pgMar w:left="436" w:top="270" w:right="4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Brisbane, State of California, on November 17, 2023.</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Tempest Therapeutics,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Stephen Brady</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Stephen Brady and Nicholas Maestas,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92"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0960"/>
          </w:cols>
          <w:pgMar w:left="440" w:top="270" w:right="499" w:bottom="1440" w:gutter="0" w:footer="0" w:header="0"/>
        </w:sectPr>
      </w:pPr>
    </w:p>
    <w:p>
      <w:pPr>
        <w:spacing w:after="0" w:line="189" w:lineRule="exact"/>
        <w:rPr>
          <w:sz w:val="20"/>
          <w:szCs w:val="20"/>
          <w:color w:val="auto"/>
        </w:rPr>
      </w:pPr>
    </w:p>
    <w:p>
      <w:pPr>
        <w:jc w:val="center"/>
        <w:ind w:left="540"/>
        <w:spacing w:after="0"/>
        <w:rPr>
          <w:sz w:val="20"/>
          <w:szCs w:val="20"/>
          <w:color w:val="auto"/>
        </w:rPr>
      </w:pPr>
      <w:r>
        <w:rPr>
          <w:rFonts w:ascii="Arial" w:cs="Arial" w:eastAsia="Arial" w:hAnsi="Arial"/>
          <w:sz w:val="14"/>
          <w:szCs w:val="14"/>
          <w:b w:val="1"/>
          <w:bCs w:val="1"/>
          <w:color w:val="auto"/>
        </w:rPr>
        <w:t>Signature</w:t>
      </w:r>
    </w:p>
    <w:p>
      <w:pPr>
        <w:spacing w:after="0" w:line="212"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4517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Stephen Brady</w:t>
      </w:r>
    </w:p>
    <w:p>
      <w:pPr>
        <w:spacing w:after="0" w:line="320"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4517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24"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Nicholas Maestas</w:t>
      </w:r>
    </w:p>
    <w:p>
      <w:pPr>
        <w:spacing w:after="0" w:line="225"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/s/ Justin Trojanowski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4517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Justin Trojanowski</w:t>
      </w:r>
    </w:p>
    <w:p>
      <w:pPr>
        <w:spacing w:after="0" w:line="225"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4517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Michael Raab</w:t>
      </w:r>
    </w:p>
    <w:p>
      <w:pPr>
        <w:spacing w:after="0" w:line="225" w:lineRule="exact"/>
        <w:rPr>
          <w:sz w:val="20"/>
          <w:szCs w:val="20"/>
          <w:color w:val="auto"/>
        </w:rPr>
      </w:pPr>
    </w:p>
    <w:p>
      <w:pPr>
        <w:jc w:val="center"/>
        <w:ind w:left="540"/>
        <w:spacing w:after="0"/>
        <w:rPr>
          <w:sz w:val="20"/>
          <w:szCs w:val="20"/>
          <w:color w:val="auto"/>
        </w:rPr>
      </w:pPr>
      <w:r>
        <w:rPr>
          <w:rFonts w:ascii="Arial" w:cs="Arial" w:eastAsia="Arial" w:hAnsi="Arial"/>
          <w:sz w:val="17"/>
          <w:szCs w:val="17"/>
          <w:color w:val="auto"/>
        </w:rPr>
        <w:t>/s/ Geoff Nichol, M.B., Ch.B.,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24517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8"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Geoff Nichol, M.B., Ch.B., M.B.A.</w:t>
      </w:r>
    </w:p>
    <w:p>
      <w:pPr>
        <w:spacing w:after="0" w:line="225"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/s/ Christine Pellizzari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4517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Christine Pellizzari</w:t>
      </w:r>
    </w:p>
    <w:p>
      <w:pPr>
        <w:spacing w:after="0" w:line="225"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/s/ Ronit Simantov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4517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Ronit Simantov</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4020" w:type="dxa"/>
            <w:vAlign w:val="bottom"/>
          </w:tcPr>
          <w:p>
            <w:pPr>
              <w:ind w:left="1620"/>
              <w:spacing w:after="0"/>
              <w:rPr>
                <w:sz w:val="20"/>
                <w:szCs w:val="20"/>
                <w:color w:val="auto"/>
              </w:rPr>
            </w:pPr>
            <w:r>
              <w:rPr>
                <w:rFonts w:ascii="Arial" w:cs="Arial" w:eastAsia="Arial" w:hAnsi="Arial"/>
                <w:sz w:val="14"/>
                <w:szCs w:val="14"/>
                <w:b w:val="1"/>
                <w:bCs w:val="1"/>
                <w:color w:val="auto"/>
              </w:rPr>
              <w:t>Title</w:t>
            </w:r>
          </w:p>
        </w:tc>
        <w:tc>
          <w:tcPr>
            <w:tcW w:w="2020" w:type="dxa"/>
            <w:vAlign w:val="bottom"/>
          </w:tcPr>
          <w:p>
            <w:pPr>
              <w:jc w:val="center"/>
              <w:ind w:left="512"/>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430"/>
        </w:trPr>
        <w:tc>
          <w:tcPr>
            <w:tcW w:w="402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c>
          <w:tcPr>
            <w:tcW w:w="2020" w:type="dxa"/>
            <w:vAlign w:val="bottom"/>
          </w:tcPr>
          <w:p>
            <w:pPr>
              <w:jc w:val="center"/>
              <w:ind w:left="512"/>
              <w:spacing w:after="0"/>
              <w:rPr>
                <w:sz w:val="20"/>
                <w:szCs w:val="20"/>
                <w:color w:val="auto"/>
              </w:rPr>
            </w:pPr>
            <w:r>
              <w:rPr>
                <w:rFonts w:ascii="Arial" w:cs="Arial" w:eastAsia="Arial" w:hAnsi="Arial"/>
                <w:sz w:val="18"/>
                <w:szCs w:val="18"/>
                <w:color w:val="auto"/>
                <w:w w:val="89"/>
              </w:rPr>
              <w:t>November 17, 2023</w:t>
            </w:r>
          </w:p>
        </w:tc>
        <w:tc>
          <w:tcPr>
            <w:tcW w:w="0" w:type="dxa"/>
            <w:vAlign w:val="bottom"/>
          </w:tcPr>
          <w:p>
            <w:pPr>
              <w:spacing w:after="0"/>
              <w:rPr>
                <w:sz w:val="1"/>
                <w:szCs w:val="1"/>
                <w:color w:val="auto"/>
              </w:rPr>
            </w:pPr>
          </w:p>
        </w:tc>
      </w:tr>
      <w:tr>
        <w:trPr>
          <w:trHeight w:val="230"/>
        </w:trPr>
        <w:tc>
          <w:tcPr>
            <w:tcW w:w="4020" w:type="dxa"/>
            <w:vAlign w:val="bottom"/>
          </w:tcPr>
          <w:p>
            <w:pPr>
              <w:ind w:left="180"/>
              <w:spacing w:after="0"/>
              <w:rPr>
                <w:sz w:val="20"/>
                <w:szCs w:val="20"/>
                <w:color w:val="auto"/>
              </w:rPr>
            </w:pPr>
            <w:r>
              <w:rPr>
                <w:rFonts w:ascii="Arial" w:cs="Arial" w:eastAsia="Arial" w:hAnsi="Arial"/>
                <w:sz w:val="18"/>
                <w:szCs w:val="18"/>
                <w:i w:val="1"/>
                <w:iCs w:val="1"/>
                <w:color w:val="auto"/>
              </w:rPr>
              <w:t>(Principal Executive Officer)</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020" w:type="dxa"/>
            <w:vAlign w:val="bottom"/>
          </w:tcPr>
          <w:p>
            <w:pPr>
              <w:spacing w:after="0"/>
              <w:rPr>
                <w:sz w:val="20"/>
                <w:szCs w:val="20"/>
                <w:color w:val="auto"/>
              </w:rPr>
            </w:pPr>
            <w:r>
              <w:rPr>
                <w:rFonts w:ascii="Arial" w:cs="Arial" w:eastAsia="Arial" w:hAnsi="Arial"/>
                <w:sz w:val="18"/>
                <w:szCs w:val="18"/>
                <w:color w:val="auto"/>
              </w:rPr>
              <w:t>Vice President, Strategy and Finance</w:t>
            </w:r>
          </w:p>
        </w:tc>
        <w:tc>
          <w:tcPr>
            <w:tcW w:w="2020" w:type="dxa"/>
            <w:vAlign w:val="bottom"/>
            <w:vMerge w:val="restart"/>
          </w:tcPr>
          <w:p>
            <w:pPr>
              <w:jc w:val="center"/>
              <w:ind w:left="512"/>
              <w:spacing w:after="0"/>
              <w:rPr>
                <w:sz w:val="20"/>
                <w:szCs w:val="20"/>
                <w:color w:val="auto"/>
              </w:rPr>
            </w:pPr>
            <w:r>
              <w:rPr>
                <w:rFonts w:ascii="Arial" w:cs="Arial" w:eastAsia="Arial" w:hAnsi="Arial"/>
                <w:sz w:val="18"/>
                <w:szCs w:val="18"/>
                <w:color w:val="auto"/>
                <w:w w:val="89"/>
              </w:rPr>
              <w:t>November 17, 2023</w:t>
            </w:r>
          </w:p>
        </w:tc>
        <w:tc>
          <w:tcPr>
            <w:tcW w:w="0" w:type="dxa"/>
            <w:vAlign w:val="bottom"/>
          </w:tcPr>
          <w:p>
            <w:pPr>
              <w:spacing w:after="0"/>
              <w:rPr>
                <w:sz w:val="1"/>
                <w:szCs w:val="1"/>
                <w:color w:val="auto"/>
              </w:rPr>
            </w:pPr>
          </w:p>
        </w:tc>
      </w:tr>
      <w:tr>
        <w:trPr>
          <w:trHeight w:val="136"/>
        </w:trPr>
        <w:tc>
          <w:tcPr>
            <w:tcW w:w="4020" w:type="dxa"/>
            <w:vAlign w:val="bottom"/>
            <w:vMerge w:val="restart"/>
          </w:tcPr>
          <w:p>
            <w:pPr>
              <w:spacing w:after="0"/>
              <w:rPr>
                <w:sz w:val="20"/>
                <w:szCs w:val="20"/>
                <w:color w:val="auto"/>
              </w:rPr>
            </w:pPr>
            <w:r>
              <w:rPr>
                <w:rFonts w:ascii="Arial" w:cs="Arial" w:eastAsia="Arial" w:hAnsi="Arial"/>
                <w:sz w:val="18"/>
                <w:szCs w:val="18"/>
                <w:color w:val="auto"/>
              </w:rPr>
              <w:t>and Secretary</w:t>
            </w:r>
          </w:p>
        </w:tc>
        <w:tc>
          <w:tcPr>
            <w:tcW w:w="2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4020" w:type="dxa"/>
            <w:vAlign w:val="bottom"/>
            <w:vMerge w:val="continue"/>
          </w:tcPr>
          <w:p>
            <w:pPr>
              <w:spacing w:after="0"/>
              <w:rPr>
                <w:sz w:val="6"/>
                <w:szCs w:val="6"/>
                <w:color w:val="auto"/>
              </w:rPr>
            </w:pPr>
          </w:p>
        </w:tc>
        <w:tc>
          <w:tcPr>
            <w:tcW w:w="2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020" w:type="dxa"/>
            <w:vAlign w:val="bottom"/>
          </w:tcPr>
          <w:p>
            <w:pPr>
              <w:spacing w:after="0"/>
              <w:rPr>
                <w:sz w:val="20"/>
                <w:szCs w:val="20"/>
                <w:color w:val="auto"/>
              </w:rPr>
            </w:pPr>
            <w:r>
              <w:rPr>
                <w:rFonts w:ascii="Arial" w:cs="Arial" w:eastAsia="Arial" w:hAnsi="Arial"/>
                <w:sz w:val="18"/>
                <w:szCs w:val="18"/>
                <w:color w:val="auto"/>
              </w:rPr>
              <w:t>Corporate Controller, Treasurer</w:t>
            </w:r>
          </w:p>
        </w:tc>
        <w:tc>
          <w:tcPr>
            <w:tcW w:w="2020" w:type="dxa"/>
            <w:vAlign w:val="bottom"/>
          </w:tcPr>
          <w:p>
            <w:pPr>
              <w:jc w:val="center"/>
              <w:ind w:left="512"/>
              <w:spacing w:after="0"/>
              <w:rPr>
                <w:sz w:val="20"/>
                <w:szCs w:val="20"/>
                <w:color w:val="auto"/>
              </w:rPr>
            </w:pPr>
            <w:r>
              <w:rPr>
                <w:rFonts w:ascii="Arial" w:cs="Arial" w:eastAsia="Arial" w:hAnsi="Arial"/>
                <w:sz w:val="18"/>
                <w:szCs w:val="18"/>
                <w:color w:val="auto"/>
                <w:w w:val="89"/>
              </w:rPr>
              <w:t>November 17, 2023</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i w:val="1"/>
                <w:iCs w:val="1"/>
                <w:color w:val="auto"/>
              </w:rPr>
              <w:t>(Principal Accounting Officer)</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402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2020" w:type="dxa"/>
            <w:vAlign w:val="bottom"/>
          </w:tcPr>
          <w:p>
            <w:pPr>
              <w:jc w:val="center"/>
              <w:ind w:left="512"/>
              <w:spacing w:after="0"/>
              <w:rPr>
                <w:sz w:val="20"/>
                <w:szCs w:val="20"/>
                <w:color w:val="auto"/>
              </w:rPr>
            </w:pPr>
            <w:r>
              <w:rPr>
                <w:rFonts w:ascii="Arial" w:cs="Arial" w:eastAsia="Arial" w:hAnsi="Arial"/>
                <w:sz w:val="18"/>
                <w:szCs w:val="18"/>
                <w:color w:val="auto"/>
                <w:w w:val="89"/>
              </w:rPr>
              <w:t>November 17, 2023</w:t>
            </w:r>
          </w:p>
        </w:tc>
        <w:tc>
          <w:tcPr>
            <w:tcW w:w="0" w:type="dxa"/>
            <w:vAlign w:val="bottom"/>
          </w:tcPr>
          <w:p>
            <w:pPr>
              <w:spacing w:after="0"/>
              <w:rPr>
                <w:sz w:val="1"/>
                <w:szCs w:val="1"/>
                <w:color w:val="auto"/>
              </w:rPr>
            </w:pPr>
          </w:p>
        </w:tc>
      </w:tr>
      <w:tr>
        <w:trPr>
          <w:trHeight w:val="675"/>
        </w:trPr>
        <w:tc>
          <w:tcPr>
            <w:tcW w:w="4020" w:type="dxa"/>
            <w:vAlign w:val="bottom"/>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ind w:left="512"/>
              <w:spacing w:after="0"/>
              <w:rPr>
                <w:sz w:val="20"/>
                <w:szCs w:val="20"/>
                <w:color w:val="auto"/>
              </w:rPr>
            </w:pPr>
            <w:r>
              <w:rPr>
                <w:rFonts w:ascii="Arial" w:cs="Arial" w:eastAsia="Arial" w:hAnsi="Arial"/>
                <w:sz w:val="18"/>
                <w:szCs w:val="18"/>
                <w:color w:val="auto"/>
                <w:w w:val="89"/>
              </w:rPr>
              <w:t>November 17, 2023</w:t>
            </w:r>
          </w:p>
        </w:tc>
        <w:tc>
          <w:tcPr>
            <w:tcW w:w="0" w:type="dxa"/>
            <w:vAlign w:val="bottom"/>
          </w:tcPr>
          <w:p>
            <w:pPr>
              <w:spacing w:after="0"/>
              <w:rPr>
                <w:sz w:val="1"/>
                <w:szCs w:val="1"/>
                <w:color w:val="auto"/>
              </w:rPr>
            </w:pPr>
          </w:p>
        </w:tc>
      </w:tr>
      <w:tr>
        <w:trPr>
          <w:trHeight w:val="675"/>
        </w:trPr>
        <w:tc>
          <w:tcPr>
            <w:tcW w:w="4020" w:type="dxa"/>
            <w:vAlign w:val="bottom"/>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ind w:left="512"/>
              <w:spacing w:after="0"/>
              <w:rPr>
                <w:sz w:val="20"/>
                <w:szCs w:val="20"/>
                <w:color w:val="auto"/>
              </w:rPr>
            </w:pPr>
            <w:r>
              <w:rPr>
                <w:rFonts w:ascii="Arial" w:cs="Arial" w:eastAsia="Arial" w:hAnsi="Arial"/>
                <w:sz w:val="18"/>
                <w:szCs w:val="18"/>
                <w:color w:val="auto"/>
                <w:w w:val="89"/>
              </w:rPr>
              <w:t>November 17, 2023</w:t>
            </w:r>
          </w:p>
        </w:tc>
        <w:tc>
          <w:tcPr>
            <w:tcW w:w="0" w:type="dxa"/>
            <w:vAlign w:val="bottom"/>
          </w:tcPr>
          <w:p>
            <w:pPr>
              <w:spacing w:after="0"/>
              <w:rPr>
                <w:sz w:val="1"/>
                <w:szCs w:val="1"/>
                <w:color w:val="auto"/>
              </w:rPr>
            </w:pPr>
          </w:p>
        </w:tc>
      </w:tr>
      <w:tr>
        <w:trPr>
          <w:trHeight w:val="675"/>
        </w:trPr>
        <w:tc>
          <w:tcPr>
            <w:tcW w:w="4020" w:type="dxa"/>
            <w:vAlign w:val="bottom"/>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ind w:left="512"/>
              <w:spacing w:after="0"/>
              <w:rPr>
                <w:sz w:val="20"/>
                <w:szCs w:val="20"/>
                <w:color w:val="auto"/>
              </w:rPr>
            </w:pPr>
            <w:r>
              <w:rPr>
                <w:rFonts w:ascii="Arial" w:cs="Arial" w:eastAsia="Arial" w:hAnsi="Arial"/>
                <w:sz w:val="18"/>
                <w:szCs w:val="18"/>
                <w:color w:val="auto"/>
                <w:w w:val="89"/>
              </w:rPr>
              <w:t>November 17, 2023</w:t>
            </w:r>
          </w:p>
        </w:tc>
        <w:tc>
          <w:tcPr>
            <w:tcW w:w="0" w:type="dxa"/>
            <w:vAlign w:val="bottom"/>
          </w:tcPr>
          <w:p>
            <w:pPr>
              <w:spacing w:after="0"/>
              <w:rPr>
                <w:sz w:val="1"/>
                <w:szCs w:val="1"/>
                <w:color w:val="auto"/>
              </w:rPr>
            </w:pPr>
          </w:p>
        </w:tc>
      </w:tr>
    </w:tbl>
    <w:p>
      <w:pPr>
        <w:sectPr>
          <w:pgSz w:w="11900" w:h="16838" w:orient="portrait"/>
          <w:cols w:equalWidth="0" w:num="2">
            <w:col w:w="3320" w:space="660"/>
            <w:col w:w="6980"/>
          </w:cols>
          <w:pgMar w:left="440" w:top="270" w:right="49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165860" cy="386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2">
                      <a:extLst>
                        <a:ext uri="{28A0092B-C50C-407E-A947-70E740481C1C}"/>
                      </a:extLst>
                    </a:blip>
                    <a:srcRect/>
                    <a:stretch>
                      <a:fillRect/>
                    </a:stretch>
                  </pic:blipFill>
                  <pic:spPr bwMode="auto">
                    <a:xfrm>
                      <a:off x="0" y="0"/>
                      <a:ext cx="116586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
        <w:spacing w:after="0"/>
        <w:rPr>
          <w:sz w:val="20"/>
          <w:szCs w:val="20"/>
          <w:color w:val="auto"/>
        </w:rPr>
      </w:pPr>
      <w:r>
        <w:rPr>
          <w:rFonts w:ascii="Arial" w:cs="Arial" w:eastAsia="Arial" w:hAnsi="Arial"/>
          <w:sz w:val="18"/>
          <w:szCs w:val="18"/>
          <w:color w:val="auto"/>
        </w:rPr>
        <w:t>November 17, 2023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Laura Berezin</w:t>
      </w:r>
    </w:p>
    <w:p>
      <w:pPr>
        <w:spacing w:after="0" w:line="23" w:lineRule="exact"/>
        <w:rPr>
          <w:sz w:val="20"/>
          <w:szCs w:val="20"/>
          <w:color w:val="auto"/>
        </w:rPr>
      </w:pPr>
    </w:p>
    <w:p>
      <w:pPr>
        <w:ind w:left="4" w:right="9460" w:hanging="4"/>
        <w:spacing w:after="0" w:line="323" w:lineRule="auto"/>
        <w:tabs>
          <w:tab w:leader="none" w:pos="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+1 650 843 5128 lberezin@cooley.com</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8"/>
          <w:szCs w:val="18"/>
          <w:color w:val="auto"/>
        </w:rPr>
        <w:t>Tempest Therapeutics,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2000 Sierra Point Parkway, Suite 400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Brisbane, California 94005</w:t>
      </w:r>
    </w:p>
    <w:p>
      <w:pPr>
        <w:spacing w:after="0" w:line="103"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have acted as counsel to Tempest Therapeutics,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filing by the Company of a</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Registration Statement on Form S-8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covering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offering of up to 2,733,342 shares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of the Company’s Common Stock, $0.001 par value, consisting of (a) 1,150,000 shares of Common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Stock issuable pursuant to the Company’s 2023 Inducement Plan (the “</w:t>
      </w:r>
      <w:r>
        <w:rPr>
          <w:rFonts w:ascii="Arial" w:cs="Arial" w:eastAsia="Arial" w:hAnsi="Arial"/>
          <w:sz w:val="16"/>
          <w:szCs w:val="16"/>
          <w:b w:val="1"/>
          <w:bCs w:val="1"/>
          <w:i w:val="1"/>
          <w:iCs w:val="1"/>
          <w:color w:val="auto"/>
        </w:rPr>
        <w:t>Inducement Plan</w:t>
      </w:r>
      <w:r>
        <w:rPr>
          <w:rFonts w:ascii="Arial" w:cs="Arial" w:eastAsia="Arial" w:hAnsi="Arial"/>
          <w:sz w:val="16"/>
          <w:szCs w:val="16"/>
          <w:color w:val="auto"/>
        </w:rPr>
        <w:t>”), (b) 12,600 shares of Common Stock issuable under a new</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hire inducement stock option award granted by the Company (the “</w:t>
      </w:r>
      <w:r>
        <w:rPr>
          <w:rFonts w:ascii="Arial" w:cs="Arial" w:eastAsia="Arial" w:hAnsi="Arial"/>
          <w:sz w:val="17"/>
          <w:szCs w:val="17"/>
          <w:b w:val="1"/>
          <w:bCs w:val="1"/>
          <w:i w:val="1"/>
          <w:iCs w:val="1"/>
          <w:color w:val="auto"/>
        </w:rPr>
        <w:t>ISO Award</w:t>
      </w:r>
      <w:r>
        <w:rPr>
          <w:rFonts w:ascii="Arial" w:cs="Arial" w:eastAsia="Arial" w:hAnsi="Arial"/>
          <w:sz w:val="17"/>
          <w:szCs w:val="17"/>
          <w:color w:val="auto"/>
        </w:rPr>
        <w:t>”, and (c) 1,570,742 shares of Common Stock issuable under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Company’s Amended and Restated 2023 Equity Incentive Plan (the “</w:t>
      </w:r>
      <w:r>
        <w:rPr>
          <w:rFonts w:ascii="Arial" w:cs="Arial" w:eastAsia="Arial" w:hAnsi="Arial"/>
          <w:sz w:val="17"/>
          <w:szCs w:val="17"/>
          <w:b w:val="1"/>
          <w:bCs w:val="1"/>
          <w:i w:val="1"/>
          <w:iCs w:val="1"/>
          <w:color w:val="auto"/>
        </w:rPr>
        <w:t>2023 EIP</w:t>
      </w:r>
      <w:r>
        <w:rPr>
          <w:rFonts w:ascii="Arial" w:cs="Arial" w:eastAsia="Arial" w:hAnsi="Arial"/>
          <w:sz w:val="17"/>
          <w:szCs w:val="17"/>
          <w:color w:val="auto"/>
        </w:rPr>
        <w:t>”, and together with the Inducement Plan and the ISO Award,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Plans</w:t>
      </w:r>
      <w:r>
        <w:rPr>
          <w:rFonts w:ascii="Arial" w:cs="Arial" w:eastAsia="Arial" w:hAnsi="Arial"/>
          <w:sz w:val="17"/>
          <w:szCs w:val="17"/>
          <w:color w:val="auto"/>
        </w:rPr>
        <w:t>”). Each share of Common Stock includes a preferred share purchase right (each, a “</w:t>
      </w:r>
      <w:r>
        <w:rPr>
          <w:rFonts w:ascii="Arial" w:cs="Arial" w:eastAsia="Arial" w:hAnsi="Arial"/>
          <w:sz w:val="17"/>
          <w:szCs w:val="17"/>
          <w:b w:val="1"/>
          <w:bCs w:val="1"/>
          <w:i w:val="1"/>
          <w:iCs w:val="1"/>
          <w:color w:val="auto"/>
        </w:rPr>
        <w:t>Right</w:t>
      </w:r>
      <w:r>
        <w:rPr>
          <w:rFonts w:ascii="Arial" w:cs="Arial" w:eastAsia="Arial" w:hAnsi="Arial"/>
          <w:sz w:val="17"/>
          <w:szCs w:val="17"/>
          <w:color w:val="auto"/>
        </w:rPr>
        <w:t>,” collectively, the “</w:t>
      </w:r>
      <w:r>
        <w:rPr>
          <w:rFonts w:ascii="Arial" w:cs="Arial" w:eastAsia="Arial" w:hAnsi="Arial"/>
          <w:sz w:val="17"/>
          <w:szCs w:val="17"/>
          <w:b w:val="1"/>
          <w:bCs w:val="1"/>
          <w:i w:val="1"/>
          <w:iCs w:val="1"/>
          <w:color w:val="auto"/>
        </w:rPr>
        <w:t>Rights</w:t>
      </w:r>
      <w:r>
        <w:rPr>
          <w:rFonts w:ascii="Arial" w:cs="Arial" w:eastAsia="Arial" w:hAnsi="Arial"/>
          <w:sz w:val="17"/>
          <w:szCs w:val="17"/>
          <w:color w:val="auto"/>
        </w:rPr>
        <w:t>”) as set forth in Rights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Agreement (the “</w:t>
      </w:r>
      <w:r>
        <w:rPr>
          <w:rFonts w:ascii="Arial" w:cs="Arial" w:eastAsia="Arial" w:hAnsi="Arial"/>
          <w:sz w:val="17"/>
          <w:szCs w:val="17"/>
          <w:b w:val="1"/>
          <w:bCs w:val="1"/>
          <w:i w:val="1"/>
          <w:iCs w:val="1"/>
          <w:color w:val="auto"/>
        </w:rPr>
        <w:t>Rights Plan</w:t>
      </w:r>
      <w:r>
        <w:rPr>
          <w:rFonts w:ascii="Arial" w:cs="Arial" w:eastAsia="Arial" w:hAnsi="Arial"/>
          <w:sz w:val="17"/>
          <w:szCs w:val="17"/>
          <w:color w:val="auto"/>
        </w:rPr>
        <w:t>”), dated as October 10, 2023, between the Company and Computershare Trust Company, N.A., as rights agent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Rights Agent</w:t>
      </w:r>
      <w:r>
        <w:rPr>
          <w:rFonts w:ascii="Arial" w:cs="Arial" w:eastAsia="Arial" w:hAnsi="Arial"/>
          <w:sz w:val="18"/>
          <w:szCs w:val="18"/>
          <w:color w:val="auto"/>
        </w:rPr>
        <w:t>”).</w:t>
      </w:r>
    </w:p>
    <w:p>
      <w:pPr>
        <w:spacing w:after="0" w:line="211" w:lineRule="exact"/>
        <w:rPr>
          <w:sz w:val="20"/>
          <w:szCs w:val="20"/>
          <w:color w:val="auto"/>
        </w:rPr>
      </w:pPr>
    </w:p>
    <w:p>
      <w:pPr>
        <w:ind w:left="4" w:right="20"/>
        <w:spacing w:after="0" w:line="291" w:lineRule="auto"/>
        <w:rPr>
          <w:sz w:val="20"/>
          <w:szCs w:val="20"/>
          <w:color w:val="auto"/>
        </w:rPr>
      </w:pPr>
      <w:r>
        <w:rPr>
          <w:rFonts w:ascii="Arial" w:cs="Arial" w:eastAsia="Arial" w:hAnsi="Arial"/>
          <w:sz w:val="16"/>
          <w:szCs w:val="16"/>
          <w:color w:val="auto"/>
        </w:rPr>
        <w:t>In connection with this opinion, we have examined and relied upon: (a) the Registration Statement and related prospectus, (b) the Plans, (c) the Company’s certificate of incorporation and bylaws, each as currently in effect, (d) the Rights Plan and (e) such other records, documents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officer of the Company and have not independently verified such matters.</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With respect to our opinion concerning the Rights:</w:t>
      </w:r>
    </w:p>
    <w:p>
      <w:pPr>
        <w:spacing w:after="0" w:line="117" w:lineRule="exact"/>
        <w:rPr>
          <w:sz w:val="20"/>
          <w:szCs w:val="20"/>
          <w:color w:val="auto"/>
        </w:rPr>
      </w:pPr>
    </w:p>
    <w:p>
      <w:pPr>
        <w:ind w:left="4" w:right="80" w:hanging="4"/>
        <w:spacing w:after="0" w:line="263" w:lineRule="auto"/>
        <w:tabs>
          <w:tab w:leader="none" w:pos="35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opinion does not address the determination a court of competent jurisdiction may make regarding whether the Company’s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may be required to redeem or terminate, or take other action with respect to, the Rights or Rights Plan in the future based on the facts and circumstances then existing.</w:t>
      </w:r>
    </w:p>
    <w:p>
      <w:pPr>
        <w:spacing w:after="0" w:line="75" w:lineRule="exact"/>
        <w:rPr>
          <w:rFonts w:ascii="Arial" w:cs="Arial" w:eastAsia="Arial" w:hAnsi="Arial"/>
          <w:sz w:val="18"/>
          <w:szCs w:val="18"/>
          <w:color w:val="auto"/>
        </w:rPr>
      </w:pPr>
    </w:p>
    <w:p>
      <w:pPr>
        <w:ind w:left="4" w:right="80" w:hanging="4"/>
        <w:spacing w:after="0" w:line="257" w:lineRule="auto"/>
        <w:tabs>
          <w:tab w:leader="none" w:pos="40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opinion assumes that the Rights Plan has been duly authorized, executed and delivered by the Rights Agent and that members of the Board have acted in a manner consistent with their fiduciary duties as required under applicable law in adopting the Rights Plan. With respect to Rights associated with Shares to be offered in the future under the Registration Statement, our opinion assumes the Rights Plan has not been terminated by the Company or expired by its terms and the Rights have not expired or been redeemed or exchanged by the Company, in each case, prior to the issuance of such Shares.</w:t>
      </w:r>
    </w:p>
    <w:p>
      <w:pPr>
        <w:spacing w:after="0" w:line="79" w:lineRule="exact"/>
        <w:rPr>
          <w:rFonts w:ascii="Arial" w:cs="Arial" w:eastAsia="Arial" w:hAnsi="Arial"/>
          <w:sz w:val="18"/>
          <w:szCs w:val="18"/>
          <w:color w:val="auto"/>
        </w:rPr>
      </w:pPr>
    </w:p>
    <w:p>
      <w:pPr>
        <w:ind w:left="4" w:right="320" w:hanging="4"/>
        <w:spacing w:after="0" w:line="286" w:lineRule="auto"/>
        <w:tabs>
          <w:tab w:leader="none" w:pos="454"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opinion addresses corporate procedures in connection with the issuance of the Rights associated with shares of Common Stock of the Company, and not any particular provision of the Rights or the Rights Plan. It should be understood that it is not settled whether the invalidity of any particular provision of a rights agreement or purchase rights issued thereunder would invalidate such rights in their entirety.</w:t>
      </w:r>
    </w:p>
    <w:p>
      <w:pPr>
        <w:spacing w:after="0" w:line="165"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84"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On the basis of the foregoing, and in reliance thereon, and subject to the qualifications herein stated, we are of the opinion that the Shares and associated Rights, when sold and issued against payment therefor in accordance with the Plans, the Registration Statement and the related prospectuses, will be validly issued, and the Shares will be fully paid and nonassessable (except as to shares issued pursuant to deferred payment arrangements, which will be fully paid and nonassessable when such deferred payments are made in full).</w:t>
      </w:r>
    </w:p>
    <w:p>
      <w:pPr>
        <w:spacing w:after="0" w:line="187"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This opinion is limited to the matters expressly set forth in this letter, and no opinion should be implied, or may be inferred, beyond the matters expressly stated. This opinion speaks only as to law and facts in effect or existing as of the date hereof and we undertake no obligation or responsibility to update or supplement this letter to reflect any facts or circumstances that may hereafter come to our attention or any changes in law that may hereafter occur.</w:t>
      </w:r>
    </w:p>
    <w:p>
      <w:pPr>
        <w:spacing w:after="0" w:line="187"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OOLEY</w:t>
      </w:r>
      <w:r>
        <w:rPr>
          <w:rFonts w:ascii="Arial" w:cs="Arial" w:eastAsia="Arial" w:hAnsi="Arial"/>
          <w:sz w:val="18"/>
          <w:szCs w:val="18"/>
          <w:color w:val="auto"/>
        </w:rPr>
        <w:t xml:space="preserve"> LLP</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Laura Berezin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14605</wp:posOffset>
            </wp:positionV>
            <wp:extent cx="2597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Laura Berezin</w:t>
      </w:r>
    </w:p>
    <w:p>
      <w:pPr>
        <w:sectPr>
          <w:pgSz w:w="11900" w:h="16838" w:orient="portrait"/>
          <w:cols w:equalWidth="0" w:num="1">
            <w:col w:w="11024"/>
          </w:cols>
          <w:pgMar w:left="436" w:top="121" w:right="439" w:bottom="145" w:gutter="0" w:footer="0" w:header="0"/>
        </w:sectPr>
      </w:pPr>
    </w:p>
    <w:bookmarkStart w:id="5" w:name="page6"/>
    <w:bookmarkEnd w:id="5"/>
    <w:p>
      <w:pPr>
        <w:jc w:val="center"/>
        <w:ind w:right="19"/>
        <w:spacing w:after="0"/>
        <w:rPr>
          <w:sz w:val="20"/>
          <w:szCs w:val="20"/>
          <w:color w:val="auto"/>
        </w:rPr>
      </w:pPr>
      <w:r>
        <w:rPr>
          <w:rFonts w:ascii="Arial" w:cs="Arial" w:eastAsia="Arial" w:hAnsi="Arial"/>
          <w:sz w:val="16"/>
          <w:szCs w:val="16"/>
          <w:color w:val="auto"/>
        </w:rPr>
        <w:t>Cooley LLP 1700 Seventh Avenue, Suite 1900 Seattle, WA 98101-1355</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 (206) 452-8700 f: (206) 452-8800 cooley.com</w:t>
      </w:r>
    </w:p>
    <w:p>
      <w:pPr>
        <w:sectPr>
          <w:pgSz w:w="11900" w:h="16838" w:orient="portrait"/>
          <w:cols w:equalWidth="0" w:num="1">
            <w:col w:w="9019"/>
          </w:cols>
          <w:pgMar w:left="1440" w:top="125"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consent to the incorporation by reference in this Registration Statement (Form S-8) pertaining to the Tempest Therapeutics, Inc. Amended and Restated 2019 Equity Incentive Plan, Tempest Therapeutics, Inc. Amended and Restated 2023 Equity Incentive Plan, Tempest Therapeutics, Inc. 2023 Inducement Plan, and Inducement Stock Options of our report dated March 22, 2023, with respect to the consolidated financial statements of Tempest Therapeutics, Inc. included in its Annual Report (Form 10-K) for the year ended December 31, 2022, filed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17, 2023</w:t>
      </w:r>
    </w:p>
    <w:p>
      <w:pPr>
        <w:sectPr>
          <w:pgSz w:w="11900" w:h="16838" w:orient="portrait"/>
          <w:cols w:equalWidth="0" w:num="1">
            <w:col w:w="11020"/>
          </w:cols>
          <w:pgMar w:left="440" w:top="121"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S-8</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Tempest Therapeutics,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Table 1 – Newly Registered Securities</w:t>
      </w:r>
    </w:p>
    <w:p>
      <w:pPr>
        <w:spacing w:after="0" w:line="229" w:lineRule="exact"/>
        <w:rPr>
          <w:sz w:val="20"/>
          <w:szCs w:val="20"/>
          <w:color w:val="auto"/>
        </w:rPr>
      </w:pPr>
    </w:p>
    <w:tbl>
      <w:tblPr>
        <w:tblLayout w:type="fixed"/>
        <w:tblInd w:w="1334" w:type="dxa"/>
        <w:tblCellMar>
          <w:top w:w="0" w:type="dxa"/>
          <w:left w:w="0" w:type="dxa"/>
          <w:bottom w:w="0" w:type="dxa"/>
          <w:right w:w="0" w:type="dxa"/>
        </w:tblCellMar>
      </w:tblPr>
      <w:tr>
        <w:trPr>
          <w:trHeight w:val="148"/>
        </w:trPr>
        <w:tc>
          <w:tcPr>
            <w:tcW w:w="620" w:type="dxa"/>
            <w:vAlign w:val="bottom"/>
            <w:tcBorders>
              <w:top w:val="single" w:sz="8" w:color="auto"/>
              <w:left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120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6"/>
              </w:rPr>
              <w:t>Proposed</w:t>
            </w:r>
          </w:p>
        </w:tc>
        <w:tc>
          <w:tcPr>
            <w:tcW w:w="10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Maximum</w:t>
            </w:r>
          </w:p>
        </w:tc>
        <w:tc>
          <w:tcPr>
            <w:tcW w:w="100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tcBorders>
              <w:left w:val="single" w:sz="8" w:color="auto"/>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3"/>
                <w:szCs w:val="13"/>
                <w:color w:val="auto"/>
                <w:w w:val="92"/>
              </w:rPr>
              <w:t>Maximum</w:t>
            </w:r>
          </w:p>
        </w:tc>
        <w:tc>
          <w:tcPr>
            <w:tcW w:w="108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20" w:type="dxa"/>
            <w:vAlign w:val="bottom"/>
            <w:tcBorders>
              <w:left w:val="single" w:sz="8" w:color="auto"/>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8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Offering</w:t>
            </w:r>
          </w:p>
        </w:tc>
        <w:tc>
          <w:tcPr>
            <w:tcW w:w="10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Aggregate</w:t>
            </w:r>
          </w:p>
        </w:tc>
        <w:tc>
          <w:tcPr>
            <w:tcW w:w="1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1"/>
              </w:rPr>
              <w:t>Amount of</w:t>
            </w:r>
          </w:p>
        </w:tc>
        <w:tc>
          <w:tcPr>
            <w:tcW w:w="0" w:type="dxa"/>
            <w:vAlign w:val="bottom"/>
          </w:tcPr>
          <w:p>
            <w:pPr>
              <w:spacing w:after="0"/>
              <w:rPr>
                <w:sz w:val="1"/>
                <w:szCs w:val="1"/>
                <w:color w:val="auto"/>
              </w:rPr>
            </w:pPr>
          </w:p>
        </w:tc>
      </w:tr>
      <w:tr>
        <w:trPr>
          <w:trHeight w:val="135"/>
        </w:trPr>
        <w:tc>
          <w:tcPr>
            <w:tcW w:w="620" w:type="dxa"/>
            <w:vAlign w:val="bottom"/>
            <w:tcBorders>
              <w:left w:val="single" w:sz="8" w:color="auto"/>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12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Class</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Calculation</w:t>
            </w:r>
          </w:p>
        </w:tc>
        <w:tc>
          <w:tcPr>
            <w:tcW w:w="80" w:type="dxa"/>
            <w:vAlign w:val="bottom"/>
          </w:tcPr>
          <w:p>
            <w:pPr>
              <w:spacing w:after="0"/>
              <w:rPr>
                <w:sz w:val="11"/>
                <w:szCs w:val="11"/>
                <w:color w:val="auto"/>
              </w:rPr>
            </w:pP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3"/>
              </w:rPr>
              <w:t>Amount</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Price Per</w:t>
            </w:r>
          </w:p>
        </w:tc>
        <w:tc>
          <w:tcPr>
            <w:tcW w:w="10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Offering</w:t>
            </w: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Registration</w:t>
            </w:r>
          </w:p>
        </w:tc>
        <w:tc>
          <w:tcPr>
            <w:tcW w:w="0" w:type="dxa"/>
            <w:vAlign w:val="bottom"/>
          </w:tcPr>
          <w:p>
            <w:pPr>
              <w:spacing w:after="0"/>
              <w:rPr>
                <w:sz w:val="1"/>
                <w:szCs w:val="1"/>
                <w:color w:val="auto"/>
              </w:rPr>
            </w:pPr>
          </w:p>
        </w:tc>
      </w:tr>
      <w:tr>
        <w:trPr>
          <w:trHeight w:val="175"/>
        </w:trPr>
        <w:tc>
          <w:tcPr>
            <w:tcW w:w="620" w:type="dxa"/>
            <w:vAlign w:val="bottom"/>
            <w:tcBorders>
              <w:left w:val="single" w:sz="8" w:color="auto"/>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Type</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Title</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Rule</w:t>
            </w: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3"/>
                <w:szCs w:val="13"/>
                <w:color w:val="auto"/>
                <w:w w:val="85"/>
              </w:rPr>
              <w:t>Registered</w:t>
            </w:r>
            <w:r>
              <w:rPr>
                <w:rFonts w:ascii="Arial" w:cs="Arial" w:eastAsia="Arial" w:hAnsi="Arial"/>
                <w:sz w:val="18"/>
                <w:szCs w:val="18"/>
                <w:color w:val="auto"/>
                <w:w w:val="85"/>
                <w:vertAlign w:val="superscript"/>
              </w:rPr>
              <w:t>(1)</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Unit</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Price</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79"/>
              </w:rPr>
              <w:t>Rate</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0"/>
              </w:rPr>
              <w:t>Fee</w:t>
            </w:r>
          </w:p>
        </w:tc>
        <w:tc>
          <w:tcPr>
            <w:tcW w:w="0" w:type="dxa"/>
            <w:vAlign w:val="bottom"/>
          </w:tcPr>
          <w:p>
            <w:pPr>
              <w:spacing w:after="0"/>
              <w:rPr>
                <w:sz w:val="1"/>
                <w:szCs w:val="1"/>
                <w:color w:val="auto"/>
              </w:rPr>
            </w:pPr>
          </w:p>
        </w:tc>
      </w:tr>
      <w:tr>
        <w:trPr>
          <w:trHeight w:val="209"/>
        </w:trPr>
        <w:tc>
          <w:tcPr>
            <w:tcW w:w="62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4"/>
              </w:rPr>
              <w:t>Fees</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Amended and</w:t>
            </w:r>
          </w:p>
        </w:tc>
        <w:tc>
          <w:tcPr>
            <w:tcW w:w="9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2"/>
              </w:rPr>
              <w:t>to</w:t>
            </w:r>
          </w:p>
        </w:tc>
        <w:tc>
          <w:tcPr>
            <w:tcW w:w="7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Restated 2023</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Rule 457(c)</w:t>
            </w: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9"/>
              </w:rPr>
              <w:t>be</w:t>
            </w:r>
          </w:p>
        </w:tc>
        <w:tc>
          <w:tcPr>
            <w:tcW w:w="7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and</w:t>
            </w: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Paid</w:t>
            </w:r>
          </w:p>
        </w:tc>
        <w:tc>
          <w:tcPr>
            <w:tcW w:w="760" w:type="dxa"/>
            <w:vAlign w:val="bottom"/>
            <w:tcBorders>
              <w:bottom w:val="single" w:sz="8" w:color="auto"/>
              <w:right w:val="single" w:sz="8" w:color="auto"/>
            </w:tcBorders>
          </w:tcPr>
          <w:p>
            <w:pPr>
              <w:spacing w:after="0"/>
              <w:rPr>
                <w:sz w:val="22"/>
                <w:szCs w:val="22"/>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Incentive Plan</w:t>
            </w:r>
          </w:p>
        </w:tc>
        <w:tc>
          <w:tcPr>
            <w:tcW w:w="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3"/>
              </w:rPr>
              <w:t>Rule 457(h)</w:t>
            </w:r>
          </w:p>
        </w:tc>
        <w:tc>
          <w:tcPr>
            <w:tcW w:w="8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jc w:val="center"/>
              <w:spacing w:after="0" w:line="257" w:lineRule="exact"/>
              <w:rPr>
                <w:sz w:val="20"/>
                <w:szCs w:val="20"/>
                <w:color w:val="auto"/>
              </w:rPr>
            </w:pPr>
            <w:r>
              <w:rPr>
                <w:rFonts w:ascii="Arial" w:cs="Arial" w:eastAsia="Arial" w:hAnsi="Arial"/>
                <w:sz w:val="18"/>
                <w:szCs w:val="18"/>
                <w:color w:val="auto"/>
                <w:w w:val="87"/>
              </w:rPr>
              <w:t>1,703</w:t>
            </w:r>
            <w:r>
              <w:rPr>
                <w:rFonts w:ascii="Arial" w:cs="Arial" w:eastAsia="Arial" w:hAnsi="Arial"/>
                <w:sz w:val="26"/>
                <w:szCs w:val="26"/>
                <w:color w:val="auto"/>
                <w:w w:val="87"/>
                <w:vertAlign w:val="superscript"/>
              </w:rPr>
              <w:t>(2)</w:t>
            </w:r>
          </w:p>
        </w:tc>
        <w:tc>
          <w:tcPr>
            <w:tcW w:w="760" w:type="dxa"/>
            <w:vAlign w:val="bottom"/>
            <w:tcBorders>
              <w:bottom w:val="single" w:sz="8" w:color="auto"/>
              <w:right w:val="single" w:sz="8" w:color="auto"/>
            </w:tcBorders>
          </w:tcPr>
          <w:p>
            <w:pPr>
              <w:jc w:val="center"/>
              <w:spacing w:after="0" w:line="257" w:lineRule="exact"/>
              <w:rPr>
                <w:sz w:val="20"/>
                <w:szCs w:val="20"/>
                <w:color w:val="auto"/>
              </w:rPr>
            </w:pPr>
            <w:r>
              <w:rPr>
                <w:rFonts w:ascii="Arial" w:cs="Arial" w:eastAsia="Arial" w:hAnsi="Arial"/>
                <w:sz w:val="18"/>
                <w:szCs w:val="18"/>
                <w:color w:val="auto"/>
                <w:w w:val="84"/>
              </w:rPr>
              <w:t>$3.11</w:t>
            </w:r>
            <w:r>
              <w:rPr>
                <w:rFonts w:ascii="Arial" w:cs="Arial" w:eastAsia="Arial" w:hAnsi="Arial"/>
                <w:sz w:val="26"/>
                <w:szCs w:val="26"/>
                <w:color w:val="auto"/>
                <w:w w:val="84"/>
                <w:vertAlign w:val="superscript"/>
              </w:rPr>
              <w:t>(3)</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$5,297</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0.00014760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$0.78</w:t>
            </w:r>
          </w:p>
        </w:tc>
        <w:tc>
          <w:tcPr>
            <w:tcW w:w="0" w:type="dxa"/>
            <w:vAlign w:val="bottom"/>
          </w:tcPr>
          <w:p>
            <w:pPr>
              <w:spacing w:after="0"/>
              <w:rPr>
                <w:sz w:val="1"/>
                <w:szCs w:val="1"/>
                <w:color w:val="auto"/>
              </w:rPr>
            </w:pPr>
          </w:p>
        </w:tc>
      </w:tr>
      <w:tr>
        <w:trPr>
          <w:trHeight w:val="209"/>
        </w:trPr>
        <w:tc>
          <w:tcPr>
            <w:tcW w:w="620" w:type="dxa"/>
            <w:vAlign w:val="bottom"/>
            <w:tcBorders>
              <w:left w:val="single" w:sz="8" w:color="auto"/>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Amended and</w:t>
            </w:r>
          </w:p>
        </w:tc>
        <w:tc>
          <w:tcPr>
            <w:tcW w:w="9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Restated 2023</w:t>
            </w:r>
          </w:p>
        </w:tc>
        <w:tc>
          <w:tcPr>
            <w:tcW w:w="9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9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Incentive Plan</w:t>
            </w:r>
          </w:p>
        </w:tc>
        <w:tc>
          <w:tcPr>
            <w:tcW w:w="9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(options)</w:t>
            </w:r>
          </w:p>
        </w:tc>
        <w:tc>
          <w:tcPr>
            <w:tcW w:w="9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Common</w:t>
            </w:r>
          </w:p>
        </w:tc>
        <w:tc>
          <w:tcPr>
            <w:tcW w:w="9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stock, $0.001</w:t>
            </w:r>
          </w:p>
        </w:tc>
        <w:tc>
          <w:tcPr>
            <w:tcW w:w="9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par value per</w:t>
            </w:r>
          </w:p>
        </w:tc>
        <w:tc>
          <w:tcPr>
            <w:tcW w:w="9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20" w:type="dxa"/>
            <w:vAlign w:val="bottom"/>
            <w:tcBorders>
              <w:left w:val="single" w:sz="8" w:color="auto"/>
              <w:bottom w:val="single" w:sz="8" w:color="auto"/>
              <w:right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share</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Rule 457(h)</w:t>
            </w:r>
          </w:p>
        </w:tc>
        <w:tc>
          <w:tcPr>
            <w:tcW w:w="8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jc w:val="right"/>
              <w:ind w:right="19"/>
              <w:spacing w:after="0" w:line="257" w:lineRule="exact"/>
              <w:rPr>
                <w:sz w:val="20"/>
                <w:szCs w:val="20"/>
                <w:color w:val="auto"/>
              </w:rPr>
            </w:pPr>
            <w:r>
              <w:rPr>
                <w:rFonts w:ascii="Arial" w:cs="Arial" w:eastAsia="Arial" w:hAnsi="Arial"/>
                <w:sz w:val="18"/>
                <w:szCs w:val="18"/>
                <w:color w:val="auto"/>
                <w:w w:val="86"/>
              </w:rPr>
              <w:t>1,569,039</w:t>
            </w:r>
            <w:r>
              <w:rPr>
                <w:rFonts w:ascii="Arial" w:cs="Arial" w:eastAsia="Arial" w:hAnsi="Arial"/>
                <w:sz w:val="26"/>
                <w:szCs w:val="26"/>
                <w:color w:val="auto"/>
                <w:w w:val="86"/>
                <w:vertAlign w:val="superscript"/>
              </w:rPr>
              <w:t>(4)</w:t>
            </w:r>
          </w:p>
        </w:tc>
        <w:tc>
          <w:tcPr>
            <w:tcW w:w="760" w:type="dxa"/>
            <w:vAlign w:val="bottom"/>
            <w:tcBorders>
              <w:bottom w:val="single" w:sz="8" w:color="auto"/>
              <w:right w:val="single" w:sz="8" w:color="auto"/>
            </w:tcBorders>
          </w:tcPr>
          <w:p>
            <w:pPr>
              <w:jc w:val="center"/>
              <w:spacing w:after="0" w:line="257" w:lineRule="exact"/>
              <w:rPr>
                <w:sz w:val="20"/>
                <w:szCs w:val="20"/>
                <w:color w:val="auto"/>
              </w:rPr>
            </w:pPr>
            <w:r>
              <w:rPr>
                <w:rFonts w:ascii="Arial" w:cs="Arial" w:eastAsia="Arial" w:hAnsi="Arial"/>
                <w:sz w:val="18"/>
                <w:szCs w:val="18"/>
                <w:color w:val="auto"/>
                <w:w w:val="84"/>
              </w:rPr>
              <w:t>$9.77</w:t>
            </w:r>
            <w:r>
              <w:rPr>
                <w:rFonts w:ascii="Arial" w:cs="Arial" w:eastAsia="Arial" w:hAnsi="Arial"/>
                <w:sz w:val="26"/>
                <w:szCs w:val="26"/>
                <w:color w:val="auto"/>
                <w:w w:val="84"/>
                <w:vertAlign w:val="superscript"/>
              </w:rPr>
              <w:t>(5)</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$15,329,512</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0.00014760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$2,262.64</w:t>
            </w:r>
          </w:p>
        </w:tc>
        <w:tc>
          <w:tcPr>
            <w:tcW w:w="0" w:type="dxa"/>
            <w:vAlign w:val="bottom"/>
          </w:tcPr>
          <w:p>
            <w:pPr>
              <w:spacing w:after="0"/>
              <w:rPr>
                <w:sz w:val="1"/>
                <w:szCs w:val="1"/>
                <w:color w:val="auto"/>
              </w:rPr>
            </w:pPr>
          </w:p>
        </w:tc>
      </w:tr>
      <w:tr>
        <w:trPr>
          <w:trHeight w:val="209"/>
        </w:trPr>
        <w:tc>
          <w:tcPr>
            <w:tcW w:w="620" w:type="dxa"/>
            <w:vAlign w:val="bottom"/>
            <w:tcBorders>
              <w:left w:val="single" w:sz="8" w:color="auto"/>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2023</w:t>
            </w:r>
          </w:p>
        </w:tc>
        <w:tc>
          <w:tcPr>
            <w:tcW w:w="9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Inducement</w:t>
            </w:r>
          </w:p>
        </w:tc>
        <w:tc>
          <w:tcPr>
            <w:tcW w:w="9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Plan</w:t>
            </w:r>
          </w:p>
        </w:tc>
        <w:tc>
          <w:tcPr>
            <w:tcW w:w="9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Common</w:t>
            </w:r>
          </w:p>
        </w:tc>
        <w:tc>
          <w:tcPr>
            <w:tcW w:w="9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stock, $0.001</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Rule 457(c)</w:t>
            </w: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par value per</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and</w:t>
            </w: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20" w:type="dxa"/>
            <w:vAlign w:val="bottom"/>
            <w:tcBorders>
              <w:left w:val="single" w:sz="8" w:color="auto"/>
              <w:bottom w:val="single" w:sz="8" w:color="auto"/>
              <w:right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share</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Rule 457(h)</w:t>
            </w:r>
          </w:p>
        </w:tc>
        <w:tc>
          <w:tcPr>
            <w:tcW w:w="8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jc w:val="center"/>
              <w:spacing w:after="0" w:line="257" w:lineRule="exact"/>
              <w:rPr>
                <w:sz w:val="20"/>
                <w:szCs w:val="20"/>
                <w:color w:val="auto"/>
              </w:rPr>
            </w:pPr>
            <w:r>
              <w:rPr>
                <w:rFonts w:ascii="Arial" w:cs="Arial" w:eastAsia="Arial" w:hAnsi="Arial"/>
                <w:sz w:val="18"/>
                <w:szCs w:val="18"/>
                <w:color w:val="auto"/>
                <w:w w:val="84"/>
              </w:rPr>
              <w:t>1,150,000</w:t>
            </w:r>
            <w:r>
              <w:rPr>
                <w:rFonts w:ascii="Arial" w:cs="Arial" w:eastAsia="Arial" w:hAnsi="Arial"/>
                <w:sz w:val="26"/>
                <w:szCs w:val="26"/>
                <w:color w:val="auto"/>
                <w:w w:val="84"/>
                <w:vertAlign w:val="superscript"/>
              </w:rPr>
              <w:t>(6)</w:t>
            </w:r>
          </w:p>
        </w:tc>
        <w:tc>
          <w:tcPr>
            <w:tcW w:w="760" w:type="dxa"/>
            <w:vAlign w:val="bottom"/>
            <w:tcBorders>
              <w:bottom w:val="single" w:sz="8" w:color="auto"/>
              <w:right w:val="single" w:sz="8" w:color="auto"/>
            </w:tcBorders>
          </w:tcPr>
          <w:p>
            <w:pPr>
              <w:jc w:val="center"/>
              <w:spacing w:after="0" w:line="257" w:lineRule="exact"/>
              <w:rPr>
                <w:sz w:val="20"/>
                <w:szCs w:val="20"/>
                <w:color w:val="auto"/>
              </w:rPr>
            </w:pPr>
            <w:r>
              <w:rPr>
                <w:rFonts w:ascii="Arial" w:cs="Arial" w:eastAsia="Arial" w:hAnsi="Arial"/>
                <w:sz w:val="18"/>
                <w:szCs w:val="18"/>
                <w:color w:val="auto"/>
                <w:w w:val="84"/>
              </w:rPr>
              <w:t>$3.11</w:t>
            </w:r>
            <w:r>
              <w:rPr>
                <w:rFonts w:ascii="Arial" w:cs="Arial" w:eastAsia="Arial" w:hAnsi="Arial"/>
                <w:sz w:val="26"/>
                <w:szCs w:val="26"/>
                <w:color w:val="auto"/>
                <w:w w:val="84"/>
                <w:vertAlign w:val="superscript"/>
              </w:rPr>
              <w:t>(3)</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$3,576,500</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0.00014760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$527.89</w:t>
            </w:r>
          </w:p>
        </w:tc>
        <w:tc>
          <w:tcPr>
            <w:tcW w:w="0" w:type="dxa"/>
            <w:vAlign w:val="bottom"/>
          </w:tcPr>
          <w:p>
            <w:pPr>
              <w:spacing w:after="0"/>
              <w:rPr>
                <w:sz w:val="1"/>
                <w:szCs w:val="1"/>
                <w:color w:val="auto"/>
              </w:rPr>
            </w:pPr>
          </w:p>
        </w:tc>
      </w:tr>
      <w:tr>
        <w:trPr>
          <w:trHeight w:val="209"/>
        </w:trPr>
        <w:tc>
          <w:tcPr>
            <w:tcW w:w="620" w:type="dxa"/>
            <w:vAlign w:val="bottom"/>
            <w:tcBorders>
              <w:left w:val="single" w:sz="8" w:color="auto"/>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Inducement</w:t>
            </w:r>
          </w:p>
        </w:tc>
        <w:tc>
          <w:tcPr>
            <w:tcW w:w="9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Stock Option</w:t>
            </w:r>
          </w:p>
        </w:tc>
        <w:tc>
          <w:tcPr>
            <w:tcW w:w="9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Grant</w:t>
            </w:r>
          </w:p>
        </w:tc>
        <w:tc>
          <w:tcPr>
            <w:tcW w:w="9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Common</w:t>
            </w:r>
          </w:p>
        </w:tc>
        <w:tc>
          <w:tcPr>
            <w:tcW w:w="9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stock, $0.001</w:t>
            </w:r>
          </w:p>
        </w:tc>
        <w:tc>
          <w:tcPr>
            <w:tcW w:w="9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par value per</w:t>
            </w:r>
          </w:p>
        </w:tc>
        <w:tc>
          <w:tcPr>
            <w:tcW w:w="9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20" w:type="dxa"/>
            <w:vAlign w:val="bottom"/>
            <w:tcBorders>
              <w:left w:val="single" w:sz="8" w:color="auto"/>
              <w:bottom w:val="single" w:sz="8" w:color="auto"/>
              <w:right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share</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Rule 457(h)</w:t>
            </w:r>
          </w:p>
        </w:tc>
        <w:tc>
          <w:tcPr>
            <w:tcW w:w="8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jc w:val="center"/>
              <w:spacing w:after="0" w:line="257" w:lineRule="exact"/>
              <w:rPr>
                <w:sz w:val="20"/>
                <w:szCs w:val="20"/>
                <w:color w:val="auto"/>
              </w:rPr>
            </w:pPr>
            <w:r>
              <w:rPr>
                <w:rFonts w:ascii="Arial" w:cs="Arial" w:eastAsia="Arial" w:hAnsi="Arial"/>
                <w:sz w:val="18"/>
                <w:szCs w:val="18"/>
                <w:color w:val="auto"/>
                <w:w w:val="86"/>
              </w:rPr>
              <w:t>12,600</w:t>
            </w:r>
            <w:r>
              <w:rPr>
                <w:rFonts w:ascii="Arial" w:cs="Arial" w:eastAsia="Arial" w:hAnsi="Arial"/>
                <w:sz w:val="26"/>
                <w:szCs w:val="26"/>
                <w:color w:val="auto"/>
                <w:w w:val="86"/>
                <w:vertAlign w:val="superscript"/>
              </w:rPr>
              <w:t>(7)</w:t>
            </w:r>
          </w:p>
        </w:tc>
        <w:tc>
          <w:tcPr>
            <w:tcW w:w="760" w:type="dxa"/>
            <w:vAlign w:val="bottom"/>
            <w:tcBorders>
              <w:bottom w:val="single" w:sz="8" w:color="auto"/>
              <w:right w:val="single" w:sz="8" w:color="auto"/>
            </w:tcBorders>
          </w:tcPr>
          <w:p>
            <w:pPr>
              <w:jc w:val="center"/>
              <w:spacing w:after="0" w:line="257" w:lineRule="exact"/>
              <w:rPr>
                <w:sz w:val="20"/>
                <w:szCs w:val="20"/>
                <w:color w:val="auto"/>
              </w:rPr>
            </w:pPr>
            <w:r>
              <w:rPr>
                <w:rFonts w:ascii="Arial" w:cs="Arial" w:eastAsia="Arial" w:hAnsi="Arial"/>
                <w:sz w:val="18"/>
                <w:szCs w:val="18"/>
                <w:color w:val="auto"/>
                <w:w w:val="84"/>
              </w:rPr>
              <w:t>$2.18</w:t>
            </w:r>
            <w:r>
              <w:rPr>
                <w:rFonts w:ascii="Arial" w:cs="Arial" w:eastAsia="Arial" w:hAnsi="Arial"/>
                <w:sz w:val="26"/>
                <w:szCs w:val="26"/>
                <w:color w:val="auto"/>
                <w:w w:val="84"/>
                <w:vertAlign w:val="superscript"/>
              </w:rPr>
              <w:t>(5)</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$27,468</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0.00014760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$4.05</w:t>
            </w:r>
          </w:p>
        </w:tc>
        <w:tc>
          <w:tcPr>
            <w:tcW w:w="0" w:type="dxa"/>
            <w:vAlign w:val="bottom"/>
          </w:tcPr>
          <w:p>
            <w:pPr>
              <w:spacing w:after="0"/>
              <w:rPr>
                <w:sz w:val="1"/>
                <w:szCs w:val="1"/>
                <w:color w:val="auto"/>
              </w:rPr>
            </w:pPr>
          </w:p>
        </w:tc>
      </w:tr>
      <w:tr>
        <w:trPr>
          <w:trHeight w:val="230"/>
        </w:trPr>
        <w:tc>
          <w:tcPr>
            <w:tcW w:w="620" w:type="dxa"/>
            <w:vAlign w:val="bottom"/>
            <w:tcBorders>
              <w:left w:val="single" w:sz="8" w:color="auto"/>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center"/>
              <w:ind w:left="212"/>
              <w:spacing w:after="0"/>
              <w:rPr>
                <w:sz w:val="20"/>
                <w:szCs w:val="20"/>
                <w:color w:val="auto"/>
              </w:rPr>
            </w:pPr>
            <w:r>
              <w:rPr>
                <w:rFonts w:ascii="Arial" w:cs="Arial" w:eastAsia="Arial" w:hAnsi="Arial"/>
                <w:sz w:val="18"/>
                <w:szCs w:val="18"/>
                <w:color w:val="auto"/>
                <w:w w:val="92"/>
              </w:rPr>
              <w:t>Total Offering Amounts</w:t>
            </w:r>
          </w:p>
        </w:tc>
        <w:tc>
          <w:tcPr>
            <w:tcW w:w="100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$18,938,777</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$2,795.36</w:t>
            </w:r>
          </w:p>
        </w:tc>
        <w:tc>
          <w:tcPr>
            <w:tcW w:w="0" w:type="dxa"/>
            <w:vAlign w:val="bottom"/>
          </w:tcPr>
          <w:p>
            <w:pPr>
              <w:spacing w:after="0"/>
              <w:rPr>
                <w:sz w:val="1"/>
                <w:szCs w:val="1"/>
                <w:color w:val="auto"/>
              </w:rPr>
            </w:pPr>
          </w:p>
        </w:tc>
      </w:tr>
      <w:tr>
        <w:trPr>
          <w:trHeight w:val="237"/>
        </w:trPr>
        <w:tc>
          <w:tcPr>
            <w:tcW w:w="620" w:type="dxa"/>
            <w:vAlign w:val="bottom"/>
            <w:tcBorders>
              <w:left w:val="single" w:sz="8" w:color="auto"/>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center"/>
              <w:ind w:left="212"/>
              <w:spacing w:after="0"/>
              <w:rPr>
                <w:sz w:val="20"/>
                <w:szCs w:val="20"/>
                <w:color w:val="auto"/>
              </w:rPr>
            </w:pPr>
            <w:r>
              <w:rPr>
                <w:rFonts w:ascii="Arial" w:cs="Arial" w:eastAsia="Arial" w:hAnsi="Arial"/>
                <w:sz w:val="18"/>
                <w:szCs w:val="18"/>
                <w:color w:val="auto"/>
                <w:w w:val="89"/>
              </w:rPr>
              <w:t>Total Fees Previously Paid</w:t>
            </w:r>
          </w:p>
        </w:tc>
        <w:tc>
          <w:tcPr>
            <w:tcW w:w="100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620" w:type="dxa"/>
            <w:vAlign w:val="bottom"/>
            <w:tcBorders>
              <w:left w:val="single" w:sz="8" w:color="auto"/>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center"/>
              <w:ind w:left="212"/>
              <w:spacing w:after="0"/>
              <w:rPr>
                <w:sz w:val="20"/>
                <w:szCs w:val="20"/>
                <w:color w:val="auto"/>
              </w:rPr>
            </w:pPr>
            <w:r>
              <w:rPr>
                <w:rFonts w:ascii="Arial" w:cs="Arial" w:eastAsia="Arial" w:hAnsi="Arial"/>
                <w:sz w:val="18"/>
                <w:szCs w:val="18"/>
                <w:color w:val="auto"/>
                <w:w w:val="89"/>
              </w:rPr>
              <w:t>Total Fee Offsets</w:t>
            </w:r>
          </w:p>
        </w:tc>
        <w:tc>
          <w:tcPr>
            <w:tcW w:w="100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620" w:type="dxa"/>
            <w:vAlign w:val="bottom"/>
            <w:tcBorders>
              <w:left w:val="single" w:sz="8" w:color="auto"/>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center"/>
              <w:ind w:left="212"/>
              <w:spacing w:after="0"/>
              <w:rPr>
                <w:sz w:val="20"/>
                <w:szCs w:val="20"/>
                <w:color w:val="auto"/>
              </w:rPr>
            </w:pPr>
            <w:r>
              <w:rPr>
                <w:rFonts w:ascii="Arial" w:cs="Arial" w:eastAsia="Arial" w:hAnsi="Arial"/>
                <w:sz w:val="18"/>
                <w:szCs w:val="18"/>
                <w:color w:val="auto"/>
                <w:w w:val="90"/>
              </w:rPr>
              <w:t>Net Fee Due</w:t>
            </w:r>
          </w:p>
        </w:tc>
        <w:tc>
          <w:tcPr>
            <w:tcW w:w="100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$2,795.36</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24" w:right="120" w:hanging="424"/>
        <w:spacing w:after="0" w:line="267" w:lineRule="auto"/>
        <w:tabs>
          <w:tab w:leader="none" w:pos="424" w:val="left"/>
        </w:tabs>
        <w:numPr>
          <w:ilvl w:val="0"/>
          <w:numId w:val="5"/>
        </w:numPr>
        <w:rPr>
          <w:rFonts w:ascii="Arial" w:cs="Arial" w:eastAsia="Arial" w:hAnsi="Arial"/>
          <w:sz w:val="13"/>
          <w:szCs w:val="13"/>
          <w:color w:val="auto"/>
        </w:rPr>
      </w:pPr>
      <w:r>
        <w:rPr>
          <w:rFonts w:ascii="Arial" w:cs="Arial" w:eastAsia="Arial" w:hAnsi="Arial"/>
          <w:sz w:val="13"/>
          <w:szCs w:val="13"/>
          <w:color w:val="auto"/>
        </w:rPr>
        <w:t>Pursuant to Rule 416(a) under the Securities Act of 1933, as amended (the “</w:t>
      </w:r>
      <w:r>
        <w:rPr>
          <w:rFonts w:ascii="Arial" w:cs="Arial" w:eastAsia="Arial" w:hAnsi="Arial"/>
          <w:sz w:val="13"/>
          <w:szCs w:val="13"/>
          <w:b w:val="1"/>
          <w:bCs w:val="1"/>
          <w:color w:val="auto"/>
        </w:rPr>
        <w:t>Securities Act</w:t>
      </w:r>
      <w:r>
        <w:rPr>
          <w:rFonts w:ascii="Arial" w:cs="Arial" w:eastAsia="Arial" w:hAnsi="Arial"/>
          <w:sz w:val="13"/>
          <w:szCs w:val="13"/>
          <w:color w:val="auto"/>
        </w:rPr>
        <w:t>”), this Registration Statement shall also cover any additional shares of common stock that become issuable under the above-named plans by reason of any stock dividend, stock split, recapitalization or any other similar transaction effected without receipt of consideration which results in an increase in the number of Tempest Therapeutics, Inc. (the “</w:t>
      </w:r>
      <w:r>
        <w:rPr>
          <w:rFonts w:ascii="Arial" w:cs="Arial" w:eastAsia="Arial" w:hAnsi="Arial"/>
          <w:sz w:val="13"/>
          <w:szCs w:val="13"/>
          <w:b w:val="1"/>
          <w:bCs w:val="1"/>
          <w:color w:val="auto"/>
        </w:rPr>
        <w:t>Registrant</w:t>
      </w:r>
      <w:r>
        <w:rPr>
          <w:rFonts w:ascii="Arial" w:cs="Arial" w:eastAsia="Arial" w:hAnsi="Arial"/>
          <w:sz w:val="13"/>
          <w:szCs w:val="13"/>
          <w:color w:val="auto"/>
        </w:rPr>
        <w:t>”) outstanding shares of common stock, par value $0.001 per share (the “</w:t>
      </w:r>
      <w:r>
        <w:rPr>
          <w:rFonts w:ascii="Arial" w:cs="Arial" w:eastAsia="Arial" w:hAnsi="Arial"/>
          <w:sz w:val="13"/>
          <w:szCs w:val="13"/>
          <w:b w:val="1"/>
          <w:bCs w:val="1"/>
          <w:color w:val="auto"/>
        </w:rPr>
        <w:t>Common Stock</w:t>
      </w:r>
      <w:r>
        <w:rPr>
          <w:rFonts w:ascii="Arial" w:cs="Arial" w:eastAsia="Arial" w:hAnsi="Arial"/>
          <w:sz w:val="13"/>
          <w:szCs w:val="13"/>
          <w:color w:val="auto"/>
        </w:rPr>
        <w:t>”).</w:t>
      </w:r>
    </w:p>
    <w:p>
      <w:pPr>
        <w:spacing w:after="0" w:line="189" w:lineRule="exact"/>
        <w:rPr>
          <w:rFonts w:ascii="Arial" w:cs="Arial" w:eastAsia="Arial" w:hAnsi="Arial"/>
          <w:sz w:val="13"/>
          <w:szCs w:val="13"/>
          <w:color w:val="auto"/>
        </w:rPr>
      </w:pPr>
    </w:p>
    <w:p>
      <w:pPr>
        <w:ind w:left="424" w:right="80" w:hanging="424"/>
        <w:spacing w:after="0" w:line="232" w:lineRule="auto"/>
        <w:tabs>
          <w:tab w:leader="none" w:pos="424"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1,703 shares of common stock reserved for issuance under the Amended and Restated 2023 Equity Incentive Plan (the “</w:t>
      </w:r>
      <w:r>
        <w:rPr>
          <w:rFonts w:ascii="Arial" w:cs="Arial" w:eastAsia="Arial" w:hAnsi="Arial"/>
          <w:sz w:val="14"/>
          <w:szCs w:val="14"/>
          <w:b w:val="1"/>
          <w:bCs w:val="1"/>
          <w:color w:val="auto"/>
        </w:rPr>
        <w:t>2023 Plan</w:t>
      </w:r>
      <w:r>
        <w:rPr>
          <w:rFonts w:ascii="Arial" w:cs="Arial" w:eastAsia="Arial" w:hAnsi="Arial"/>
          <w:sz w:val="14"/>
          <w:szCs w:val="14"/>
          <w:color w:val="auto"/>
        </w:rPr>
        <w:t>”). The 2023 Plan provides that an additional number of shares will automatically be added annually to the shares authorized for issuance under the 2023 Plan on January 1st of each year, for a period of not more than 10 years, commencing on January 1, 2024 and ending on (and including) January 1, 2033, in an amount equal to the lesser of (a) 4% of the total number of shares of Common Stock outstanding on December 31st of the preceding calendar year and (b) a number of shares of Common Stock designated by action of the Registrant’s board of directors prior to the first day of any calendar year.</w:t>
      </w:r>
    </w:p>
    <w:p>
      <w:pPr>
        <w:spacing w:after="0" w:line="211" w:lineRule="exact"/>
        <w:rPr>
          <w:rFonts w:ascii="Arial" w:cs="Arial" w:eastAsia="Arial" w:hAnsi="Arial"/>
          <w:sz w:val="14"/>
          <w:szCs w:val="14"/>
          <w:color w:val="auto"/>
        </w:rPr>
      </w:pPr>
    </w:p>
    <w:p>
      <w:pPr>
        <w:ind w:left="424" w:right="400" w:hanging="424"/>
        <w:spacing w:after="0" w:line="290" w:lineRule="auto"/>
        <w:tabs>
          <w:tab w:leader="none" w:pos="424" w:val="left"/>
        </w:tabs>
        <w:numPr>
          <w:ilvl w:val="0"/>
          <w:numId w:val="5"/>
        </w:numPr>
        <w:rPr>
          <w:rFonts w:ascii="Arial" w:cs="Arial" w:eastAsia="Arial" w:hAnsi="Arial"/>
          <w:sz w:val="13"/>
          <w:szCs w:val="13"/>
          <w:color w:val="auto"/>
        </w:rPr>
      </w:pPr>
      <w:r>
        <w:rPr>
          <w:rFonts w:ascii="Arial" w:cs="Arial" w:eastAsia="Arial" w:hAnsi="Arial"/>
          <w:sz w:val="13"/>
          <w:szCs w:val="13"/>
          <w:color w:val="auto"/>
        </w:rPr>
        <w:t>Estimated pursuant to Rules 457(c) and 457(h) solely for the purpose of calculating the registration fee. The proposed maximum offering price per share and proposed maximum aggregate offering price are based on the average of the high and low sale prices of the Common Stock as reported on The Nasdaq Capital Market on November 10, 2023.</w:t>
      </w:r>
    </w:p>
    <w:p>
      <w:pPr>
        <w:spacing w:after="0" w:line="178" w:lineRule="exact"/>
        <w:rPr>
          <w:rFonts w:ascii="Arial" w:cs="Arial" w:eastAsia="Arial" w:hAnsi="Arial"/>
          <w:sz w:val="13"/>
          <w:szCs w:val="13"/>
          <w:color w:val="auto"/>
        </w:rPr>
      </w:pPr>
    </w:p>
    <w:p>
      <w:pPr>
        <w:ind w:left="424" w:right="20" w:hanging="424"/>
        <w:spacing w:after="0" w:line="238" w:lineRule="auto"/>
        <w:tabs>
          <w:tab w:leader="none" w:pos="424"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shares of the Common Stock reserved for issuance upon the exercise of outstanding options granted under the 2023 Plan. To the extent that any stock options outstanding under the Registrant’s A&amp;R 2019 Plan expire or are terminated prior to exercise or vesting, the shares Common Stock reserved for issuance pursuant to such stock options will become available for issuance as shares of Common Stock under the 2023 Plan.</w:t>
      </w:r>
    </w:p>
    <w:p>
      <w:pPr>
        <w:spacing w:after="0" w:line="209" w:lineRule="exact"/>
        <w:rPr>
          <w:rFonts w:ascii="Arial" w:cs="Arial" w:eastAsia="Arial" w:hAnsi="Arial"/>
          <w:sz w:val="14"/>
          <w:szCs w:val="14"/>
          <w:color w:val="auto"/>
        </w:rPr>
      </w:pPr>
    </w:p>
    <w:p>
      <w:pPr>
        <w:ind w:left="424" w:right="20" w:hanging="424"/>
        <w:spacing w:after="0" w:line="253" w:lineRule="auto"/>
        <w:tabs>
          <w:tab w:leader="none" w:pos="424" w:val="left"/>
        </w:tabs>
        <w:numPr>
          <w:ilvl w:val="0"/>
          <w:numId w:val="5"/>
        </w:numPr>
        <w:rPr>
          <w:rFonts w:ascii="Arial" w:cs="Arial" w:eastAsia="Arial" w:hAnsi="Arial"/>
          <w:sz w:val="14"/>
          <w:szCs w:val="14"/>
          <w:color w:val="auto"/>
        </w:rPr>
      </w:pPr>
      <w:r>
        <w:rPr>
          <w:rFonts w:ascii="Arial" w:cs="Arial" w:eastAsia="Arial" w:hAnsi="Arial"/>
          <w:sz w:val="14"/>
          <w:szCs w:val="14"/>
          <w:color w:val="auto"/>
        </w:rPr>
        <w:t>Estimated pursuant to Rule 457(h) solely for the purpose of calculating the registration fee. The proposed maximum offering price per share and proposed maximum aggregate offering price are calculated using a weighted-average exercise price for such shares.</w:t>
      </w:r>
    </w:p>
    <w:p>
      <w:pPr>
        <w:spacing w:after="0" w:line="200" w:lineRule="exact"/>
        <w:rPr>
          <w:rFonts w:ascii="Arial" w:cs="Arial" w:eastAsia="Arial" w:hAnsi="Arial"/>
          <w:sz w:val="14"/>
          <w:szCs w:val="14"/>
          <w:color w:val="auto"/>
        </w:rPr>
      </w:pPr>
    </w:p>
    <w:p>
      <w:pPr>
        <w:ind w:left="424" w:hanging="424"/>
        <w:spacing w:after="0"/>
        <w:tabs>
          <w:tab w:leader="none" w:pos="424"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shares of Common Stock reserved for issuance under the Inducement Plan.</w:t>
      </w:r>
    </w:p>
    <w:p>
      <w:pPr>
        <w:spacing w:after="0" w:line="230" w:lineRule="exact"/>
        <w:rPr>
          <w:rFonts w:ascii="Arial" w:cs="Arial" w:eastAsia="Arial" w:hAnsi="Arial"/>
          <w:sz w:val="14"/>
          <w:szCs w:val="14"/>
          <w:color w:val="auto"/>
        </w:rPr>
      </w:pPr>
    </w:p>
    <w:p>
      <w:pPr>
        <w:ind w:left="424" w:right="820" w:hanging="424"/>
        <w:spacing w:after="0" w:line="253" w:lineRule="auto"/>
        <w:tabs>
          <w:tab w:leader="none" w:pos="424"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shares of Common Stock issuable upon the exercise of an outstanding stock option granted to a new employee as an inducement award in connection with the commencement of employment pursuant to Nasdaq Listing Rule 5635(c)(4).</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2"/>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upperLetter"/>
      <w:start w:val="20"/>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32" Type="http://schemas.openxmlformats.org/officeDocument/2006/relationships/image" Target="media/image10.png"/><Relationship Id="rId42" Type="http://schemas.openxmlformats.org/officeDocument/2006/relationships/image" Target="media/image11.png"/><Relationship Id="rId43" Type="http://schemas.openxmlformats.org/officeDocument/2006/relationships/image" Target="media/image12.png"/><Relationship Id="rId44" Type="http://schemas.openxmlformats.org/officeDocument/2006/relationships/image" Target="media/image13.png"/><Relationship Id="rId45" Type="http://schemas.openxmlformats.org/officeDocument/2006/relationships/image" Target="media/image14.png"/><Relationship Id="rId46" Type="http://schemas.openxmlformats.org/officeDocument/2006/relationships/image" Target="media/image15.png"/><Relationship Id="rId47" Type="http://schemas.openxmlformats.org/officeDocument/2006/relationships/image" Target="media/image16.png"/><Relationship Id="rId48" Type="http://schemas.openxmlformats.org/officeDocument/2006/relationships/image" Target="media/image17.png"/><Relationship Id="rId49" Type="http://schemas.openxmlformats.org/officeDocument/2006/relationships/image" Target="media/image18.png"/><Relationship Id="rId50" Type="http://schemas.openxmlformats.org/officeDocument/2006/relationships/image" Target="media/image19.png"/><Relationship Id="rId51" Type="http://schemas.openxmlformats.org/officeDocument/2006/relationships/image" Target="media/image20.png"/><Relationship Id="rId52" Type="http://schemas.openxmlformats.org/officeDocument/2006/relationships/image" Target="media/image21.jpeg"/><Relationship Id="rId53" Type="http://schemas.openxmlformats.org/officeDocument/2006/relationships/image" Target="media/image22.png"/><Relationship Id="rId17" Type="http://schemas.openxmlformats.org/officeDocument/2006/relationships/hyperlink" Target="http://www.sec.gov/Archives/edgar/data/1544227/000110465919072796/a19-25226_1s8.htm" TargetMode="External"/><Relationship Id="rId18" Type="http://schemas.openxmlformats.org/officeDocument/2006/relationships/hyperlink" Target="http://www.sec.gov/Archives/edgar/data/1544227/000119312522177081/d307046ds8.htm" TargetMode="External"/><Relationship Id="rId19" Type="http://schemas.openxmlformats.org/officeDocument/2006/relationships/hyperlink" Target="http://www.sec.gov/ix?doc=/Archives/edgar/data/1544227/000095017023009237/tpst-20221231.htm" TargetMode="External"/><Relationship Id="rId20" Type="http://schemas.openxmlformats.org/officeDocument/2006/relationships/hyperlink" Target="http://www.sec.gov/ix?doc=/Archives/edgar/data/1544227/000095017023020579/tpst-20230331.htm" TargetMode="External"/><Relationship Id="rId21" Type="http://schemas.openxmlformats.org/officeDocument/2006/relationships/hyperlink" Target="http://www.sec.gov/ix?doc=/Archives/edgar/data/1544227/000095017023041429/tpst-20230630.htm" TargetMode="External"/><Relationship Id="rId22" Type="http://schemas.openxmlformats.org/officeDocument/2006/relationships/hyperlink" Target="http://www.sec.gov/ix?doc=/Archives/edgar/data/1544227/000095017023061278/tpst-20230930.htm" TargetMode="External"/><Relationship Id="rId23" Type="http://schemas.openxmlformats.org/officeDocument/2006/relationships/hyperlink" Target="http://www.sec.gov/ix?doc=/Archives/edgar/data/0001544227/000119312523088320/d495297d8k.htm" TargetMode="External"/><Relationship Id="rId24" Type="http://schemas.openxmlformats.org/officeDocument/2006/relationships/hyperlink" Target="http://www.sec.gov/ix?doc=/Archives/edgar/data/0001544227/000119312523124510/d479206d8k.htm" TargetMode="External"/><Relationship Id="rId25" Type="http://schemas.openxmlformats.org/officeDocument/2006/relationships/hyperlink" Target="http://www.sec.gov/ix?doc=/Archives/edgar/data/1544227/000119312523169021/d512429d8k.htm" TargetMode="External"/><Relationship Id="rId26" Type="http://schemas.openxmlformats.org/officeDocument/2006/relationships/hyperlink" Target="http://www.sec.gov/ix?doc=/Archives/edgar/data/1544227/000119312523230659/d532461d8k.htm" TargetMode="External"/><Relationship Id="rId27" Type="http://schemas.openxmlformats.org/officeDocument/2006/relationships/hyperlink" Target="http://www.sec.gov/ix?doc=/Archives/edgar/data/1544227/000119312523231557/d532614d8k.htm" TargetMode="External"/><Relationship Id="rId28" Type="http://schemas.openxmlformats.org/officeDocument/2006/relationships/hyperlink" Target="http://www.sec.gov/ix?doc=/Archives/edgar/data/1544227/000119312523253882/d547808d8k.htm" TargetMode="External"/><Relationship Id="rId29" Type="http://schemas.openxmlformats.org/officeDocument/2006/relationships/hyperlink" Target="http://www.sec.gov/ix?doc=/Archives/edgar/data/1544227/000119312523265621/d559172d8k.htm" TargetMode="External"/><Relationship Id="rId30" Type="http://schemas.openxmlformats.org/officeDocument/2006/relationships/hyperlink" Target="http://www.sec.gov/Archives/edgar/data/1544227/000110465913033085/a13-9660_28a12b.htm" TargetMode="External"/><Relationship Id="rId31" Type="http://schemas.openxmlformats.org/officeDocument/2006/relationships/hyperlink" Target="http://www.sec.gov/Archives/edgar/data/1544227/000119312522092417/d328059dex41.htm" TargetMode="External"/><Relationship Id="rId33" Type="http://schemas.openxmlformats.org/officeDocument/2006/relationships/hyperlink" Target="http://www.sec.gov/Archives/edgar/data/1544227/000155837019005038/mlnd-20190331ex31b53fa83.htm" TargetMode="External"/><Relationship Id="rId34" Type="http://schemas.openxmlformats.org/officeDocument/2006/relationships/hyperlink" Target="http://www.sec.gov/Archives/edgar/data/1544227/000119312521201157/d196630dex31.htm" TargetMode="External"/><Relationship Id="rId35" Type="http://schemas.openxmlformats.org/officeDocument/2006/relationships/hyperlink" Target="http://www.sec.gov/Archives/edgar/data/1544227/000119312521201157/d196630dex32.htm" TargetMode="External"/><Relationship Id="rId36" Type="http://schemas.openxmlformats.org/officeDocument/2006/relationships/hyperlink" Target="http://www.sec.gov/Archives/edgar/data/1544227/000119312523253882/d547808dex31.htm" TargetMode="External"/><Relationship Id="rId37" Type="http://schemas.openxmlformats.org/officeDocument/2006/relationships/hyperlink" Target="http://www.sec.gov/Archives/edgar/data/1544227/000119312521281694/d222030dex31.htm" TargetMode="External"/><Relationship Id="rId38" Type="http://schemas.openxmlformats.org/officeDocument/2006/relationships/hyperlink" Target="http://www.sec.gov/Archives/edgar/data/1544227/000095017023041429/tpst-ex10_3.htm" TargetMode="External"/><Relationship Id="rId39" Type="http://schemas.openxmlformats.org/officeDocument/2006/relationships/hyperlink" Target="http://www.sec.gov/Archives/edgar/data/1544227/000095017023041429/tpst-ex10_4.htm" TargetMode="External"/><Relationship Id="rId40" Type="http://schemas.openxmlformats.org/officeDocument/2006/relationships/hyperlink" Target="http://www.sec.gov/Archives/edgar/data/1544227/000095017023041429/tpst-ex10_1.htm" TargetMode="External"/><Relationship Id="rId41" Type="http://schemas.openxmlformats.org/officeDocument/2006/relationships/hyperlink" Target="http://www.sec.gov/Archives/edgar/data/1544227/000095017023041429/tpst-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2023-11-17T15:53:14Z</dcterms:created>
  <dcterms:modified xsi:type="dcterms:W3CDTF">2023-11-17T15:53:14Z</dcterms:modified>
</cp:coreProperties>
</file>