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highlight w:val="black"/>
        </w:rPr>
      </w:pPr>
    </w:p>
    <w:p>
      <w:pPr>
        <w:jc w:val="both"/>
        <w:ind w:right="10020" w:firstLine="8"/>
        <w:spacing w:after="0" w:line="225" w:lineRule="exact"/>
        <w:tabs>
          <w:tab w:leader="none" w:pos="20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left="340" w:right="100" w:hanging="332"/>
        <w:spacing w:after="0" w:line="19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8"/>
        </w:trPr>
        <w:tc>
          <w:tcPr>
            <w:tcW w:w="476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CUSIP No. 87978U108</w:t>
            </w:r>
          </w:p>
        </w:tc>
        <w:tc>
          <w:tcPr>
            <w:tcW w:w="190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13G</w:t>
            </w:r>
          </w:p>
        </w:tc>
        <w:tc>
          <w:tcPr>
            <w:tcW w:w="458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Page 2 of 8 Pages</w:t>
            </w:r>
          </w:p>
        </w:tc>
      </w:tr>
      <w:tr>
        <w:trPr>
          <w:trHeight w:val="102"/>
        </w:trPr>
        <w:tc>
          <w:tcPr>
            <w:tcW w:w="476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7012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012305"/>
                    </a:xfrm>
                    <a:prstGeom prst="rect">
                      <a:avLst/>
                    </a:prstGeom>
                    <a:noFill/>
                  </pic:spPr>
                </pic:pic>
              </a:graphicData>
            </a:graphic>
          </wp:anchor>
        </w:drawing>
      </w:r>
    </w:p>
    <w:p>
      <w:pPr>
        <w:spacing w:after="0" w:line="303" w:lineRule="exact"/>
        <w:rPr>
          <w:sz w:val="20"/>
          <w:szCs w:val="20"/>
          <w:color w:val="auto"/>
        </w:rPr>
      </w:pPr>
    </w:p>
    <w:p>
      <w:pPr>
        <w:ind w:left="1040" w:hanging="61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LAV Regulus Limited</w:t>
      </w:r>
    </w:p>
    <w:p>
      <w:pPr>
        <w:spacing w:after="0" w:line="229" w:lineRule="exact"/>
        <w:rPr>
          <w:sz w:val="20"/>
          <w:szCs w:val="20"/>
          <w:color w:val="auto"/>
        </w:rPr>
      </w:pPr>
    </w:p>
    <w:p>
      <w:pPr>
        <w:ind w:left="1040" w:hanging="61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280" w:hanging="243"/>
        <w:spacing w:after="0" w:line="207" w:lineRule="exact"/>
        <w:tabs>
          <w:tab w:leader="none" w:pos="12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00" w:hanging="263"/>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ý</w:t>
      </w:r>
    </w:p>
    <w:p>
      <w:pPr>
        <w:spacing w:after="0" w:line="209" w:lineRule="exact"/>
        <w:rPr>
          <w:sz w:val="20"/>
          <w:szCs w:val="20"/>
          <w:color w:val="auto"/>
        </w:rPr>
      </w:pPr>
    </w:p>
    <w:p>
      <w:pPr>
        <w:ind w:left="1040" w:hanging="61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hanging="61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British Virgin Islands</w:t>
      </w:r>
    </w:p>
    <w:p>
      <w:pPr>
        <w:spacing w:after="0" w:line="229" w:lineRule="exact"/>
        <w:rPr>
          <w:rFonts w:ascii="Arial" w:cs="Arial" w:eastAsia="Arial" w:hAnsi="Arial"/>
          <w:sz w:val="18"/>
          <w:szCs w:val="18"/>
          <w:color w:val="auto"/>
        </w:rPr>
      </w:pPr>
    </w:p>
    <w:p>
      <w:pPr>
        <w:ind w:left="244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w w:val="95"/>
              </w:rPr>
              <w:t>153,744 shares, except that Yi Shi, the managing partner of LAV Regulus Limited, may be deemed to</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have shared power to vote these shares.</w:t>
            </w: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84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76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See response to row 5.</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EACH</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440" w:type="dxa"/>
            <w:vAlign w:val="bottom"/>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5"/>
              </w:rPr>
              <w:t>153,744 shares, except that Yi Shi, the managing partner of LAV Regulus Limited, may be deemed to</w:t>
            </w:r>
          </w:p>
        </w:tc>
        <w:tc>
          <w:tcPr>
            <w:tcW w:w="0" w:type="dxa"/>
            <w:vAlign w:val="bottom"/>
          </w:tcPr>
          <w:p>
            <w:pPr>
              <w:spacing w:after="0"/>
              <w:rPr>
                <w:sz w:val="1"/>
                <w:szCs w:val="1"/>
                <w:color w:val="auto"/>
              </w:rPr>
            </w:pPr>
          </w:p>
        </w:tc>
      </w:tr>
      <w:tr>
        <w:trPr>
          <w:trHeight w:val="212"/>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4"/>
              </w:rPr>
              <w:t>PERSON WITH</w:t>
            </w:r>
          </w:p>
        </w:tc>
        <w:tc>
          <w:tcPr>
            <w:tcW w:w="76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have shared power to dispose of these shares.</w:t>
            </w:r>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6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44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See response to row 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61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153,744</w:t>
      </w:r>
    </w:p>
    <w:p>
      <w:pPr>
        <w:spacing w:after="0" w:line="229" w:lineRule="exact"/>
        <w:rPr>
          <w:sz w:val="20"/>
          <w:szCs w:val="20"/>
          <w:color w:val="auto"/>
        </w:rPr>
      </w:pPr>
    </w:p>
    <w:p>
      <w:pPr>
        <w:ind w:left="1040" w:hanging="656"/>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92" w:lineRule="exact"/>
        <w:rPr>
          <w:rFonts w:ascii="Arial" w:cs="Arial" w:eastAsia="Arial" w:hAnsi="Arial"/>
          <w:sz w:val="18"/>
          <w:szCs w:val="18"/>
          <w:color w:val="auto"/>
        </w:rPr>
      </w:pPr>
    </w:p>
    <w:p>
      <w:pPr>
        <w:ind w:left="10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84" w:lineRule="exact"/>
        <w:rPr>
          <w:rFonts w:ascii="Arial" w:cs="Arial" w:eastAsia="Arial" w:hAnsi="Arial"/>
          <w:sz w:val="18"/>
          <w:szCs w:val="18"/>
          <w:color w:val="auto"/>
        </w:rPr>
      </w:pPr>
    </w:p>
    <w:p>
      <w:pPr>
        <w:ind w:left="1040" w:hanging="653"/>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2.2% (1)</w:t>
      </w:r>
    </w:p>
    <w:p>
      <w:pPr>
        <w:spacing w:after="0" w:line="229" w:lineRule="exact"/>
        <w:rPr>
          <w:rFonts w:ascii="Arial" w:cs="Arial" w:eastAsia="Arial" w:hAnsi="Arial"/>
          <w:sz w:val="18"/>
          <w:szCs w:val="18"/>
          <w:color w:val="auto"/>
        </w:rPr>
      </w:pPr>
    </w:p>
    <w:p>
      <w:pPr>
        <w:ind w:left="1040" w:hanging="656"/>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50" w:lineRule="exact"/>
        <w:rPr>
          <w:rFonts w:ascii="Arial" w:cs="Arial" w:eastAsia="Arial" w:hAnsi="Arial"/>
          <w:sz w:val="18"/>
          <w:szCs w:val="18"/>
          <w:color w:val="auto"/>
        </w:rPr>
      </w:pPr>
    </w:p>
    <w:p>
      <w:pPr>
        <w:ind w:left="340" w:right="26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This percentage is calculated based upon 6,910,324 shares of common stock outstanding of Tempest Therapeutics, Inc. (the “Issuer”), as set forth in the Issuer’s Form 10-Q filed with the Securities and Exchange Commission (“SEC”)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38"/>
        </w:trPr>
        <w:tc>
          <w:tcPr>
            <w:tcW w:w="476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CUSIP No. 87978U108</w:t>
            </w:r>
          </w:p>
        </w:tc>
        <w:tc>
          <w:tcPr>
            <w:tcW w:w="190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13G</w:t>
            </w:r>
          </w:p>
        </w:tc>
        <w:tc>
          <w:tcPr>
            <w:tcW w:w="458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Page 3 of 8 Pages</w:t>
            </w:r>
          </w:p>
        </w:tc>
      </w:tr>
      <w:tr>
        <w:trPr>
          <w:trHeight w:val="102"/>
        </w:trPr>
        <w:tc>
          <w:tcPr>
            <w:tcW w:w="476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701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012305"/>
                    </a:xfrm>
                    <a:prstGeom prst="rect">
                      <a:avLst/>
                    </a:prstGeom>
                    <a:noFill/>
                  </pic:spPr>
                </pic:pic>
              </a:graphicData>
            </a:graphic>
          </wp:anchor>
        </w:drawing>
      </w:r>
    </w:p>
    <w:p>
      <w:pPr>
        <w:spacing w:after="0" w:line="303" w:lineRule="exact"/>
        <w:rPr>
          <w:sz w:val="20"/>
          <w:szCs w:val="20"/>
          <w:color w:val="auto"/>
        </w:rPr>
      </w:pPr>
    </w:p>
    <w:p>
      <w:pPr>
        <w:ind w:left="1040" w:hanging="61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Yi Shi</w:t>
      </w:r>
    </w:p>
    <w:p>
      <w:pPr>
        <w:spacing w:after="0" w:line="229" w:lineRule="exact"/>
        <w:rPr>
          <w:sz w:val="20"/>
          <w:szCs w:val="20"/>
          <w:color w:val="auto"/>
        </w:rPr>
      </w:pPr>
    </w:p>
    <w:p>
      <w:pPr>
        <w:ind w:left="1040" w:hanging="61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280" w:hanging="243"/>
        <w:spacing w:after="0" w:line="207" w:lineRule="exact"/>
        <w:tabs>
          <w:tab w:leader="none" w:pos="12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00" w:hanging="263"/>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ý</w:t>
      </w:r>
    </w:p>
    <w:p>
      <w:pPr>
        <w:spacing w:after="0" w:line="209" w:lineRule="exact"/>
        <w:rPr>
          <w:sz w:val="20"/>
          <w:szCs w:val="20"/>
          <w:color w:val="auto"/>
        </w:rPr>
      </w:pPr>
    </w:p>
    <w:p>
      <w:pPr>
        <w:ind w:left="1040" w:hanging="61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hanging="61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United States</w:t>
      </w:r>
    </w:p>
    <w:p>
      <w:pPr>
        <w:spacing w:after="0" w:line="229" w:lineRule="exact"/>
        <w:rPr>
          <w:rFonts w:ascii="Arial" w:cs="Arial" w:eastAsia="Arial" w:hAnsi="Arial"/>
          <w:sz w:val="18"/>
          <w:szCs w:val="18"/>
          <w:color w:val="auto"/>
        </w:rPr>
      </w:pPr>
    </w:p>
    <w:p>
      <w:pPr>
        <w:ind w:left="244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NUMBER OF</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84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6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44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3"/>
              </w:rPr>
              <w:t>153,744 shares which are directly owned by LAV Regulus Limited. Yi Shi, the managing partner of LAV</w:t>
            </w:r>
          </w:p>
        </w:tc>
        <w:tc>
          <w:tcPr>
            <w:tcW w:w="0" w:type="dxa"/>
            <w:vAlign w:val="bottom"/>
          </w:tcPr>
          <w:p>
            <w:pPr>
              <w:spacing w:after="0"/>
              <w:rPr>
                <w:sz w:val="1"/>
                <w:szCs w:val="1"/>
                <w:color w:val="auto"/>
              </w:rPr>
            </w:pPr>
          </w:p>
        </w:tc>
      </w:tr>
      <w:tr>
        <w:trPr>
          <w:trHeight w:val="212"/>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76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9"/>
                <w:szCs w:val="19"/>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Regulus Limited, may be deemed to have shared power to vote these shares.</w:t>
            </w:r>
          </w:p>
        </w:tc>
        <w:tc>
          <w:tcPr>
            <w:tcW w:w="0" w:type="dxa"/>
            <w:vAlign w:val="bottom"/>
          </w:tcPr>
          <w:p>
            <w:pPr>
              <w:spacing w:after="0"/>
              <w:rPr>
                <w:sz w:val="1"/>
                <w:szCs w:val="1"/>
                <w:color w:val="auto"/>
              </w:rPr>
            </w:pPr>
          </w:p>
        </w:tc>
      </w:tr>
      <w:tr>
        <w:trPr>
          <w:trHeight w:val="116"/>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EACH</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440" w:type="dxa"/>
            <w:vAlign w:val="bottom"/>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4"/>
              </w:rPr>
              <w:t>PERSON WITH</w:t>
            </w:r>
          </w:p>
        </w:tc>
        <w:tc>
          <w:tcPr>
            <w:tcW w:w="76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44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w w:val="93"/>
              </w:rPr>
              <w:t>153,744 shares which are directly owned by LAV Regulus Limited. Yi Shi, the managing partner of LAV</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40" w:type="dxa"/>
            <w:vAlign w:val="bottom"/>
          </w:tcPr>
          <w:p>
            <w:pPr>
              <w:ind w:left="240"/>
              <w:spacing w:after="0"/>
              <w:rPr>
                <w:sz w:val="20"/>
                <w:szCs w:val="20"/>
                <w:color w:val="auto"/>
              </w:rPr>
            </w:pPr>
            <w:r>
              <w:rPr>
                <w:rFonts w:ascii="Arial" w:cs="Arial" w:eastAsia="Arial" w:hAnsi="Arial"/>
                <w:sz w:val="18"/>
                <w:szCs w:val="18"/>
                <w:b w:val="1"/>
                <w:bCs w:val="1"/>
                <w:color w:val="auto"/>
              </w:rPr>
              <w:t>Regulus Limited, may be deemed to have shared power to dispose of these shares.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61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153,744</w:t>
      </w:r>
    </w:p>
    <w:p>
      <w:pPr>
        <w:spacing w:after="0" w:line="229" w:lineRule="exact"/>
        <w:rPr>
          <w:sz w:val="20"/>
          <w:szCs w:val="20"/>
          <w:color w:val="auto"/>
        </w:rPr>
      </w:pPr>
    </w:p>
    <w:p>
      <w:pPr>
        <w:ind w:left="1040" w:hanging="656"/>
        <w:spacing w:after="0"/>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92" w:lineRule="exact"/>
        <w:rPr>
          <w:rFonts w:ascii="Arial" w:cs="Arial" w:eastAsia="Arial" w:hAnsi="Arial"/>
          <w:sz w:val="18"/>
          <w:szCs w:val="18"/>
          <w:color w:val="auto"/>
        </w:rPr>
      </w:pPr>
    </w:p>
    <w:p>
      <w:pPr>
        <w:ind w:left="10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84" w:lineRule="exact"/>
        <w:rPr>
          <w:rFonts w:ascii="Arial" w:cs="Arial" w:eastAsia="Arial" w:hAnsi="Arial"/>
          <w:sz w:val="18"/>
          <w:szCs w:val="18"/>
          <w:color w:val="auto"/>
        </w:rPr>
      </w:pPr>
    </w:p>
    <w:p>
      <w:pPr>
        <w:ind w:left="1040" w:hanging="653"/>
        <w:spacing w:after="0"/>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2.2% (1)</w:t>
      </w:r>
    </w:p>
    <w:p>
      <w:pPr>
        <w:spacing w:after="0" w:line="229" w:lineRule="exact"/>
        <w:rPr>
          <w:rFonts w:ascii="Arial" w:cs="Arial" w:eastAsia="Arial" w:hAnsi="Arial"/>
          <w:sz w:val="18"/>
          <w:szCs w:val="18"/>
          <w:color w:val="auto"/>
        </w:rPr>
      </w:pPr>
    </w:p>
    <w:p>
      <w:pPr>
        <w:ind w:left="1040" w:hanging="656"/>
        <w:spacing w:after="0"/>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350" w:lineRule="exact"/>
        <w:rPr>
          <w:rFonts w:ascii="Arial" w:cs="Arial" w:eastAsia="Arial" w:hAnsi="Arial"/>
          <w:sz w:val="18"/>
          <w:szCs w:val="18"/>
          <w:color w:val="auto"/>
        </w:rPr>
      </w:pPr>
    </w:p>
    <w:p>
      <w:pPr>
        <w:ind w:left="340" w:right="26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This percentage is calculated based upon 6,910,324 shares of common stock outstanding of Tempest Therapeutics, Inc. (the “Issuer”), as set forth in the Issuer’s Form 10-Q filed with the Securities and Exchange Commission (“SEC”)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540"/>
        <w:spacing w:after="0"/>
        <w:tabs>
          <w:tab w:leader="none" w:pos="5520" w:val="left"/>
          <w:tab w:leader="none" w:pos="8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120"/>
          </w:cols>
          <w:pgMar w:left="320" w:top="1026" w:right="45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20" w:type="dxa"/>
            <w:vAlign w:val="bottom"/>
            <w:gridSpan w:val="8"/>
          </w:tcPr>
          <w:p>
            <w:pPr>
              <w:spacing w:after="0"/>
              <w:rPr>
                <w:sz w:val="20"/>
                <w:szCs w:val="20"/>
                <w:color w:val="auto"/>
              </w:rPr>
            </w:pPr>
            <w:r>
              <w:rPr>
                <w:rFonts w:ascii="Arial" w:cs="Arial" w:eastAsia="Arial" w:hAnsi="Arial"/>
                <w:sz w:val="18"/>
                <w:szCs w:val="18"/>
                <w:color w:val="auto"/>
              </w:rPr>
              <w:t>Name of Issuer:</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Tempest Therapeutics, Inc (the “Issuer”)</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820" w:type="dxa"/>
            <w:vAlign w:val="bottom"/>
            <w:gridSpan w:val="8"/>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7000 Shoreline Court, Suite 275 South San Francisco, California 94080</w:t>
            </w:r>
          </w:p>
        </w:tc>
      </w:tr>
      <w:tr>
        <w:trPr>
          <w:trHeight w:val="39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820" w:type="dxa"/>
            <w:vAlign w:val="bottom"/>
            <w:gridSpan w:val="8"/>
          </w:tcPr>
          <w:p>
            <w:pPr>
              <w:spacing w:after="0"/>
              <w:rPr>
                <w:sz w:val="20"/>
                <w:szCs w:val="20"/>
                <w:color w:val="auto"/>
              </w:rPr>
            </w:pPr>
            <w:r>
              <w:rPr>
                <w:rFonts w:ascii="Arial" w:cs="Arial" w:eastAsia="Arial" w:hAnsi="Arial"/>
                <w:sz w:val="18"/>
                <w:szCs w:val="18"/>
                <w:color w:val="auto"/>
              </w:rPr>
              <w:t>Name of Persons Filing:</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w w:val="93"/>
              </w:rPr>
              <w:t>This Statement is filed by LAV Regulus Limited and Dr. Yi Shi. The foregoing entities and individual are collectively referred to as the</w:t>
            </w:r>
          </w:p>
        </w:tc>
      </w:tr>
      <w:tr>
        <w:trPr>
          <w:trHeight w:val="230"/>
        </w:trPr>
        <w:tc>
          <w:tcPr>
            <w:tcW w:w="1300" w:type="dxa"/>
            <w:vAlign w:val="bottom"/>
          </w:tcPr>
          <w:p>
            <w:pPr>
              <w:spacing w:after="0"/>
              <w:rPr>
                <w:sz w:val="20"/>
                <w:szCs w:val="20"/>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“Reporting Persons.”</w:t>
            </w:r>
          </w:p>
        </w:tc>
      </w:tr>
      <w:tr>
        <w:trPr>
          <w:trHeight w:val="418"/>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w w:val="89"/>
              </w:rPr>
              <w:t>Dr. Shi is the managing partner of LAV Regulus Limited, and may be deemed to have shared power to vote and shared power to dispose</w:t>
            </w:r>
          </w:p>
        </w:tc>
      </w:tr>
      <w:tr>
        <w:trPr>
          <w:trHeight w:val="230"/>
        </w:trPr>
        <w:tc>
          <w:tcPr>
            <w:tcW w:w="1300" w:type="dxa"/>
            <w:vAlign w:val="bottom"/>
          </w:tcPr>
          <w:p>
            <w:pPr>
              <w:spacing w:after="0"/>
              <w:rPr>
                <w:sz w:val="20"/>
                <w:szCs w:val="20"/>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of shares of the Issuer directly owned by LAV Regulus Limited.</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820" w:type="dxa"/>
            <w:vAlign w:val="bottom"/>
            <w:gridSpan w:val="8"/>
          </w:tcPr>
          <w:p>
            <w:pPr>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w w:val="95"/>
              </w:rPr>
              <w:t>The address for LAV Regulus Limited and Dr. Shi is Room 606-7, St. George’s Building, 2 Ice House Street, Central, Hong Kong.</w:t>
            </w:r>
          </w:p>
        </w:tc>
      </w:tr>
      <w:tr>
        <w:trPr>
          <w:trHeight w:val="39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820" w:type="dxa"/>
            <w:vAlign w:val="bottom"/>
            <w:gridSpan w:val="8"/>
          </w:tcPr>
          <w:p>
            <w:pPr>
              <w:spacing w:after="0"/>
              <w:rPr>
                <w:sz w:val="20"/>
                <w:szCs w:val="20"/>
                <w:color w:val="auto"/>
              </w:rPr>
            </w:pPr>
            <w:r>
              <w:rPr>
                <w:rFonts w:ascii="Arial" w:cs="Arial" w:eastAsia="Arial" w:hAnsi="Arial"/>
                <w:sz w:val="18"/>
                <w:szCs w:val="18"/>
                <w:color w:val="auto"/>
              </w:rPr>
              <w:t>Citizenship:</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LAV Regulus Limited is a British Virgin Islands business company. Dr. Shi is a United States citizen.</w:t>
            </w:r>
          </w:p>
        </w:tc>
      </w:tr>
      <w:tr>
        <w:trPr>
          <w:trHeight w:val="39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820" w:type="dxa"/>
            <w:vAlign w:val="bottom"/>
            <w:gridSpan w:val="8"/>
          </w:tcPr>
          <w:p>
            <w:pPr>
              <w:spacing w:after="0"/>
              <w:rPr>
                <w:sz w:val="20"/>
                <w:szCs w:val="20"/>
                <w:color w:val="auto"/>
              </w:rPr>
            </w:pPr>
            <w:r>
              <w:rPr>
                <w:rFonts w:ascii="Arial" w:cs="Arial" w:eastAsia="Arial" w:hAnsi="Arial"/>
                <w:sz w:val="18"/>
                <w:szCs w:val="18"/>
                <w:color w:val="auto"/>
              </w:rPr>
              <w:t>Title of Class of Securities:</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Common Stock, $0.001 par value per share</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20" w:type="dxa"/>
            <w:vAlign w:val="bottom"/>
            <w:gridSpan w:val="8"/>
          </w:tcPr>
          <w:p>
            <w:pPr>
              <w:spacing w:after="0"/>
              <w:rPr>
                <w:sz w:val="20"/>
                <w:szCs w:val="20"/>
                <w:color w:val="auto"/>
              </w:rPr>
            </w:pPr>
            <w:r>
              <w:rPr>
                <w:rFonts w:ascii="Arial" w:cs="Arial" w:eastAsia="Arial" w:hAnsi="Arial"/>
                <w:sz w:val="18"/>
                <w:szCs w:val="18"/>
                <w:color w:val="auto"/>
              </w:rPr>
              <w:t>CUSIP Number:</w:t>
            </w:r>
          </w:p>
        </w:tc>
      </w:tr>
      <w:tr>
        <w:trPr>
          <w:trHeight w:val="20"/>
        </w:trPr>
        <w:tc>
          <w:tcPr>
            <w:tcW w:w="130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680" w:type="dxa"/>
            <w:vAlign w:val="bottom"/>
            <w:gridSpan w:val="4"/>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CUSIP #87978U108</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20" w:type="dxa"/>
            <w:vAlign w:val="bottom"/>
            <w:gridSpan w:val="8"/>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Ownership</w:t>
            </w:r>
          </w:p>
        </w:tc>
        <w:tc>
          <w:tcPr>
            <w:tcW w:w="9000" w:type="dxa"/>
            <w:vAlign w:val="bottom"/>
            <w:gridSpan w:val="6"/>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w w:val="92"/>
              </w:rPr>
              <w:t>The following information with respect to the ownership of the Common Stock of the Issuer by the Reporting Persons is provided as of</w:t>
            </w:r>
          </w:p>
        </w:tc>
      </w:tr>
      <w:tr>
        <w:trPr>
          <w:trHeight w:val="230"/>
        </w:trPr>
        <w:tc>
          <w:tcPr>
            <w:tcW w:w="1300" w:type="dxa"/>
            <w:vAlign w:val="bottom"/>
          </w:tcPr>
          <w:p>
            <w:pPr>
              <w:spacing w:after="0"/>
              <w:rPr>
                <w:sz w:val="20"/>
                <w:szCs w:val="20"/>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December 31, 2021:</w:t>
            </w:r>
          </w:p>
        </w:tc>
      </w:tr>
      <w:tr>
        <w:trPr>
          <w:trHeight w:val="432"/>
        </w:trPr>
        <w:tc>
          <w:tcPr>
            <w:tcW w:w="13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9540" w:type="dxa"/>
            <w:vAlign w:val="bottom"/>
            <w:gridSpan w:val="7"/>
          </w:tcPr>
          <w:p>
            <w:pPr>
              <w:ind w:left="40"/>
              <w:spacing w:after="0"/>
              <w:rPr>
                <w:sz w:val="20"/>
                <w:szCs w:val="20"/>
                <w:color w:val="auto"/>
              </w:rPr>
            </w:pPr>
            <w:r>
              <w:rPr>
                <w:rFonts w:ascii="Arial" w:cs="Arial" w:eastAsia="Arial" w:hAnsi="Arial"/>
                <w:sz w:val="18"/>
                <w:szCs w:val="18"/>
                <w:color w:val="auto"/>
              </w:rPr>
              <w:t>Amount beneficially owned:</w:t>
            </w:r>
          </w:p>
        </w:tc>
      </w:tr>
      <w:tr>
        <w:trPr>
          <w:trHeight w:val="43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gridSpan w:val="7"/>
          </w:tcPr>
          <w:p>
            <w:pPr>
              <w:ind w:left="40"/>
              <w:spacing w:after="0"/>
              <w:rPr>
                <w:sz w:val="20"/>
                <w:szCs w:val="20"/>
                <w:color w:val="auto"/>
              </w:rPr>
            </w:pPr>
            <w:r>
              <w:rPr>
                <w:rFonts w:ascii="Arial" w:cs="Arial" w:eastAsia="Arial" w:hAnsi="Arial"/>
                <w:sz w:val="18"/>
                <w:szCs w:val="18"/>
                <w:color w:val="auto"/>
              </w:rPr>
              <w:t>See Row 9 of cover page for each Reporting Person.</w:t>
            </w:r>
          </w:p>
        </w:tc>
      </w:tr>
      <w:tr>
        <w:trPr>
          <w:trHeight w:val="432"/>
        </w:trPr>
        <w:tc>
          <w:tcPr>
            <w:tcW w:w="13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(b)</w:t>
            </w:r>
          </w:p>
        </w:tc>
        <w:tc>
          <w:tcPr>
            <w:tcW w:w="9540" w:type="dxa"/>
            <w:vAlign w:val="bottom"/>
            <w:gridSpan w:val="7"/>
          </w:tcPr>
          <w:p>
            <w:pPr>
              <w:ind w:left="40"/>
              <w:spacing w:after="0"/>
              <w:rPr>
                <w:sz w:val="20"/>
                <w:szCs w:val="20"/>
                <w:color w:val="auto"/>
              </w:rPr>
            </w:pPr>
            <w:r>
              <w:rPr>
                <w:rFonts w:ascii="Arial" w:cs="Arial" w:eastAsia="Arial" w:hAnsi="Arial"/>
                <w:sz w:val="18"/>
                <w:szCs w:val="18"/>
                <w:color w:val="auto"/>
              </w:rPr>
              <w:t>Percent of Class:</w:t>
            </w:r>
          </w:p>
        </w:tc>
      </w:tr>
      <w:tr>
        <w:trPr>
          <w:trHeight w:val="43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gridSpan w:val="7"/>
          </w:tcPr>
          <w:p>
            <w:pPr>
              <w:ind w:left="40"/>
              <w:spacing w:after="0"/>
              <w:rPr>
                <w:sz w:val="20"/>
                <w:szCs w:val="20"/>
                <w:color w:val="auto"/>
              </w:rPr>
            </w:pPr>
            <w:r>
              <w:rPr>
                <w:rFonts w:ascii="Arial" w:cs="Arial" w:eastAsia="Arial" w:hAnsi="Arial"/>
                <w:sz w:val="18"/>
                <w:szCs w:val="18"/>
                <w:color w:val="auto"/>
              </w:rPr>
              <w:t>See Row 11 of cover page for each Reporting Person.</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Sole power to vote or to direct the vote: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Row 5 of cover page for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26" w:right="459" w:bottom="1440" w:gutter="0" w:footer="0" w:header="0"/>
          <w:type w:val="continuous"/>
        </w:sectPr>
      </w:pPr>
    </w:p>
    <w:bookmarkStart w:id="4" w:name="page5"/>
    <w:bookmarkEnd w:id="4"/>
    <w:p>
      <w:pPr>
        <w:ind w:left="1540"/>
        <w:spacing w:after="0"/>
        <w:tabs>
          <w:tab w:leader="none" w:pos="5520" w:val="left"/>
          <w:tab w:leader="none" w:pos="8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0880"/>
          </w:cols>
          <w:pgMar w:left="320" w:top="1026" w:right="699" w:bottom="1440" w:gutter="0" w:footer="0" w:header="0"/>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940" w:type="dxa"/>
            <w:vAlign w:val="bottom"/>
            <w:gridSpan w:val="6"/>
          </w:tcPr>
          <w:p>
            <w:pPr>
              <w:ind w:left="320"/>
              <w:spacing w:after="0"/>
              <w:rPr>
                <w:sz w:val="20"/>
                <w:szCs w:val="20"/>
                <w:color w:val="auto"/>
              </w:rPr>
            </w:pPr>
            <w:r>
              <w:rPr>
                <w:rFonts w:ascii="Arial" w:cs="Arial" w:eastAsia="Arial" w:hAnsi="Arial"/>
                <w:sz w:val="18"/>
                <w:szCs w:val="18"/>
                <w:color w:val="auto"/>
              </w:rPr>
              <w:t>(ii) Shared power to vote or to direct the vote:</w:t>
            </w:r>
          </w:p>
        </w:tc>
      </w:tr>
      <w:tr>
        <w:trPr>
          <w:trHeight w:val="432"/>
        </w:trPr>
        <w:tc>
          <w:tcPr>
            <w:tcW w:w="1300" w:type="dxa"/>
            <w:vAlign w:val="bottom"/>
          </w:tcPr>
          <w:p>
            <w:pPr>
              <w:spacing w:after="0"/>
              <w:rPr>
                <w:sz w:val="24"/>
                <w:szCs w:val="24"/>
                <w:color w:val="auto"/>
              </w:rPr>
            </w:pPr>
          </w:p>
        </w:tc>
        <w:tc>
          <w:tcPr>
            <w:tcW w:w="5940" w:type="dxa"/>
            <w:vAlign w:val="bottom"/>
            <w:gridSpan w:val="6"/>
          </w:tcPr>
          <w:p>
            <w:pPr>
              <w:ind w:left="660"/>
              <w:spacing w:after="0"/>
              <w:rPr>
                <w:sz w:val="20"/>
                <w:szCs w:val="20"/>
                <w:color w:val="auto"/>
              </w:rPr>
            </w:pPr>
            <w:r>
              <w:rPr>
                <w:rFonts w:ascii="Arial" w:cs="Arial" w:eastAsia="Arial" w:hAnsi="Arial"/>
                <w:sz w:val="18"/>
                <w:szCs w:val="18"/>
                <w:color w:val="auto"/>
              </w:rPr>
              <w:t>See Row 6 of cover page for each Reporting Person.</w:t>
            </w:r>
          </w:p>
        </w:tc>
      </w:tr>
      <w:tr>
        <w:trPr>
          <w:trHeight w:val="432"/>
        </w:trPr>
        <w:tc>
          <w:tcPr>
            <w:tcW w:w="1300" w:type="dxa"/>
            <w:vAlign w:val="bottom"/>
          </w:tcPr>
          <w:p>
            <w:pPr>
              <w:spacing w:after="0"/>
              <w:rPr>
                <w:sz w:val="24"/>
                <w:szCs w:val="24"/>
                <w:color w:val="auto"/>
              </w:rPr>
            </w:pPr>
          </w:p>
        </w:tc>
        <w:tc>
          <w:tcPr>
            <w:tcW w:w="5940" w:type="dxa"/>
            <w:vAlign w:val="bottom"/>
            <w:gridSpan w:val="6"/>
          </w:tcPr>
          <w:p>
            <w:pPr>
              <w:ind w:left="320"/>
              <w:spacing w:after="0"/>
              <w:rPr>
                <w:sz w:val="20"/>
                <w:szCs w:val="20"/>
                <w:color w:val="auto"/>
              </w:rPr>
            </w:pPr>
            <w:r>
              <w:rPr>
                <w:rFonts w:ascii="Arial" w:cs="Arial" w:eastAsia="Arial" w:hAnsi="Arial"/>
                <w:sz w:val="18"/>
                <w:szCs w:val="18"/>
                <w:color w:val="auto"/>
              </w:rPr>
              <w:t>(iii) Sole power to dispose or to direct the disposition of:</w:t>
            </w:r>
          </w:p>
        </w:tc>
      </w:tr>
      <w:tr>
        <w:trPr>
          <w:trHeight w:val="432"/>
        </w:trPr>
        <w:tc>
          <w:tcPr>
            <w:tcW w:w="1300" w:type="dxa"/>
            <w:vAlign w:val="bottom"/>
          </w:tcPr>
          <w:p>
            <w:pPr>
              <w:spacing w:after="0"/>
              <w:rPr>
                <w:sz w:val="24"/>
                <w:szCs w:val="24"/>
                <w:color w:val="auto"/>
              </w:rPr>
            </w:pPr>
          </w:p>
        </w:tc>
        <w:tc>
          <w:tcPr>
            <w:tcW w:w="5940" w:type="dxa"/>
            <w:vAlign w:val="bottom"/>
            <w:gridSpan w:val="6"/>
          </w:tcPr>
          <w:p>
            <w:pPr>
              <w:ind w:left="660"/>
              <w:spacing w:after="0"/>
              <w:rPr>
                <w:sz w:val="20"/>
                <w:szCs w:val="20"/>
                <w:color w:val="auto"/>
              </w:rPr>
            </w:pPr>
            <w:r>
              <w:rPr>
                <w:rFonts w:ascii="Arial" w:cs="Arial" w:eastAsia="Arial" w:hAnsi="Arial"/>
                <w:sz w:val="18"/>
                <w:szCs w:val="18"/>
                <w:color w:val="auto"/>
              </w:rPr>
              <w:t>See Row 7 of cover page for each Reporting Person.</w:t>
            </w:r>
          </w:p>
        </w:tc>
      </w:tr>
      <w:tr>
        <w:trPr>
          <w:trHeight w:val="432"/>
        </w:trPr>
        <w:tc>
          <w:tcPr>
            <w:tcW w:w="1300" w:type="dxa"/>
            <w:vAlign w:val="bottom"/>
          </w:tcPr>
          <w:p>
            <w:pPr>
              <w:spacing w:after="0"/>
              <w:rPr>
                <w:sz w:val="24"/>
                <w:szCs w:val="24"/>
                <w:color w:val="auto"/>
              </w:rPr>
            </w:pPr>
          </w:p>
        </w:tc>
        <w:tc>
          <w:tcPr>
            <w:tcW w:w="5940" w:type="dxa"/>
            <w:vAlign w:val="bottom"/>
            <w:gridSpan w:val="6"/>
          </w:tcPr>
          <w:p>
            <w:pPr>
              <w:ind w:left="320"/>
              <w:spacing w:after="0"/>
              <w:rPr>
                <w:sz w:val="20"/>
                <w:szCs w:val="20"/>
                <w:color w:val="auto"/>
              </w:rPr>
            </w:pPr>
            <w:r>
              <w:rPr>
                <w:rFonts w:ascii="Arial" w:cs="Arial" w:eastAsia="Arial" w:hAnsi="Arial"/>
                <w:sz w:val="18"/>
                <w:szCs w:val="18"/>
                <w:color w:val="auto"/>
              </w:rPr>
              <w:t>(iv) Shared power to dispose or to direct the disposition of:</w:t>
            </w:r>
          </w:p>
        </w:tc>
      </w:tr>
      <w:tr>
        <w:trPr>
          <w:trHeight w:val="432"/>
        </w:trPr>
        <w:tc>
          <w:tcPr>
            <w:tcW w:w="1300" w:type="dxa"/>
            <w:vAlign w:val="bottom"/>
          </w:tcPr>
          <w:p>
            <w:pPr>
              <w:spacing w:after="0"/>
              <w:rPr>
                <w:sz w:val="24"/>
                <w:szCs w:val="24"/>
                <w:color w:val="auto"/>
              </w:rPr>
            </w:pPr>
          </w:p>
        </w:tc>
        <w:tc>
          <w:tcPr>
            <w:tcW w:w="5940" w:type="dxa"/>
            <w:vAlign w:val="bottom"/>
            <w:gridSpan w:val="6"/>
          </w:tcPr>
          <w:p>
            <w:pPr>
              <w:ind w:left="660"/>
              <w:spacing w:after="0"/>
              <w:rPr>
                <w:sz w:val="20"/>
                <w:szCs w:val="20"/>
                <w:color w:val="auto"/>
              </w:rPr>
            </w:pPr>
            <w:r>
              <w:rPr>
                <w:rFonts w:ascii="Arial" w:cs="Arial" w:eastAsia="Arial" w:hAnsi="Arial"/>
                <w:sz w:val="18"/>
                <w:szCs w:val="18"/>
                <w:color w:val="auto"/>
              </w:rPr>
              <w:t>See Row 8 of cover page for each Reporting Person.</w:t>
            </w:r>
          </w:p>
        </w:tc>
      </w:tr>
      <w:tr>
        <w:trPr>
          <w:trHeight w:val="39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940" w:type="dxa"/>
            <w:vAlign w:val="bottom"/>
            <w:gridSpan w:val="6"/>
          </w:tcPr>
          <w:p>
            <w:pPr>
              <w:spacing w:after="0"/>
              <w:rPr>
                <w:sz w:val="20"/>
                <w:szCs w:val="20"/>
                <w:color w:val="auto"/>
              </w:rPr>
            </w:pPr>
            <w:r>
              <w:rPr>
                <w:rFonts w:ascii="Arial" w:cs="Arial" w:eastAsia="Arial" w:hAnsi="Arial"/>
                <w:sz w:val="18"/>
                <w:szCs w:val="18"/>
                <w:color w:val="auto"/>
              </w:rPr>
              <w:t>Ownership of Five Percent or Less of a Class</w:t>
            </w:r>
          </w:p>
        </w:tc>
      </w:tr>
      <w:tr>
        <w:trPr>
          <w:trHeight w:val="453"/>
        </w:trPr>
        <w:tc>
          <w:tcPr>
            <w:tcW w:w="1300" w:type="dxa"/>
            <w:vAlign w:val="bottom"/>
          </w:tcPr>
          <w:p>
            <w:pPr>
              <w:spacing w:after="0"/>
              <w:rPr>
                <w:sz w:val="24"/>
                <w:szCs w:val="24"/>
                <w:color w:val="auto"/>
              </w:rPr>
            </w:pPr>
          </w:p>
        </w:tc>
        <w:tc>
          <w:tcPr>
            <w:tcW w:w="3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2680" w:type="dxa"/>
            <w:vAlign w:val="bottom"/>
            <w:gridSpan w:val="3"/>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6"/>
          </w:tcPr>
          <w:p>
            <w:pPr>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32"/>
        </w:trPr>
        <w:tc>
          <w:tcPr>
            <w:tcW w:w="13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59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Identification and Classification of Subsidiary Which Acquired the Security Being</w:t>
            </w:r>
          </w:p>
        </w:tc>
      </w:tr>
      <w:tr>
        <w:trPr>
          <w:trHeight w:val="196"/>
        </w:trPr>
        <w:tc>
          <w:tcPr>
            <w:tcW w:w="1300" w:type="dxa"/>
            <w:vAlign w:val="bottom"/>
          </w:tcPr>
          <w:p>
            <w:pPr>
              <w:spacing w:after="0"/>
              <w:rPr>
                <w:sz w:val="17"/>
                <w:szCs w:val="17"/>
                <w:color w:val="auto"/>
              </w:rPr>
            </w:pPr>
          </w:p>
        </w:tc>
        <w:tc>
          <w:tcPr>
            <w:tcW w:w="5940" w:type="dxa"/>
            <w:vAlign w:val="bottom"/>
            <w:gridSpan w:val="6"/>
          </w:tcPr>
          <w:p>
            <w:pPr>
              <w:spacing w:after="0" w:line="196" w:lineRule="exact"/>
              <w:rPr>
                <w:sz w:val="20"/>
                <w:szCs w:val="20"/>
                <w:color w:val="auto"/>
              </w:rPr>
            </w:pPr>
            <w:r>
              <w:rPr>
                <w:rFonts w:ascii="Arial" w:cs="Arial" w:eastAsia="Arial" w:hAnsi="Arial"/>
                <w:sz w:val="18"/>
                <w:szCs w:val="18"/>
                <w:color w:val="auto"/>
              </w:rPr>
              <w:t>Reported on by the Parent Holding Company or Control Person</w:t>
            </w:r>
          </w:p>
        </w:tc>
      </w:tr>
      <w:tr>
        <w:trPr>
          <w:trHeight w:val="453"/>
        </w:trPr>
        <w:tc>
          <w:tcPr>
            <w:tcW w:w="1300" w:type="dxa"/>
            <w:vAlign w:val="bottom"/>
          </w:tcPr>
          <w:p>
            <w:pPr>
              <w:spacing w:after="0"/>
              <w:rPr>
                <w:sz w:val="24"/>
                <w:szCs w:val="24"/>
                <w:color w:val="auto"/>
              </w:rPr>
            </w:pPr>
          </w:p>
        </w:tc>
        <w:tc>
          <w:tcPr>
            <w:tcW w:w="45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Not applicable.</w:t>
            </w:r>
          </w:p>
        </w:tc>
        <w:tc>
          <w:tcPr>
            <w:tcW w:w="136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Identification and Classification of Members of the Group</w:t>
            </w:r>
          </w:p>
        </w:tc>
        <w:tc>
          <w:tcPr>
            <w:tcW w:w="1740" w:type="dxa"/>
            <w:vAlign w:val="bottom"/>
            <w:gridSpan w:val="2"/>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Notice of Dissolution of Group</w:t>
            </w:r>
          </w:p>
        </w:tc>
        <w:tc>
          <w:tcPr>
            <w:tcW w:w="3680" w:type="dxa"/>
            <w:vAlign w:val="bottom"/>
            <w:gridSpan w:val="4"/>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5940" w:type="dxa"/>
            <w:vAlign w:val="bottom"/>
            <w:gridSpan w:val="6"/>
          </w:tcPr>
          <w:p>
            <w:pPr>
              <w:spacing w:after="0"/>
              <w:rPr>
                <w:sz w:val="20"/>
                <w:szCs w:val="20"/>
                <w:color w:val="auto"/>
              </w:rPr>
            </w:pPr>
            <w:r>
              <w:rPr>
                <w:rFonts w:ascii="Arial" w:cs="Arial" w:eastAsia="Arial" w:hAnsi="Arial"/>
                <w:sz w:val="18"/>
                <w:szCs w:val="18"/>
                <w:color w:val="auto"/>
              </w:rPr>
              <w:t>Certifications</w:t>
            </w: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026" w:right="69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338"/>
        </w:trPr>
        <w:tc>
          <w:tcPr>
            <w:tcW w:w="476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CUSIP No. 87978U108</w:t>
            </w:r>
          </w:p>
        </w:tc>
        <w:tc>
          <w:tcPr>
            <w:tcW w:w="190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13G</w:t>
            </w:r>
          </w:p>
        </w:tc>
        <w:tc>
          <w:tcPr>
            <w:tcW w:w="458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Page 6 of 8 Pages</w:t>
            </w:r>
          </w:p>
        </w:tc>
      </w:tr>
      <w:tr>
        <w:trPr>
          <w:trHeight w:val="102"/>
        </w:trPr>
        <w:tc>
          <w:tcPr>
            <w:tcW w:w="476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LAV Regulus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Yi Shi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Yi Shi</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38"/>
        </w:trPr>
        <w:tc>
          <w:tcPr>
            <w:tcW w:w="4760" w:type="dxa"/>
            <w:vAlign w:val="bottom"/>
            <w:tcBorders>
              <w:top w:val="single" w:sz="8" w:color="auto"/>
              <w:left w:val="single" w:sz="8" w:color="auto"/>
              <w:right w:val="single" w:sz="8" w:color="auto"/>
            </w:tcBorders>
            <w:gridSpan w:val="2"/>
          </w:tcPr>
          <w:p>
            <w:pPr>
              <w:ind w:left="1540"/>
              <w:spacing w:after="0"/>
              <w:rPr>
                <w:sz w:val="20"/>
                <w:szCs w:val="20"/>
                <w:color w:val="auto"/>
              </w:rPr>
            </w:pPr>
            <w:r>
              <w:rPr>
                <w:rFonts w:ascii="Arial" w:cs="Arial" w:eastAsia="Arial" w:hAnsi="Arial"/>
                <w:sz w:val="18"/>
                <w:szCs w:val="18"/>
                <w:b w:val="1"/>
                <w:bCs w:val="1"/>
                <w:color w:val="auto"/>
              </w:rPr>
              <w:t>CUSIP No. 87978U108</w:t>
            </w:r>
          </w:p>
        </w:tc>
        <w:tc>
          <w:tcPr>
            <w:tcW w:w="1880" w:type="dxa"/>
            <w:vAlign w:val="bottom"/>
          </w:tcPr>
          <w:p>
            <w:pPr>
              <w:ind w:left="780"/>
              <w:spacing w:after="0"/>
              <w:rPr>
                <w:sz w:val="20"/>
                <w:szCs w:val="20"/>
                <w:color w:val="auto"/>
              </w:rPr>
            </w:pPr>
            <w:r>
              <w:rPr>
                <w:rFonts w:ascii="Arial" w:cs="Arial" w:eastAsia="Arial" w:hAnsi="Arial"/>
                <w:sz w:val="18"/>
                <w:szCs w:val="18"/>
                <w:b w:val="1"/>
                <w:bCs w:val="1"/>
                <w:color w:val="auto"/>
              </w:rPr>
              <w:t>13G</w:t>
            </w:r>
          </w:p>
        </w:tc>
        <w:tc>
          <w:tcPr>
            <w:tcW w:w="1140" w:type="dxa"/>
            <w:vAlign w:val="bottom"/>
            <w:tcBorders>
              <w:top w:val="single" w:sz="8" w:color="auto"/>
              <w:lef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3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7 of 8 Pages</w:t>
            </w:r>
          </w:p>
        </w:tc>
        <w:tc>
          <w:tcPr>
            <w:tcW w:w="0" w:type="dxa"/>
            <w:vAlign w:val="bottom"/>
          </w:tcPr>
          <w:p>
            <w:pPr>
              <w:spacing w:after="0"/>
              <w:rPr>
                <w:sz w:val="1"/>
                <w:szCs w:val="1"/>
                <w:color w:val="auto"/>
              </w:rPr>
            </w:pPr>
          </w:p>
        </w:tc>
      </w:tr>
      <w:tr>
        <w:trPr>
          <w:trHeight w:val="102"/>
        </w:trPr>
        <w:tc>
          <w:tcPr>
            <w:tcW w:w="2680" w:type="dxa"/>
            <w:vAlign w:val="bottom"/>
            <w:tcBorders>
              <w:left w:val="single" w:sz="8" w:color="auto"/>
              <w:bottom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Found on Sequentially Numbered Page</w:t>
            </w:r>
          </w:p>
        </w:tc>
        <w:tc>
          <w:tcPr>
            <w:tcW w:w="0" w:type="dxa"/>
            <w:vAlign w:val="bottom"/>
          </w:tcPr>
          <w:p>
            <w:pPr>
              <w:spacing w:after="0"/>
              <w:rPr>
                <w:sz w:val="1"/>
                <w:szCs w:val="1"/>
                <w:color w:val="auto"/>
              </w:rPr>
            </w:pPr>
          </w:p>
        </w:tc>
      </w:tr>
      <w:tr>
        <w:trPr>
          <w:trHeight w:val="196"/>
        </w:trPr>
        <w:tc>
          <w:tcPr>
            <w:tcW w:w="4760" w:type="dxa"/>
            <w:vAlign w:val="bottom"/>
            <w:tcBorders>
              <w:left w:val="single" w:sz="8" w:color="CCEEFF"/>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Exhibit A: Agreement of Joint Filing</w:t>
              </w:r>
            </w:hyperlink>
          </w:p>
        </w:tc>
        <w:tc>
          <w:tcPr>
            <w:tcW w:w="1880" w:type="dxa"/>
            <w:vAlign w:val="bottom"/>
            <w:shd w:val="clear" w:color="auto" w:fill="CCEEFF"/>
          </w:tcPr>
          <w:p>
            <w:pPr>
              <w:spacing w:after="0"/>
              <w:rPr>
                <w:sz w:val="17"/>
                <w:szCs w:val="17"/>
                <w:color w:val="auto"/>
              </w:rPr>
            </w:pPr>
          </w:p>
        </w:tc>
        <w:tc>
          <w:tcPr>
            <w:tcW w:w="1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jc w:val="right"/>
              <w:ind w:right="155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2"/>
        </w:trPr>
        <w:tc>
          <w:tcPr>
            <w:tcW w:w="2680" w:type="dxa"/>
            <w:vAlign w:val="bottom"/>
            <w:tcBorders>
              <w:top w:val="single" w:sz="8" w:color="0000EE"/>
              <w:bottom w:val="single" w:sz="8" w:color="auto"/>
            </w:tcBorders>
          </w:tcPr>
          <w:p>
            <w:pPr>
              <w:spacing w:after="0"/>
              <w:rPr>
                <w:sz w:val="24"/>
                <w:szCs w:val="24"/>
                <w:color w:val="auto"/>
              </w:rPr>
            </w:pPr>
          </w:p>
        </w:tc>
        <w:tc>
          <w:tcPr>
            <w:tcW w:w="208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3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476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CUSIP No. 87978U108</w:t>
            </w:r>
          </w:p>
        </w:tc>
        <w:tc>
          <w:tcPr>
            <w:tcW w:w="190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13G</w:t>
            </w:r>
          </w:p>
        </w:tc>
        <w:tc>
          <w:tcPr>
            <w:tcW w:w="458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Page 8 of 8 Pages</w:t>
            </w:r>
          </w:p>
        </w:tc>
      </w:tr>
      <w:tr>
        <w:trPr>
          <w:trHeight w:val="102"/>
        </w:trPr>
        <w:tc>
          <w:tcPr>
            <w:tcW w:w="476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Joint Filing</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undersigned hereby agree that a single Schedule 13G (or any amendment thereto) relating to the Common Stock of Tempest Therapeutics, Inc. shall be filed on behalf of each of the undersigned and that this Agreement shall be filed as an exhibit to such Schedule 13G.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LAV Regulus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Yi Shi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Yi Shi</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decimal"/>
      <w:start w:val="1"/>
    </w:lvl>
    <w:lvl w:ilvl="1">
      <w:lvlJc w:val="left"/>
      <w:lvlText w:val="%2"/>
      <w:numFmt w:val="decimal"/>
      <w:start w:val="10"/>
    </w:lvl>
  </w:abstractNum>
  <w:abstractNum w:abstractNumId="8">
    <w:nsid w:val="140E0F76"/>
    <w:multiLevelType w:val="hybridMultilevel"/>
    <w:lvl w:ilvl="0">
      <w:lvlJc w:val="left"/>
      <w:lvlText w:val="(%1)"/>
      <w:numFmt w:val="decimal"/>
      <w:start w:val="1"/>
    </w:lvl>
    <w:lvl w:ilvl="1">
      <w:lvlJc w:val="left"/>
      <w:lvlText w:val="%2"/>
      <w:numFmt w:val="decimal"/>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lvl w:ilvl="1">
      <w:lvlJc w:val="left"/>
      <w:lvlText w:val="(%2)"/>
      <w:numFmt w:val="lowerLetter"/>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9"/>
      <w:numFmt w:val="bullet"/>
      <w:start w:val="1"/>
    </w:lvl>
  </w:abstractNum>
  <w:abstractNum w:abstractNumId="14">
    <w:nsid w:val="41A7C4C9"/>
    <w:multiLevelType w:val="hybridMultilevel"/>
    <w:lvl w:ilvl="0">
      <w:lvlJc w:val="left"/>
      <w:lvlText w:val="%1"/>
      <w:numFmt w:val="decimal"/>
      <w:start w:val="1"/>
    </w:lvl>
    <w:lvl w:ilvl="1">
      <w:lvlJc w:val="left"/>
      <w:lvlText w:val="%2"/>
      <w:numFmt w:val="decimal"/>
      <w:start w:val="10"/>
    </w:lvl>
  </w:abstractNum>
  <w:abstractNum w:abstractNumId="15">
    <w:nsid w:val="6B68079A"/>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2022-02-17T15:22:58Z</dcterms:created>
  <dcterms:modified xsi:type="dcterms:W3CDTF">2022-02-17T15:22:58Z</dcterms:modified>
</cp:coreProperties>
</file>