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132715</wp:posOffset>
            </wp:positionV>
            <wp:extent cx="253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165100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159385</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1179195</wp:posOffset>
            </wp:positionH>
            <wp:positionV relativeFrom="paragraph">
              <wp:posOffset>133350</wp:posOffset>
            </wp:positionV>
            <wp:extent cx="4783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580" w:type="dxa"/>
        <w:tblCellMar>
          <w:top w:w="0" w:type="dxa"/>
          <w:left w:w="0" w:type="dxa"/>
          <w:bottom w:w="0" w:type="dxa"/>
          <w:right w:w="0" w:type="dxa"/>
        </w:tblCellMar>
      </w:tblPr>
      <w:tr>
        <w:trPr>
          <w:trHeight w:val="238"/>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001-35890</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45-1472564</w:t>
            </w:r>
          </w:p>
        </w:tc>
      </w:tr>
      <w:tr>
        <w:trPr>
          <w:trHeight w:val="178"/>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80" w:type="dxa"/>
            <w:vAlign w:val="bottom"/>
          </w:tcPr>
          <w:p>
            <w:pPr>
              <w:spacing w:after="0"/>
              <w:rPr>
                <w:sz w:val="24"/>
                <w:szCs w:val="24"/>
                <w:color w:val="auto"/>
              </w:rPr>
            </w:pPr>
          </w:p>
        </w:tc>
        <w:tc>
          <w:tcPr>
            <w:tcW w:w="40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tc>
        <w:tc>
          <w:tcPr>
            <w:tcW w:w="1700" w:type="dxa"/>
            <w:vAlign w:val="bottom"/>
          </w:tcPr>
          <w:p>
            <w:pPr>
              <w:spacing w:after="0"/>
              <w:rPr>
                <w:sz w:val="24"/>
                <w:szCs w:val="24"/>
                <w:color w:val="auto"/>
              </w:rPr>
            </w:pPr>
          </w:p>
        </w:tc>
      </w:tr>
      <w:tr>
        <w:trPr>
          <w:trHeight w:val="214"/>
        </w:trPr>
        <w:tc>
          <w:tcPr>
            <w:tcW w:w="2080" w:type="dxa"/>
            <w:vAlign w:val="bottom"/>
          </w:tcPr>
          <w:p>
            <w:pPr>
              <w:spacing w:after="0"/>
              <w:rPr>
                <w:sz w:val="18"/>
                <w:szCs w:val="18"/>
                <w:color w:val="auto"/>
              </w:rPr>
            </w:pPr>
          </w:p>
        </w:tc>
        <w:tc>
          <w:tcPr>
            <w:tcW w:w="4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South San Francisco, CA 94080</w:t>
            </w:r>
          </w:p>
        </w:tc>
        <w:tc>
          <w:tcPr>
            <w:tcW w:w="1700" w:type="dxa"/>
            <w:vAlign w:val="bottom"/>
          </w:tcPr>
          <w:p>
            <w:pPr>
              <w:spacing w:after="0"/>
              <w:rPr>
                <w:sz w:val="18"/>
                <w:szCs w:val="18"/>
                <w:color w:val="auto"/>
              </w:rPr>
            </w:pPr>
          </w:p>
        </w:tc>
      </w:tr>
      <w:tr>
        <w:trPr>
          <w:trHeight w:val="190"/>
        </w:trPr>
        <w:tc>
          <w:tcPr>
            <w:tcW w:w="2080" w:type="dxa"/>
            <w:vAlign w:val="bottom"/>
          </w:tcPr>
          <w:p>
            <w:pPr>
              <w:spacing w:after="0"/>
              <w:rPr>
                <w:sz w:val="16"/>
                <w:szCs w:val="16"/>
                <w:color w:val="auto"/>
              </w:rPr>
            </w:pPr>
          </w:p>
        </w:tc>
        <w:tc>
          <w:tcPr>
            <w:tcW w:w="40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00" w:type="dxa"/>
            <w:vAlign w:val="bottom"/>
          </w:tcPr>
          <w:p>
            <w:pPr>
              <w:spacing w:after="0"/>
              <w:rPr>
                <w:sz w:val="16"/>
                <w:szCs w:val="16"/>
                <w:color w:val="auto"/>
              </w:rPr>
            </w:pPr>
          </w:p>
        </w:tc>
      </w:tr>
    </w:tbl>
    <w:p>
      <w:pPr>
        <w:spacing w:after="0" w:line="1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1179195</wp:posOffset>
            </wp:positionH>
            <wp:positionV relativeFrom="paragraph">
              <wp:posOffset>142240</wp:posOffset>
            </wp:positionV>
            <wp:extent cx="4783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0" w:lineRule="exact"/>
        <w:rPr>
          <w:sz w:val="24"/>
          <w:szCs w:val="24"/>
          <w:color w:val="auto"/>
        </w:rPr>
      </w:pPr>
    </w:p>
    <w:tbl>
      <w:tblPr>
        <w:tblLayout w:type="fixed"/>
        <w:tblInd w:w="70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145"/>
        </w:trPr>
        <w:tc>
          <w:tcPr>
            <w:tcW w:w="3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r>
      <w:tr>
        <w:trPr>
          <w:trHeight w:val="236"/>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TPST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79"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37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2022, Tempest Therapeutics, Inc. (the “Company”) issued a press release announcing its financial results for the second fiscal quarter ended June 30, 2022. A copy of the Company’s press release dated August 15, 2022, titled “Tempest Reports Second Quarter 2022 Financial Results and Provides Corporate Highlights” is attached hereto as Exhibit 99.1 and is incorporated herein by reference.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15, 2021</w:t>
            </w:r>
          </w:p>
        </w:tc>
      </w:tr>
      <w:tr>
        <w:trPr>
          <w:trHeight w:val="20"/>
        </w:trPr>
        <w:tc>
          <w:tcPr>
            <w:tcW w:w="134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534"/>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14"/>
        </w:trPr>
        <w:tc>
          <w:tcPr>
            <w:tcW w:w="1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47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w w:val="98"/>
              </w:rPr>
              <w:t>TEMPEST THERAPEUTICS, INC.</w:t>
            </w: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c>
          <w:tcPr>
            <w:tcW w:w="660" w:type="dxa"/>
            <w:vAlign w:val="bottom"/>
          </w:tcPr>
          <w:p>
            <w:pPr>
              <w:spacing w:after="0"/>
              <w:rPr>
                <w:sz w:val="24"/>
                <w:szCs w:val="24"/>
                <w:color w:val="auto"/>
              </w:rPr>
            </w:pPr>
          </w:p>
        </w:tc>
      </w:tr>
      <w:tr>
        <w:trPr>
          <w:trHeight w:val="304"/>
        </w:trPr>
        <w:tc>
          <w:tcPr>
            <w:tcW w:w="3600" w:type="dxa"/>
            <w:vAlign w:val="bottom"/>
          </w:tcPr>
          <w:p>
            <w:pPr>
              <w:spacing w:after="0"/>
              <w:rPr>
                <w:sz w:val="24"/>
                <w:szCs w:val="24"/>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Brady</w:t>
            </w:r>
          </w:p>
        </w:tc>
      </w:tr>
      <w:tr>
        <w:trPr>
          <w:trHeight w:val="256"/>
        </w:trPr>
        <w:tc>
          <w:tcPr>
            <w:tcW w:w="3600" w:type="dxa"/>
            <w:vAlign w:val="bottom"/>
          </w:tcPr>
          <w:p>
            <w:pPr>
              <w:spacing w:after="0"/>
              <w:rPr>
                <w:sz w:val="22"/>
                <w:szCs w:val="22"/>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320" w:top="765"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500380</wp:posOffset>
            </wp:positionV>
            <wp:extent cx="3171825"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7182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Tempest Reports Second Quarter 2022 Financial Results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Provides Business Update</w:t>
      </w:r>
    </w:p>
    <w:p>
      <w:pPr>
        <w:spacing w:after="0" w:line="26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South San Francisco, CA</w:t>
      </w:r>
      <w:r>
        <w:rPr>
          <w:rFonts w:ascii="Arial" w:cs="Arial" w:eastAsia="Arial" w:hAnsi="Arial"/>
          <w:sz w:val="22"/>
          <w:szCs w:val="22"/>
          <w:color w:val="auto"/>
        </w:rPr>
        <w:t>, August 15, 2022</w:t>
      </w:r>
      <w:r>
        <w:rPr>
          <w:rFonts w:ascii="Arial" w:cs="Arial" w:eastAsia="Arial" w:hAnsi="Arial"/>
          <w:sz w:val="22"/>
          <w:szCs w:val="22"/>
          <w:b w:val="1"/>
          <w:bCs w:val="1"/>
          <w:color w:val="auto"/>
        </w:rPr>
        <w:t xml:space="preserve"> – </w:t>
      </w:r>
      <w:r>
        <w:rPr>
          <w:rFonts w:ascii="Arial" w:cs="Arial" w:eastAsia="Arial" w:hAnsi="Arial"/>
          <w:sz w:val="22"/>
          <w:szCs w:val="22"/>
          <w:color w:val="auto"/>
        </w:rPr>
        <w:t>Tempest Therapeutics, Inc. (Nasdaq: TPST), a clinical-stage oncology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developing first-in-class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therapeutics that combine both targeted and immune-mediated mechanisms, today reported financial results for the quarter ended June 30, 2022 and provided a corporate update.</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22"/>
          <w:szCs w:val="22"/>
          <w:color w:val="auto"/>
        </w:rPr>
        <w:t>“In the second quarter, we presented promising trial results from TPST-1120, our novel PPARα antagonist, at the ASCO Annual Meeting. This was the first presentation of clinical data from a Tempest program: a significant milestone for the company that was enhanced by its selection for a podium presentation,” said Stephen R. Brady, chief executive officer of Tempest. “In addition to progress on our other programs, we closed a financing with support from both a new, top-tier investor and our founding investor that extended Tempest’s runway into the first quarter of 2024, providing additional stability during this turbulent time in the biotech capital markets.”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125" w:lineRule="exact"/>
        <w:rPr>
          <w:sz w:val="20"/>
          <w:szCs w:val="20"/>
          <w:color w:val="auto"/>
        </w:rPr>
      </w:pPr>
    </w:p>
    <w:p>
      <w:pPr>
        <w:jc w:val="both"/>
        <w:ind w:left="660" w:hanging="328"/>
        <w:spacing w:after="0" w:line="277"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(i) presented data from the monotherapy and combination therapy</w:t>
      </w:r>
      <w:r>
        <w:rPr>
          <w:rFonts w:ascii="Arial" w:cs="Arial" w:eastAsia="Arial" w:hAnsi="Arial"/>
          <w:sz w:val="22"/>
          <w:szCs w:val="22"/>
          <w:b w:val="1"/>
          <w:bCs w:val="1"/>
          <w:color w:val="auto"/>
        </w:rPr>
        <w:t xml:space="preserve"> </w:t>
      </w:r>
      <w:r>
        <w:rPr>
          <w:rFonts w:ascii="Arial" w:cs="Arial" w:eastAsia="Arial" w:hAnsi="Arial"/>
          <w:sz w:val="22"/>
          <w:szCs w:val="22"/>
          <w:color w:val="auto"/>
        </w:rPr>
        <w:t>arms of the TPST-1120 Phase 1 study in an oral presentation at the American Society of Clinical Oncology (ASCO) 2022 Annual Meeting; (ii) hosted a well-attended investor event at ASCO during which multiple key thought leaders discussed Tempest’s programs; and (iii) continued enrollment in a first-line, randomized global Phase 1b/2 study in patients with hepatocellular carcinoma (HCC), under a collaboration with F. Hoffmann La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8" w:lineRule="exact"/>
        <w:rPr>
          <w:sz w:val="20"/>
          <w:szCs w:val="20"/>
          <w:color w:val="auto"/>
        </w:rPr>
      </w:pPr>
    </w:p>
    <w:p>
      <w:pPr>
        <w:ind w:left="100" w:hanging="92"/>
        <w:spacing w:after="0"/>
        <w:tabs>
          <w:tab w:leader="none" w:pos="100" w:val="left"/>
        </w:tabs>
        <w:numPr>
          <w:ilvl w:val="0"/>
          <w:numId w:val="3"/>
        </w:numPr>
        <w:rPr>
          <w:rFonts w:ascii="Calibri" w:cs="Calibri" w:eastAsia="Calibri" w:hAnsi="Calibri"/>
          <w:sz w:val="23"/>
          <w:szCs w:val="23"/>
          <w:color w:val="auto"/>
          <w:vertAlign w:val="superscript"/>
        </w:rPr>
      </w:pPr>
      <w:r>
        <w:rPr>
          <w:rFonts w:ascii="Calibri" w:cs="Calibri" w:eastAsia="Calibri" w:hAnsi="Calibri"/>
          <w:sz w:val="18"/>
          <w:szCs w:val="18"/>
          <w:color w:val="auto"/>
        </w:rPr>
        <w:t>If approved by the FDA</w:t>
      </w:r>
    </w:p>
    <w:p>
      <w:pPr>
        <w:sectPr>
          <w:pgSz w:w="11900" w:h="16838" w:orient="portrait"/>
          <w:cols w:equalWidth="0" w:num="1">
            <w:col w:w="11240"/>
          </w:cols>
          <w:pgMar w:left="320" w:top="1440" w:right="339" w:bottom="1440" w:gutter="0" w:footer="0" w:header="0"/>
        </w:sectPr>
      </w:pPr>
    </w:p>
    <w:bookmarkStart w:id="4" w:name="page5"/>
    <w:bookmarkEnd w:id="4"/>
    <w:p>
      <w:pPr>
        <w:jc w:val="both"/>
        <w:ind w:left="660" w:hanging="328"/>
        <w:spacing w:after="0" w:line="292" w:lineRule="auto"/>
        <w:tabs>
          <w:tab w:leader="none" w:pos="655"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TPST-1495 </w:t>
      </w:r>
      <w:r>
        <w:rPr>
          <w:rFonts w:ascii="Arial" w:cs="Arial" w:eastAsia="Arial" w:hAnsi="Arial"/>
          <w:sz w:val="21"/>
          <w:szCs w:val="21"/>
          <w:color w:val="auto"/>
        </w:rPr>
        <w:t>(clinical dual EP2/4 prostaglandin receptor antagonist): (i) continued enrollment in a Phase 1 study</w:t>
      </w:r>
      <w:r>
        <w:rPr>
          <w:rFonts w:ascii="Arial" w:cs="Arial" w:eastAsia="Arial" w:hAnsi="Arial"/>
          <w:sz w:val="21"/>
          <w:szCs w:val="21"/>
          <w:b w:val="1"/>
          <w:bCs w:val="1"/>
          <w:color w:val="auto"/>
        </w:rPr>
        <w:t xml:space="preserve"> </w:t>
      </w:r>
      <w:r>
        <w:rPr>
          <w:rFonts w:ascii="Arial" w:cs="Arial" w:eastAsia="Arial" w:hAnsi="Arial"/>
          <w:sz w:val="21"/>
          <w:szCs w:val="21"/>
          <w:color w:val="auto"/>
        </w:rPr>
        <w:t>evaluating both monotherapy and combination (with anti-PD-1 checkpoint inhibitor, pembrolizumab) dose and schedule optimization arms, towards establishing an RP2D; (ii) presented a “trials in progress” poster for the ongoing TPST-1495 Phase 1 monotherapy and combination therapy clinical trial at ASCO; and (iii) presented preclinical data further differentiating TPST-1495 from other approaches targeting the prostaglandin E2 (PGE2) pathway at the American Association for Cancer Research (AACR) 2022 Annual Meeting.</w:t>
      </w:r>
    </w:p>
    <w:p>
      <w:pPr>
        <w:spacing w:after="0" w:line="58" w:lineRule="exact"/>
        <w:rPr>
          <w:rFonts w:ascii="Times New Roman" w:cs="Times New Roman" w:eastAsia="Times New Roman" w:hAnsi="Times New Roman"/>
          <w:sz w:val="21"/>
          <w:szCs w:val="21"/>
          <w:color w:val="auto"/>
        </w:rPr>
      </w:pPr>
    </w:p>
    <w:p>
      <w:pPr>
        <w:jc w:val="both"/>
        <w:ind w:left="660" w:hanging="328"/>
        <w:spacing w:after="0" w:line="290"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TREX-1 Inhibitor </w:t>
      </w:r>
      <w:r>
        <w:rPr>
          <w:rFonts w:ascii="Arial" w:cs="Arial" w:eastAsia="Arial" w:hAnsi="Arial"/>
          <w:sz w:val="22"/>
          <w:szCs w:val="22"/>
          <w:color w:val="auto"/>
        </w:rPr>
        <w:t>(preclinical tumor-selective STING pathway activator): presented the first data with</w:t>
      </w:r>
      <w:r>
        <w:rPr>
          <w:rFonts w:ascii="Arial" w:cs="Arial" w:eastAsia="Arial" w:hAnsi="Arial"/>
          <w:sz w:val="22"/>
          <w:szCs w:val="22"/>
          <w:b w:val="1"/>
          <w:bCs w:val="1"/>
          <w:color w:val="auto"/>
        </w:rPr>
        <w:t xml:space="preserve"> </w:t>
      </w:r>
      <w:r>
        <w:rPr>
          <w:rFonts w:ascii="Arial" w:cs="Arial" w:eastAsia="Arial" w:hAnsi="Arial"/>
          <w:sz w:val="22"/>
          <w:szCs w:val="22"/>
          <w:color w:val="auto"/>
        </w:rPr>
        <w:t>proprietary targeted molecules demonstrating therapeutic benefit in tumor-bearing mice at the AACR 2022 Annual Meeting.</w:t>
      </w:r>
    </w:p>
    <w:p>
      <w:pPr>
        <w:spacing w:after="0" w:line="53" w:lineRule="exact"/>
        <w:rPr>
          <w:rFonts w:ascii="Times New Roman" w:cs="Times New Roman" w:eastAsia="Times New Roman" w:hAnsi="Times New Roman"/>
          <w:sz w:val="22"/>
          <w:szCs w:val="22"/>
          <w:color w:val="auto"/>
        </w:rPr>
      </w:pPr>
    </w:p>
    <w:p>
      <w:pPr>
        <w:ind w:left="660" w:hanging="328"/>
        <w:spacing w:after="0" w:line="298"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Financing: </w:t>
      </w:r>
      <w:r>
        <w:rPr>
          <w:rFonts w:ascii="Arial" w:cs="Arial" w:eastAsia="Arial" w:hAnsi="Arial"/>
          <w:sz w:val="22"/>
          <w:szCs w:val="22"/>
          <w:color w:val="auto"/>
        </w:rPr>
        <w:t>closed $15 million private investment in public equity (PIPE) financing with new investor, EcoR1</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and founding investor, Versant Venture Capital.</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Planned Near-Term Milestones</w:t>
      </w:r>
    </w:p>
    <w:p>
      <w:pPr>
        <w:spacing w:after="0" w:line="125" w:lineRule="exact"/>
        <w:rPr>
          <w:sz w:val="20"/>
          <w:szCs w:val="20"/>
          <w:color w:val="auto"/>
        </w:rPr>
      </w:pPr>
    </w:p>
    <w:p>
      <w:pPr>
        <w:jc w:val="both"/>
        <w:ind w:left="660" w:hanging="328"/>
        <w:spacing w:after="0" w:line="283"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early data from the first 40 patients in the first-line randomized global</w:t>
      </w:r>
      <w:r>
        <w:rPr>
          <w:rFonts w:ascii="Arial" w:cs="Arial" w:eastAsia="Arial" w:hAnsi="Arial"/>
          <w:sz w:val="22"/>
          <w:szCs w:val="22"/>
          <w:b w:val="1"/>
          <w:bCs w:val="1"/>
          <w:color w:val="auto"/>
        </w:rPr>
        <w:t xml:space="preserve"> </w:t>
      </w:r>
      <w:r>
        <w:rPr>
          <w:rFonts w:ascii="Arial" w:cs="Arial" w:eastAsia="Arial" w:hAnsi="Arial"/>
          <w:sz w:val="22"/>
          <w:szCs w:val="22"/>
          <w:color w:val="auto"/>
        </w:rPr>
        <w:t>Phase 1b/2 study in patients with HCC under a collaboration with F. Hoffmann La Roche expected by year end or early 2023.</w:t>
      </w:r>
    </w:p>
    <w:p>
      <w:pPr>
        <w:spacing w:after="0" w:line="62" w:lineRule="exact"/>
        <w:rPr>
          <w:rFonts w:ascii="Times New Roman" w:cs="Times New Roman" w:eastAsia="Times New Roman" w:hAnsi="Times New Roman"/>
          <w:sz w:val="22"/>
          <w:szCs w:val="22"/>
          <w:color w:val="auto"/>
        </w:rPr>
      </w:pPr>
    </w:p>
    <w:p>
      <w:pPr>
        <w:jc w:val="both"/>
        <w:ind w:left="660" w:hanging="328"/>
        <w:spacing w:after="0" w:line="290"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 data from Phase 1 monotherapy and</w:t>
      </w:r>
      <w:r>
        <w:rPr>
          <w:rFonts w:ascii="Arial" w:cs="Arial" w:eastAsia="Arial" w:hAnsi="Arial"/>
          <w:sz w:val="22"/>
          <w:szCs w:val="22"/>
          <w:b w:val="1"/>
          <w:bCs w:val="1"/>
          <w:color w:val="auto"/>
        </w:rPr>
        <w:t xml:space="preserve"> </w:t>
      </w:r>
      <w:r>
        <w:rPr>
          <w:rFonts w:ascii="Arial" w:cs="Arial" w:eastAsia="Arial" w:hAnsi="Arial"/>
          <w:sz w:val="22"/>
          <w:szCs w:val="22"/>
          <w:color w:val="auto"/>
        </w:rPr>
        <w:t>combination dose and schedule optimization arms expected by year end or early 2023, with planned presentation of the combined data in 2023.</w:t>
      </w:r>
    </w:p>
    <w:p>
      <w:pPr>
        <w:spacing w:after="0" w:line="53" w:lineRule="exact"/>
        <w:rPr>
          <w:rFonts w:ascii="Times New Roman" w:cs="Times New Roman" w:eastAsia="Times New Roman" w:hAnsi="Times New Roman"/>
          <w:sz w:val="22"/>
          <w:szCs w:val="22"/>
          <w:color w:val="auto"/>
        </w:rPr>
      </w:pPr>
    </w:p>
    <w:p>
      <w:pPr>
        <w:ind w:left="660" w:hanging="328"/>
        <w:spacing w:after="0" w:line="298"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TREX-1 Inhibitor </w:t>
      </w:r>
      <w:r>
        <w:rPr>
          <w:rFonts w:ascii="Arial" w:cs="Arial" w:eastAsia="Arial" w:hAnsi="Arial"/>
          <w:sz w:val="22"/>
          <w:szCs w:val="22"/>
          <w:color w:val="auto"/>
        </w:rPr>
        <w:t>(preclinical tumor-selective STING pathway activator): planned selection of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candidate in the second half of 2022.</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w:t>
      </w:r>
    </w:p>
    <w:p>
      <w:pPr>
        <w:spacing w:after="0" w:line="31" w:lineRule="exact"/>
        <w:rPr>
          <w:sz w:val="20"/>
          <w:szCs w:val="20"/>
          <w:color w:val="auto"/>
        </w:rPr>
      </w:pPr>
    </w:p>
    <w:p>
      <w:pPr>
        <w:jc w:val="both"/>
        <w:ind w:left="660" w:hanging="328"/>
        <w:spacing w:after="0" w:line="282"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Tempest ended the second quarter of 2022 with $51.6 million in cash and cash equivalents, compared to $51.8 million at December 31, 2021. The decrease was primarily due to cash used in operations of $15.5 million offset by proceeds from the PIPE financing of $14.5 million (net of issuance costs).</w:t>
      </w:r>
    </w:p>
    <w:p>
      <w:pPr>
        <w:spacing w:after="0" w:line="79" w:lineRule="exact"/>
        <w:rPr>
          <w:rFonts w:ascii="Times New Roman" w:cs="Times New Roman" w:eastAsia="Times New Roman" w:hAnsi="Times New Roman"/>
          <w:sz w:val="22"/>
          <w:szCs w:val="22"/>
          <w:color w:val="auto"/>
        </w:rPr>
      </w:pPr>
    </w:p>
    <w:p>
      <w:pPr>
        <w:ind w:left="660" w:hanging="328"/>
        <w:spacing w:after="0" w:line="29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second quarter of 2022 were $9.2 million and $0.79, respectively, compared to $7.1 million and $7.63, respectively, for the second quarter of 2021.</w:t>
      </w:r>
    </w:p>
    <w:p>
      <w:pPr>
        <w:spacing w:after="0" w:line="47" w:lineRule="exact"/>
        <w:rPr>
          <w:rFonts w:ascii="Times New Roman" w:cs="Times New Roman" w:eastAsia="Times New Roman" w:hAnsi="Times New Roman"/>
          <w:sz w:val="22"/>
          <w:szCs w:val="22"/>
          <w:color w:val="auto"/>
        </w:rPr>
      </w:pPr>
    </w:p>
    <w:p>
      <w:pPr>
        <w:jc w:val="both"/>
        <w:ind w:left="660" w:hanging="328"/>
        <w:spacing w:after="0" w:line="308" w:lineRule="auto"/>
        <w:tabs>
          <w:tab w:leader="none" w:pos="655" w:val="left"/>
        </w:tabs>
        <w:numPr>
          <w:ilvl w:val="0"/>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Research and development expenses for the second quarter of 2022 were $5.7 million compared to $4.2 million for the same period in 2021. The $1.5 million increase was primarily attributable to expanded research and development efforts and higher compensation expenses due to an increase in employee headcount.</w:t>
      </w:r>
    </w:p>
    <w:p>
      <w:pPr>
        <w:spacing w:after="0" w:line="41" w:lineRule="exact"/>
        <w:rPr>
          <w:rFonts w:ascii="Times New Roman" w:cs="Times New Roman" w:eastAsia="Times New Roman" w:hAnsi="Times New Roman"/>
          <w:sz w:val="21"/>
          <w:szCs w:val="21"/>
          <w:color w:val="auto"/>
        </w:rPr>
      </w:pPr>
    </w:p>
    <w:p>
      <w:pPr>
        <w:ind w:left="660" w:right="20" w:hanging="328"/>
        <w:spacing w:after="0" w:line="29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for the second quarter of 2022 were $3.1 million compared to $2.6 million for the same period in 2021. The increase of</w:t>
      </w:r>
    </w:p>
    <w:p>
      <w:pPr>
        <w:sectPr>
          <w:pgSz w:w="11900" w:h="16838" w:orient="portrait"/>
          <w:cols w:equalWidth="0" w:num="1">
            <w:col w:w="11240"/>
          </w:cols>
          <w:pgMar w:left="320" w:top="881" w:right="339" w:bottom="1440" w:gutter="0" w:footer="0" w:header="0"/>
        </w:sectPr>
      </w:pPr>
    </w:p>
    <w:bookmarkStart w:id="5" w:name="page6"/>
    <w:bookmarkEnd w:id="5"/>
    <w:p>
      <w:pPr>
        <w:ind w:left="660"/>
        <w:spacing w:after="0" w:line="297" w:lineRule="auto"/>
        <w:rPr>
          <w:sz w:val="20"/>
          <w:szCs w:val="20"/>
          <w:color w:val="auto"/>
        </w:rPr>
      </w:pPr>
      <w:r>
        <w:rPr>
          <w:rFonts w:ascii="Arial" w:cs="Arial" w:eastAsia="Arial" w:hAnsi="Arial"/>
          <w:sz w:val="22"/>
          <w:szCs w:val="22"/>
          <w:color w:val="auto"/>
        </w:rPr>
        <w:t>$0.5 million was primarily due to higher professional and consulting fees and insurance expense as a result of operating as a publicly-traded company.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Year-to-Date</w:t>
      </w:r>
    </w:p>
    <w:p>
      <w:pPr>
        <w:spacing w:after="0" w:line="3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Net cash used in operations for the six months ended June 30, 2022 was $15.5 million.</w:t>
      </w:r>
    </w:p>
    <w:p>
      <w:pPr>
        <w:spacing w:after="0" w:line="137" w:lineRule="exact"/>
        <w:rPr>
          <w:rFonts w:ascii="Times New Roman" w:cs="Times New Roman" w:eastAsia="Times New Roman" w:hAnsi="Times New Roman"/>
          <w:sz w:val="22"/>
          <w:szCs w:val="22"/>
          <w:color w:val="auto"/>
        </w:rPr>
      </w:pPr>
    </w:p>
    <w:p>
      <w:pPr>
        <w:ind w:left="660" w:right="20" w:hanging="328"/>
        <w:spacing w:after="0" w:line="297"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six months ended June 30, 2022 were $17.7 million and $1.88, respectively, compared to $12.4 million and $17.30, respectively, for the same period in 2021.</w:t>
      </w:r>
    </w:p>
    <w:p>
      <w:pPr>
        <w:spacing w:after="0" w:line="61" w:lineRule="exact"/>
        <w:rPr>
          <w:rFonts w:ascii="Times New Roman" w:cs="Times New Roman" w:eastAsia="Times New Roman" w:hAnsi="Times New Roman"/>
          <w:sz w:val="22"/>
          <w:szCs w:val="22"/>
          <w:color w:val="auto"/>
        </w:rPr>
      </w:pPr>
    </w:p>
    <w:p>
      <w:pPr>
        <w:jc w:val="both"/>
        <w:ind w:left="660" w:hanging="328"/>
        <w:spacing w:after="0" w:line="282"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for the six months ended June 30, 2022 were $10.8 million compared to $7.8 million for the same period in 2021. The $3.0 million increase was primarily due to expanded research and development efforts and higher personnel-related costs.</w:t>
      </w:r>
    </w:p>
    <w:p>
      <w:pPr>
        <w:spacing w:after="0" w:line="65" w:lineRule="exact"/>
        <w:rPr>
          <w:rFonts w:ascii="Times New Roman" w:cs="Times New Roman" w:eastAsia="Times New Roman" w:hAnsi="Times New Roman"/>
          <w:sz w:val="22"/>
          <w:szCs w:val="22"/>
          <w:color w:val="auto"/>
        </w:rPr>
      </w:pPr>
    </w:p>
    <w:p>
      <w:pPr>
        <w:jc w:val="both"/>
        <w:ind w:left="660" w:hanging="328"/>
        <w:spacing w:after="0" w:line="282"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For the six months ended June 30, 2022, general and administrative expenses were $6.2 million compared to $4.1 million for the same period in 2021. The increase of $2.1 million was primarily due to an increase in professional and consulting fees and higher insurance expense as a result of operating as a publicly-traded company.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Tempest Therapeutics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Tempest </w:t>
      </w:r>
      <w:r>
        <w:rPr>
          <w:rFonts w:ascii="Arial" w:cs="Arial" w:eastAsia="Arial" w:hAnsi="Arial"/>
          <w:sz w:val="22"/>
          <w:szCs w:val="22"/>
          <w:color w:val="auto"/>
          <w:highlight w:val="white"/>
        </w:rPr>
        <w:t xml:space="preserve">Therapeutics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both agents as monotherapies and in combination with other approved agents. Tempest is also developing an orally-available inhibitor of TREX-1, a DNA repair enzyme that controls activation of the cGAS/STING pathway, an innate immune response pathway important for the development of anti-tumor immunity. </w:t>
      </w:r>
      <w:r>
        <w:rPr>
          <w:rFonts w:ascii="Arial" w:cs="Arial" w:eastAsia="Arial" w:hAnsi="Arial"/>
          <w:sz w:val="22"/>
          <w:szCs w:val="22"/>
          <w:color w:val="auto"/>
        </w:rPr>
        <w:t>Tempest is headquartered in South San Francisco. More information about</w:t>
      </w:r>
      <w:r>
        <w:rPr>
          <w:rFonts w:ascii="Arial" w:cs="Arial" w:eastAsia="Arial" w:hAnsi="Arial"/>
          <w:sz w:val="22"/>
          <w:szCs w:val="22"/>
          <w:color w:val="auto"/>
          <w:highlight w:val="white"/>
        </w:rPr>
        <w:t xml:space="preserve"> </w:t>
      </w:r>
      <w:r>
        <w:rPr>
          <w:rFonts w:ascii="Arial" w:cs="Arial" w:eastAsia="Arial" w:hAnsi="Arial"/>
          <w:sz w:val="22"/>
          <w:szCs w:val="22"/>
          <w:color w:val="auto"/>
        </w:rPr>
        <w:t xml:space="preserve">Tempest can be found on the company’s website at </w:t>
      </w:r>
      <w:r>
        <w:rPr>
          <w:rFonts w:ascii="Arial" w:cs="Arial" w:eastAsia="Arial" w:hAnsi="Arial"/>
          <w:sz w:val="22"/>
          <w:szCs w:val="22"/>
          <w:u w:val="single" w:color="auto"/>
          <w:color w:val="0563C1"/>
        </w:rPr>
        <w:t>www.tempesttx.com</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w:t>
      </w:r>
    </w:p>
    <w:p>
      <w:pPr>
        <w:sectPr>
          <w:pgSz w:w="11900" w:h="16838" w:orient="portrait"/>
          <w:cols w:equalWidth="0" w:num="1">
            <w:col w:w="11240"/>
          </w:cols>
          <w:pgMar w:left="320" w:top="788" w:right="339" w:bottom="1440" w:gutter="0" w:footer="0" w:header="0"/>
        </w:sectPr>
      </w:pPr>
    </w:p>
    <w:bookmarkStart w:id="6" w:name="page7"/>
    <w:bookmarkEnd w:id="6"/>
    <w:p>
      <w:pPr>
        <w:jc w:val="both"/>
        <w:spacing w:after="0" w:line="274" w:lineRule="auto"/>
        <w:rPr>
          <w:sz w:val="20"/>
          <w:szCs w:val="20"/>
          <w:color w:val="auto"/>
        </w:rPr>
      </w:pPr>
      <w:r>
        <w:rPr>
          <w:rFonts w:ascii="Arial" w:cs="Arial" w:eastAsia="Arial" w:hAnsi="Arial"/>
          <w:sz w:val="22"/>
          <w:szCs w:val="22"/>
          <w:color w:val="auto"/>
        </w:rPr>
        <w:t>other similar expressions. All statements that are not historical facts are forward-looking statements, including any statements regarding the timing and selection of development candidates, dose selection or commencement of, or availability of data from, clinical trials, the company’s guidance regarding cash resources, as well as our operational plans and the timing and ability to deliver on value-creating milestones.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10-Q filed by Tempest Therapeutics with the Securities and Exchange Commission on August 15, 2022.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ectPr>
          <w:pgSz w:w="11900" w:h="16838" w:orient="portrait"/>
          <w:cols w:equalWidth="0" w:num="1">
            <w:col w:w="11240"/>
          </w:cols>
          <w:pgMar w:left="320" w:top="788" w:right="339" w:bottom="1440" w:gutter="0" w:footer="0" w:header="0"/>
        </w:sectPr>
      </w:pPr>
    </w:p>
    <w:bookmarkStart w:id="7" w:name="page8"/>
    <w:bookmarkEnd w:id="7"/>
    <w:p>
      <w:pPr>
        <w:jc w:val="both"/>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500380</wp:posOffset>
            </wp:positionV>
            <wp:extent cx="5340350" cy="7406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0350" cy="7406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500380</wp:posOffset>
            </wp:positionV>
            <wp:extent cx="6858000" cy="3429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204" w:lineRule="auto"/>
        <w:rPr>
          <w:sz w:val="20"/>
          <w:szCs w:val="20"/>
          <w:color w:val="auto"/>
        </w:rPr>
      </w:pPr>
      <w:r>
        <w:rPr>
          <w:rFonts w:ascii="Arial" w:cs="Arial" w:eastAsia="Arial" w:hAnsi="Arial"/>
          <w:sz w:val="22"/>
          <w:szCs w:val="22"/>
          <w:color w:val="auto"/>
        </w:rPr>
        <w:t>Sylvia Wheeler</w:t>
      </w:r>
    </w:p>
    <w:p>
      <w:pPr>
        <w:spacing w:after="0" w:line="215" w:lineRule="auto"/>
        <w:rPr>
          <w:sz w:val="20"/>
          <w:szCs w:val="20"/>
          <w:color w:val="auto"/>
        </w:rPr>
      </w:pPr>
      <w:r>
        <w:rPr>
          <w:rFonts w:ascii="Arial" w:cs="Arial" w:eastAsia="Arial" w:hAnsi="Arial"/>
          <w:sz w:val="21"/>
          <w:szCs w:val="21"/>
          <w:color w:val="auto"/>
        </w:rPr>
        <w:t>Wheelhouse Life Science Advisors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swheeler@wheelhouselsa.com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Aljanae Reynolds</w:t>
      </w:r>
    </w:p>
    <w:p>
      <w:pPr>
        <w:spacing w:after="0" w:line="214" w:lineRule="auto"/>
        <w:rPr>
          <w:sz w:val="20"/>
          <w:szCs w:val="20"/>
          <w:color w:val="auto"/>
        </w:rPr>
      </w:pPr>
      <w:r>
        <w:rPr>
          <w:rFonts w:ascii="Arial" w:cs="Arial" w:eastAsia="Arial" w:hAnsi="Arial"/>
          <w:sz w:val="21"/>
          <w:szCs w:val="21"/>
          <w:color w:val="auto"/>
        </w:rPr>
        <w:t>Wheelhouse Life Science Advisors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areynolds@wheelhouselsa.com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2022-08-15T07:11:52Z</dcterms:created>
  <dcterms:modified xsi:type="dcterms:W3CDTF">2022-08-15T07:11:52Z</dcterms:modified>
</cp:coreProperties>
</file>