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7046595" cy="487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08"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Maestas Nicholas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340"/>
        <w:spacing w:after="0" w:line="379" w:lineRule="auto"/>
        <w:rPr>
          <w:sz w:val="20"/>
          <w:szCs w:val="20"/>
          <w:color w:val="auto"/>
        </w:rPr>
      </w:pPr>
      <w:r>
        <w:rPr>
          <w:rFonts w:ascii="Times New Roman" w:cs="Times New Roman" w:eastAsia="Times New Roman" w:hAnsi="Times New Roman"/>
          <w:sz w:val="16"/>
          <w:szCs w:val="16"/>
          <w:color w:val="0000FF"/>
        </w:rPr>
        <w:t>TEMPEST THERAPEUTICS, INC. 7000 SHORELINE COURT, SUITE 275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0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Tempest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TPST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06/21/2022</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0" w:type="dxa"/>
        <w:tblCellMar>
          <w:top w:w="0" w:type="dxa"/>
          <w:left w:w="0" w:type="dxa"/>
          <w:bottom w:w="0" w:type="dxa"/>
          <w:right w:w="0" w:type="dxa"/>
        </w:tblCellMar>
      </w:tblPr>
      <w:tr>
        <w:trPr>
          <w:trHeight w:val="169"/>
        </w:trPr>
        <w:tc>
          <w:tcPr>
            <w:tcW w:w="220" w:type="dxa"/>
            <w:vAlign w:val="bottom"/>
          </w:tcPr>
          <w:p>
            <w:pPr>
              <w:spacing w:after="0"/>
              <w:rPr>
                <w:sz w:val="14"/>
                <w:szCs w:val="14"/>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7"/>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7"/>
          <w:szCs w:val="17"/>
          <w:color w:val="0000FF"/>
        </w:rPr>
        <w:t>VP of Strategy and Finance</w:t>
      </w:r>
    </w:p>
    <w:p>
      <w:pPr>
        <w:spacing w:after="0" w:line="539"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129"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SOUTH SAN</w:t>
            </w:r>
          </w:p>
        </w:tc>
        <w:tc>
          <w:tcPr>
            <w:tcW w:w="9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94080</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1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96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0" w:lineRule="auto"/>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82" w:lineRule="exact"/>
        <w:rPr>
          <w:sz w:val="24"/>
          <w:szCs w:val="24"/>
          <w:color w:val="auto"/>
        </w:rPr>
      </w:pPr>
    </w:p>
    <w:p>
      <w:pPr>
        <w:sectPr>
          <w:pgSz w:w="11900" w:h="16838" w:orient="portrait"/>
          <w:cols w:equalWidth="0" w:num="2">
            <w:col w:w="3760" w:space="160"/>
            <w:col w:w="716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2.35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06/21/2022</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51,270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06/20/2032</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51,270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51,270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over four (4) years, with one-fourth (1/4) of the award vesting on the first anniversary of the date of grant and the remainder of the award vesting in equal monthly installments thereafter, subject to the reporting person's continuous service through each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Pierre Lorenzo, Attorney-in- </w:t>
      </w:r>
      <w:r>
        <w:rPr>
          <w:rFonts w:ascii="Times New Roman" w:cs="Times New Roman" w:eastAsia="Times New Roman" w:hAnsi="Times New Roman"/>
          <w:sz w:val="32"/>
          <w:szCs w:val="32"/>
          <w:color w:val="0000FF"/>
          <w:vertAlign w:val="subscript"/>
        </w:rPr>
        <w:t>06/22/2022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Nicholas Maestas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144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1423" TargetMode="External"/><Relationship Id="rId13" Type="http://schemas.openxmlformats.org/officeDocument/2006/relationships/hyperlink" Target="http://www.sec.gov/cgi-bin/browse-edgar?action=getcompany&amp;CIK=0001544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2022-06-22T15:39:08Z</dcterms:created>
  <dcterms:modified xsi:type="dcterms:W3CDTF">2022-06-22T15:39:08Z</dcterms:modified>
</cp:coreProperties>
</file>