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873142ds3a.htm"/>
      <w:bookmarkStart w:id="1" w:name="ksd873142ds3a"/>
      <w:bookmarkEnd w:id="0"/>
      <w:bookmarkEnd w:id="1"/>
      <w:r>
        <w:rPr>
          <w:rFonts w:ascii="Times New Roman" w:hAnsi="Times New Roman"/>
          <w:b/>
          <w:sz w:val="20"/>
        </w:rPr>
        <w:t xml:space="preserve">As filed with the Securities and Exchange Commission on January 24, 2025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333-280918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4"/>
        </w:rPr>
      </w:pPr>
      <w:r>
        <w:rPr>
          <w:rFonts w:ascii="Times New Roman" w:hAnsi="Times New Roman"/>
          <w:b/>
          <w:sz w:val="34"/>
        </w:rPr>
        <w:t xml:space="preserve">UNITED STATES </w:t>
      </w:r>
    </w:p>
    <w:p>
      <w:pPr>
        <w:pStyle w:val="TextBody"/>
        <w:bidi w:val="0"/>
        <w:spacing w:before="0" w:after="0"/>
        <w:jc w:val="center"/>
        <w:rPr>
          <w:rFonts w:ascii="Times New Roman" w:hAnsi="Times New Roman"/>
          <w:b/>
          <w:sz w:val="34"/>
        </w:rPr>
      </w:pPr>
      <w:r>
        <w:rPr>
          <w:rFonts w:ascii="Times New Roman" w:hAnsi="Times New Roman"/>
          <w:b/>
          <w:sz w:val="34"/>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4"/>
        </w:rPr>
      </w:pPr>
      <w:r>
        <w:rPr>
          <w:rFonts w:ascii="Times New Roman" w:hAnsi="Times New Roman"/>
          <w:b/>
          <w:sz w:val="34"/>
        </w:rPr>
        <w:t xml:space="preserve">Pre-Effective Amendment No. 1 </w:t>
      </w:r>
    </w:p>
    <w:p>
      <w:pPr>
        <w:pStyle w:val="TextBody"/>
        <w:bidi w:val="0"/>
        <w:spacing w:before="0" w:after="0"/>
        <w:jc w:val="center"/>
        <w:rPr>
          <w:rFonts w:ascii="Times New Roman" w:hAnsi="Times New Roman"/>
          <w:b/>
          <w:sz w:val="34"/>
        </w:rPr>
      </w:pPr>
      <w:r>
        <w:rPr>
          <w:rFonts w:ascii="Times New Roman" w:hAnsi="Times New Roman"/>
          <w:b/>
          <w:sz w:val="34"/>
        </w:rPr>
        <w:t xml:space="preserve">to </w:t>
      </w:r>
    </w:p>
    <w:p>
      <w:pPr>
        <w:pStyle w:val="TextBody"/>
        <w:bidi w:val="0"/>
        <w:spacing w:before="0" w:after="0"/>
        <w:jc w:val="center"/>
        <w:rPr>
          <w:rFonts w:ascii="Times New Roman" w:hAnsi="Times New Roman"/>
          <w:b/>
          <w:sz w:val="34"/>
        </w:rPr>
      </w:pPr>
      <w:r>
        <w:rPr>
          <w:rFonts w:ascii="Times New Roman" w:hAnsi="Times New Roman"/>
          <w:b/>
          <w:sz w:val="34"/>
        </w:rPr>
        <w:t xml:space="preserve">FORM S-3 </w:t>
      </w:r>
    </w:p>
    <w:p>
      <w:pPr>
        <w:pStyle w:val="TextBody"/>
        <w:bidi w:val="0"/>
        <w:spacing w:before="0" w:after="0"/>
        <w:jc w:val="center"/>
        <w:rPr>
          <w:rFonts w:ascii="Times New Roman" w:hAnsi="Times New Roman"/>
          <w:b/>
          <w:sz w:val="34"/>
        </w:rPr>
      </w:pPr>
      <w:r>
        <w:rPr>
          <w:rFonts w:ascii="Times New Roman" w:hAnsi="Times New Roman"/>
          <w:b/>
          <w:sz w:val="34"/>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46"/>
        </w:rPr>
      </w:pPr>
      <w:r>
        <w:rPr>
          <w:rFonts w:ascii="Times New Roman" w:hAnsi="Times New Roman"/>
          <w:b/>
          <w:sz w:val="46"/>
        </w:rPr>
        <w:t xml:space="preserve">TEMPEST THERAPEUTICS,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45-1472564</w:t>
            </w:r>
          </w:p>
        </w:tc>
      </w:tr>
      <w:tr>
        <w:trPr/>
        <w:tc>
          <w:tcPr>
            <w:tcW w:w="5154" w:type="dxa"/>
            <w:tcBorders/>
          </w:tcPr>
          <w:p>
            <w:pPr>
              <w:pStyle w:val="TableContents"/>
              <w:bidi w:val="0"/>
              <w:spacing w:before="0" w:after="283"/>
              <w:jc w:val="center"/>
              <w:rPr>
                <w:b/>
              </w:rPr>
            </w:pPr>
            <w:r>
              <w:rPr>
                <w:b/>
              </w:rPr>
              <w:t>(State or other jurisdiction of 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 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2000 Sierra Point Parkway, Suite 400 </w:t>
      </w:r>
    </w:p>
    <w:p>
      <w:pPr>
        <w:pStyle w:val="TextBody"/>
        <w:bidi w:val="0"/>
        <w:spacing w:before="0" w:after="0"/>
        <w:jc w:val="center"/>
        <w:rPr>
          <w:rFonts w:ascii="Times New Roman" w:hAnsi="Times New Roman"/>
          <w:b/>
          <w:sz w:val="18"/>
        </w:rPr>
      </w:pPr>
      <w:r>
        <w:rPr>
          <w:rFonts w:ascii="Times New Roman" w:hAnsi="Times New Roman"/>
          <w:b/>
          <w:sz w:val="18"/>
        </w:rPr>
        <w:t xml:space="preserve">Brisbane, California, 94005 </w:t>
      </w:r>
    </w:p>
    <w:p>
      <w:pPr>
        <w:pStyle w:val="TextBody"/>
        <w:bidi w:val="0"/>
        <w:spacing w:before="0" w:after="0"/>
        <w:jc w:val="center"/>
        <w:rPr>
          <w:rFonts w:ascii="Times New Roman" w:hAnsi="Times New Roman"/>
          <w:b/>
          <w:sz w:val="18"/>
        </w:rPr>
      </w:pPr>
      <w:r>
        <w:rPr>
          <w:rFonts w:ascii="Times New Roman" w:hAnsi="Times New Roman"/>
          <w:b/>
          <w:sz w:val="18"/>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Stephen Brady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2000 Sierra Point Parkway, Suite 400 </w:t>
      </w:r>
    </w:p>
    <w:p>
      <w:pPr>
        <w:pStyle w:val="TextBody"/>
        <w:bidi w:val="0"/>
        <w:spacing w:before="0" w:after="0"/>
        <w:jc w:val="center"/>
        <w:rPr>
          <w:rFonts w:ascii="Times New Roman" w:hAnsi="Times New Roman"/>
          <w:b/>
          <w:sz w:val="18"/>
        </w:rPr>
      </w:pPr>
      <w:r>
        <w:rPr>
          <w:rFonts w:ascii="Times New Roman" w:hAnsi="Times New Roman"/>
          <w:b/>
          <w:sz w:val="18"/>
        </w:rPr>
        <w:t xml:space="preserve">Brisbane, California, 94005 </w:t>
      </w:r>
    </w:p>
    <w:p>
      <w:pPr>
        <w:pStyle w:val="TextBody"/>
        <w:bidi w:val="0"/>
        <w:spacing w:before="0" w:after="0"/>
        <w:jc w:val="center"/>
        <w:rPr>
          <w:rFonts w:ascii="Times New Roman" w:hAnsi="Times New Roman"/>
          <w:b/>
          <w:sz w:val="18"/>
        </w:rPr>
      </w:pPr>
      <w:r>
        <w:rPr>
          <w:rFonts w:ascii="Times New Roman" w:hAnsi="Times New Roman"/>
          <w:b/>
          <w:sz w:val="18"/>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120" w:after="0"/>
        <w:jc w:val="center"/>
        <w:rPr>
          <w:rFonts w:ascii="Times New Roman" w:hAnsi="Times New Roman"/>
          <w:b/>
          <w:sz w:val="18"/>
        </w:rPr>
      </w:pPr>
      <w:r>
        <w:rPr>
          <w:rFonts w:ascii="Times New Roman" w:hAnsi="Times New Roman"/>
          <w:b/>
          <w:sz w:val="18"/>
        </w:rPr>
        <w:t xml:space="preserve">Laura Berezin </w:t>
      </w:r>
    </w:p>
    <w:p>
      <w:pPr>
        <w:pStyle w:val="TextBody"/>
        <w:bidi w:val="0"/>
        <w:spacing w:before="0" w:after="0"/>
        <w:jc w:val="center"/>
        <w:rPr>
          <w:rFonts w:ascii="Times New Roman" w:hAnsi="Times New Roman"/>
          <w:b/>
          <w:sz w:val="18"/>
        </w:rPr>
      </w:pPr>
      <w:r>
        <w:rPr>
          <w:rFonts w:ascii="Times New Roman" w:hAnsi="Times New Roman"/>
          <w:b/>
          <w:sz w:val="18"/>
        </w:rPr>
        <w:t xml:space="preserve">Jaime Chase </w:t>
      </w:r>
    </w:p>
    <w:p>
      <w:pPr>
        <w:pStyle w:val="TextBody"/>
        <w:bidi w:val="0"/>
        <w:spacing w:before="0" w:after="0"/>
        <w:jc w:val="center"/>
        <w:rPr>
          <w:rFonts w:ascii="Times New Roman" w:hAnsi="Times New Roman"/>
          <w:b/>
          <w:sz w:val="18"/>
        </w:rPr>
      </w:pPr>
      <w:r>
        <w:rPr>
          <w:rFonts w:ascii="Times New Roman" w:hAnsi="Times New Roman"/>
          <w:b/>
          <w:sz w:val="18"/>
        </w:rPr>
        <w:t xml:space="preserve">Cooley LLP </w:t>
      </w:r>
    </w:p>
    <w:p>
      <w:pPr>
        <w:pStyle w:val="TextBody"/>
        <w:bidi w:val="0"/>
        <w:spacing w:before="0" w:after="0"/>
        <w:jc w:val="center"/>
        <w:rPr>
          <w:rFonts w:ascii="Times New Roman" w:hAnsi="Times New Roman"/>
          <w:b/>
          <w:sz w:val="18"/>
        </w:rPr>
      </w:pPr>
      <w:r>
        <w:rPr>
          <w:rFonts w:ascii="Times New Roman" w:hAnsi="Times New Roman"/>
          <w:b/>
          <w:sz w:val="18"/>
        </w:rPr>
        <w:t xml:space="preserve">1700 Seventh Avenue, Suite 1900 </w:t>
      </w:r>
    </w:p>
    <w:p>
      <w:pPr>
        <w:pStyle w:val="TextBody"/>
        <w:bidi w:val="0"/>
        <w:spacing w:before="0" w:after="0"/>
        <w:jc w:val="center"/>
        <w:rPr>
          <w:rFonts w:ascii="Times New Roman" w:hAnsi="Times New Roman"/>
          <w:b/>
          <w:sz w:val="18"/>
        </w:rPr>
      </w:pPr>
      <w:r>
        <w:rPr>
          <w:rFonts w:ascii="Times New Roman" w:hAnsi="Times New Roman"/>
          <w:b/>
          <w:sz w:val="18"/>
        </w:rPr>
        <w:t xml:space="preserve">Seattle, Washington 98101 </w:t>
      </w:r>
    </w:p>
    <w:p>
      <w:pPr>
        <w:pStyle w:val="TextBody"/>
        <w:bidi w:val="0"/>
        <w:spacing w:before="0" w:after="0"/>
        <w:jc w:val="center"/>
        <w:rPr>
          <w:rFonts w:ascii="Times New Roman" w:hAnsi="Times New Roman"/>
          <w:b/>
          <w:sz w:val="18"/>
        </w:rPr>
      </w:pPr>
      <w:r>
        <w:rPr>
          <w:rFonts w:ascii="Times New Roman" w:hAnsi="Times New Roman"/>
          <w:b/>
          <w:sz w:val="18"/>
        </w:rPr>
        <w:t xml:space="preserve">(206) 452-8756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From time to time after the effective date of this Registration Statement </w:t>
      </w:r>
    </w:p>
    <w:p>
      <w:pPr>
        <w:pStyle w:val="TextBody"/>
        <w:bidi w:val="0"/>
        <w:spacing w:before="0" w:after="0"/>
        <w:jc w:val="center"/>
        <w:rPr>
          <w:rFonts w:ascii="Times New Roman" w:hAnsi="Times New Roman"/>
          <w:b/>
          <w:sz w:val="16"/>
        </w:rPr>
      </w:pPr>
      <w:r>
        <w:rPr>
          <w:rFonts w:ascii="Times New Roman" w:hAnsi="Times New Roman"/>
          <w:b/>
          <w:sz w:val="16"/>
        </w:rPr>
        <w:t xml:space="preserve">(Approximate date of commencement of proposed sale to the public)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1"/>
        <w:gridCol w:w="104"/>
        <w:gridCol w:w="4807"/>
        <w:gridCol w:w="133"/>
        <w:gridCol w:w="2629"/>
        <w:gridCol w:w="104"/>
        <w:gridCol w:w="267"/>
      </w:tblGrid>
      <w:tr>
        <w:trPr/>
        <w:tc>
          <w:tcPr>
            <w:tcW w:w="21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0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b/>
          <w:sz w:val="20"/>
        </w:rPr>
      </w:pPr>
      <w:r>
        <w:rPr>
          <w:rFonts w:ascii="Times New Roman" w:hAnsi="Times New Roman"/>
          <w:b/>
          <w:sz w:val="20"/>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1, or the Amendment, is being filed to amend the Registration Statement on Form S-3 (File No. 333-280918), originally filed by the registrant on July 19, 2024, or the Registration Statement, to (i) modify the amount of remaining unsold securities to be included on the Registration Statement pursuant to Rule 415(a)(6) that were registered on a previously filed registration statement, as indicated in Exhibit 107 to this Amendment; (ii) to file an updated consent of Ernst &amp; Young LLP, the registrants independent registered public accounting firm; and (iii) to update the exhibit listing set forth in Item 16. Accordingly, this Amendment No. 1 consists only of the facing page, this explanatory note, Part II of the Registration Statement, the signature page to the Registration Statement, and the exhibits being filed with this Amendment. The remainder of the Registration Statement, including the prospectus, is unchanged and has been omitted.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12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costs and expenses, other than underwriting discounts and commissions, payable by us in connection with the offering of the securities being registered. All the amounts shown are estimates, except for the SEC registration fee and the FINRA filing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45"/>
        <w:gridCol w:w="463"/>
        <w:gridCol w:w="147"/>
        <w:gridCol w:w="724"/>
        <w:gridCol w:w="160"/>
      </w:tblGrid>
      <w:tr>
        <w:trPr/>
        <w:tc>
          <w:tcPr>
            <w:tcW w:w="5445"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45,930</w:t>
            </w:r>
          </w:p>
        </w:tc>
        <w:tc>
          <w:tcPr>
            <w:tcW w:w="160" w:type="dxa"/>
            <w:tcBorders/>
            <w:shd w:fill="CCEEFF" w:val="clear"/>
            <w:vAlign w:val="bottom"/>
          </w:tcPr>
          <w:p>
            <w:pPr>
              <w:pStyle w:val="TableContents"/>
              <w:bidi w:val="0"/>
              <w:spacing w:before="0" w:after="283"/>
              <w:jc w:val="left"/>
              <w:rPr/>
            </w:pPr>
            <w:r>
              <w:rPr/>
              <w:t> </w:t>
            </w:r>
          </w:p>
        </w:tc>
      </w:tr>
      <w:tr>
        <w:trPr/>
        <w:tc>
          <w:tcPr>
            <w:tcW w:w="5445"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w:t>
            </w:r>
          </w:p>
        </w:tc>
        <w:tc>
          <w:tcPr>
            <w:tcW w:w="160" w:type="dxa"/>
            <w:tcBorders/>
            <w:vAlign w:val="bottom"/>
          </w:tcPr>
          <w:p>
            <w:pPr>
              <w:pStyle w:val="TableContents"/>
              <w:bidi w:val="0"/>
              <w:spacing w:before="0" w:after="283"/>
              <w:jc w:val="left"/>
              <w:rPr/>
            </w:pPr>
            <w:r>
              <w:rPr/>
              <w:t>) </w:t>
            </w:r>
          </w:p>
        </w:tc>
      </w:tr>
      <w:tr>
        <w:trPr/>
        <w:tc>
          <w:tcPr>
            <w:tcW w:w="5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r>
      <w:tr>
        <w:trPr/>
        <w:tc>
          <w:tcPr>
            <w:tcW w:w="5445"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fees and expenses</w:t>
            </w:r>
          </w:p>
        </w:tc>
        <w:tc>
          <w:tcPr>
            <w:tcW w:w="4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w:t>
            </w:r>
          </w:p>
        </w:tc>
        <w:tc>
          <w:tcPr>
            <w:tcW w:w="160" w:type="dxa"/>
            <w:tcBorders/>
            <w:vAlign w:val="bottom"/>
          </w:tcPr>
          <w:p>
            <w:pPr>
              <w:pStyle w:val="TableContents"/>
              <w:bidi w:val="0"/>
              <w:spacing w:before="0" w:after="283"/>
              <w:jc w:val="left"/>
              <w:rPr/>
            </w:pPr>
            <w:r>
              <w:rPr/>
              <w:t>) </w:t>
            </w:r>
          </w:p>
        </w:tc>
      </w:tr>
      <w:tr>
        <w:trPr/>
        <w:tc>
          <w:tcPr>
            <w:tcW w:w="5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Trustee fees and expenses</w:t>
            </w:r>
          </w:p>
        </w:tc>
        <w:tc>
          <w:tcPr>
            <w:tcW w:w="4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r>
      <w:tr>
        <w:trPr/>
        <w:tc>
          <w:tcPr>
            <w:tcW w:w="5445"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miscellaneous expenses</w:t>
            </w:r>
          </w:p>
        </w:tc>
        <w:tc>
          <w:tcPr>
            <w:tcW w:w="4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w:t>
            </w:r>
          </w:p>
        </w:tc>
        <w:tc>
          <w:tcPr>
            <w:tcW w:w="160" w:type="dxa"/>
            <w:tcBorders/>
            <w:vAlign w:val="bottom"/>
          </w:tcPr>
          <w:p>
            <w:pPr>
              <w:pStyle w:val="TableContents"/>
              <w:bidi w:val="0"/>
              <w:spacing w:before="0" w:after="283"/>
              <w:jc w:val="left"/>
              <w:rPr/>
            </w:pPr>
            <w:r>
              <w:rPr/>
              <w:t>) </w:t>
            </w:r>
          </w:p>
        </w:tc>
      </w:tr>
      <w:tr>
        <w:trPr/>
        <w:tc>
          <w:tcPr>
            <w:tcW w:w="544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w:t>
            </w:r>
          </w:p>
        </w:tc>
      </w:tr>
      <w:tr>
        <w:trPr/>
        <w:tc>
          <w:tcPr>
            <w:tcW w:w="5445"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Corporate Law, or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DGCL provides that Section 145 is not exclusive of other rights to which those seeking indemnification may be entitled under any bylaws, agreement, vote of stockholders or disinterested directors or otherwise. The registrants amended certificate of incorporation and amended and restated bylaws provide for indemnification by the registrant of its directors and officers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amended certificate of incorporation provides for such limitation of liability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into indemnification agreements with each of its directors and executive officers to provide contractual indemnification in addition to the indemnification provided in its restated certificate of incorporation. Each indemnification agreement provides for indemnification and advancements by the registrant of certain expenses and costs relating to claims, suits or proceedings arising from his or her service to the registrant or, at our request, service to other entities, as officers or directors to the maximum extent permitted by applicable law. The registrant believes that these provisions and agreements are necessary to attract qualified directors.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also maintains standard policies of insurance under which coverage is provided (1) to its directors and officers against loss arising from claims made by reason of breach of duty or other wrongful act, while acting in their capacity as directors and officers of the registrant and (2) to the registrant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which may be made by the registrant to such officers and directors pursuant to any indemnification provision contained in the registrants amended certificate of incorporation and amended and restated bylaws or otherwise as a matter of law.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6"/>
        <w:gridCol w:w="512"/>
        <w:gridCol w:w="8997"/>
      </w:tblGrid>
      <w:tr>
        <w:trPr/>
        <w:tc>
          <w:tcPr>
            <w:tcW w:w="696"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8997" w:type="dxa"/>
            <w:tcBorders/>
            <w:vAlign w:val="center"/>
          </w:tcPr>
          <w:p>
            <w:pPr>
              <w:pStyle w:val="TableContents"/>
              <w:bidi w:val="0"/>
              <w:spacing w:before="0" w:after="283"/>
              <w:jc w:val="left"/>
              <w:rPr>
                <w:sz w:val="4"/>
                <w:szCs w:val="4"/>
              </w:rPr>
            </w:pPr>
            <w:r>
              <w:rPr>
                <w:sz w:val="4"/>
                <w:szCs w:val="4"/>
              </w:rPr>
            </w:r>
          </w:p>
        </w:tc>
      </w:tr>
      <w:tr>
        <w:trPr/>
        <w:tc>
          <w:tcPr>
            <w:tcW w:w="69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512" w:type="dxa"/>
            <w:tcBorders/>
            <w:vAlign w:val="bottom"/>
          </w:tcPr>
          <w:p>
            <w:pPr>
              <w:pStyle w:val="TableContents"/>
              <w:bidi w:val="0"/>
              <w:spacing w:before="0" w:after="283"/>
              <w:jc w:val="left"/>
              <w:rPr/>
            </w:pPr>
            <w:r>
              <w:rPr/>
              <w:t>  </w:t>
            </w:r>
          </w:p>
        </w:tc>
        <w:tc>
          <w:tcPr>
            <w:tcW w:w="89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r>
      <w:tr>
        <w:trPr>
          <w:trHeight w:val="120" w:hRule="atLeast"/>
        </w:trPr>
        <w:tc>
          <w:tcPr>
            <w:tcW w:w="696" w:type="dxa"/>
            <w:tcBorders/>
            <w:vAlign w:val="center"/>
          </w:tcPr>
          <w:p>
            <w:pPr>
              <w:pStyle w:val="TableContents"/>
              <w:bidi w:val="0"/>
              <w:spacing w:before="0" w:after="283"/>
              <w:jc w:val="left"/>
              <w:rPr>
                <w:sz w:val="4"/>
                <w:szCs w:val="4"/>
              </w:rPr>
            </w:pPr>
            <w:r>
              <w:rPr>
                <w:sz w:val="4"/>
                <w:szCs w:val="4"/>
              </w:rPr>
            </w:r>
          </w:p>
        </w:tc>
        <w:tc>
          <w:tcPr>
            <w:tcW w:w="9509"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  </w:t>
            </w:r>
            <w:r>
              <w:rPr/>
              <w:t>1.1*</w:t>
            </w:r>
          </w:p>
        </w:tc>
        <w:tc>
          <w:tcPr>
            <w:tcW w:w="51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r>
              <w:rPr/>
              <w:t>Form of Underwriting Agreement.</w:t>
            </w:r>
          </w:p>
        </w:tc>
      </w:tr>
      <w:tr>
        <w:trPr>
          <w:trHeight w:val="120" w:hRule="atLeast"/>
        </w:trPr>
        <w:tc>
          <w:tcPr>
            <w:tcW w:w="696" w:type="dxa"/>
            <w:tcBorders/>
            <w:vAlign w:val="center"/>
          </w:tcPr>
          <w:p>
            <w:pPr>
              <w:pStyle w:val="TableContents"/>
              <w:bidi w:val="0"/>
              <w:spacing w:before="0" w:after="283"/>
              <w:jc w:val="left"/>
              <w:rPr>
                <w:sz w:val="4"/>
                <w:szCs w:val="4"/>
              </w:rPr>
            </w:pPr>
            <w:r>
              <w:rPr>
                <w:sz w:val="4"/>
                <w:szCs w:val="4"/>
              </w:rPr>
            </w:r>
          </w:p>
        </w:tc>
        <w:tc>
          <w:tcPr>
            <w:tcW w:w="9509"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  </w:t>
            </w:r>
            <w:r>
              <w:rPr/>
              <w:t>1.2</w:t>
            </w:r>
          </w:p>
        </w:tc>
        <w:tc>
          <w:tcPr>
            <w:tcW w:w="51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r:id="rId2">
              <w:r>
                <w:rPr>
                  <w:rStyle w:val="InternetLink"/>
                </w:rPr>
                <w:t xml:space="preserve">Sales Agreement, dated June  20, 2024, between the Company and Jefferies LLC (incorporated by reference to Exhibit 1.1 of the Registrants Current Report on Form 8-K (File No.  001-35890), filed with the SEC on June 20, 2024). </w:t>
              </w:r>
            </w:hyperlink>
          </w:p>
        </w:tc>
      </w:tr>
      <w:tr>
        <w:trPr>
          <w:trHeight w:val="120" w:hRule="atLeast"/>
        </w:trPr>
        <w:tc>
          <w:tcPr>
            <w:tcW w:w="696" w:type="dxa"/>
            <w:tcBorders/>
            <w:vAlign w:val="center"/>
          </w:tcPr>
          <w:p>
            <w:pPr>
              <w:pStyle w:val="TableContents"/>
              <w:bidi w:val="0"/>
              <w:spacing w:before="0" w:after="283"/>
              <w:jc w:val="left"/>
              <w:rPr>
                <w:sz w:val="4"/>
                <w:szCs w:val="4"/>
              </w:rPr>
            </w:pPr>
            <w:r>
              <w:rPr>
                <w:sz w:val="4"/>
                <w:szCs w:val="4"/>
              </w:rPr>
            </w:r>
          </w:p>
        </w:tc>
        <w:tc>
          <w:tcPr>
            <w:tcW w:w="9509"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  </w:t>
            </w:r>
            <w:r>
              <w:rPr/>
              <w:t>2.1</w:t>
            </w:r>
          </w:p>
        </w:tc>
        <w:tc>
          <w:tcPr>
            <w:tcW w:w="51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r:id="rId3">
              <w:r>
                <w:rPr>
                  <w:rStyle w:val="InternetLink"/>
                </w:rPr>
                <w:t xml:space="preserve">Agreement and Plan of Merger, dated as of March  29, 2021, by and among Tempest Therapeutics, Inc., Mars Merger Corp. and Tempest Therapeutics, Inc. (incorporated by reference to Exhibit 2.1 of the Registrants Current Report on Form 8-K (File No. 001-35890), filed with the SEC on March 29, 2021. </w:t>
              </w:r>
            </w:hyperlink>
          </w:p>
        </w:tc>
      </w:tr>
      <w:tr>
        <w:trPr>
          <w:trHeight w:val="120" w:hRule="atLeast"/>
        </w:trPr>
        <w:tc>
          <w:tcPr>
            <w:tcW w:w="696" w:type="dxa"/>
            <w:tcBorders/>
            <w:vAlign w:val="center"/>
          </w:tcPr>
          <w:p>
            <w:pPr>
              <w:pStyle w:val="TableContents"/>
              <w:bidi w:val="0"/>
              <w:spacing w:before="0" w:after="283"/>
              <w:jc w:val="left"/>
              <w:rPr>
                <w:sz w:val="4"/>
                <w:szCs w:val="4"/>
              </w:rPr>
            </w:pPr>
            <w:r>
              <w:rPr>
                <w:sz w:val="4"/>
                <w:szCs w:val="4"/>
              </w:rPr>
            </w:r>
          </w:p>
        </w:tc>
        <w:tc>
          <w:tcPr>
            <w:tcW w:w="9509"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  </w:t>
            </w:r>
            <w:r>
              <w:rPr/>
              <w:t>3.1</w:t>
            </w:r>
          </w:p>
        </w:tc>
        <w:tc>
          <w:tcPr>
            <w:tcW w:w="51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r:id="rId4">
              <w:r>
                <w:rPr>
                  <w:rStyle w:val="InternetLink"/>
                </w:rPr>
                <w:t xml:space="preserve">Restated Certificate of Incorporation of the Registrant (incorporated by reference to Exhibit 3.1 to the Registrants Quarterly Report on Form 10-Q (File No. 001-35890), filed with the SEC on May 15, 2019). </w:t>
              </w:r>
            </w:hyperlink>
          </w:p>
        </w:tc>
      </w:tr>
      <w:tr>
        <w:trPr>
          <w:trHeight w:val="120" w:hRule="atLeast"/>
        </w:trPr>
        <w:tc>
          <w:tcPr>
            <w:tcW w:w="696" w:type="dxa"/>
            <w:tcBorders/>
            <w:vAlign w:val="center"/>
          </w:tcPr>
          <w:p>
            <w:pPr>
              <w:pStyle w:val="TableContents"/>
              <w:bidi w:val="0"/>
              <w:spacing w:before="0" w:after="283"/>
              <w:jc w:val="left"/>
              <w:rPr>
                <w:sz w:val="4"/>
                <w:szCs w:val="4"/>
              </w:rPr>
            </w:pPr>
            <w:r>
              <w:rPr>
                <w:sz w:val="4"/>
                <w:szCs w:val="4"/>
              </w:rPr>
            </w:r>
          </w:p>
        </w:tc>
        <w:tc>
          <w:tcPr>
            <w:tcW w:w="9509"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  </w:t>
            </w:r>
            <w:r>
              <w:rPr/>
              <w:t>3.2</w:t>
            </w:r>
          </w:p>
        </w:tc>
        <w:tc>
          <w:tcPr>
            <w:tcW w:w="51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r:id="rId5">
              <w:r>
                <w:rPr>
                  <w:rStyle w:val="InternetLink"/>
                </w:rPr>
                <w:t xml:space="preserve">Certificate of Amendment to the Restated Certificate of Incorporation of the Registrant (incorporated by reference to Exhibit 3.1 to the Registrants Current Report on Form 8-K (File No. 001-35890), filed with the SEC on June 28, 2021). </w:t>
              </w:r>
            </w:hyperlink>
          </w:p>
        </w:tc>
      </w:tr>
      <w:tr>
        <w:trPr>
          <w:trHeight w:val="120" w:hRule="atLeast"/>
        </w:trPr>
        <w:tc>
          <w:tcPr>
            <w:tcW w:w="696" w:type="dxa"/>
            <w:tcBorders/>
            <w:vAlign w:val="center"/>
          </w:tcPr>
          <w:p>
            <w:pPr>
              <w:pStyle w:val="TableContents"/>
              <w:bidi w:val="0"/>
              <w:spacing w:before="0" w:after="283"/>
              <w:jc w:val="left"/>
              <w:rPr>
                <w:sz w:val="4"/>
                <w:szCs w:val="4"/>
              </w:rPr>
            </w:pPr>
            <w:r>
              <w:rPr>
                <w:sz w:val="4"/>
                <w:szCs w:val="4"/>
              </w:rPr>
            </w:r>
          </w:p>
        </w:tc>
        <w:tc>
          <w:tcPr>
            <w:tcW w:w="9509"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  </w:t>
            </w:r>
            <w:r>
              <w:rPr/>
              <w:t>3.3</w:t>
            </w:r>
          </w:p>
        </w:tc>
        <w:tc>
          <w:tcPr>
            <w:tcW w:w="51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r:id="rId6">
              <w:r>
                <w:rPr>
                  <w:rStyle w:val="InternetLink"/>
                </w:rPr>
                <w:t xml:space="preserve">Certificate of Amendment to the Restated Certificate of Incorporation of the Registrant (incorporated by reference to Exhibit 3.2 to the Registrants Current Report on Form 8-K (File No. 001-35890), filed with the SEC on June 28, 2021). </w:t>
              </w:r>
            </w:hyperlink>
          </w:p>
        </w:tc>
      </w:tr>
      <w:tr>
        <w:trPr>
          <w:trHeight w:val="120" w:hRule="atLeast"/>
        </w:trPr>
        <w:tc>
          <w:tcPr>
            <w:tcW w:w="696" w:type="dxa"/>
            <w:tcBorders/>
            <w:vAlign w:val="center"/>
          </w:tcPr>
          <w:p>
            <w:pPr>
              <w:pStyle w:val="TableContents"/>
              <w:bidi w:val="0"/>
              <w:spacing w:before="0" w:after="283"/>
              <w:jc w:val="left"/>
              <w:rPr>
                <w:sz w:val="4"/>
                <w:szCs w:val="4"/>
              </w:rPr>
            </w:pPr>
            <w:r>
              <w:rPr>
                <w:sz w:val="4"/>
                <w:szCs w:val="4"/>
              </w:rPr>
            </w:r>
          </w:p>
        </w:tc>
        <w:tc>
          <w:tcPr>
            <w:tcW w:w="9509"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  </w:t>
            </w:r>
            <w:r>
              <w:rPr/>
              <w:t>3.5</w:t>
            </w:r>
          </w:p>
        </w:tc>
        <w:tc>
          <w:tcPr>
            <w:tcW w:w="51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r:id="rId7">
              <w:r>
                <w:rPr>
                  <w:rStyle w:val="InternetLink"/>
                </w:rPr>
                <w:t xml:space="preserve">Certificate of Designation of Series A Junior Participating Preferred Stock filed with the Secretary of State of the State of Delaware on October 10, 2023 (incorporated by reference to Exhibit 3.1 of the Registrants Current Report on Form 8-K (File No. 35890), filed with the SEC on October 11, 2023). </w:t>
              </w:r>
            </w:hyperlink>
          </w:p>
        </w:tc>
      </w:tr>
      <w:tr>
        <w:trPr>
          <w:trHeight w:val="120" w:hRule="atLeast"/>
        </w:trPr>
        <w:tc>
          <w:tcPr>
            <w:tcW w:w="696" w:type="dxa"/>
            <w:tcBorders/>
            <w:vAlign w:val="center"/>
          </w:tcPr>
          <w:p>
            <w:pPr>
              <w:pStyle w:val="TableContents"/>
              <w:bidi w:val="0"/>
              <w:spacing w:before="0" w:after="283"/>
              <w:jc w:val="left"/>
              <w:rPr>
                <w:sz w:val="4"/>
                <w:szCs w:val="4"/>
              </w:rPr>
            </w:pPr>
            <w:r>
              <w:rPr>
                <w:sz w:val="4"/>
                <w:szCs w:val="4"/>
              </w:rPr>
            </w:r>
          </w:p>
        </w:tc>
        <w:tc>
          <w:tcPr>
            <w:tcW w:w="9509"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  </w:t>
            </w:r>
            <w:r>
              <w:rPr/>
              <w:t>3.6</w:t>
            </w:r>
          </w:p>
        </w:tc>
        <w:tc>
          <w:tcPr>
            <w:tcW w:w="51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r:id="rId8">
              <w:r>
                <w:rPr>
                  <w:rStyle w:val="InternetLink"/>
                </w:rPr>
                <w:t xml:space="preserve">Amended and Restated Bylaws of the Registrant (incorporated by reference to Exhibit 3.1 of the Registrants Current Report on Form 8-K (File No. 35890), filed with the SEC on September 24, 2021). </w:t>
              </w:r>
            </w:hyperlink>
          </w:p>
        </w:tc>
      </w:tr>
      <w:tr>
        <w:trPr>
          <w:trHeight w:val="120" w:hRule="atLeast"/>
        </w:trPr>
        <w:tc>
          <w:tcPr>
            <w:tcW w:w="696" w:type="dxa"/>
            <w:tcBorders/>
            <w:vAlign w:val="center"/>
          </w:tcPr>
          <w:p>
            <w:pPr>
              <w:pStyle w:val="TableContents"/>
              <w:bidi w:val="0"/>
              <w:spacing w:before="0" w:after="283"/>
              <w:jc w:val="left"/>
              <w:rPr>
                <w:sz w:val="4"/>
                <w:szCs w:val="4"/>
              </w:rPr>
            </w:pPr>
            <w:r>
              <w:rPr>
                <w:sz w:val="4"/>
                <w:szCs w:val="4"/>
              </w:rPr>
            </w:r>
          </w:p>
        </w:tc>
        <w:tc>
          <w:tcPr>
            <w:tcW w:w="9509"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  </w:t>
            </w:r>
            <w:r>
              <w:rPr/>
              <w:t>4.1</w:t>
            </w:r>
          </w:p>
        </w:tc>
        <w:tc>
          <w:tcPr>
            <w:tcW w:w="51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r:id="rId9">
              <w:r>
                <w:rPr>
                  <w:rStyle w:val="InternetLink"/>
                </w:rPr>
                <w:t xml:space="preserve">Form of Tempest Therapeutics, Inc. Warrant to Purchase Stock (incorporated by reference to Exhibit  4.2 to the Registration Statement on Form S-4/A (File No. 333-255198) filed with the SEC on May 4, 2021). </w:t>
              </w:r>
            </w:hyperlink>
          </w:p>
        </w:tc>
      </w:tr>
      <w:tr>
        <w:trPr>
          <w:trHeight w:val="120" w:hRule="atLeast"/>
        </w:trPr>
        <w:tc>
          <w:tcPr>
            <w:tcW w:w="696" w:type="dxa"/>
            <w:tcBorders/>
            <w:vAlign w:val="center"/>
          </w:tcPr>
          <w:p>
            <w:pPr>
              <w:pStyle w:val="TableContents"/>
              <w:bidi w:val="0"/>
              <w:spacing w:before="0" w:after="283"/>
              <w:jc w:val="left"/>
              <w:rPr>
                <w:sz w:val="4"/>
                <w:szCs w:val="4"/>
              </w:rPr>
            </w:pPr>
            <w:r>
              <w:rPr>
                <w:sz w:val="4"/>
                <w:szCs w:val="4"/>
              </w:rPr>
            </w:r>
          </w:p>
        </w:tc>
        <w:tc>
          <w:tcPr>
            <w:tcW w:w="9509"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  </w:t>
            </w:r>
            <w:r>
              <w:rPr/>
              <w:t>4.2</w:t>
            </w:r>
          </w:p>
        </w:tc>
        <w:tc>
          <w:tcPr>
            <w:tcW w:w="51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r:id="rId10">
              <w:r>
                <w:rPr>
                  <w:rStyle w:val="InternetLink"/>
                </w:rPr>
                <w:t xml:space="preserve">Registration Rights Agreement, dated April  26, 2022, by and among Tempest Therapeutics, Inc. and the persons party thereto (incorporated by reference to Exhibit 10.2 to Registrants Current Report on Form 8-K (File No. 001-35890) filed with the SEC on May 2, 2022). </w:t>
              </w:r>
            </w:hyperlink>
          </w:p>
        </w:tc>
      </w:tr>
      <w:tr>
        <w:trPr>
          <w:trHeight w:val="120" w:hRule="atLeast"/>
        </w:trPr>
        <w:tc>
          <w:tcPr>
            <w:tcW w:w="696" w:type="dxa"/>
            <w:tcBorders/>
            <w:vAlign w:val="center"/>
          </w:tcPr>
          <w:p>
            <w:pPr>
              <w:pStyle w:val="TableContents"/>
              <w:bidi w:val="0"/>
              <w:spacing w:before="0" w:after="283"/>
              <w:jc w:val="left"/>
              <w:rPr>
                <w:sz w:val="4"/>
                <w:szCs w:val="4"/>
              </w:rPr>
            </w:pPr>
            <w:r>
              <w:rPr>
                <w:sz w:val="4"/>
                <w:szCs w:val="4"/>
              </w:rPr>
            </w:r>
          </w:p>
        </w:tc>
        <w:tc>
          <w:tcPr>
            <w:tcW w:w="9509"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  </w:t>
            </w:r>
            <w:r>
              <w:rPr/>
              <w:t>4.3</w:t>
            </w:r>
          </w:p>
        </w:tc>
        <w:tc>
          <w:tcPr>
            <w:tcW w:w="51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r:id="rId11">
              <w:r>
                <w:rPr>
                  <w:rStyle w:val="InternetLink"/>
                </w:rPr>
                <w:t xml:space="preserve">Rights Agreement, dated as of October  10, 2023, between Tempest Therapeutics, Inc. and Computershare Trust Company, N.A., which includes the form of Certificate of Designation as Exhibit A, the form of Right Certificate as Exhibit B and the Summary of Rights to Purchase Preferred Shares as Exhibit C (incorporated by reference to Exhibit 4.1 of Registrants Current Report on Form 8-K (File No. 001-35890), filed with the SEC on October 11, 2023). </w:t>
              </w:r>
            </w:hyperlink>
          </w:p>
        </w:tc>
      </w:tr>
      <w:tr>
        <w:trPr>
          <w:trHeight w:val="120" w:hRule="atLeast"/>
        </w:trPr>
        <w:tc>
          <w:tcPr>
            <w:tcW w:w="696" w:type="dxa"/>
            <w:tcBorders/>
            <w:vAlign w:val="center"/>
          </w:tcPr>
          <w:p>
            <w:pPr>
              <w:pStyle w:val="TableContents"/>
              <w:bidi w:val="0"/>
              <w:spacing w:before="0" w:after="283"/>
              <w:jc w:val="left"/>
              <w:rPr>
                <w:sz w:val="4"/>
                <w:szCs w:val="4"/>
              </w:rPr>
            </w:pPr>
            <w:r>
              <w:rPr>
                <w:sz w:val="4"/>
                <w:szCs w:val="4"/>
              </w:rPr>
            </w:r>
          </w:p>
        </w:tc>
        <w:tc>
          <w:tcPr>
            <w:tcW w:w="9509"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  </w:t>
            </w:r>
            <w:r>
              <w:rPr/>
              <w:t>4.4</w:t>
            </w:r>
          </w:p>
        </w:tc>
        <w:tc>
          <w:tcPr>
            <w:tcW w:w="512" w:type="dxa"/>
            <w:tcBorders/>
            <w:vAlign w:val="bottom"/>
          </w:tcPr>
          <w:p>
            <w:pPr>
              <w:pStyle w:val="TableContents"/>
              <w:bidi w:val="0"/>
              <w:spacing w:before="0" w:after="283"/>
              <w:jc w:val="left"/>
              <w:rPr/>
            </w:pPr>
            <w:r>
              <w:rPr/>
              <w:t>  </w:t>
            </w:r>
          </w:p>
        </w:tc>
        <w:tc>
          <w:tcPr>
            <w:tcW w:w="8997" w:type="dxa"/>
            <w:tcBorders/>
          </w:tcPr>
          <w:p>
            <w:pPr>
              <w:pStyle w:val="TableContents"/>
              <w:bidi w:val="0"/>
              <w:spacing w:before="0" w:after="283"/>
              <w:jc w:val="left"/>
              <w:rPr/>
            </w:pPr>
            <w:hyperlink r:id="rId12">
              <w:r>
                <w:rPr>
                  <w:rStyle w:val="InternetLink"/>
                </w:rPr>
                <w:t>Amendment No. 1, dated as of October 9, 2024, to Rights Agreement, dated as of October 10, 2023, by and between Tempest Therapeutics, Inc. and Computershare Trust Company, N.A., as rights agent (incorporated by reference to Exhibit 4.1 of Registrants Current Report on Form 8-K (File No. 001-35890), filed with the SEC on October 10, 2024).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28"/>
        <w:gridCol w:w="510"/>
        <w:gridCol w:w="8867"/>
      </w:tblGrid>
      <w:tr>
        <w:trPr/>
        <w:tc>
          <w:tcPr>
            <w:tcW w:w="828"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8867" w:type="dxa"/>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4.5</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hyperlink r:id="rId13">
              <w:r>
                <w:rPr>
                  <w:rStyle w:val="InternetLink"/>
                </w:rPr>
                <w:t xml:space="preserve">Amendment No. 2, dated as of December 5, 2024, to Rights Agreement, dated as of October 10, 2023, by and between Tempest Therapeutics, Inc. and Computershare Trust Company, N.A., as rights agent (incorporated by reference to Exhibit 4.1 of Registrants Current Report on Form 8-K (File No. 001-35890), filed with the SEC on December 6, 2024). </w:t>
              </w:r>
            </w:hyperlink>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4.6#</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hyperlink r:id="rId14">
              <w:r>
                <w:rPr>
                  <w:rStyle w:val="InternetLink"/>
                </w:rPr>
                <w:t>Form of Debt Indenture.</w:t>
              </w:r>
            </w:hyperlink>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4.7*</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r>
              <w:rPr/>
              <w:t>Form of Debt Securities.</w:t>
            </w:r>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4.8*</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r>
              <w:rPr/>
              <w:t>Form of Common Stock Warrant Agreement and Warrant Certificate.</w:t>
            </w:r>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4.9*</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r>
              <w:rPr/>
              <w:t>Form of Preferred Stock Warrant Agreement and Warrant Certificate.</w:t>
            </w:r>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4.10*</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r>
              <w:rPr/>
              <w:t>Form of Debt Securities Warrant Agreement and Warrant Certificate.</w:t>
            </w:r>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4.11*</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r>
              <w:rPr/>
              <w:t>Form of Specimen Preferred Stock Certificate and Certificate of Designations of Preferred Stock.</w:t>
            </w:r>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4.12*</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r>
              <w:rPr/>
              <w:t>Form of Rights Agreement.</w:t>
            </w:r>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4.13*</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r>
              <w:rPr/>
              <w:t>Form of Unit Agreement.</w:t>
            </w:r>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5.1#</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hyperlink r:id="rId15">
              <w:r>
                <w:rPr>
                  <w:rStyle w:val="InternetLink"/>
                </w:rPr>
                <w:t xml:space="preserve">Opinion of Cooley LLP. </w:t>
              </w:r>
            </w:hyperlink>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23.1**</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hyperlink w:anchor="d873142dex231.htm">
              <w:r>
                <w:rPr>
                  <w:rStyle w:val="InternetLink"/>
                </w:rPr>
                <w:t xml:space="preserve">Consent of Ernst &amp; Young LLP, Independent Registered Public Accounting Firm to Tempest Therapeutics, Inc. </w:t>
              </w:r>
            </w:hyperlink>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23.3#</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hyperlink r:id="rId16">
              <w:r>
                <w:rPr>
                  <w:rStyle w:val="InternetLink"/>
                </w:rPr>
                <w:t xml:space="preserve">Consent of Cooley LLP (included in Exhibit 5.1). </w:t>
              </w:r>
            </w:hyperlink>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24.1#</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r>
              <w:fldChar w:fldCharType="begin"/>
            </w:r>
            <w:r>
              <w:rPr>
                <w:rStyle w:val="InternetLink"/>
              </w:rPr>
              <w:instrText xml:space="preserve"> HYPERLINK "http://www.sec.gov/Archives/edgar/data/1544227/000119312524181673/d873142ds3.htm" \l "sig"</w:instrText>
            </w:r>
            <w:r>
              <w:rPr>
                <w:rStyle w:val="InternetLink"/>
              </w:rPr>
              <w:fldChar w:fldCharType="separate"/>
            </w:r>
            <w:r>
              <w:rPr>
                <w:rStyle w:val="InternetLink"/>
              </w:rPr>
              <w:t xml:space="preserve">Power of Attorney (included on signature page). </w:t>
            </w:r>
            <w:r>
              <w:rPr>
                <w:rStyle w:val="InternetLink"/>
              </w:rPr>
              <w:fldChar w:fldCharType="end"/>
            </w:r>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 </w:t>
            </w:r>
            <w:r>
              <w:rPr/>
              <w:t>25.1*</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r>
              <w:rPr/>
              <w:t>Statement of Eligibility of Trustee under the Indenture.</w:t>
            </w:r>
          </w:p>
        </w:tc>
      </w:tr>
      <w:tr>
        <w:trPr>
          <w:trHeight w:val="120" w:hRule="atLeast"/>
        </w:trPr>
        <w:tc>
          <w:tcPr>
            <w:tcW w:w="828" w:type="dxa"/>
            <w:tcBorders/>
            <w:vAlign w:val="center"/>
          </w:tcPr>
          <w:p>
            <w:pPr>
              <w:pStyle w:val="TableContents"/>
              <w:bidi w:val="0"/>
              <w:spacing w:before="0" w:after="283"/>
              <w:jc w:val="left"/>
              <w:rPr>
                <w:sz w:val="4"/>
                <w:szCs w:val="4"/>
              </w:rPr>
            </w:pPr>
            <w:r>
              <w:rPr>
                <w:sz w:val="4"/>
                <w:szCs w:val="4"/>
              </w:rPr>
            </w:r>
          </w:p>
        </w:tc>
        <w:tc>
          <w:tcPr>
            <w:tcW w:w="9377"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107**</w:t>
            </w:r>
          </w:p>
        </w:tc>
        <w:tc>
          <w:tcPr>
            <w:tcW w:w="510" w:type="dxa"/>
            <w:tcBorders/>
            <w:vAlign w:val="bottom"/>
          </w:tcPr>
          <w:p>
            <w:pPr>
              <w:pStyle w:val="TableContents"/>
              <w:bidi w:val="0"/>
              <w:spacing w:before="0" w:after="283"/>
              <w:jc w:val="left"/>
              <w:rPr/>
            </w:pPr>
            <w:r>
              <w:rPr/>
              <w:t>  </w:t>
            </w:r>
          </w:p>
        </w:tc>
        <w:tc>
          <w:tcPr>
            <w:tcW w:w="8867" w:type="dxa"/>
            <w:tcBorders/>
          </w:tcPr>
          <w:p>
            <w:pPr>
              <w:pStyle w:val="TableContents"/>
              <w:bidi w:val="0"/>
              <w:spacing w:before="0" w:after="283"/>
              <w:jc w:val="left"/>
              <w:rPr/>
            </w:pPr>
            <w:hyperlink w:anchor="d873142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by a report filed under the Exchange Act and incorporated herein by reference,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the undertakings set forth in paragraphs (1)(i), (1)(ii) and (1)(iii) above do not apply if the information required to be 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this registration statement or are contained in a form of prospectus filed pursuant to Rule 424(b) that is part of this registration statement. </w:t>
      </w:r>
    </w:p>
    <w:p>
      <w:pPr>
        <w:pStyle w:val="TextBody"/>
        <w:bidi w:val="0"/>
        <w:spacing w:before="120" w:after="0"/>
        <w:jc w:val="left"/>
        <w:rPr>
          <w:rFonts w:ascii="Times New Roman" w:hAnsi="Times New Roman"/>
          <w:sz w:val="20"/>
        </w:rPr>
      </w:pPr>
      <w:r>
        <w:rPr>
          <w:rFonts w:ascii="Times New Roman" w:hAnsi="Times New Roman"/>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p>
    <w:p>
      <w:pPr>
        <w:pStyle w:val="TextBody"/>
        <w:bidi w:val="0"/>
        <w:spacing w:before="120" w:after="0"/>
        <w:jc w:val="left"/>
        <w:rPr>
          <w:rFonts w:ascii="Times New Roman" w:hAnsi="Times New Roman"/>
          <w:sz w:val="20"/>
        </w:rPr>
      </w:pPr>
      <w:r>
        <w:rPr>
          <w:rFonts w:ascii="Times New Roman" w:hAnsi="Times New Roman"/>
          <w:sz w:val="20"/>
        </w:rPr>
        <w:t>(6)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That, for purposes of determining any liability under the Securities Act of 1933,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(8)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Brisbane, State of California, on this 24th day of January,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TEMPEST THERAPEUTICS, INC.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center"/>
              <w:rPr/>
            </w:pPr>
            <w:r>
              <w:rPr/>
              <w:t>/s/ Stephen Brady</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center"/>
              <w:rPr/>
            </w:pPr>
            <w:r>
              <w:rPr/>
              <w:t>Stephen Brady</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center"/>
              <w:rPr>
                <w:i/>
              </w:rPr>
            </w:pPr>
            <w:r>
              <w:rPr>
                <w:i/>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indicated below as of January 24,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8"/>
        <w:gridCol w:w="5311"/>
      </w:tblGrid>
      <w:tr>
        <w:trPr/>
        <w:tc>
          <w:tcPr>
            <w:tcW w:w="468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8" w:type="dxa"/>
            <w:tcBorders/>
            <w:vAlign w:val="bottom"/>
          </w:tcPr>
          <w:p>
            <w:pPr>
              <w:pStyle w:val="TableContents"/>
              <w:bidi w:val="0"/>
              <w:spacing w:before="0" w:after="283"/>
              <w:jc w:val="left"/>
              <w:rPr/>
            </w:pPr>
            <w:r>
              <w:rPr/>
              <w:t>  </w:t>
            </w:r>
          </w:p>
        </w:tc>
        <w:tc>
          <w:tcPr>
            <w:tcW w:w="53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Stephen Brady</w:t>
            </w:r>
          </w:p>
          <w:p>
            <w:pPr>
              <w:pStyle w:val="TableContents"/>
              <w:bidi w:val="0"/>
              <w:spacing w:before="0" w:after="20"/>
              <w:jc w:val="center"/>
              <w:rPr>
                <w:rFonts w:ascii="Times New Roman" w:hAnsi="Times New Roman"/>
                <w:sz w:val="20"/>
              </w:rPr>
            </w:pPr>
            <w:r>
              <w:rPr>
                <w:rFonts w:ascii="Times New Roman" w:hAnsi="Times New Roman"/>
                <w:sz w:val="20"/>
              </w:rPr>
              <w:t>Stephen Brady</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Nicholas Maestas</w:t>
            </w:r>
          </w:p>
          <w:p>
            <w:pPr>
              <w:pStyle w:val="TableContents"/>
              <w:bidi w:val="0"/>
              <w:spacing w:before="0" w:after="20"/>
              <w:jc w:val="center"/>
              <w:rPr>
                <w:rFonts w:ascii="Times New Roman" w:hAnsi="Times New Roman"/>
                <w:sz w:val="20"/>
              </w:rPr>
            </w:pPr>
            <w:r>
              <w:rPr>
                <w:rFonts w:ascii="Times New Roman" w:hAnsi="Times New Roman"/>
                <w:sz w:val="20"/>
              </w:rPr>
              <w:t>Nicholas Maestas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Financial Officer</w:t>
            </w:r>
            <w:r>
              <w:rPr>
                <w:rFonts w:ascii="Times New Roman" w:hAnsi="Times New Roman"/>
                <w:sz w:val="20"/>
              </w:rPr>
              <w:t>)</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Justin Trojanowski</w:t>
            </w:r>
          </w:p>
          <w:p>
            <w:pPr>
              <w:pStyle w:val="TableContents"/>
              <w:bidi w:val="0"/>
              <w:spacing w:before="0" w:after="20"/>
              <w:jc w:val="center"/>
              <w:rPr>
                <w:rFonts w:ascii="Times New Roman" w:hAnsi="Times New Roman"/>
                <w:sz w:val="20"/>
              </w:rPr>
            </w:pPr>
            <w:r>
              <w:rPr>
                <w:rFonts w:ascii="Times New Roman" w:hAnsi="Times New Roman"/>
                <w:sz w:val="20"/>
              </w:rPr>
              <w:t>Justin Trojanowski</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Corporate Controller, Treasurer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Accounting Officer</w:t>
            </w:r>
            <w:r>
              <w:rPr>
                <w:rFonts w:ascii="Times New Roman" w:hAnsi="Times New Roman"/>
                <w:sz w:val="20"/>
              </w:rPr>
              <w:t>)</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Michael Raab</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Chairman of the Board of Directors</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Christine Pellizzari</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Geoff Nichol, M.B., Ch.B., M.B.A.</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Ronit Simantov, M.D.</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03"/>
        <w:gridCol w:w="60"/>
        <w:gridCol w:w="3519"/>
      </w:tblGrid>
      <w:tr>
        <w:trPr/>
        <w:tc>
          <w:tcPr>
            <w:tcW w:w="5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19" w:type="dxa"/>
            <w:tcBorders/>
            <w:vAlign w:val="center"/>
          </w:tcPr>
          <w:p>
            <w:pPr>
              <w:pStyle w:val="TableContents"/>
              <w:bidi w:val="0"/>
              <w:spacing w:before="0" w:after="283"/>
              <w:jc w:val="left"/>
              <w:rPr>
                <w:sz w:val="4"/>
                <w:szCs w:val="4"/>
              </w:rPr>
            </w:pPr>
            <w:r>
              <w:rPr>
                <w:sz w:val="4"/>
                <w:szCs w:val="4"/>
              </w:rPr>
            </w:r>
          </w:p>
        </w:tc>
      </w:tr>
      <w:tr>
        <w:trPr/>
        <w:tc>
          <w:tcPr>
            <w:tcW w:w="503"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19" w:type="dxa"/>
            <w:tcBorders>
              <w:bottom w:val="single" w:sz="2" w:space="0" w:color="000000"/>
            </w:tcBorders>
            <w:tcMar>
              <w:bottom w:w="28" w:type="dxa"/>
            </w:tcMar>
          </w:tcPr>
          <w:p>
            <w:pPr>
              <w:pStyle w:val="TableContents"/>
              <w:bidi w:val="0"/>
              <w:spacing w:before="0" w:after="283"/>
              <w:jc w:val="left"/>
              <w:rPr/>
            </w:pPr>
            <w:r>
              <w:rPr/>
              <w:t>/s/ Stephen Brady</w:t>
            </w:r>
          </w:p>
        </w:tc>
      </w:tr>
      <w:tr>
        <w:trPr/>
        <w:tc>
          <w:tcPr>
            <w:tcW w:w="5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19" w:type="dxa"/>
            <w:tcBorders/>
            <w:vAlign w:val="bottom"/>
          </w:tcPr>
          <w:p>
            <w:pPr>
              <w:pStyle w:val="TableContents"/>
              <w:bidi w:val="0"/>
              <w:spacing w:before="0" w:after="283"/>
              <w:jc w:val="left"/>
              <w:rPr/>
            </w:pPr>
            <w:r>
              <w:rPr/>
              <w:t>Stephen Brady</w:t>
            </w:r>
          </w:p>
        </w:tc>
      </w:tr>
      <w:tr>
        <w:trPr/>
        <w:tc>
          <w:tcPr>
            <w:tcW w:w="50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19" w:type="dxa"/>
            <w:tcBorders/>
            <w:vAlign w:val="bottom"/>
          </w:tcPr>
          <w:p>
            <w:pPr>
              <w:pStyle w:val="TableContents"/>
              <w:bidi w:val="0"/>
              <w:spacing w:before="0" w:after="283"/>
              <w:jc w:val="left"/>
              <w:rPr/>
            </w:pPr>
            <w:r>
              <w:rPr/>
              <w:t>Director</w:t>
            </w:r>
          </w:p>
        </w:tc>
      </w:tr>
    </w:tbl>
    <w:p>
      <w:pPr>
        <w:pStyle w:val="TextBody"/>
        <w:bidi w:val="0"/>
        <w:spacing w:before="0" w:after="0"/>
        <w:jc w:val="right"/>
        <w:rPr>
          <w:rFonts w:ascii="Times New Roman" w:hAnsi="Times New Roman"/>
          <w:b/>
          <w:sz w:val="20"/>
        </w:rPr>
      </w:pPr>
      <w:bookmarkStart w:id="3" w:name="d873142dex231.htm"/>
      <w:bookmarkStart w:id="4" w:name="ksd873142dex231"/>
      <w:bookmarkEnd w:id="3"/>
      <w:bookmarkEnd w:id="4"/>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of our firm under the caption Experts in the Registration Statement (Form S-3 No. 333-280918) and related Prospectus of Tempest Therapeutics, Inc. for the registration of its common stock, preferred stock, debt securities, warrants, units and rights to purchase common stock, preferred stock, debt securities or units, and to the incorporation by reference therein of our report dated March 19, 2024, with respect to the consolidated financial statements of Tempest Therapeutics, Inc. included in its Annual Report (Form 10-K) for the year ended December 31, 2023,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Chicago, Illinois </w:t>
      </w:r>
    </w:p>
    <w:p>
      <w:pPr>
        <w:pStyle w:val="TextBody"/>
        <w:bidi w:val="0"/>
        <w:spacing w:before="0" w:after="0"/>
        <w:jc w:val="left"/>
        <w:rPr>
          <w:rFonts w:ascii="Times New Roman" w:hAnsi="Times New Roman"/>
          <w:sz w:val="20"/>
        </w:rPr>
      </w:pPr>
      <w:r>
        <w:rPr>
          <w:rFonts w:ascii="Times New Roman" w:hAnsi="Times New Roman"/>
          <w:sz w:val="20"/>
        </w:rPr>
        <w:t xml:space="preserve">January 24, 2025 </w:t>
      </w:r>
    </w:p>
    <w:p>
      <w:pPr>
        <w:pStyle w:val="TextBody"/>
        <w:bidi w:val="0"/>
        <w:spacing w:before="0" w:after="0"/>
        <w:jc w:val="right"/>
        <w:rPr>
          <w:rFonts w:ascii="Times New Roman" w:hAnsi="Times New Roman"/>
          <w:b/>
          <w:sz w:val="20"/>
        </w:rPr>
      </w:pPr>
      <w:bookmarkStart w:id="5" w:name="d873142dexfilingfees.htm"/>
      <w:bookmarkStart w:id="6" w:name="ksd873142dexfilingfees"/>
      <w:bookmarkEnd w:id="5"/>
      <w:bookmarkEnd w:id="6"/>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S-3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Tempest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and Carry Forward Securities </w:t>
      </w:r>
    </w:p>
    <w:p>
      <w:pPr>
        <w:pStyle w:val="TextBody"/>
        <w:bidi w:val="0"/>
        <w:spacing w:before="0" w:after="0"/>
        <w:jc w:val="left"/>
        <w:rPr/>
      </w:pPr>
      <w:r>
        <w:rPr/>
        <w:t> </w:t>
      </w:r>
    </w:p>
    <w:tbl>
      <w:tblPr>
        <w:tblW w:w="12200" w:type="dxa"/>
        <w:jc w:val="center"/>
        <w:tblInd w:w="0" w:type="dxa"/>
        <w:tblLayout w:type="fixed"/>
        <w:tblCellMar>
          <w:top w:w="0" w:type="dxa"/>
          <w:left w:w="0" w:type="dxa"/>
          <w:bottom w:w="0" w:type="dxa"/>
          <w:right w:w="0" w:type="dxa"/>
        </w:tblCellMar>
      </w:tblPr>
      <w:tblGrid>
        <w:gridCol w:w="890"/>
        <w:gridCol w:w="60"/>
        <w:gridCol w:w="1160"/>
        <w:gridCol w:w="60"/>
        <w:gridCol w:w="1250"/>
        <w:gridCol w:w="60"/>
        <w:gridCol w:w="770"/>
        <w:gridCol w:w="60"/>
        <w:gridCol w:w="710"/>
        <w:gridCol w:w="60"/>
        <w:gridCol w:w="680"/>
        <w:gridCol w:w="60"/>
        <w:gridCol w:w="1340"/>
        <w:gridCol w:w="60"/>
        <w:gridCol w:w="1280"/>
        <w:gridCol w:w="60"/>
        <w:gridCol w:w="1100"/>
        <w:gridCol w:w="60"/>
        <w:gridCol w:w="560"/>
        <w:gridCol w:w="60"/>
        <w:gridCol w:w="485"/>
        <w:gridCol w:w="60"/>
        <w:gridCol w:w="560"/>
        <w:gridCol w:w="60"/>
        <w:gridCol w:w="69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20"/>
              <w:jc w:val="center"/>
              <w:rPr>
                <w:rFonts w:ascii="Times New Roman" w:hAnsi="Times New Roman"/>
                <w:sz w:val="14"/>
              </w:rPr>
            </w:pPr>
            <w:r>
              <w:rPr>
                <w:rFonts w:ascii="Times New Roman" w:hAnsi="Times New Roman"/>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0"/>
              <w:jc w:val="center"/>
              <w:rPr/>
            </w:pPr>
            <w:r>
              <w:rPr/>
              <w:t> </w:t>
            </w:r>
            <w:r>
              <w:rPr>
                <w:rFonts w:ascii="Times New Roman" w:hAnsi="Times New Roman"/>
                <w:sz w:val="14"/>
              </w:rPr>
              <w:t>Calculation </w:t>
            </w:r>
          </w:p>
          <w:p>
            <w:pPr>
              <w:pStyle w:val="TableContents"/>
              <w:bidi w:val="0"/>
              <w:spacing w:before="0" w:after="0"/>
              <w:jc w:val="center"/>
              <w:rPr>
                <w:rFonts w:ascii="Times New Roman" w:hAnsi="Times New Roman"/>
                <w:sz w:val="14"/>
              </w:rPr>
            </w:pPr>
            <w:r>
              <w:rPr>
                <w:rFonts w:ascii="Times New Roman" w:hAnsi="Times New Roman"/>
                <w:sz w:val="14"/>
              </w:rPr>
              <w:t>or Carry</w:t>
            </w:r>
          </w:p>
          <w:p>
            <w:pPr>
              <w:pStyle w:val="TableContents"/>
              <w:bidi w:val="0"/>
              <w:spacing w:before="0" w:after="0"/>
              <w:jc w:val="center"/>
              <w:rPr>
                <w:rFonts w:ascii="Times New Roman" w:hAnsi="Times New Roman"/>
                <w:sz w:val="14"/>
              </w:rPr>
            </w:pPr>
            <w:r>
              <w:rPr>
                <w:rFonts w:ascii="Times New Roman" w:hAnsi="Times New Roman"/>
                <w:sz w:val="14"/>
              </w:rPr>
              <w:t>Forward</w:t>
            </w:r>
          </w:p>
          <w:p>
            <w:pPr>
              <w:pStyle w:val="TableContents"/>
              <w:bidi w:val="0"/>
              <w:spacing w:before="0" w:after="20"/>
              <w:jc w:val="center"/>
              <w:rPr>
                <w:rFonts w:ascii="Times New Roman" w:hAnsi="Times New Roman"/>
                <w:sz w:val="14"/>
              </w:rPr>
            </w:pPr>
            <w:r>
              <w:rPr>
                <w:rFonts w:ascii="Times New Roman" w:hAnsi="Times New Roman"/>
                <w:sz w:val="14"/>
              </w:rP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Amount</w:t>
            </w:r>
          </w:p>
          <w:p>
            <w:pPr>
              <w:pStyle w:val="TableContents"/>
              <w:bidi w:val="0"/>
              <w:spacing w:before="0" w:after="20"/>
              <w:jc w:val="center"/>
              <w:rPr/>
            </w:pPr>
            <w:r>
              <w:rPr/>
              <w:t> </w:t>
            </w:r>
            <w:r>
              <w:rPr>
                <w:rFonts w:ascii="Times New Roman" w:hAnsi="Times New Roman"/>
                <w:sz w:val="14"/>
              </w:rPr>
              <w:t>Registered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Proposed</w:t>
            </w:r>
          </w:p>
          <w:p>
            <w:pPr>
              <w:pStyle w:val="TableContents"/>
              <w:bidi w:val="0"/>
              <w:spacing w:before="0" w:after="0"/>
              <w:jc w:val="center"/>
              <w:rPr/>
            </w:pPr>
            <w:r>
              <w:rPr/>
              <w:t> </w:t>
            </w:r>
            <w:r>
              <w:rPr>
                <w:rFonts w:ascii="Times New Roman" w:hAnsi="Times New Roman"/>
                <w:sz w:val="14"/>
              </w:rPr>
              <w:t>Maximum </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0"/>
              <w:jc w:val="center"/>
              <w:rPr>
                <w:rFonts w:ascii="Times New Roman" w:hAnsi="Times New Roman"/>
                <w:sz w:val="14"/>
              </w:rPr>
            </w:pPr>
            <w:r>
              <w:rPr>
                <w:rFonts w:ascii="Times New Roman" w:hAnsi="Times New Roman"/>
                <w:sz w:val="14"/>
              </w:rPr>
              <w:t>Price Per</w:t>
            </w:r>
          </w:p>
          <w:p>
            <w:pPr>
              <w:pStyle w:val="TableContents"/>
              <w:bidi w:val="0"/>
              <w:spacing w:before="0" w:after="20"/>
              <w:jc w:val="center"/>
              <w:rPr>
                <w:rFonts w:ascii="Times New Roman" w:hAnsi="Times New Roman"/>
                <w:sz w:val="14"/>
              </w:rPr>
            </w:pPr>
            <w:r>
              <w:rPr>
                <w:rFonts w:ascii="Times New Roman" w:hAnsi="Times New Roman"/>
                <w:sz w:val="14"/>
              </w:rP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w:t>
            </w:r>
          </w:p>
          <w:p>
            <w:pPr>
              <w:pStyle w:val="TableContents"/>
              <w:bidi w:val="0"/>
              <w:spacing w:before="0" w:after="0"/>
              <w:jc w:val="center"/>
              <w:rPr>
                <w:rFonts w:ascii="Times New Roman" w:hAnsi="Times New Roman"/>
                <w:sz w:val="14"/>
              </w:rPr>
            </w:pPr>
            <w:r>
              <w:rPr>
                <w:rFonts w:ascii="Times New Roman" w:hAnsi="Times New Roman"/>
                <w:sz w:val="14"/>
              </w:rPr>
              <w:t>Aggregate</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Amount of</w:t>
            </w:r>
          </w:p>
          <w:p>
            <w:pPr>
              <w:pStyle w:val="TableContents"/>
              <w:bidi w:val="0"/>
              <w:spacing w:before="0" w:after="0"/>
              <w:jc w:val="center"/>
              <w:rPr/>
            </w:pPr>
            <w:r>
              <w:rPr/>
              <w:t> </w:t>
            </w:r>
            <w:r>
              <w:rPr>
                <w:rFonts w:ascii="Times New Roman" w:hAnsi="Times New Roman"/>
                <w:sz w:val="14"/>
              </w:rPr>
              <w:t>Registration </w:t>
            </w:r>
          </w:p>
          <w:p>
            <w:pPr>
              <w:pStyle w:val="TableContents"/>
              <w:bidi w:val="0"/>
              <w:spacing w:before="0" w:after="20"/>
              <w:jc w:val="center"/>
              <w:rPr>
                <w:rFonts w:ascii="Times New Roman" w:hAnsi="Times New Roman"/>
                <w:sz w:val="14"/>
              </w:rPr>
            </w:pPr>
            <w:r>
              <w:rPr>
                <w:rFonts w:ascii="Times New Roman" w:hAnsi="Times New Roman"/>
                <w:sz w:val="14"/>
              </w:rPr>
              <w:t>Fee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Carry</w:t>
            </w:r>
          </w:p>
          <w:p>
            <w:pPr>
              <w:pStyle w:val="TableContents"/>
              <w:bidi w:val="0"/>
              <w:spacing w:before="0" w:after="0"/>
              <w:jc w:val="center"/>
              <w:rPr/>
            </w:pPr>
            <w:r>
              <w:rPr/>
              <w:t> </w:t>
            </w:r>
            <w:r>
              <w:rPr>
                <w:rFonts w:ascii="Times New Roman" w:hAnsi="Times New Roman"/>
                <w:sz w:val="14"/>
              </w:rPr>
              <w:t>Forward </w:t>
            </w:r>
          </w:p>
          <w:p>
            <w:pPr>
              <w:pStyle w:val="TableContents"/>
              <w:bidi w:val="0"/>
              <w:spacing w:before="0" w:after="0"/>
              <w:jc w:val="center"/>
              <w:rPr>
                <w:rFonts w:ascii="Times New Roman" w:hAnsi="Times New Roman"/>
                <w:sz w:val="14"/>
              </w:rPr>
            </w:pPr>
            <w:r>
              <w:rPr>
                <w:rFonts w:ascii="Times New Roman" w:hAnsi="Times New Roman"/>
                <w:sz w:val="14"/>
              </w:rPr>
              <w:t>Form</w:t>
            </w:r>
          </w:p>
          <w:p>
            <w:pPr>
              <w:pStyle w:val="TableContents"/>
              <w:bidi w:val="0"/>
              <w:spacing w:before="0" w:after="20"/>
              <w:jc w:val="center"/>
              <w:rPr>
                <w:rFonts w:ascii="Times New Roman" w:hAnsi="Times New Roman"/>
                <w:sz w:val="14"/>
              </w:rPr>
            </w:pPr>
            <w:r>
              <w:rPr>
                <w:rFonts w:ascii="Times New Roman" w:hAnsi="Times New Roman"/>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Carry</w:t>
            </w:r>
          </w:p>
          <w:p>
            <w:pPr>
              <w:pStyle w:val="TableContents"/>
              <w:bidi w:val="0"/>
              <w:spacing w:before="0" w:after="0"/>
              <w:jc w:val="center"/>
              <w:rPr>
                <w:rFonts w:ascii="Times New Roman" w:hAnsi="Times New Roman"/>
                <w:sz w:val="14"/>
              </w:rPr>
            </w:pPr>
            <w:r>
              <w:rPr>
                <w:rFonts w:ascii="Times New Roman" w:hAnsi="Times New Roman"/>
                <w:sz w:val="14"/>
              </w:rPr>
              <w:t>Forward</w:t>
            </w:r>
          </w:p>
          <w:p>
            <w:pPr>
              <w:pStyle w:val="TableContents"/>
              <w:bidi w:val="0"/>
              <w:spacing w:before="0" w:after="0"/>
              <w:jc w:val="center"/>
              <w:rPr>
                <w:rFonts w:ascii="Times New Roman" w:hAnsi="Times New Roman"/>
                <w:sz w:val="14"/>
              </w:rPr>
            </w:pPr>
            <w:r>
              <w:rPr>
                <w:rFonts w:ascii="Times New Roman" w:hAnsi="Times New Roman"/>
                <w:sz w:val="14"/>
              </w:rPr>
              <w:t>File</w:t>
            </w:r>
          </w:p>
          <w:p>
            <w:pPr>
              <w:pStyle w:val="TableContents"/>
              <w:bidi w:val="0"/>
              <w:spacing w:before="0" w:after="20"/>
              <w:jc w:val="center"/>
              <w:rPr>
                <w:rFonts w:ascii="Times New Roman" w:hAnsi="Times New Roman"/>
                <w:sz w:val="14"/>
              </w:rPr>
            </w:pPr>
            <w:r>
              <w:rPr>
                <w:rFonts w:ascii="Times New Roman" w:hAnsi="Times New Roman"/>
                <w:sz w:val="14"/>
              </w:rP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Carry</w:t>
            </w:r>
          </w:p>
          <w:p>
            <w:pPr>
              <w:pStyle w:val="TableContents"/>
              <w:bidi w:val="0"/>
              <w:spacing w:before="0" w:after="0"/>
              <w:jc w:val="center"/>
              <w:rPr/>
            </w:pPr>
            <w:r>
              <w:rPr/>
              <w:t> </w:t>
            </w:r>
            <w:r>
              <w:rPr>
                <w:rFonts w:ascii="Times New Roman" w:hAnsi="Times New Roman"/>
                <w:sz w:val="14"/>
              </w:rPr>
              <w:t>Forward </w:t>
            </w:r>
          </w:p>
          <w:p>
            <w:pPr>
              <w:pStyle w:val="TableContents"/>
              <w:bidi w:val="0"/>
              <w:spacing w:before="0" w:after="0"/>
              <w:jc w:val="center"/>
              <w:rPr>
                <w:rFonts w:ascii="Times New Roman" w:hAnsi="Times New Roman"/>
                <w:sz w:val="14"/>
              </w:rPr>
            </w:pPr>
            <w:r>
              <w:rPr>
                <w:rFonts w:ascii="Times New Roman" w:hAnsi="Times New Roman"/>
                <w:sz w:val="14"/>
              </w:rPr>
              <w:t>Initial</w:t>
            </w:r>
          </w:p>
          <w:p>
            <w:pPr>
              <w:pStyle w:val="TableContents"/>
              <w:bidi w:val="0"/>
              <w:spacing w:before="0" w:after="0"/>
              <w:jc w:val="center"/>
              <w:rPr>
                <w:rFonts w:ascii="Times New Roman" w:hAnsi="Times New Roman"/>
                <w:sz w:val="14"/>
              </w:rPr>
            </w:pPr>
            <w:r>
              <w:rPr>
                <w:rFonts w:ascii="Times New Roman" w:hAnsi="Times New Roman"/>
                <w:sz w:val="14"/>
              </w:rPr>
              <w:t>effective</w:t>
            </w:r>
          </w:p>
          <w:p>
            <w:pPr>
              <w:pStyle w:val="TableContents"/>
              <w:bidi w:val="0"/>
              <w:spacing w:before="0" w:after="20"/>
              <w:jc w:val="center"/>
              <w:rPr>
                <w:rFonts w:ascii="Times New Roman" w:hAnsi="Times New Roman"/>
                <w:sz w:val="14"/>
              </w:rPr>
            </w:pPr>
            <w:r>
              <w:rPr>
                <w:rFonts w:ascii="Times New Roman" w:hAnsi="Times New Roman"/>
                <w:sz w:val="14"/>
              </w:rP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40"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Filing Fee</w:t>
            </w:r>
          </w:p>
          <w:p>
            <w:pPr>
              <w:pStyle w:val="TableContents"/>
              <w:bidi w:val="0"/>
              <w:spacing w:before="0" w:after="0"/>
              <w:jc w:val="center"/>
              <w:rPr>
                <w:rFonts w:ascii="Times New Roman" w:hAnsi="Times New Roman"/>
                <w:sz w:val="14"/>
              </w:rPr>
            </w:pPr>
            <w:r>
              <w:rPr>
                <w:rFonts w:ascii="Times New Roman" w:hAnsi="Times New Roman"/>
                <w:sz w:val="14"/>
              </w:rPr>
              <w:t>Previously</w:t>
            </w:r>
          </w:p>
          <w:p>
            <w:pPr>
              <w:pStyle w:val="TableContents"/>
              <w:bidi w:val="0"/>
              <w:spacing w:before="0" w:after="0"/>
              <w:jc w:val="center"/>
              <w:rPr>
                <w:rFonts w:ascii="Times New Roman" w:hAnsi="Times New Roman"/>
                <w:sz w:val="14"/>
              </w:rPr>
            </w:pPr>
            <w:r>
              <w:rPr>
                <w:rFonts w:ascii="Times New Roman" w:hAnsi="Times New Roman"/>
                <w:sz w:val="14"/>
              </w:rPr>
              <w:t>Paid In</w:t>
            </w:r>
          </w:p>
          <w:p>
            <w:pPr>
              <w:pStyle w:val="TableContents"/>
              <w:bidi w:val="0"/>
              <w:spacing w:before="0" w:after="0"/>
              <w:jc w:val="center"/>
              <w:rPr>
                <w:rFonts w:ascii="Times New Roman" w:hAnsi="Times New Roman"/>
                <w:sz w:val="14"/>
              </w:rPr>
            </w:pPr>
            <w:r>
              <w:rPr>
                <w:rFonts w:ascii="Times New Roman" w:hAnsi="Times New Roman"/>
                <w:sz w:val="14"/>
              </w:rPr>
              <w:t>Connection</w:t>
            </w:r>
          </w:p>
          <w:p>
            <w:pPr>
              <w:pStyle w:val="TableContents"/>
              <w:bidi w:val="0"/>
              <w:spacing w:before="0" w:after="0"/>
              <w:jc w:val="center"/>
              <w:rPr>
                <w:rFonts w:ascii="Times New Roman" w:hAnsi="Times New Roman"/>
                <w:sz w:val="14"/>
              </w:rPr>
            </w:pPr>
            <w:r>
              <w:rPr>
                <w:rFonts w:ascii="Times New Roman" w:hAnsi="Times New Roman"/>
                <w:sz w:val="14"/>
              </w:rPr>
              <w:t>with</w:t>
              <w:br/>
              <w:t>Unsold</w:t>
            </w:r>
          </w:p>
          <w:p>
            <w:pPr>
              <w:pStyle w:val="TableContents"/>
              <w:bidi w:val="0"/>
              <w:spacing w:before="0" w:after="0"/>
              <w:jc w:val="center"/>
              <w:rPr>
                <w:rFonts w:ascii="Times New Roman" w:hAnsi="Times New Roman"/>
                <w:sz w:val="14"/>
              </w:rPr>
            </w:pPr>
            <w:r>
              <w:rPr>
                <w:rFonts w:ascii="Times New Roman" w:hAnsi="Times New Roman"/>
                <w:sz w:val="14"/>
              </w:rPr>
              <w:t>Securities</w:t>
              <w:br/>
              <w:t>to</w:t>
              <w:br/>
              <w:t>be Carried</w:t>
            </w:r>
          </w:p>
          <w:p>
            <w:pPr>
              <w:pStyle w:val="TableContents"/>
              <w:bidi w:val="0"/>
              <w:spacing w:before="0" w:after="20"/>
              <w:jc w:val="center"/>
              <w:rPr>
                <w:rFonts w:ascii="Times New Roman" w:hAnsi="Times New Roman"/>
                <w:sz w:val="14"/>
              </w:rPr>
            </w:pPr>
            <w:r>
              <w:rPr>
                <w:rFonts w:ascii="Times New Roman" w:hAnsi="Times New Roman"/>
                <w:sz w:val="14"/>
              </w:rPr>
              <w:t>Forward</w:t>
            </w:r>
          </w:p>
        </w:tc>
      </w:tr>
      <w:tr>
        <w:trPr>
          <w:trHeight w:val="15" w:hRule="atLeast"/>
        </w:trPr>
        <w:tc>
          <w:tcPr>
            <w:tcW w:w="12200"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2200"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pPr>
            <w:r>
              <w:rPr/>
              <w:t>Newly Registered Securities</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19"/>
              </w:rPr>
            </w:pPr>
            <w:r>
              <w:rPr>
                <w:rFonts w:ascii="Times New Roman" w:hAnsi="Times New Roman"/>
                <w:sz w:val="19"/>
              </w:rPr>
              <w:t>Fees to Be</w:t>
            </w:r>
          </w:p>
          <w:p>
            <w:pPr>
              <w:pStyle w:val="TableContents"/>
              <w:bidi w:val="0"/>
              <w:spacing w:before="0" w:after="20"/>
              <w:jc w:val="center"/>
              <w:rPr>
                <w:rFonts w:ascii="Times New Roman" w:hAnsi="Times New Roman"/>
                <w:sz w:val="19"/>
              </w:rPr>
            </w:pPr>
            <w:r>
              <w:rPr>
                <w:rFonts w:ascii="Times New Roman" w:hAnsi="Times New Roman"/>
                <w:sz w:val="19"/>
              </w:rP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Common</w:t>
              <w:br/>
              <w:t>Stock, par</w:t>
              <w:br/>
              <w:t>value $0.001</w:t>
              <w:br/>
              <w:t>per</w:t>
              <w:br/>
              <w:t>share(1)(2)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Preferred</w:t>
              <w:br/>
              <w:t>Stock, par</w:t>
              <w:br/>
              <w:t>value</w:t>
              <w:br/>
              <w:t>$0.001</w:t>
              <w:br/>
              <w:t>per share(1)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Debt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Debt</w:t>
              <w:br/>
              <w:t>Securities(1)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Warrants(1)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Units(1)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Rights to</w:t>
              <w:br/>
              <w:t>purchase</w:t>
              <w:br/>
              <w:t>common</w:t>
              <w:br/>
              <w:t>stock,</w:t>
              <w:br/>
              <w:t>preferred</w:t>
              <w:br/>
              <w:t>stock, debt</w:t>
              <w:br/>
              <w:t>securities or</w:t>
              <w:br/>
              <w:t>units(1)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Unallocated</w:t>
              <w:br/>
              <w:t>(Universal)</w:t>
              <w:br/>
              <w:t>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center"/>
              <w:rPr/>
            </w:pPr>
            <w:r>
              <w:rPr/>
              <w:t>Rule</w:t>
              <w:b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center"/>
              <w:rPr/>
            </w:pPr>
            <w:r>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$300,000,000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$0.00015310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$45,930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19"/>
              </w:rPr>
            </w:pPr>
            <w:r>
              <w:rPr>
                <w:rFonts w:ascii="Times New Roman" w:hAnsi="Times New Roman"/>
                <w:sz w:val="19"/>
              </w:rPr>
              <w:t>Fees</w:t>
            </w:r>
          </w:p>
          <w:p>
            <w:pPr>
              <w:pStyle w:val="TableContents"/>
              <w:bidi w:val="0"/>
              <w:spacing w:before="0" w:after="0"/>
              <w:jc w:val="center"/>
              <w:rPr>
                <w:rFonts w:ascii="Times New Roman" w:hAnsi="Times New Roman"/>
                <w:sz w:val="19"/>
              </w:rPr>
            </w:pPr>
            <w:r>
              <w:rPr>
                <w:rFonts w:ascii="Times New Roman" w:hAnsi="Times New Roman"/>
                <w:sz w:val="19"/>
              </w:rPr>
              <w:t>Previously</w:t>
            </w:r>
          </w:p>
          <w:p>
            <w:pPr>
              <w:pStyle w:val="TableContents"/>
              <w:bidi w:val="0"/>
              <w:spacing w:before="0" w:after="20"/>
              <w:jc w:val="center"/>
              <w:rPr>
                <w:rFonts w:ascii="Times New Roman" w:hAnsi="Times New Roman"/>
                <w:sz w:val="19"/>
              </w:rPr>
            </w:pPr>
            <w:r>
              <w:rPr>
                <w:rFonts w:ascii="Times New Roman" w:hAnsi="Times New Roman"/>
                <w:sz w:val="19"/>
              </w:rP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12200"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2200"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pPr>
            <w:r>
              <w:rPr/>
              <w:t>Carryforward Securities</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19"/>
              </w:rPr>
            </w:pPr>
            <w:r>
              <w:rPr>
                <w:rFonts w:ascii="Times New Roman" w:hAnsi="Times New Roman"/>
                <w:sz w:val="19"/>
              </w:rPr>
              <w:t>Carry</w:t>
            </w:r>
          </w:p>
          <w:p>
            <w:pPr>
              <w:pStyle w:val="TableContents"/>
              <w:bidi w:val="0"/>
              <w:spacing w:before="0" w:after="0"/>
              <w:jc w:val="center"/>
              <w:rPr>
                <w:rFonts w:ascii="Times New Roman" w:hAnsi="Times New Roman"/>
                <w:sz w:val="19"/>
              </w:rPr>
            </w:pPr>
            <w:r>
              <w:rPr>
                <w:rFonts w:ascii="Times New Roman" w:hAnsi="Times New Roman"/>
                <w:sz w:val="19"/>
              </w:rPr>
              <w:t>Forward</w:t>
            </w:r>
          </w:p>
          <w:p>
            <w:pPr>
              <w:pStyle w:val="TableContents"/>
              <w:bidi w:val="0"/>
              <w:spacing w:before="0" w:after="20"/>
              <w:jc w:val="center"/>
              <w:rPr>
                <w:rFonts w:ascii="Times New Roman" w:hAnsi="Times New Roman"/>
                <w:sz w:val="19"/>
              </w:rPr>
            </w:pPr>
            <w:r>
              <w:rPr>
                <w:rFonts w:ascii="Times New Roman" w:hAnsi="Times New Roman"/>
                <w:sz w:val="19"/>
              </w:rPr>
              <w:t>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Common</w:t>
              <w:br/>
              <w:t>Stock, par</w:t>
              <w:br/>
              <w:t>value $0.001</w:t>
              <w:br/>
              <w:t>per</w:t>
              <w:br/>
              <w:t>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Preferred</w:t>
              <w:br/>
              <w:t>Stock, par</w:t>
              <w:br/>
              <w:t>value</w:t>
              <w:br/>
              <w:t>$0.001</w:t>
              <w:br/>
              <w:t>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Debt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Debt</w:t>
              <w:br/>
              <w:t>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Warrants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Units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Rights to</w:t>
              <w:br/>
              <w:t>purchase</w:t>
              <w:br/>
              <w:t>common</w:t>
              <w:br/>
              <w:t>stock,</w:t>
              <w:br/>
              <w:t>preferred</w:t>
              <w:br/>
              <w:t>stock, debt</w:t>
              <w:br/>
              <w:t>securities or</w:t>
              <w:br/>
              <w:t>units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Unallocated</w:t>
              <w:br/>
              <w:t>(Universal)</w:t>
              <w:br/>
              <w:t>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Unallocated</w:t>
              <w:br/>
              <w:t>(Universal)</w:t>
              <w:br/>
              <w:t>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3360" w:type="dxa"/>
            <w:gridSpan w:val="6"/>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3300" w:type="dxa"/>
            <w:gridSpan w:val="5"/>
            <w:tcBorders/>
            <w:vAlign w:val="bottom"/>
          </w:tcPr>
          <w:p>
            <w:pPr>
              <w:pStyle w:val="TableContents"/>
              <w:bidi w:val="0"/>
              <w:spacing w:before="0" w:after="283"/>
              <w:jc w:val="right"/>
              <w:rPr/>
            </w:pPr>
            <w:r>
              <w:rPr/>
              <w:t>Total Offering Amounts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$300,000,000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$45,930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3360" w:type="dxa"/>
            <w:gridSpan w:val="6"/>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3300" w:type="dxa"/>
            <w:gridSpan w:val="5"/>
            <w:tcBorders/>
            <w:vAlign w:val="bottom"/>
          </w:tcPr>
          <w:p>
            <w:pPr>
              <w:pStyle w:val="TableContents"/>
              <w:bidi w:val="0"/>
              <w:spacing w:before="0" w:after="283"/>
              <w:jc w:val="right"/>
              <w:rPr/>
            </w:pPr>
            <w:r>
              <w:rPr/>
              <w:t>Total Fees Previously Paid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$14,602.19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3360" w:type="dxa"/>
            <w:gridSpan w:val="6"/>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3300" w:type="dxa"/>
            <w:gridSpan w:val="5"/>
            <w:tcBorders/>
            <w:vAlign w:val="bottom"/>
          </w:tcPr>
          <w:p>
            <w:pPr>
              <w:pStyle w:val="TableContents"/>
              <w:bidi w:val="0"/>
              <w:spacing w:before="0" w:after="283"/>
              <w:jc w:val="right"/>
              <w:rPr/>
            </w:pPr>
            <w:r>
              <w:rPr/>
              <w:t>Total Fee Offsets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$19,391.99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89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3360" w:type="dxa"/>
            <w:gridSpan w:val="6"/>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90"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300" w:type="dxa"/>
            <w:gridSpan w:val="5"/>
            <w:tcBorders>
              <w:bottom w:val="single" w:sz="2" w:space="0" w:color="000000"/>
            </w:tcBorders>
            <w:tcMar>
              <w:bottom w:w="28" w:type="dxa"/>
            </w:tcMar>
            <w:vAlign w:val="bottom"/>
          </w:tcPr>
          <w:p>
            <w:pPr>
              <w:pStyle w:val="TableContents"/>
              <w:bidi w:val="0"/>
              <w:spacing w:before="0" w:after="283"/>
              <w:jc w:val="right"/>
              <w:rPr/>
            </w:pPr>
            <w:r>
              <w:rPr/>
              <w:t>Net Fee Due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0" w:type="dxa"/>
            <w:tcBorders>
              <w:bottom w:val="single" w:sz="2" w:space="0" w:color="000000"/>
            </w:tcBorders>
            <w:tcMar>
              <w:bottom w:w="28" w:type="dxa"/>
            </w:tcMar>
            <w:vAlign w:val="bottom"/>
          </w:tcPr>
          <w:p>
            <w:pPr>
              <w:pStyle w:val="TableContents"/>
              <w:bidi w:val="0"/>
              <w:spacing w:before="0" w:after="283"/>
              <w:jc w:val="center"/>
              <w:rPr/>
            </w:pPr>
            <w:r>
              <w:rPr/>
              <w:t>$11,935.82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2: Fee Offset Claims and Sources </w:t>
      </w:r>
    </w:p>
    <w:p>
      <w:pPr>
        <w:pStyle w:val="TextBody"/>
        <w:bidi w:val="0"/>
        <w:spacing w:before="0" w:after="0"/>
        <w:jc w:val="left"/>
        <w:rPr/>
      </w:pPr>
      <w:r>
        <w:rPr/>
        <w:t> </w:t>
      </w:r>
    </w:p>
    <w:tbl>
      <w:tblPr>
        <w:tblW w:w="12690" w:type="dxa"/>
        <w:jc w:val="center"/>
        <w:tblInd w:w="0" w:type="dxa"/>
        <w:tblLayout w:type="fixed"/>
        <w:tblCellMar>
          <w:top w:w="0" w:type="dxa"/>
          <w:left w:w="0" w:type="dxa"/>
          <w:bottom w:w="0" w:type="dxa"/>
          <w:right w:w="0" w:type="dxa"/>
        </w:tblCellMar>
      </w:tblPr>
      <w:tblGrid>
        <w:gridCol w:w="770"/>
        <w:gridCol w:w="60"/>
        <w:gridCol w:w="1295"/>
        <w:gridCol w:w="60"/>
        <w:gridCol w:w="1190"/>
        <w:gridCol w:w="60"/>
        <w:gridCol w:w="1175"/>
        <w:gridCol w:w="60"/>
        <w:gridCol w:w="770"/>
        <w:gridCol w:w="60"/>
        <w:gridCol w:w="770"/>
        <w:gridCol w:w="60"/>
        <w:gridCol w:w="980"/>
        <w:gridCol w:w="60"/>
        <w:gridCol w:w="1160"/>
        <w:gridCol w:w="60"/>
        <w:gridCol w:w="770"/>
        <w:gridCol w:w="60"/>
        <w:gridCol w:w="650"/>
        <w:gridCol w:w="60"/>
        <w:gridCol w:w="1520"/>
        <w:gridCol w:w="60"/>
        <w:gridCol w:w="980"/>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Registrant</w:t>
            </w:r>
          </w:p>
          <w:p>
            <w:pPr>
              <w:pStyle w:val="TableContents"/>
              <w:bidi w:val="0"/>
              <w:spacing w:before="0" w:after="0"/>
              <w:jc w:val="center"/>
              <w:rPr>
                <w:rFonts w:ascii="Times New Roman" w:hAnsi="Times New Roman"/>
                <w:sz w:val="14"/>
              </w:rPr>
            </w:pPr>
            <w:r>
              <w:rPr>
                <w:rFonts w:ascii="Times New Roman" w:hAnsi="Times New Roman"/>
                <w:sz w:val="14"/>
              </w:rPr>
              <w:t>or Filer</w:t>
            </w:r>
          </w:p>
          <w:p>
            <w:pPr>
              <w:pStyle w:val="TableContents"/>
              <w:bidi w:val="0"/>
              <w:spacing w:before="0" w:after="20"/>
              <w:jc w:val="center"/>
              <w:rPr>
                <w:rFonts w:ascii="Times New Roman" w:hAnsi="Times New Roman"/>
                <w:sz w:val="14"/>
              </w:rPr>
            </w:pPr>
            <w:r>
              <w:rPr>
                <w:rFonts w:ascii="Times New Roman" w:hAnsi="Times New Roman"/>
                <w:sz w:val="14"/>
              </w:rPr>
              <w:t>Name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0"/>
              <w:jc w:val="center"/>
              <w:rPr>
                <w:rFonts w:ascii="Times New Roman" w:hAnsi="Times New Roman"/>
                <w:sz w:val="14"/>
              </w:rPr>
            </w:pPr>
            <w:r>
              <w:rPr>
                <w:rFonts w:ascii="Times New Roman" w:hAnsi="Times New Roman"/>
                <w:sz w:val="14"/>
              </w:rPr>
              <w:t>Form</w:t>
              <w:br/>
              <w:t>or</w:t>
              <w:br/>
              <w:t>Filing</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File</w:t>
            </w:r>
          </w:p>
          <w:p>
            <w:pPr>
              <w:pStyle w:val="TableContents"/>
              <w:bidi w:val="0"/>
              <w:spacing w:before="0" w:after="20"/>
              <w:jc w:val="center"/>
              <w:rPr>
                <w:rFonts w:ascii="Times New Roman" w:hAnsi="Times New Roman"/>
                <w:sz w:val="14"/>
              </w:rPr>
            </w:pPr>
            <w:r>
              <w:rPr>
                <w:rFonts w:ascii="Times New Roman" w:hAnsi="Times New Roman"/>
                <w:sz w:val="14"/>
              </w:rP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0"/>
              <w:jc w:val="center"/>
              <w:rPr>
                <w:rFonts w:ascii="Times New Roman" w:hAnsi="Times New Roman"/>
                <w:sz w:val="14"/>
              </w:rPr>
            </w:pPr>
            <w:r>
              <w:rPr>
                <w:rFonts w:ascii="Times New Roman" w:hAnsi="Times New Roman"/>
                <w:sz w:val="14"/>
              </w:rPr>
              <w:t>Initial</w:t>
              <w:br/>
              <w:t>Filing</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0"/>
              <w:jc w:val="center"/>
              <w:rPr>
                <w:rFonts w:ascii="Times New Roman" w:hAnsi="Times New Roman"/>
                <w:sz w:val="14"/>
              </w:rPr>
            </w:pPr>
            <w:r>
              <w:rPr>
                <w:rFonts w:ascii="Times New Roman" w:hAnsi="Times New Roman"/>
                <w:sz w:val="14"/>
              </w:rPr>
              <w:t>Filing</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0"/>
              <w:jc w:val="center"/>
              <w:rPr>
                <w:rFonts w:ascii="Times New Roman" w:hAnsi="Times New Roman"/>
                <w:sz w:val="14"/>
              </w:rPr>
            </w:pPr>
            <w:r>
              <w:rPr>
                <w:rFonts w:ascii="Times New Roman" w:hAnsi="Times New Roman"/>
                <w:sz w:val="14"/>
              </w:rPr>
              <w:t>Fee Offset</w:t>
              <w:b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Type</w:t>
              <w:br/>
              <w:t>Associated</w:t>
            </w:r>
          </w:p>
          <w:p>
            <w:pPr>
              <w:pStyle w:val="TableContents"/>
              <w:bidi w:val="0"/>
              <w:spacing w:before="0" w:after="0"/>
              <w:jc w:val="center"/>
              <w:rPr>
                <w:rFonts w:ascii="Times New Roman" w:hAnsi="Times New Roman"/>
                <w:sz w:val="14"/>
              </w:rPr>
            </w:pPr>
            <w:r>
              <w:rPr>
                <w:rFonts w:ascii="Times New Roman" w:hAnsi="Times New Roman"/>
                <w:sz w:val="14"/>
              </w:rPr>
              <w:t>with Fee</w:t>
            </w:r>
          </w:p>
          <w:p>
            <w:pPr>
              <w:pStyle w:val="TableContents"/>
              <w:bidi w:val="0"/>
              <w:spacing w:before="0" w:after="0"/>
              <w:jc w:val="center"/>
              <w:rPr>
                <w:rFonts w:ascii="Times New Roman" w:hAnsi="Times New Roman"/>
                <w:sz w:val="14"/>
              </w:rPr>
            </w:pPr>
            <w:r>
              <w:rPr>
                <w:rFonts w:ascii="Times New Roman" w:hAnsi="Times New Roman"/>
                <w:sz w:val="14"/>
              </w:rPr>
              <w:t>Offset</w:t>
            </w:r>
          </w:p>
          <w:p>
            <w:pPr>
              <w:pStyle w:val="TableContents"/>
              <w:bidi w:val="0"/>
              <w:spacing w:before="0" w:after="20"/>
              <w:jc w:val="center"/>
              <w:rPr>
                <w:rFonts w:ascii="Times New Roman" w:hAnsi="Times New Roman"/>
                <w:sz w:val="14"/>
              </w:rPr>
            </w:pPr>
            <w:r>
              <w:rPr>
                <w:rFonts w:ascii="Times New Roman" w:hAnsi="Times New Roman"/>
                <w:sz w:val="14"/>
              </w:rP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0"/>
              <w:jc w:val="center"/>
              <w:rPr>
                <w:rFonts w:ascii="Times New Roman" w:hAnsi="Times New Roman"/>
                <w:sz w:val="14"/>
              </w:rPr>
            </w:pPr>
            <w:r>
              <w:rPr>
                <w:rFonts w:ascii="Times New Roman" w:hAnsi="Times New Roman"/>
                <w:sz w:val="14"/>
              </w:rPr>
              <w:t>Security</w:t>
              <w:br/>
              <w:t>Title</w:t>
              <w:br/>
              <w:t>Associated</w:t>
              <w:br/>
              <w:t>with Fee</w:t>
              <w:br/>
              <w:t>Offset</w:t>
              <w:b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0"/>
              <w:jc w:val="center"/>
              <w:rPr>
                <w:rFonts w:ascii="Times New Roman" w:hAnsi="Times New Roman"/>
                <w:sz w:val="14"/>
              </w:rPr>
            </w:pPr>
            <w:r>
              <w:rPr>
                <w:rFonts w:ascii="Times New Roman" w:hAnsi="Times New Roman"/>
                <w:sz w:val="14"/>
              </w:rPr>
              <w:t>Unsold</w:t>
              <w:br/>
              <w:t>Securities</w:t>
              <w:br/>
              <w:t>Associated</w:t>
              <w:br/>
              <w:t>with Fee</w:t>
              <w:br/>
              <w:t>Offset</w:t>
              <w:b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Unsold</w:t>
            </w:r>
          </w:p>
          <w:p>
            <w:pPr>
              <w:pStyle w:val="TableContents"/>
              <w:bidi w:val="0"/>
              <w:spacing w:before="0" w:after="0"/>
              <w:jc w:val="center"/>
              <w:rPr>
                <w:rFonts w:ascii="Times New Roman" w:hAnsi="Times New Roman"/>
                <w:sz w:val="14"/>
              </w:rPr>
            </w:pPr>
            <w:r>
              <w:rPr>
                <w:rFonts w:ascii="Times New Roman" w:hAnsi="Times New Roman"/>
                <w:sz w:val="14"/>
              </w:rPr>
              <w:t>Aggregate</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0"/>
              <w:jc w:val="center"/>
              <w:rPr>
                <w:rFonts w:ascii="Times New Roman" w:hAnsi="Times New Roman"/>
                <w:sz w:val="14"/>
              </w:rPr>
            </w:pPr>
            <w:r>
              <w:rPr>
                <w:rFonts w:ascii="Times New Roman" w:hAnsi="Times New Roman"/>
                <w:sz w:val="14"/>
              </w:rPr>
              <w:t>Amount</w:t>
            </w:r>
          </w:p>
          <w:p>
            <w:pPr>
              <w:pStyle w:val="TableContents"/>
              <w:bidi w:val="0"/>
              <w:spacing w:before="0" w:after="0"/>
              <w:jc w:val="center"/>
              <w:rPr>
                <w:rFonts w:ascii="Times New Roman" w:hAnsi="Times New Roman"/>
                <w:sz w:val="14"/>
              </w:rPr>
            </w:pPr>
            <w:r>
              <w:rPr>
                <w:rFonts w:ascii="Times New Roman" w:hAnsi="Times New Roman"/>
                <w:sz w:val="14"/>
              </w:rPr>
              <w:t>Associated</w:t>
            </w:r>
          </w:p>
          <w:p>
            <w:pPr>
              <w:pStyle w:val="TableContents"/>
              <w:bidi w:val="0"/>
              <w:spacing w:before="0" w:after="0"/>
              <w:jc w:val="center"/>
              <w:rPr>
                <w:rFonts w:ascii="Times New Roman" w:hAnsi="Times New Roman"/>
                <w:sz w:val="14"/>
              </w:rPr>
            </w:pPr>
            <w:r>
              <w:rPr>
                <w:rFonts w:ascii="Times New Roman" w:hAnsi="Times New Roman"/>
                <w:sz w:val="14"/>
              </w:rPr>
              <w:t>with Fee</w:t>
            </w:r>
          </w:p>
          <w:p>
            <w:pPr>
              <w:pStyle w:val="TableContents"/>
              <w:bidi w:val="0"/>
              <w:spacing w:before="0" w:after="0"/>
              <w:jc w:val="center"/>
              <w:rPr>
                <w:rFonts w:ascii="Times New Roman" w:hAnsi="Times New Roman"/>
                <w:sz w:val="14"/>
              </w:rPr>
            </w:pPr>
            <w:r>
              <w:rPr>
                <w:rFonts w:ascii="Times New Roman" w:hAnsi="Times New Roman"/>
                <w:sz w:val="14"/>
              </w:rPr>
              <w:t>Offset</w:t>
            </w:r>
          </w:p>
          <w:p>
            <w:pPr>
              <w:pStyle w:val="TableContents"/>
              <w:bidi w:val="0"/>
              <w:spacing w:before="0" w:after="20"/>
              <w:jc w:val="center"/>
              <w:rPr>
                <w:rFonts w:ascii="Times New Roman" w:hAnsi="Times New Roman"/>
                <w:sz w:val="14"/>
              </w:rPr>
            </w:pPr>
            <w:r>
              <w:rPr>
                <w:rFonts w:ascii="Times New Roman" w:hAnsi="Times New Roman"/>
                <w:sz w:val="14"/>
              </w:rP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Fee Paid</w:t>
            </w:r>
          </w:p>
          <w:p>
            <w:pPr>
              <w:pStyle w:val="TableContents"/>
              <w:bidi w:val="0"/>
              <w:spacing w:before="0" w:after="0"/>
              <w:jc w:val="center"/>
              <w:rPr>
                <w:rFonts w:ascii="Times New Roman" w:hAnsi="Times New Roman"/>
                <w:sz w:val="14"/>
              </w:rPr>
            </w:pPr>
            <w:r>
              <w:rPr>
                <w:rFonts w:ascii="Times New Roman" w:hAnsi="Times New Roman"/>
                <w:sz w:val="14"/>
              </w:rPr>
              <w:t>with Fee</w:t>
            </w:r>
          </w:p>
          <w:p>
            <w:pPr>
              <w:pStyle w:val="TableContents"/>
              <w:bidi w:val="0"/>
              <w:spacing w:before="0" w:after="0"/>
              <w:jc w:val="center"/>
              <w:rPr>
                <w:rFonts w:ascii="Times New Roman" w:hAnsi="Times New Roman"/>
                <w:sz w:val="14"/>
              </w:rPr>
            </w:pPr>
            <w:r>
              <w:rPr>
                <w:rFonts w:ascii="Times New Roman" w:hAnsi="Times New Roman"/>
                <w:sz w:val="14"/>
              </w:rPr>
              <w:t>Offset</w:t>
            </w:r>
          </w:p>
          <w:p>
            <w:pPr>
              <w:pStyle w:val="TableContents"/>
              <w:bidi w:val="0"/>
              <w:spacing w:before="0" w:after="20"/>
              <w:jc w:val="center"/>
              <w:rPr>
                <w:rFonts w:ascii="Times New Roman" w:hAnsi="Times New Roman"/>
                <w:sz w:val="14"/>
              </w:rPr>
            </w:pPr>
            <w:r>
              <w:rPr>
                <w:rFonts w:ascii="Times New Roman" w:hAnsi="Times New Roman"/>
                <w:sz w:val="14"/>
              </w:rPr>
              <w:t>Source</w:t>
            </w:r>
          </w:p>
        </w:tc>
      </w:tr>
      <w:tr>
        <w:trPr>
          <w:trHeight w:val="15" w:hRule="atLeast"/>
        </w:trPr>
        <w:tc>
          <w:tcPr>
            <w:tcW w:w="12690" w:type="dxa"/>
            <w:gridSpan w:val="23"/>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2690" w:type="dxa"/>
            <w:gridSpan w:val="23"/>
            <w:tcBorders>
              <w:left w:val="single" w:sz="2" w:space="0" w:color="000000"/>
              <w:right w:val="single" w:sz="2" w:space="0" w:color="000000"/>
            </w:tcBorders>
            <w:tcMar>
              <w:left w:w="160" w:type="dxa"/>
              <w:right w:w="40" w:type="dxa"/>
            </w:tcMar>
          </w:tcPr>
          <w:p>
            <w:pPr>
              <w:pStyle w:val="TableContents"/>
              <w:bidi w:val="0"/>
              <w:spacing w:before="0" w:after="283"/>
              <w:jc w:val="center"/>
              <w:rPr/>
            </w:pPr>
            <w:r>
              <w:rPr/>
              <w:t>Rules 457(p)</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19"/>
              </w:rPr>
            </w:pPr>
            <w:r>
              <w:rPr>
                <w:rFonts w:ascii="Times New Roman" w:hAnsi="Times New Roman"/>
                <w:sz w:val="19"/>
              </w:rPr>
              <w:t>Fee Offset</w:t>
            </w:r>
          </w:p>
          <w:p>
            <w:pPr>
              <w:pStyle w:val="TableContents"/>
              <w:bidi w:val="0"/>
              <w:spacing w:before="0" w:after="20"/>
              <w:jc w:val="center"/>
              <w:rPr>
                <w:rFonts w:ascii="Times New Roman" w:hAnsi="Times New Roman"/>
                <w:sz w:val="19"/>
              </w:rPr>
            </w:pPr>
            <w:r>
              <w:rPr>
                <w:rFonts w:ascii="Times New Roman" w:hAnsi="Times New Roman"/>
                <w:sz w:val="19"/>
              </w:rPr>
              <w:t>Claims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center"/>
              <w:rPr/>
            </w:pPr>
            <w:r>
              <w:rPr/>
              <w:t>Tempest Therapeutics, Inc.</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Form S-3(5)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333-257990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center"/>
              <w:rPr/>
            </w:pPr>
            <w:r>
              <w:rPr/>
              <w:t>July 16, 2021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$7,277.00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Unallocated (Universal 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$66,700,274.98</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19"/>
              </w:rPr>
            </w:pPr>
            <w:r>
              <w:rPr>
                <w:rFonts w:ascii="Times New Roman" w:hAnsi="Times New Roman"/>
                <w:sz w:val="19"/>
              </w:rPr>
              <w:t>Fee Offset</w:t>
            </w:r>
          </w:p>
          <w:p>
            <w:pPr>
              <w:pStyle w:val="TableContents"/>
              <w:bidi w:val="0"/>
              <w:spacing w:before="0" w:after="20"/>
              <w:jc w:val="center"/>
              <w:rPr>
                <w:rFonts w:ascii="Times New Roman" w:hAnsi="Times New Roman"/>
                <w:sz w:val="19"/>
              </w:rPr>
            </w:pPr>
            <w:r>
              <w:rPr>
                <w:rFonts w:ascii="Times New Roman" w:hAnsi="Times New Roman"/>
                <w:sz w:val="19"/>
              </w:rPr>
              <w:t>Claims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center"/>
              <w:rPr/>
            </w:pPr>
            <w:r>
              <w:rPr/>
              <w:t>Tempest Therapeutics, Inc.</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Form S-3(5)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333-230749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center"/>
              <w:rPr/>
            </w:pPr>
            <w:r>
              <w:rPr/>
              <w:t>April 5, 2019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$3,252,59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Unallocated (Universal 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$26,836,564.55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19"/>
              </w:rPr>
            </w:pPr>
            <w:r>
              <w:rPr>
                <w:rFonts w:ascii="Times New Roman" w:hAnsi="Times New Roman"/>
                <w:sz w:val="19"/>
              </w:rPr>
              <w:t>Fee Offset</w:t>
            </w:r>
          </w:p>
          <w:p>
            <w:pPr>
              <w:pStyle w:val="TableContents"/>
              <w:bidi w:val="0"/>
              <w:spacing w:before="0" w:after="20"/>
              <w:jc w:val="center"/>
              <w:rPr>
                <w:rFonts w:ascii="Times New Roman" w:hAnsi="Times New Roman"/>
                <w:sz w:val="19"/>
              </w:rPr>
            </w:pPr>
            <w:r>
              <w:rPr>
                <w:rFonts w:ascii="Times New Roman" w:hAnsi="Times New Roman"/>
                <w:sz w:val="19"/>
              </w:rPr>
              <w:t>Claims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center"/>
              <w:rPr/>
            </w:pPr>
            <w:r>
              <w:rPr/>
              <w:t>Tempest Therapeutics, Inc.</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Form S-3(5)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333-230749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center"/>
              <w:rPr/>
            </w:pPr>
            <w:r>
              <w:rPr/>
              <w:t>April 5, 2019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$8,862.40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center"/>
              <w:rPr>
                <w:rFonts w:ascii="Times New Roman" w:hAnsi="Times New Roman"/>
                <w:sz w:val="19"/>
              </w:rPr>
            </w:pPr>
            <w:r>
              <w:rPr>
                <w:rFonts w:ascii="Times New Roman" w:hAnsi="Times New Roman"/>
                <w:sz w:val="19"/>
              </w:rPr>
              <w:t>Common</w:t>
            </w:r>
          </w:p>
          <w:p>
            <w:pPr>
              <w:pStyle w:val="TableContents"/>
              <w:bidi w:val="0"/>
              <w:spacing w:before="0" w:after="0"/>
              <w:jc w:val="center"/>
              <w:rPr>
                <w:rFonts w:ascii="Times New Roman" w:hAnsi="Times New Roman"/>
                <w:sz w:val="19"/>
              </w:rPr>
            </w:pPr>
            <w:r>
              <w:rPr>
                <w:rFonts w:ascii="Times New Roman" w:hAnsi="Times New Roman"/>
                <w:sz w:val="19"/>
              </w:rPr>
              <w:t>Stock, par value</w:t>
            </w:r>
          </w:p>
          <w:p>
            <w:pPr>
              <w:pStyle w:val="TableContents"/>
              <w:bidi w:val="0"/>
              <w:spacing w:before="0" w:after="20"/>
              <w:jc w:val="center"/>
              <w:rPr>
                <w:rFonts w:ascii="Times New Roman" w:hAnsi="Times New Roman"/>
                <w:sz w:val="19"/>
              </w:rPr>
            </w:pPr>
            <w:r>
              <w:rPr>
                <w:rFonts w:ascii="Times New Roman" w:hAnsi="Times New Roman"/>
                <w:sz w:val="19"/>
              </w:rPr>
              <w:t>$0.001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$73,122,098.82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center"/>
              <w:rPr/>
            </w:pPr>
            <w:r>
              <w:rPr/>
              <w:t>Fee Offset Sources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95" w:type="dxa"/>
            <w:tcBorders>
              <w:bottom w:val="single" w:sz="2" w:space="0" w:color="000000"/>
            </w:tcBorders>
            <w:tcMar>
              <w:bottom w:w="28" w:type="dxa"/>
            </w:tcMar>
            <w:vAlign w:val="bottom"/>
          </w:tcPr>
          <w:p>
            <w:pPr>
              <w:pStyle w:val="TableContents"/>
              <w:bidi w:val="0"/>
              <w:spacing w:before="0" w:after="283"/>
              <w:jc w:val="center"/>
              <w:rPr/>
            </w:pPr>
            <w:r>
              <w:rPr/>
              <w:t>Tempest Therapeutics, Inc.</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vAlign w:val="bottom"/>
          </w:tcPr>
          <w:p>
            <w:pPr>
              <w:pStyle w:val="TableContents"/>
              <w:bidi w:val="0"/>
              <w:spacing w:before="0" w:after="283"/>
              <w:jc w:val="center"/>
              <w:rPr/>
            </w:pPr>
            <w:r>
              <w:rPr/>
              <w:t>Form S-3(5)</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vAlign w:val="bottom"/>
          </w:tcPr>
          <w:p>
            <w:pPr>
              <w:pStyle w:val="TableContents"/>
              <w:bidi w:val="0"/>
              <w:spacing w:before="0" w:after="283"/>
              <w:jc w:val="center"/>
              <w:rPr/>
            </w:pPr>
            <w:r>
              <w:rPr/>
              <w:t>333-257990</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 w:type="dxa"/>
            <w:tcBorders>
              <w:bottom w:val="single" w:sz="2" w:space="0" w:color="000000"/>
            </w:tcBorders>
            <w:tcMar>
              <w:bottom w:w="28" w:type="dxa"/>
            </w:tcMar>
            <w:vAlign w:val="bottom"/>
          </w:tcPr>
          <w:p>
            <w:pPr>
              <w:pStyle w:val="TableContents"/>
              <w:bidi w:val="0"/>
              <w:spacing w:before="0" w:after="283"/>
              <w:jc w:val="center"/>
              <w:rPr/>
            </w:pPr>
            <w:r>
              <w:rPr/>
              <w:t>July 16, 2021</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$7,277.00</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3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28" w:type="dxa"/>
            </w:tcMar>
            <w:vAlign w:val="bottom"/>
          </w:tcPr>
          <w:p>
            <w:pPr>
              <w:pStyle w:val="TableContents"/>
              <w:bidi w:val="0"/>
              <w:spacing w:before="0" w:after="0"/>
              <w:jc w:val="center"/>
              <w:rPr>
                <w:rFonts w:ascii="Times New Roman" w:hAnsi="Times New Roman"/>
                <w:sz w:val="19"/>
              </w:rPr>
            </w:pPr>
            <w:r>
              <w:rPr>
                <w:rFonts w:ascii="Times New Roman" w:hAnsi="Times New Roman"/>
                <w:sz w:val="19"/>
              </w:rPr>
              <w:t>Fee Offset</w:t>
            </w:r>
          </w:p>
          <w:p>
            <w:pPr>
              <w:pStyle w:val="TableContents"/>
              <w:bidi w:val="0"/>
              <w:spacing w:before="0" w:after="20"/>
              <w:jc w:val="center"/>
              <w:rPr>
                <w:rFonts w:ascii="Times New Roman" w:hAnsi="Times New Roman"/>
                <w:sz w:val="19"/>
              </w:rPr>
            </w:pPr>
            <w:r>
              <w:rPr>
                <w:rFonts w:ascii="Times New Roman" w:hAnsi="Times New Roman"/>
                <w:sz w:val="19"/>
              </w:rPr>
              <w:t>Sources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95" w:type="dxa"/>
            <w:tcBorders>
              <w:bottom w:val="single" w:sz="2" w:space="0" w:color="000000"/>
            </w:tcBorders>
            <w:tcMar>
              <w:bottom w:w="28" w:type="dxa"/>
            </w:tcMar>
            <w:vAlign w:val="bottom"/>
          </w:tcPr>
          <w:p>
            <w:pPr>
              <w:pStyle w:val="TableContents"/>
              <w:bidi w:val="0"/>
              <w:spacing w:before="0" w:after="283"/>
              <w:jc w:val="center"/>
              <w:rPr/>
            </w:pPr>
            <w:r>
              <w:rPr/>
              <w:t>Tempest Therapeutics, Inc.</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vAlign w:val="bottom"/>
          </w:tcPr>
          <w:p>
            <w:pPr>
              <w:pStyle w:val="TableContents"/>
              <w:bidi w:val="0"/>
              <w:spacing w:before="0" w:after="283"/>
              <w:jc w:val="center"/>
              <w:rPr/>
            </w:pPr>
            <w:r>
              <w:rPr/>
              <w:t>Form S-3(5)</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vAlign w:val="bottom"/>
          </w:tcPr>
          <w:p>
            <w:pPr>
              <w:pStyle w:val="TableContents"/>
              <w:bidi w:val="0"/>
              <w:spacing w:before="0" w:after="283"/>
              <w:jc w:val="center"/>
              <w:rPr/>
            </w:pPr>
            <w:r>
              <w:rPr/>
              <w:t>333-230749</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 w:type="dxa"/>
            <w:tcBorders>
              <w:bottom w:val="single" w:sz="2" w:space="0" w:color="000000"/>
            </w:tcBorders>
            <w:tcMar>
              <w:bottom w:w="28" w:type="dxa"/>
            </w:tcMar>
            <w:vAlign w:val="bottom"/>
          </w:tcPr>
          <w:p>
            <w:pPr>
              <w:pStyle w:val="TableContents"/>
              <w:bidi w:val="0"/>
              <w:spacing w:before="0" w:after="283"/>
              <w:jc w:val="center"/>
              <w:rPr/>
            </w:pPr>
            <w:r>
              <w:rPr/>
              <w:t>April 5, 2019</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$24,240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Separate consideration may or may not be received for securities that are issuable upon the conversion or exercise of, or in exchange for, other securities offered hereby.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common stock registered hereunder includes an associated right (the Rights) as set forth in the Rights Agreement, dated as of October 10, 2023, between the registrant and Computershare Trust Company, N.A., as rights agent, as amended by the Amendment No. 1 to Rights Agreement, dated October 9, 2024 and the Amendment No. 2, dated December 5, 2024. Rights are attached to the shares of common stock, will not be offered separately, and are not exercisable until the occurrence of certain events specified in the Rights Agreement. The value attributable to the Rights, if any, is reflected in the value of the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registering hereunder such indeterminate number of shares of common stock and preferred stock, such indeterminate principal amount of debt securities, such indeterminate number of warrants to purchase common stock, preferred stock and/or debt securities, such indeterminate amount of units and such indeterminate amount of rights to purchase common stock, preferred stock and/or debt securities to be sold by the registrant from time to time at unspecified prices which shall have an aggregate initial offering price not to exceed $300,000,000. If any debt securities are issued at an original issue discount, then the principal amount of such debt securities shall be in such greater amount as shall result in an aggregate initial offering price not to exceed $300,000,000, less the aggregate dollar amount of all securities previously issued hereunder. The securities registered for sale also include such indeterminate number of shares of common stock and preferred stock as may be issued upon conversion of debt securities, such indeterminate number of shares of common stock that may be issued upon conversion of preferred stock and such indeterminate number of shares of common stock, preferred stock and warrants and principal amount of debt securities that may be issued upon exercise of warrants or rights.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maximum offering price per share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 Form S-3 under the Securities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previously registered securities having an aggregate offering price up to $250,000,000 on a Registration Statement on Form S-3 (File No. 333-257990), filed with the Securities and Exchange Commission on July 16, 2021 (the 2021 Registration Statement). The 2021 Registration Statement included a base prospectus registering the offering, issuance and sale by the Company an indeterminate amount of common stock and preferred stock, such indeterminate principal amount of debt securities and such indeterminate number of warrants to purchase common stock, preferred stock or debt securities, as may from time to time be offered pursuant to the 2021 Registration Statement at indeterminate prices, along with an indeterminate number of securities that may be issued upon exercise, settlement, exchange or conversion of securities offered or sold thereunder. In connection with the filing of the 2021 Registration Statement, the Company owed a total fee of $27,275 and made a contemporaneous fee payment in the amount of $7,277 based on the fee rate then in effect and carried forward $19,998 from a Registration Statement on Form S-3 (File No. 333-230749), filed with the Securities and Exchange Commission on April 15, 2019 (the 2019 Registration Statement). Upon expiration of the 2021 Registration Statement, the Registrant had $175,416,376 allocated securities and $2,328,678 unallocated securities unsold.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Registrant also previously registered securities having an aggregate offering price up to $200,000,000 the 2019 Registration Statement. The 2019 Registration Statement included (i) a base prospectus registering the offering, issuance and sale by the Company an indeterminate amount of common stock and preferred stock, such indeterminate principal amount of debt securities and such indeterminate number of warrants to purchase common stock, preferred stock or debt securities, as may from time to time be offered pursuant to the 2019 Registration Statement at indeterminate prices, along with an indeterminate number of securities that may be issued upon exercise, settlement, exchange or conversion of securities offered or sold thereunder, and (ii) an equity distribution agreement prospectus covering the offering, issuance and sale by the registrant of up to a maximum aggregate offering price of $50,000,000 of the Registrants common stock. In connection with the filing of the 2019 Registration Statement, the Company made a contemporaneous fee payment in the amount of $24,240 based on the fee rate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457(p), the Registrant is offsetting $7,277 of the fees associated with this current registration statement from the filing fee previously paid in connection with the 2021 Registration Statement and $12,144.99 of the fees associated with this current registration statement from the filing fee previously paid in connection with the 2019 Registration Statement and carried forward to the 2021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The Registrant hereby confirms that the 2021 Registration Statement and the 2019 Registration Statement have expired and that all offerings thereunder have terminated.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44227/000119312524164015/d857887dex11.htm" TargetMode="External"/><Relationship Id="rId3" Type="http://schemas.openxmlformats.org/officeDocument/2006/relationships/hyperlink" Target="http://www.sec.gov/Archives/edgar/data/1544227/000110465921042768/tm2111026d1_ex2-1.htm" TargetMode="External"/><Relationship Id="rId4" Type="http://schemas.openxmlformats.org/officeDocument/2006/relationships/hyperlink" Target="http://www.sec.gov/Archives/edgar/data/1544227/000155837019005038/mlnd-20190331ex31b53fa83.htm" TargetMode="External"/><Relationship Id="rId5" Type="http://schemas.openxmlformats.org/officeDocument/2006/relationships/hyperlink" Target="http://www.sec.gov/Archives/edgar/data/0001544227/000119312521201157/d196630dex31.htm" TargetMode="External"/><Relationship Id="rId6" Type="http://schemas.openxmlformats.org/officeDocument/2006/relationships/hyperlink" Target="http://www.sec.gov/Archives/edgar/data/0001544227/000119312521201157/d196630dex32.htm" TargetMode="External"/><Relationship Id="rId7" Type="http://schemas.openxmlformats.org/officeDocument/2006/relationships/hyperlink" Target="http://www.sec.gov/Archives/edgar/data/1544227/000119312523253882/d547808dex31.htm" TargetMode="External"/><Relationship Id="rId8" Type="http://schemas.openxmlformats.org/officeDocument/2006/relationships/hyperlink" Target="http://www.sec.gov/Archives/edgar/data/1544227/000119312521281694/d222030dex31.htm" TargetMode="External"/><Relationship Id="rId9" Type="http://schemas.openxmlformats.org/officeDocument/2006/relationships/hyperlink" Target="http://www.sec.gov/Archives/edgar/data/0001544227/000119312521148605/d150774dex42.htm" TargetMode="External"/><Relationship Id="rId10" Type="http://schemas.openxmlformats.org/officeDocument/2006/relationships/hyperlink" Target="http://www.sec.gov/Archives/edgar/data/1544227/000119312522135401/d212050dex102.htm" TargetMode="External"/><Relationship Id="rId11" Type="http://schemas.openxmlformats.org/officeDocument/2006/relationships/hyperlink" Target="http://www.sec.gov/Archives/edgar/data/1544227/000119312523253882/d547808dex41.htm" TargetMode="External"/><Relationship Id="rId12" Type="http://schemas.openxmlformats.org/officeDocument/2006/relationships/hyperlink" Target="http://www.sec.gov/Archives/edgar/data/1544227/000119312524235598/d877681dex41.htm" TargetMode="External"/><Relationship Id="rId13" Type="http://schemas.openxmlformats.org/officeDocument/2006/relationships/hyperlink" Target="http://www.sec.gov/Archives/edgar/data/1544227/000119312524272464/d899818dex41.htm" TargetMode="External"/><Relationship Id="rId14" Type="http://schemas.openxmlformats.org/officeDocument/2006/relationships/hyperlink" Target="http://www.sec.gov/Archives/edgar/data/0001544227/000119312524181673/d873142dex44.htm" TargetMode="External"/><Relationship Id="rId15" Type="http://schemas.openxmlformats.org/officeDocument/2006/relationships/hyperlink" Target="http://www.sec.gov/Archives/edgar/data/1544227/000119312524181673/d873142dex51.htm" TargetMode="External"/><Relationship Id="rId16" Type="http://schemas.openxmlformats.org/officeDocument/2006/relationships/hyperlink" Target="http://www.sec.gov/Archives/edgar/data/1544227/000119312524181673/d873142dex51.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5022</Words>
  <Characters>27076</Characters>
  <CharactersWithSpaces>32667</CharactersWithSpaces>
  <Paragraphs>1219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