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March 30, 2026, Tempest Therapeutics, Inc. (the “Company”) issued a press release announcing its financial results for the year ended December 31, 2025 and other business highlights. A copy of the Company’s press release is attached hereto as Exhibit 99.1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67"/>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30, 2026</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493"/>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4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58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2026</w:t>
            </w:r>
          </w:p>
        </w:tc>
        <w:tc>
          <w:tcPr>
            <w:tcW w:w="25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Angel</w:t>
            </w:r>
          </w:p>
        </w:tc>
      </w:tr>
      <w:tr>
        <w:trPr>
          <w:trHeight w:val="191"/>
        </w:trPr>
        <w:tc>
          <w:tcPr>
            <w:tcW w:w="3680" w:type="dxa"/>
            <w:vAlign w:val="bottom"/>
          </w:tcPr>
          <w:p>
            <w:pPr>
              <w:spacing w:after="0"/>
              <w:rPr>
                <w:sz w:val="16"/>
                <w:szCs w:val="16"/>
                <w:color w:val="auto"/>
              </w:rPr>
            </w:pPr>
          </w:p>
        </w:tc>
        <w:tc>
          <w:tcPr>
            <w:tcW w:w="252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Angel</w:t>
            </w:r>
          </w:p>
        </w:tc>
      </w:tr>
      <w:tr>
        <w:trPr>
          <w:trHeight w:val="248"/>
        </w:trPr>
        <w:tc>
          <w:tcPr>
            <w:tcW w:w="3680" w:type="dxa"/>
            <w:vAlign w:val="bottom"/>
          </w:tcPr>
          <w:p>
            <w:pPr>
              <w:spacing w:after="0"/>
              <w:rPr>
                <w:sz w:val="21"/>
                <w:szCs w:val="21"/>
                <w:color w:val="auto"/>
              </w:rPr>
            </w:pPr>
          </w:p>
        </w:tc>
        <w:tc>
          <w:tcPr>
            <w:tcW w:w="25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41"/>
        </w:trPr>
        <w:tc>
          <w:tcPr>
            <w:tcW w:w="36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431165</wp:posOffset>
            </wp:positionV>
            <wp:extent cx="228028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Tempest Reports Year End 2025 Financial Results and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Business Update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Completed strategic acquisition of dual-targeting CAR-T assets from Factor Bioscience Inc.</w:t>
      </w:r>
    </w:p>
    <w:p>
      <w:pPr>
        <w:spacing w:after="0" w:line="305" w:lineRule="exact"/>
        <w:rPr>
          <w:sz w:val="20"/>
          <w:szCs w:val="20"/>
          <w:color w:val="auto"/>
        </w:rPr>
      </w:pPr>
    </w:p>
    <w:p>
      <w:pPr>
        <w:ind w:left="2600"/>
        <w:spacing w:after="0"/>
        <w:rPr>
          <w:sz w:val="20"/>
          <w:szCs w:val="20"/>
          <w:color w:val="auto"/>
        </w:rPr>
      </w:pPr>
      <w:r>
        <w:rPr>
          <w:rFonts w:ascii="Arial" w:cs="Arial" w:eastAsia="Arial" w:hAnsi="Arial"/>
          <w:sz w:val="23"/>
          <w:szCs w:val="23"/>
          <w:i w:val="1"/>
          <w:iCs w:val="1"/>
          <w:color w:val="auto"/>
        </w:rPr>
        <w:t>Named Matt Angel, Ph.D., Chief Executive Officer &amp; President</w:t>
      </w:r>
    </w:p>
    <w:p>
      <w:pPr>
        <w:spacing w:after="0" w:line="303" w:lineRule="exact"/>
        <w:rPr>
          <w:sz w:val="20"/>
          <w:szCs w:val="20"/>
          <w:color w:val="auto"/>
        </w:rPr>
      </w:pPr>
    </w:p>
    <w:p>
      <w:pPr>
        <w:jc w:val="center"/>
        <w:ind w:right="60"/>
        <w:spacing w:after="0" w:line="294" w:lineRule="auto"/>
        <w:rPr>
          <w:sz w:val="20"/>
          <w:szCs w:val="20"/>
          <w:color w:val="auto"/>
        </w:rPr>
      </w:pPr>
      <w:r>
        <w:rPr>
          <w:rFonts w:ascii="Arial" w:cs="Arial" w:eastAsia="Arial" w:hAnsi="Arial"/>
          <w:sz w:val="23"/>
          <w:szCs w:val="23"/>
          <w:i w:val="1"/>
          <w:iCs w:val="1"/>
          <w:color w:val="auto"/>
        </w:rPr>
        <w:t>Announced positive interim data from the ongoing REDEEM-1 Phase 1/2a trial of TPST-2003 in patients with relapsed/refractory multiple myeloma (rrMM)</w:t>
      </w:r>
    </w:p>
    <w:p>
      <w:pPr>
        <w:spacing w:after="0" w:line="36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Brisbane, CA</w:t>
      </w:r>
      <w:r>
        <w:rPr>
          <w:rFonts w:ascii="Arial" w:cs="Arial" w:eastAsia="Arial" w:hAnsi="Arial"/>
          <w:sz w:val="22"/>
          <w:szCs w:val="22"/>
          <w:color w:val="auto"/>
        </w:rPr>
        <w:t>, March 30, 2026</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(“Tempest”), a clinical-stage</w:t>
      </w:r>
      <w:r>
        <w:rPr>
          <w:rFonts w:ascii="Arial" w:cs="Arial" w:eastAsia="Arial" w:hAnsi="Arial"/>
          <w:sz w:val="22"/>
          <w:szCs w:val="22"/>
          <w:b w:val="1"/>
          <w:bCs w:val="1"/>
          <w:color w:val="auto"/>
        </w:rPr>
        <w:t xml:space="preserve"> </w:t>
      </w:r>
      <w:r>
        <w:rPr>
          <w:rFonts w:ascii="Arial" w:cs="Arial" w:eastAsia="Arial" w:hAnsi="Arial"/>
          <w:sz w:val="22"/>
          <w:szCs w:val="22"/>
          <w:color w:val="auto"/>
        </w:rPr>
        <w:t>biotechnology company developing a pipeline of advanced CAR-T cell therapy product candidates to treat cancer, today reported financial results for the year ended December 31, 2025, and provided a corporate update.</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“2025 was a transformative year for Tempest as we strengthened our pipeline with the strategic acquisition of a portfolio of next-generation CAR-T assets,” said Matt Angel, Ph.D., President and Chief Executive Officer of Tempest. “The portfolio is already proving potentially fruitful as we reported encouraging early clinical data from our lead CAR-T program, TPST-2003, which is being tested in a Phase 1/2a trial in patients with relapsed or refractory multiple myeloma. The data, which suggests a favorable safety and efficacy profile for TPST-2003, reinforced our belief that this therapy has the potential to differentiate itself from currently approved CAR-T treatments and provide a meaningful option for patients who continue to face limited durable treatment options. We look forward to the potential initiation of a U.S. registrational study of TPST-2003 in patients with rrMM later this year, while we continue our strategy of leveraging partner-funded and externally supported development where possible to advance our pipeline.”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&amp; Recent Accomplishments</w:t>
      </w:r>
    </w:p>
    <w:p>
      <w:pPr>
        <w:spacing w:after="0" w:line="206"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TPST-2003</w:t>
      </w:r>
    </w:p>
    <w:p>
      <w:pPr>
        <w:spacing w:after="0" w:line="139"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1"/>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Announced positive interim results from the ongoing REDEEM-1 Phase 1/2a trial of TPST-2003 in patients with rrMM, which is being sponsored and conducted by Tempest’s partner, Novatim Immune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1878" w:hanging="380"/>
        <w:spacing w:after="0" w:line="258" w:lineRule="auto"/>
        <w:tabs>
          <w:tab w:leader="none" w:pos="1878"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100% complete response (CR) rate among all six efficacy evaluable patients as of the January 31, 2026 data cutoff</w:t>
      </w:r>
    </w:p>
    <w:p>
      <w:pPr>
        <w:spacing w:after="0" w:line="89" w:lineRule="exact"/>
        <w:rPr>
          <w:rFonts w:ascii="Times New Roman" w:cs="Times New Roman" w:eastAsia="Times New Roman" w:hAnsi="Times New Roman"/>
          <w:sz w:val="22"/>
          <w:szCs w:val="22"/>
          <w:color w:val="auto"/>
        </w:rPr>
      </w:pPr>
    </w:p>
    <w:p>
      <w:pPr>
        <w:jc w:val="both"/>
        <w:ind w:left="1878" w:hanging="380"/>
        <w:spacing w:after="0" w:line="244" w:lineRule="auto"/>
        <w:tabs>
          <w:tab w:leader="none" w:pos="1878"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Favorable safety profile with no Grade &gt;3 cytokine release syndrome (“CRS”) or immune effector cell-associated neurotoxicity syndrome (“ICANS”) appears to be emerging as a potentially differentiating attribute in its class</w:t>
      </w:r>
    </w:p>
    <w:p>
      <w:pPr>
        <w:spacing w:after="0" w:line="91" w:lineRule="exact"/>
        <w:rPr>
          <w:rFonts w:ascii="Times New Roman" w:cs="Times New Roman" w:eastAsia="Times New Roman" w:hAnsi="Times New Roman"/>
          <w:sz w:val="22"/>
          <w:szCs w:val="22"/>
          <w:color w:val="auto"/>
        </w:rPr>
      </w:pPr>
    </w:p>
    <w:p>
      <w:pPr>
        <w:ind w:left="1878" w:right="20" w:hanging="380"/>
        <w:spacing w:after="0" w:line="258" w:lineRule="auto"/>
        <w:tabs>
          <w:tab w:leader="none" w:pos="1878"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Prior investigator-initiated trial (“IIT”) reached median progression free survival (PFS) of 23.1 months, including in patients with extramedullary disease</w:t>
      </w:r>
    </w:p>
    <w:p>
      <w:pPr>
        <w:spacing w:after="0" w:line="89" w:lineRule="exact"/>
        <w:rPr>
          <w:rFonts w:ascii="Times New Roman" w:cs="Times New Roman" w:eastAsia="Times New Roman" w:hAnsi="Times New Roman"/>
          <w:sz w:val="22"/>
          <w:szCs w:val="22"/>
          <w:color w:val="auto"/>
        </w:rPr>
      </w:pPr>
    </w:p>
    <w:p>
      <w:pPr>
        <w:ind w:left="1878" w:hanging="380"/>
        <w:spacing w:after="0"/>
        <w:tabs>
          <w:tab w:leader="none" w:pos="1878"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36 patients with rrMM treated to date across two studies</w:t>
      </w:r>
    </w:p>
    <w:p>
      <w:pPr>
        <w:spacing w:after="0" w:line="136" w:lineRule="exact"/>
        <w:rPr>
          <w:sz w:val="20"/>
          <w:szCs w:val="20"/>
          <w:color w:val="auto"/>
        </w:rPr>
      </w:pPr>
    </w:p>
    <w:p>
      <w:pPr>
        <w:ind w:left="378" w:hanging="378"/>
        <w:spacing w:after="0"/>
        <w:tabs>
          <w:tab w:leader="none" w:pos="378"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Corporate:</w:t>
      </w:r>
    </w:p>
    <w:p>
      <w:pPr>
        <w:spacing w:after="0" w:line="126"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Announced closing of strategic acquisition of new dual-targeting CAR-T assets from Factor Bioscience Inc. and its affiliates</w:t>
      </w:r>
    </w:p>
    <w:p>
      <w:pPr>
        <w:spacing w:after="0" w:line="89" w:lineRule="exact"/>
        <w:rPr>
          <w:rFonts w:ascii="Times New Roman" w:cs="Times New Roman" w:eastAsia="Times New Roman" w:hAnsi="Times New Roman"/>
          <w:sz w:val="22"/>
          <w:szCs w:val="22"/>
          <w:color w:val="auto"/>
        </w:rPr>
      </w:pPr>
    </w:p>
    <w:p>
      <w:pPr>
        <w:jc w:val="both"/>
        <w:ind w:left="1878" w:right="20" w:hanging="380"/>
        <w:spacing w:after="0" w:line="244" w:lineRule="auto"/>
        <w:tabs>
          <w:tab w:leader="none" w:pos="1878" w:val="left"/>
        </w:tabs>
        <w:numPr>
          <w:ilvl w:val="2"/>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All-stock transaction brought Tempest a portfolio of next-generation CAR-T assets, including TPST-2003, a clinical-stage dual-targeting CD-19/BCMA CAR-T with strategic partner-funded biologics license application (BLA) filing in China planned for 2027</w:t>
      </w:r>
    </w:p>
    <w:p>
      <w:pPr>
        <w:spacing w:after="0" w:line="104" w:lineRule="exact"/>
        <w:rPr>
          <w:rFonts w:ascii="Times New Roman" w:cs="Times New Roman" w:eastAsia="Times New Roman" w:hAnsi="Times New Roman"/>
          <w:sz w:val="22"/>
          <w:szCs w:val="22"/>
          <w:color w:val="auto"/>
        </w:rPr>
      </w:pPr>
    </w:p>
    <w:p>
      <w:pPr>
        <w:jc w:val="both"/>
        <w:ind w:left="1118" w:hanging="369"/>
        <w:spacing w:after="0" w:line="244" w:lineRule="auto"/>
        <w:tabs>
          <w:tab w:leader="none" w:pos="1118"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November 2025, announced up to $8.35 million registered direct offering (an “RDO” and, such offering, the “November Offering”) of common stock and concurrent private placement of warrants priced at-the-market under Nasdaq</w:t>
      </w:r>
    </w:p>
    <w:p>
      <w:pPr>
        <w:spacing w:after="0" w:line="91" w:lineRule="exact"/>
        <w:rPr>
          <w:rFonts w:ascii="Times New Roman" w:cs="Times New Roman" w:eastAsia="Times New Roman" w:hAnsi="Times New Roman"/>
          <w:sz w:val="22"/>
          <w:szCs w:val="22"/>
          <w:color w:val="auto"/>
        </w:rPr>
      </w:pPr>
    </w:p>
    <w:p>
      <w:pPr>
        <w:jc w:val="both"/>
        <w:ind w:left="1118" w:hanging="369"/>
        <w:spacing w:after="0" w:line="244" w:lineRule="auto"/>
        <w:tabs>
          <w:tab w:leader="none" w:pos="1118"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March 2026, announced up to $6 million private placement (the “2026 Offering”) of common stock and warrants, with $2 million upfront and up to $4 million of potential aggregate gross proceeds upon the exercise in full of warrants</w:t>
      </w:r>
    </w:p>
    <w:p>
      <w:pPr>
        <w:spacing w:after="0" w:line="102"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Amezalpat (TPST-1120) </w:t>
      </w:r>
      <w:r>
        <w:rPr>
          <w:rFonts w:ascii="Arial" w:cs="Arial" w:eastAsia="Arial" w:hAnsi="Arial"/>
          <w:sz w:val="22"/>
          <w:szCs w:val="22"/>
          <w:color w:val="auto"/>
        </w:rPr>
        <w:t>(clinical PPARα antagonist):</w:t>
      </w:r>
    </w:p>
    <w:p>
      <w:pPr>
        <w:spacing w:after="0" w:line="139" w:lineRule="exact"/>
        <w:rPr>
          <w:rFonts w:ascii="Times New Roman" w:cs="Times New Roman" w:eastAsia="Times New Roman" w:hAnsi="Times New Roman"/>
          <w:sz w:val="22"/>
          <w:szCs w:val="22"/>
          <w:color w:val="auto"/>
        </w:rPr>
      </w:pPr>
    </w:p>
    <w:p>
      <w:pPr>
        <w:ind w:left="1118" w:right="800" w:hanging="369"/>
        <w:spacing w:after="0" w:line="258" w:lineRule="auto"/>
        <w:tabs>
          <w:tab w:leader="none" w:pos="1118"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Received clearance to proceed with pivotal trial of amezalpat combination therapy for first-line hepatocellular carcinoma (“HCC”) in China</w:t>
      </w:r>
    </w:p>
    <w:p>
      <w:pPr>
        <w:spacing w:after="0" w:line="184" w:lineRule="exact"/>
        <w:rPr>
          <w:rFonts w:ascii="Times New Roman" w:cs="Times New Roman" w:eastAsia="Times New Roman" w:hAnsi="Times New Roman"/>
          <w:sz w:val="22"/>
          <w:szCs w:val="22"/>
          <w:color w:val="auto"/>
        </w:rPr>
      </w:pPr>
    </w:p>
    <w:p>
      <w:pPr>
        <w:ind w:left="1118" w:right="860" w:hanging="369"/>
        <w:spacing w:after="0" w:line="258" w:lineRule="auto"/>
        <w:tabs>
          <w:tab w:leader="none" w:pos="1118"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Granted orphan drug designation from the European Medicines Agency for amezalpat for the treatment of patients with HCC</w:t>
      </w:r>
    </w:p>
    <w:p>
      <w:pPr>
        <w:spacing w:after="0" w:line="184" w:lineRule="exact"/>
        <w:rPr>
          <w:rFonts w:ascii="Times New Roman" w:cs="Times New Roman" w:eastAsia="Times New Roman" w:hAnsi="Times New Roman"/>
          <w:sz w:val="22"/>
          <w:szCs w:val="22"/>
          <w:color w:val="auto"/>
        </w:rPr>
      </w:pPr>
    </w:p>
    <w:p>
      <w:pPr>
        <w:ind w:left="1118" w:right="220" w:hanging="369"/>
        <w:spacing w:after="0" w:line="244" w:lineRule="auto"/>
        <w:tabs>
          <w:tab w:leader="none" w:pos="1118"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Reported new data at the 2025 American Association for Cancer Research (AACR) Annual Meeting supporting the immune component of amezalpat’s dual mechanism of action and reinforcing its potential as a novel cancer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868045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9" w:right="339" w:bottom="1440" w:gutter="0" w:footer="0" w:header="0"/>
        </w:sectPr>
      </w:pPr>
    </w:p>
    <w:bookmarkStart w:id="5" w:name="page6"/>
    <w:bookmarkEnd w:id="5"/>
    <w:p>
      <w:pPr>
        <w:spacing w:after="0" w:line="213" w:lineRule="exact"/>
        <w:rPr>
          <w:sz w:val="20"/>
          <w:szCs w:val="20"/>
          <w:color w:val="auto"/>
        </w:rPr>
      </w:pPr>
    </w:p>
    <w:p>
      <w:pPr>
        <w:ind w:left="1500" w:right="340" w:hanging="369"/>
        <w:spacing w:after="0" w:line="258" w:lineRule="auto"/>
        <w:tabs>
          <w:tab w:leader="none" w:pos="150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Granted both Orphan Drug and Fast Track designations by the U.S. Food and Drug Administration (“FDA”) for amezalpat for the treatment of patients with HCC</w:t>
      </w:r>
    </w:p>
    <w:p>
      <w:pPr>
        <w:spacing w:after="0" w:line="18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w:t>
      </w:r>
    </w:p>
    <w:p>
      <w:pPr>
        <w:spacing w:after="0" w:line="99" w:lineRule="exact"/>
        <w:rPr>
          <w:rFonts w:ascii="Times New Roman" w:cs="Times New Roman" w:eastAsia="Times New Roman" w:hAnsi="Times New Roman"/>
          <w:sz w:val="22"/>
          <w:szCs w:val="22"/>
          <w:color w:val="auto"/>
        </w:rPr>
      </w:pPr>
    </w:p>
    <w:p>
      <w:pPr>
        <w:ind w:left="1500" w:right="160" w:hanging="369"/>
        <w:spacing w:after="0" w:line="239" w:lineRule="auto"/>
        <w:tabs>
          <w:tab w:leader="none" w:pos="150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Granted Orphan Drug designation by the FDA to treat patients with Familial Adenomatous Polyposis (“FAP”)</w:t>
      </w:r>
    </w:p>
    <w:p>
      <w:pPr>
        <w:spacing w:after="0" w:line="1" w:lineRule="exact"/>
        <w:rPr>
          <w:rFonts w:ascii="Times New Roman" w:cs="Times New Roman" w:eastAsia="Times New Roman" w:hAnsi="Times New Roman"/>
          <w:sz w:val="22"/>
          <w:szCs w:val="22"/>
          <w:color w:val="auto"/>
        </w:rPr>
      </w:pPr>
    </w:p>
    <w:p>
      <w:pPr>
        <w:ind w:left="1500" w:right="340" w:hanging="369"/>
        <w:spacing w:after="0" w:line="239" w:lineRule="auto"/>
        <w:tabs>
          <w:tab w:leader="none" w:pos="150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Received a “Study May Proceed” letter from the FDA to evaluate TPST-1495 in a Phase 2 Trial for the treatment of FAP</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Future Milestones</w:t>
      </w:r>
    </w:p>
    <w:p>
      <w:pPr>
        <w:spacing w:after="0" w:line="9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TPST-2003</w:t>
      </w:r>
    </w:p>
    <w:p>
      <w:pPr>
        <w:spacing w:after="0" w:line="99" w:lineRule="exact"/>
        <w:rPr>
          <w:rFonts w:ascii="Times New Roman" w:cs="Times New Roman" w:eastAsia="Times New Roman" w:hAnsi="Times New Roman"/>
          <w:sz w:val="22"/>
          <w:szCs w:val="22"/>
          <w:color w:val="auto"/>
        </w:rPr>
      </w:pPr>
    </w:p>
    <w:p>
      <w:pPr>
        <w:ind w:left="1500" w:right="460" w:hanging="369"/>
        <w:spacing w:after="0" w:line="239" w:lineRule="auto"/>
        <w:tabs>
          <w:tab w:leader="none" w:pos="1500" w:val="left"/>
        </w:tabs>
        <w:numPr>
          <w:ilvl w:val="1"/>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Present results from the ongoing Phase 1/2a REDEEM-1 study, as well as updated data from the Phase 1/2 IIT, in 2026</w:t>
      </w:r>
    </w:p>
    <w:p>
      <w:pPr>
        <w:spacing w:after="0" w:line="1" w:lineRule="exact"/>
        <w:rPr>
          <w:rFonts w:ascii="Times New Roman" w:cs="Times New Roman" w:eastAsia="Times New Roman" w:hAnsi="Times New Roman"/>
          <w:sz w:val="22"/>
          <w:szCs w:val="22"/>
          <w:color w:val="auto"/>
        </w:rPr>
      </w:pPr>
    </w:p>
    <w:p>
      <w:pPr>
        <w:ind w:left="1500" w:right="160" w:hanging="369"/>
        <w:spacing w:after="0" w:line="239" w:lineRule="auto"/>
        <w:tabs>
          <w:tab w:leader="none" w:pos="1500" w:val="left"/>
        </w:tabs>
        <w:numPr>
          <w:ilvl w:val="1"/>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Submit a U.S. IND application and, subject to clearance, initiate a Phase 2b U.S. registrational study of TPST-2003 in patients with rrMM in 2026</w:t>
      </w:r>
    </w:p>
    <w:p>
      <w:pPr>
        <w:spacing w:after="0" w:line="20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TPST-1495</w:t>
      </w:r>
    </w:p>
    <w:p>
      <w:pPr>
        <w:spacing w:after="0" w:line="99" w:lineRule="exact"/>
        <w:rPr>
          <w:rFonts w:ascii="Times New Roman" w:cs="Times New Roman" w:eastAsia="Times New Roman" w:hAnsi="Times New Roman"/>
          <w:sz w:val="22"/>
          <w:szCs w:val="22"/>
          <w:color w:val="auto"/>
        </w:rPr>
      </w:pPr>
    </w:p>
    <w:p>
      <w:pPr>
        <w:ind w:left="1500" w:right="340" w:hanging="369"/>
        <w:spacing w:after="0" w:line="261" w:lineRule="auto"/>
        <w:tabs>
          <w:tab w:leader="none" w:pos="1500" w:val="left"/>
        </w:tabs>
        <w:numPr>
          <w:ilvl w:val="1"/>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Initiate a Phase 2 study of TPST-1495 in FAP, with first patient enrollment expected in 2026. The study is expected to be funded by the National Cancer Institute and conducted through the Cancer Prevention Clinical Trials Network, enabling advancement without internal capital deployment.</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Year End 2025</w:t>
      </w:r>
    </w:p>
    <w:p>
      <w:pPr>
        <w:spacing w:after="0" w:line="98" w:lineRule="exact"/>
        <w:rPr>
          <w:sz w:val="20"/>
          <w:szCs w:val="20"/>
          <w:color w:val="auto"/>
        </w:rPr>
      </w:pPr>
    </w:p>
    <w:p>
      <w:pPr>
        <w:jc w:val="both"/>
        <w:ind w:left="760" w:hanging="378"/>
        <w:spacing w:after="0" w:line="239"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Tempest ended the year with $7.7 million in cash and cash equivalents, compared to $30.3 million on December 31, 2024. The decrease was primarily due to cash used in operating activities, offset by net proceeds from the issuance of common stock of $4.1 million from the RDO in June, $3.8 million from the November Offering and $2.8 million from Tempest’s at-the-market offering program.</w:t>
      </w:r>
    </w:p>
    <w:p>
      <w:pPr>
        <w:spacing w:after="0" w:line="71"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year were $26.3 million and $6.33, respectively, compared to $41.8 million and $19.50, respectively, for the same period in 2024.</w:t>
      </w:r>
    </w:p>
    <w:p>
      <w:pPr>
        <w:spacing w:after="0" w:line="4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year were $12.6 million compared to $28.5 million for the same period in 2024. The $15.9 million decrease was primarily due to a decrease in costs incurred as a result of re-prioritizing efforts towards exploring strategic alternatives.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left="760" w:hanging="378"/>
        <w:spacing w:after="0" w:line="244"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year were $14.0 million compared to $13.6 million for the same period in 2024. The $0.4 million increase was primarily due to one-time separation costs for employees terminated during the period.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Tempest Therapeutics</w:t>
      </w:r>
    </w:p>
    <w:p>
      <w:pPr>
        <w:spacing w:after="0" w:line="208" w:lineRule="exact"/>
        <w:rPr>
          <w:sz w:val="20"/>
          <w:szCs w:val="20"/>
          <w:color w:val="auto"/>
        </w:rPr>
      </w:pPr>
    </w:p>
    <w:p>
      <w:pPr>
        <w:ind w:right="420"/>
        <w:spacing w:after="0" w:line="245" w:lineRule="auto"/>
        <w:rPr>
          <w:sz w:val="20"/>
          <w:szCs w:val="20"/>
          <w:color w:val="auto"/>
        </w:rPr>
      </w:pPr>
      <w:r>
        <w:rPr>
          <w:rFonts w:ascii="Arial" w:cs="Arial" w:eastAsia="Arial" w:hAnsi="Arial"/>
          <w:sz w:val="22"/>
          <w:szCs w:val="22"/>
          <w:color w:val="auto"/>
        </w:rPr>
        <w:t>Tempest Therapeutics is a clinical-stage biotechnology company developing a pipeline of CAR-T cell therapy and small molecule product candidates to treat cancer. Tempest is headquartered in Brisbane, California. More information about Tempest can be found on the company’s website at https://www.tempesttx.com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but not limited to, statements regarding: Tempest Therapeutics’ plan to present data from clinical trials, including the REDEEM-1 trial; the design, initiation, progress, timing, scope and results of clinical trials, including the anticipated initiation of U.S. registrational trial for TPST-2003 in 2026 and patient enrollment for the Phase 2 study of TPST-1495 in 2026; the planned advancement of a diversified next-generation CAR-T pipeline; anticipated therapeutic benefit and regulatory development of Tempest Therapeutics’ product candidates, including TPST-2003, Amezalpat and TPST-1495; the use of proceeds from each of the November 2025 Offering and 2026 Offering, and the potential aggregate proceeds therefrom; and Tempest Therapeutics’ ability to achieve its operational plans. Any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 Therapeutics’ need for additional capital to fund its planned programs and operations and to continue to operate as a going concern; unexpected safety or efficacy data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22"/>
          <w:szCs w:val="22"/>
          <w:color w:val="auto"/>
        </w:rPr>
        <w:t>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 Therapeutics’ Quarterly Report on Form 10-Q for the quarter ended September 30, 2025, filed with the Securities and Exchange Commission (“SEC”) on November 5, 2025, and the “Risk Factors” section under Proposal 5 contained in Tempest’s definitive proxy statement on Schedule 14A, filed with the SEC on December 31, 2025, and in other documents filed by Tempest Therapeutics from time to time with the SEC.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1385570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Balance Sheets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20" w:type="dxa"/>
            <w:vAlign w:val="bottom"/>
            <w:vMerge w:val="restart"/>
          </w:tcPr>
          <w:p>
            <w:pPr>
              <w:ind w:left="2660"/>
              <w:spacing w:after="0"/>
              <w:rPr>
                <w:sz w:val="20"/>
                <w:szCs w:val="20"/>
                <w:color w:val="auto"/>
              </w:rPr>
            </w:pPr>
            <w:r>
              <w:rPr>
                <w:rFonts w:ascii="Arial" w:cs="Arial" w:eastAsia="Arial" w:hAnsi="Arial"/>
                <w:sz w:val="22"/>
                <w:szCs w:val="22"/>
                <w:b w:val="1"/>
                <w:bCs w:val="1"/>
                <w:color w:val="auto"/>
              </w:rPr>
              <w:t>Assets</w:t>
            </w:r>
          </w:p>
        </w:tc>
        <w:tc>
          <w:tcPr>
            <w:tcW w:w="200" w:type="dxa"/>
            <w:vAlign w:val="bottom"/>
          </w:tcPr>
          <w:p>
            <w:pPr>
              <w:spacing w:after="0"/>
              <w:rPr>
                <w:sz w:val="20"/>
                <w:szCs w:val="20"/>
                <w:color w:val="auto"/>
              </w:rPr>
            </w:pPr>
          </w:p>
        </w:tc>
        <w:tc>
          <w:tcPr>
            <w:tcW w:w="2420" w:type="dxa"/>
            <w:vAlign w:val="bottom"/>
            <w:gridSpan w:val="2"/>
          </w:tcPr>
          <w:p>
            <w:pPr>
              <w:jc w:val="right"/>
              <w:ind w:right="580"/>
              <w:spacing w:after="0"/>
              <w:rPr>
                <w:sz w:val="20"/>
                <w:szCs w:val="20"/>
                <w:color w:val="auto"/>
              </w:rPr>
            </w:pPr>
            <w:r>
              <w:rPr>
                <w:rFonts w:ascii="Arial" w:cs="Arial" w:eastAsia="Arial" w:hAnsi="Arial"/>
                <w:sz w:val="20"/>
                <w:szCs w:val="20"/>
                <w:b w:val="1"/>
                <w:bCs w:val="1"/>
                <w:color w:val="auto"/>
              </w:rPr>
              <w:t>December 31, 2025</w:t>
            </w:r>
          </w:p>
        </w:tc>
        <w:tc>
          <w:tcPr>
            <w:tcW w:w="240" w:type="dxa"/>
            <w:vAlign w:val="bottom"/>
          </w:tcPr>
          <w:p>
            <w:pPr>
              <w:spacing w:after="0"/>
              <w:rPr>
                <w:sz w:val="20"/>
                <w:szCs w:val="20"/>
                <w:color w:val="auto"/>
              </w:rPr>
            </w:pPr>
          </w:p>
        </w:tc>
        <w:tc>
          <w:tcPr>
            <w:tcW w:w="232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Arial" w:cs="Arial" w:eastAsia="Arial" w:hAnsi="Arial"/>
                <w:sz w:val="22"/>
                <w:szCs w:val="22"/>
                <w:color w:val="auto"/>
              </w:rPr>
              <w:t>Current assets</w:t>
            </w: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Cash and cash equivalents</w:t>
            </w: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7,707</w:t>
            </w:r>
          </w:p>
        </w:tc>
        <w:tc>
          <w:tcPr>
            <w:tcW w:w="30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30,268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020" w:type="dxa"/>
            <w:vAlign w:val="bottom"/>
          </w:tcPr>
          <w:p>
            <w:pPr>
              <w:ind w:left="80"/>
              <w:spacing w:after="0"/>
              <w:rPr>
                <w:sz w:val="20"/>
                <w:szCs w:val="20"/>
                <w:color w:val="auto"/>
              </w:rPr>
            </w:pPr>
            <w:r>
              <w:rPr>
                <w:rFonts w:ascii="Arial" w:cs="Arial" w:eastAsia="Arial" w:hAnsi="Arial"/>
                <w:sz w:val="22"/>
                <w:szCs w:val="22"/>
                <w:color w:val="auto"/>
              </w:rPr>
              <w:t>Prepaid expenses and other current assets</w:t>
            </w:r>
          </w:p>
        </w:tc>
        <w:tc>
          <w:tcPr>
            <w:tcW w:w="2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562</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40"/>
              <w:spacing w:after="0" w:line="237" w:lineRule="exact"/>
              <w:rPr>
                <w:sz w:val="20"/>
                <w:szCs w:val="20"/>
                <w:color w:val="auto"/>
              </w:rPr>
            </w:pPr>
            <w:r>
              <w:rPr>
                <w:rFonts w:ascii="Arial" w:cs="Arial" w:eastAsia="Arial" w:hAnsi="Arial"/>
                <w:sz w:val="22"/>
                <w:szCs w:val="22"/>
                <w:color w:val="auto"/>
              </w:rPr>
              <w:t>Total current assets</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8,269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02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2"/>
                <w:szCs w:val="22"/>
                <w:color w:val="auto"/>
              </w:rPr>
              <w:t>605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886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Arial" w:cs="Arial" w:eastAsia="Arial" w:hAnsi="Arial"/>
                <w:sz w:val="22"/>
                <w:szCs w:val="22"/>
                <w:color w:val="auto"/>
              </w:rPr>
              <w:t>Operating lease right-of-use assets</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7,540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8,643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02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6020" w:type="dxa"/>
            <w:vAlign w:val="bottom"/>
          </w:tcPr>
          <w:p>
            <w:pPr>
              <w:ind w:left="240"/>
              <w:spacing w:after="0"/>
              <w:rPr>
                <w:sz w:val="20"/>
                <w:szCs w:val="20"/>
                <w:color w:val="auto"/>
              </w:rPr>
            </w:pPr>
            <w:r>
              <w:rPr>
                <w:rFonts w:ascii="Arial" w:cs="Arial" w:eastAsia="Arial" w:hAnsi="Arial"/>
                <w:sz w:val="22"/>
                <w:szCs w:val="22"/>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16,931</w:t>
            </w:r>
          </w:p>
        </w:tc>
        <w:tc>
          <w:tcPr>
            <w:tcW w:w="30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41,488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1200"/>
              <w:spacing w:after="0"/>
              <w:rPr>
                <w:sz w:val="20"/>
                <w:szCs w:val="20"/>
                <w:color w:val="auto"/>
              </w:rPr>
            </w:pPr>
            <w:r>
              <w:rPr>
                <w:rFonts w:ascii="Arial" w:cs="Arial" w:eastAsia="Arial" w:hAnsi="Arial"/>
                <w:sz w:val="22"/>
                <w:szCs w:val="22"/>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line="243" w:lineRule="exact"/>
              <w:rPr>
                <w:sz w:val="20"/>
                <w:szCs w:val="20"/>
                <w:color w:val="auto"/>
              </w:rPr>
            </w:pPr>
            <w:r>
              <w:rPr>
                <w:rFonts w:ascii="Arial" w:cs="Arial" w:eastAsia="Arial" w:hAnsi="Arial"/>
                <w:sz w:val="22"/>
                <w:szCs w:val="22"/>
                <w:color w:val="auto"/>
              </w:rPr>
              <w:t>Current liabilities</w:t>
            </w: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Accounts payable</w:t>
            </w: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1,038</w:t>
            </w:r>
          </w:p>
        </w:tc>
        <w:tc>
          <w:tcPr>
            <w:tcW w:w="30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2,450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Accrued expenses and other</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937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2,726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Current loan payable, net</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6,354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Current operating lease liabilities</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1,192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Accrued compensation</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147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1,762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020" w:type="dxa"/>
            <w:vAlign w:val="bottom"/>
          </w:tcPr>
          <w:p>
            <w:pPr>
              <w:ind w:left="80"/>
              <w:spacing w:after="0"/>
              <w:rPr>
                <w:sz w:val="20"/>
                <w:szCs w:val="20"/>
                <w:color w:val="auto"/>
              </w:rPr>
            </w:pPr>
            <w:r>
              <w:rPr>
                <w:rFonts w:ascii="Arial" w:cs="Arial" w:eastAsia="Arial" w:hAnsi="Arial"/>
                <w:sz w:val="22"/>
                <w:szCs w:val="22"/>
                <w:color w:val="auto"/>
              </w:rPr>
              <w:t>Interest payable</w:t>
            </w:r>
          </w:p>
        </w:tc>
        <w:tc>
          <w:tcPr>
            <w:tcW w:w="2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020" w:type="dxa"/>
            <w:vAlign w:val="bottom"/>
          </w:tcPr>
          <w:p>
            <w:pPr>
              <w:ind w:left="240"/>
              <w:spacing w:after="0"/>
              <w:rPr>
                <w:sz w:val="20"/>
                <w:szCs w:val="20"/>
                <w:color w:val="auto"/>
              </w:rPr>
            </w:pPr>
            <w:r>
              <w:rPr>
                <w:rFonts w:ascii="Arial" w:cs="Arial" w:eastAsia="Arial" w:hAnsi="Arial"/>
                <w:sz w:val="22"/>
                <w:szCs w:val="22"/>
                <w:color w:val="auto"/>
              </w:rPr>
              <w:t>Total current liabilities</w:t>
            </w:r>
          </w:p>
        </w:tc>
        <w:tc>
          <w:tcPr>
            <w:tcW w:w="2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2"/>
                <w:szCs w:val="22"/>
                <w:color w:val="auto"/>
              </w:rPr>
              <w:t>3,314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14,220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20" w:type="dxa"/>
            <w:vAlign w:val="bottom"/>
          </w:tcPr>
          <w:p>
            <w:pPr>
              <w:spacing w:after="0"/>
              <w:rPr>
                <w:sz w:val="20"/>
                <w:szCs w:val="20"/>
                <w:color w:val="auto"/>
              </w:rPr>
            </w:pPr>
            <w:r>
              <w:rPr>
                <w:rFonts w:ascii="Arial" w:cs="Arial" w:eastAsia="Arial" w:hAnsi="Arial"/>
                <w:sz w:val="22"/>
                <w:szCs w:val="22"/>
                <w:color w:val="auto"/>
              </w:rPr>
              <w:t>Operating lease liabilities</w:t>
            </w: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6,949</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40"/>
              <w:spacing w:after="0" w:line="237" w:lineRule="exact"/>
              <w:rPr>
                <w:sz w:val="20"/>
                <w:szCs w:val="20"/>
                <w:color w:val="auto"/>
              </w:rPr>
            </w:pPr>
            <w:r>
              <w:rPr>
                <w:rFonts w:ascii="Arial" w:cs="Arial" w:eastAsia="Arial" w:hAnsi="Arial"/>
                <w:sz w:val="22"/>
                <w:szCs w:val="22"/>
                <w:color w:val="auto"/>
              </w:rPr>
              <w:t>Total liabilities</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10,263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22,362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020" w:type="dxa"/>
            <w:vAlign w:val="bottom"/>
          </w:tcPr>
          <w:p>
            <w:pPr>
              <w:spacing w:after="0"/>
              <w:rPr>
                <w:sz w:val="20"/>
                <w:szCs w:val="20"/>
                <w:color w:val="auto"/>
              </w:rPr>
            </w:pPr>
            <w:r>
              <w:rPr>
                <w:rFonts w:ascii="Arial" w:cs="Arial" w:eastAsia="Arial" w:hAnsi="Arial"/>
                <w:sz w:val="22"/>
                <w:szCs w:val="22"/>
                <w:color w:val="auto"/>
              </w:rPr>
              <w:t>Stockholders' equity</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Common stock</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80"/>
              <w:spacing w:after="0" w:line="243" w:lineRule="exact"/>
              <w:rPr>
                <w:sz w:val="20"/>
                <w:szCs w:val="20"/>
                <w:color w:val="auto"/>
              </w:rPr>
            </w:pPr>
            <w:r>
              <w:rPr>
                <w:rFonts w:ascii="Arial" w:cs="Arial" w:eastAsia="Arial" w:hAnsi="Arial"/>
                <w:sz w:val="22"/>
                <w:szCs w:val="22"/>
                <w:color w:val="auto"/>
              </w:rPr>
              <w:t>Additional paid-in capital</w:t>
            </w:r>
          </w:p>
        </w:tc>
        <w:tc>
          <w:tcPr>
            <w:tcW w:w="200" w:type="dxa"/>
            <w:vAlign w:val="bottom"/>
          </w:tcPr>
          <w:p>
            <w:pPr>
              <w:spacing w:after="0"/>
              <w:rPr>
                <w:sz w:val="21"/>
                <w:szCs w:val="21"/>
                <w:color w:val="auto"/>
              </w:rPr>
            </w:pP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240,031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226,229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020" w:type="dxa"/>
            <w:vAlign w:val="bottom"/>
          </w:tcPr>
          <w:p>
            <w:pPr>
              <w:ind w:left="80"/>
              <w:spacing w:after="0"/>
              <w:rPr>
                <w:sz w:val="20"/>
                <w:szCs w:val="20"/>
                <w:color w:val="auto"/>
              </w:rPr>
            </w:pPr>
            <w:r>
              <w:rPr>
                <w:rFonts w:ascii="Arial" w:cs="Arial" w:eastAsia="Arial" w:hAnsi="Arial"/>
                <w:sz w:val="22"/>
                <w:szCs w:val="22"/>
                <w:color w:val="auto"/>
              </w:rPr>
              <w:t>Accumulated deficit</w:t>
            </w:r>
          </w:p>
        </w:tc>
        <w:tc>
          <w:tcPr>
            <w:tcW w:w="200" w:type="dxa"/>
            <w:vAlign w:val="bottom"/>
          </w:tcPr>
          <w:p>
            <w:pPr>
              <w:spacing w:after="0"/>
              <w:rPr>
                <w:sz w:val="23"/>
                <w:szCs w:val="23"/>
                <w:color w:val="auto"/>
              </w:rPr>
            </w:pPr>
          </w:p>
        </w:tc>
        <w:tc>
          <w:tcPr>
            <w:tcW w:w="2420" w:type="dxa"/>
            <w:vAlign w:val="bottom"/>
            <w:gridSpan w:val="2"/>
          </w:tcPr>
          <w:p>
            <w:pPr>
              <w:jc w:val="right"/>
              <w:ind w:right="240"/>
              <w:spacing w:after="0"/>
              <w:rPr>
                <w:sz w:val="20"/>
                <w:szCs w:val="20"/>
                <w:color w:val="auto"/>
              </w:rPr>
            </w:pPr>
            <w:r>
              <w:rPr>
                <w:rFonts w:ascii="Arial" w:cs="Arial" w:eastAsia="Arial" w:hAnsi="Arial"/>
                <w:sz w:val="22"/>
                <w:szCs w:val="22"/>
                <w:color w:val="auto"/>
              </w:rPr>
              <w:t>(233,368)</w:t>
            </w:r>
          </w:p>
        </w:tc>
        <w:tc>
          <w:tcPr>
            <w:tcW w:w="240" w:type="dxa"/>
            <w:vAlign w:val="bottom"/>
          </w:tcPr>
          <w:p>
            <w:pPr>
              <w:spacing w:after="0"/>
              <w:rPr>
                <w:sz w:val="23"/>
                <w:szCs w:val="23"/>
                <w:color w:val="auto"/>
              </w:rPr>
            </w:pPr>
          </w:p>
        </w:tc>
        <w:tc>
          <w:tcPr>
            <w:tcW w:w="2320" w:type="dxa"/>
            <w:vAlign w:val="bottom"/>
            <w:gridSpan w:val="2"/>
          </w:tcPr>
          <w:p>
            <w:pPr>
              <w:jc w:val="right"/>
              <w:spacing w:after="0"/>
              <w:rPr>
                <w:sz w:val="20"/>
                <w:szCs w:val="20"/>
                <w:color w:val="auto"/>
              </w:rPr>
            </w:pPr>
            <w:r>
              <w:rPr>
                <w:rFonts w:ascii="Arial" w:cs="Arial" w:eastAsia="Arial" w:hAnsi="Arial"/>
                <w:sz w:val="22"/>
                <w:szCs w:val="22"/>
                <w:color w:val="auto"/>
              </w:rPr>
              <w:t>(207,106)</w:t>
            </w:r>
          </w:p>
        </w:tc>
        <w:tc>
          <w:tcPr>
            <w:tcW w:w="0" w:type="dxa"/>
            <w:vAlign w:val="bottom"/>
          </w:tcPr>
          <w:p>
            <w:pPr>
              <w:spacing w:after="0"/>
              <w:rPr>
                <w:sz w:val="1"/>
                <w:szCs w:val="1"/>
                <w:color w:val="auto"/>
              </w:rPr>
            </w:pPr>
          </w:p>
        </w:tc>
      </w:tr>
      <w:tr>
        <w:trPr>
          <w:trHeight w:val="237"/>
        </w:trPr>
        <w:tc>
          <w:tcPr>
            <w:tcW w:w="6020" w:type="dxa"/>
            <w:vAlign w:val="bottom"/>
          </w:tcPr>
          <w:p>
            <w:pPr>
              <w:ind w:left="240"/>
              <w:spacing w:after="0" w:line="237" w:lineRule="exact"/>
              <w:rPr>
                <w:sz w:val="20"/>
                <w:szCs w:val="20"/>
                <w:color w:val="auto"/>
              </w:rPr>
            </w:pPr>
            <w:r>
              <w:rPr>
                <w:rFonts w:ascii="Arial" w:cs="Arial" w:eastAsia="Arial" w:hAnsi="Arial"/>
                <w:sz w:val="22"/>
                <w:szCs w:val="22"/>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6,668</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240"/>
              <w:spacing w:after="0" w:line="237" w:lineRule="exact"/>
              <w:rPr>
                <w:sz w:val="20"/>
                <w:szCs w:val="20"/>
                <w:color w:val="auto"/>
              </w:rPr>
            </w:pPr>
            <w:r>
              <w:rPr>
                <w:rFonts w:ascii="Arial" w:cs="Arial" w:eastAsia="Arial" w:hAnsi="Arial"/>
                <w:sz w:val="22"/>
                <w:szCs w:val="22"/>
                <w:color w:val="auto"/>
              </w:rPr>
              <w:t>Total liabilities and stockholders' equity</w:t>
            </w: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2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16,931</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w w:val="81"/>
              </w:rPr>
              <w:t>$</w:t>
            </w:r>
          </w:p>
        </w:tc>
        <w:tc>
          <w:tcPr>
            <w:tcW w:w="2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41,488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92"/>
        <w:spacing w:after="0" w:line="199" w:lineRule="auto"/>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Results have been adjusted to reflect the one-for-thirteen reverse stock split effected in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9" w:name="page10"/>
    <w:bookmarkEnd w:id="9"/>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3"/>
          </w:tcPr>
          <w:p>
            <w:pPr>
              <w:jc w:val="center"/>
              <w:ind w:right="700"/>
              <w:spacing w:after="0"/>
              <w:rPr>
                <w:sz w:val="20"/>
                <w:szCs w:val="20"/>
                <w:color w:val="auto"/>
              </w:rPr>
            </w:pPr>
            <w:r>
              <w:rPr>
                <w:rFonts w:ascii="Arial" w:cs="Arial" w:eastAsia="Arial" w:hAnsi="Arial"/>
                <w:sz w:val="20"/>
                <w:szCs w:val="20"/>
                <w:b w:val="1"/>
                <w:bCs w:val="1"/>
                <w:color w:val="auto"/>
                <w:w w:val="98"/>
              </w:rPr>
              <w:t>Year ended</w:t>
            </w:r>
          </w:p>
        </w:tc>
        <w:tc>
          <w:tcPr>
            <w:tcW w:w="360" w:type="dxa"/>
            <w:vAlign w:val="bottom"/>
          </w:tcPr>
          <w:p>
            <w:pPr>
              <w:spacing w:after="0"/>
              <w:rPr>
                <w:sz w:val="19"/>
                <w:szCs w:val="19"/>
                <w:color w:val="auto"/>
              </w:rPr>
            </w:pPr>
          </w:p>
        </w:tc>
        <w:tc>
          <w:tcPr>
            <w:tcW w:w="2660" w:type="dxa"/>
            <w:vAlign w:val="bottom"/>
            <w:gridSpan w:val="2"/>
          </w:tcPr>
          <w:p>
            <w:pPr>
              <w:jc w:val="right"/>
              <w:ind w:right="102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40"/>
        </w:trPr>
        <w:tc>
          <w:tcPr>
            <w:tcW w:w="4880" w:type="dxa"/>
            <w:vAlign w:val="bottom"/>
            <w:vMerge w:val="restart"/>
          </w:tcPr>
          <w:p>
            <w:pPr>
              <w:spacing w:after="0"/>
              <w:rPr>
                <w:sz w:val="20"/>
                <w:szCs w:val="20"/>
                <w:color w:val="auto"/>
              </w:rPr>
            </w:pPr>
            <w:r>
              <w:rPr>
                <w:rFonts w:ascii="Arial" w:cs="Arial" w:eastAsia="Arial" w:hAnsi="Arial"/>
                <w:sz w:val="22"/>
                <w:szCs w:val="22"/>
                <w:b w:val="1"/>
                <w:bCs w:val="1"/>
                <w:color w:val="auto"/>
              </w:rPr>
              <w:t>Expenses: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3"/>
          </w:tcPr>
          <w:p>
            <w:pPr>
              <w:jc w:val="center"/>
              <w:ind w:right="700"/>
              <w:spacing w:after="0"/>
              <w:rPr>
                <w:sz w:val="20"/>
                <w:szCs w:val="20"/>
                <w:color w:val="auto"/>
              </w:rPr>
            </w:pPr>
            <w:r>
              <w:rPr>
                <w:rFonts w:ascii="Arial" w:cs="Arial" w:eastAsia="Arial" w:hAnsi="Arial"/>
                <w:sz w:val="20"/>
                <w:szCs w:val="20"/>
                <w:b w:val="1"/>
                <w:bCs w:val="1"/>
                <w:color w:val="auto"/>
                <w:w w:val="98"/>
              </w:rPr>
              <w:t>December 31, 2025</w:t>
            </w:r>
          </w:p>
        </w:tc>
        <w:tc>
          <w:tcPr>
            <w:tcW w:w="360" w:type="dxa"/>
            <w:vAlign w:val="bottom"/>
          </w:tcPr>
          <w:p>
            <w:pPr>
              <w:spacing w:after="0"/>
              <w:rPr>
                <w:sz w:val="20"/>
                <w:szCs w:val="20"/>
                <w:color w:val="auto"/>
              </w:rPr>
            </w:pPr>
          </w:p>
        </w:tc>
        <w:tc>
          <w:tcPr>
            <w:tcW w:w="2660" w:type="dxa"/>
            <w:vAlign w:val="bottom"/>
            <w:gridSpan w:val="2"/>
          </w:tcPr>
          <w:p>
            <w:pPr>
              <w:jc w:val="right"/>
              <w:ind w:right="660"/>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Research and development</w:t>
            </w:r>
          </w:p>
        </w:tc>
        <w:tc>
          <w:tcPr>
            <w:tcW w:w="340" w:type="dxa"/>
            <w:vAlign w:val="bottom"/>
            <w:gridSpan w:val="2"/>
          </w:tcPr>
          <w:p>
            <w:pPr>
              <w:jc w:val="right"/>
              <w:ind w:right="123"/>
              <w:spacing w:after="0" w:line="243" w:lineRule="exact"/>
              <w:rPr>
                <w:sz w:val="20"/>
                <w:szCs w:val="20"/>
                <w:color w:val="auto"/>
              </w:rPr>
            </w:pPr>
            <w:r>
              <w:rPr>
                <w:rFonts w:ascii="Arial" w:cs="Arial" w:eastAsia="Arial" w:hAnsi="Arial"/>
                <w:sz w:val="22"/>
                <w:szCs w:val="22"/>
                <w:color w:val="auto"/>
                <w:w w:val="81"/>
              </w:rPr>
              <w:t>$</w:t>
            </w:r>
          </w:p>
        </w:tc>
        <w:tc>
          <w:tcPr>
            <w:tcW w:w="2600" w:type="dxa"/>
            <w:vAlign w:val="bottom"/>
          </w:tcPr>
          <w:p>
            <w:pPr>
              <w:jc w:val="right"/>
              <w:spacing w:after="0" w:line="243" w:lineRule="exact"/>
              <w:rPr>
                <w:sz w:val="20"/>
                <w:szCs w:val="20"/>
                <w:color w:val="auto"/>
              </w:rPr>
            </w:pPr>
            <w:r>
              <w:rPr>
                <w:rFonts w:ascii="Arial" w:cs="Arial" w:eastAsia="Arial" w:hAnsi="Arial"/>
                <w:sz w:val="22"/>
                <w:szCs w:val="22"/>
                <w:color w:val="auto"/>
              </w:rPr>
              <w:t>12,606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ind w:right="132"/>
              <w:spacing w:after="0" w:line="243" w:lineRule="exact"/>
              <w:rPr>
                <w:sz w:val="20"/>
                <w:szCs w:val="20"/>
                <w:color w:val="auto"/>
              </w:rPr>
            </w:pPr>
            <w:r>
              <w:rPr>
                <w:rFonts w:ascii="Arial" w:cs="Arial" w:eastAsia="Arial" w:hAnsi="Arial"/>
                <w:sz w:val="22"/>
                <w:szCs w:val="22"/>
                <w:color w:val="auto"/>
                <w:w w:val="81"/>
              </w:rPr>
              <w:t>$</w:t>
            </w:r>
          </w:p>
        </w:tc>
        <w:tc>
          <w:tcPr>
            <w:tcW w:w="2600" w:type="dxa"/>
            <w:vAlign w:val="bottom"/>
          </w:tcPr>
          <w:p>
            <w:pPr>
              <w:jc w:val="right"/>
              <w:spacing w:after="0" w:line="243" w:lineRule="exact"/>
              <w:rPr>
                <w:sz w:val="20"/>
                <w:szCs w:val="20"/>
                <w:color w:val="auto"/>
              </w:rPr>
            </w:pPr>
            <w:r>
              <w:rPr>
                <w:rFonts w:ascii="Arial" w:cs="Arial" w:eastAsia="Arial" w:hAnsi="Arial"/>
                <w:sz w:val="22"/>
                <w:szCs w:val="22"/>
                <w:color w:val="auto"/>
              </w:rPr>
              <w:t>28,476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880" w:type="dxa"/>
            <w:vAlign w:val="bottom"/>
          </w:tcPr>
          <w:p>
            <w:pPr>
              <w:ind w:left="80"/>
              <w:spacing w:after="0"/>
              <w:rPr>
                <w:sz w:val="20"/>
                <w:szCs w:val="20"/>
                <w:color w:val="auto"/>
              </w:rPr>
            </w:pPr>
            <w:r>
              <w:rPr>
                <w:rFonts w:ascii="Arial" w:cs="Arial" w:eastAsia="Arial" w:hAnsi="Arial"/>
                <w:sz w:val="22"/>
                <w:szCs w:val="22"/>
                <w:color w:val="auto"/>
              </w:rPr>
              <w:t>General and administrative</w:t>
            </w: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13,550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880" w:type="dxa"/>
            <w:vAlign w:val="bottom"/>
          </w:tcPr>
          <w:p>
            <w:pPr>
              <w:spacing w:after="0"/>
              <w:rPr>
                <w:sz w:val="20"/>
                <w:szCs w:val="20"/>
                <w:color w:val="auto"/>
              </w:rPr>
            </w:pPr>
            <w:r>
              <w:rPr>
                <w:rFonts w:ascii="Arial" w:cs="Arial" w:eastAsia="Arial" w:hAnsi="Arial"/>
                <w:sz w:val="22"/>
                <w:szCs w:val="22"/>
                <w:b w:val="1"/>
                <w:bCs w:val="1"/>
                <w:color w:val="auto"/>
              </w:rPr>
              <w:t>Operating loss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22"/>
                <w:szCs w:val="22"/>
                <w:color w:val="auto"/>
              </w:rPr>
              <w:t>(26,575)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(42,026)</w:t>
            </w:r>
          </w:p>
        </w:tc>
        <w:tc>
          <w:tcPr>
            <w:tcW w:w="0" w:type="dxa"/>
            <w:vAlign w:val="bottom"/>
          </w:tcPr>
          <w:p>
            <w:pPr>
              <w:spacing w:after="0"/>
              <w:rPr>
                <w:sz w:val="1"/>
                <w:szCs w:val="1"/>
                <w:color w:val="auto"/>
              </w:rPr>
            </w:pPr>
          </w:p>
        </w:tc>
      </w:tr>
      <w:tr>
        <w:trPr>
          <w:trHeight w:val="453"/>
        </w:trPr>
        <w:tc>
          <w:tcPr>
            <w:tcW w:w="4880" w:type="dxa"/>
            <w:vAlign w:val="bottom"/>
          </w:tcPr>
          <w:p>
            <w:pPr>
              <w:spacing w:after="0"/>
              <w:rPr>
                <w:sz w:val="20"/>
                <w:szCs w:val="20"/>
                <w:color w:val="auto"/>
              </w:rPr>
            </w:pPr>
            <w:r>
              <w:rPr>
                <w:rFonts w:ascii="Arial" w:cs="Arial" w:eastAsia="Arial" w:hAnsi="Arial"/>
                <w:sz w:val="22"/>
                <w:szCs w:val="22"/>
                <w:b w:val="1"/>
                <w:bCs w:val="1"/>
                <w:color w:val="auto"/>
              </w:rPr>
              <w:t>Other income (expense), net:</w:t>
            </w: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Interest expense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(207)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(1,316)</w:t>
            </w:r>
          </w:p>
        </w:tc>
        <w:tc>
          <w:tcPr>
            <w:tcW w:w="0" w:type="dxa"/>
            <w:vAlign w:val="bottom"/>
          </w:tcPr>
          <w:p>
            <w:pPr>
              <w:spacing w:after="0"/>
              <w:rPr>
                <w:sz w:val="1"/>
                <w:szCs w:val="1"/>
                <w:color w:val="auto"/>
              </w:rPr>
            </w:pPr>
          </w:p>
        </w:tc>
      </w:tr>
      <w:tr>
        <w:trPr>
          <w:trHeight w:val="269"/>
        </w:trPr>
        <w:tc>
          <w:tcPr>
            <w:tcW w:w="4880" w:type="dxa"/>
            <w:vAlign w:val="bottom"/>
          </w:tcPr>
          <w:p>
            <w:pPr>
              <w:ind w:left="80"/>
              <w:spacing w:after="0"/>
              <w:rPr>
                <w:sz w:val="20"/>
                <w:szCs w:val="20"/>
                <w:color w:val="auto"/>
              </w:rPr>
            </w:pPr>
            <w:r>
              <w:rPr>
                <w:rFonts w:ascii="Arial" w:cs="Arial" w:eastAsia="Arial" w:hAnsi="Arial"/>
                <w:sz w:val="22"/>
                <w:szCs w:val="22"/>
                <w:color w:val="auto"/>
              </w:rPr>
              <w:t>Interest and other income, net</w:t>
            </w: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880" w:type="dxa"/>
            <w:vAlign w:val="bottom"/>
          </w:tcPr>
          <w:p>
            <w:pPr>
              <w:spacing w:after="0"/>
              <w:rPr>
                <w:sz w:val="20"/>
                <w:szCs w:val="20"/>
                <w:color w:val="auto"/>
              </w:rPr>
            </w:pPr>
            <w:r>
              <w:rPr>
                <w:rFonts w:ascii="Arial" w:cs="Arial" w:eastAsia="Arial" w:hAnsi="Arial"/>
                <w:sz w:val="22"/>
                <w:szCs w:val="22"/>
                <w:b w:val="1"/>
                <w:bCs w:val="1"/>
                <w:color w:val="auto"/>
              </w:rPr>
              <w:t>Net loss</w:t>
            </w:r>
          </w:p>
        </w:tc>
        <w:tc>
          <w:tcPr>
            <w:tcW w:w="340" w:type="dxa"/>
            <w:vAlign w:val="bottom"/>
            <w:gridSpan w:val="2"/>
          </w:tcPr>
          <w:p>
            <w:pPr>
              <w:jc w:val="right"/>
              <w:ind w:right="123"/>
              <w:spacing w:after="0"/>
              <w:rPr>
                <w:sz w:val="20"/>
                <w:szCs w:val="20"/>
                <w:color w:val="auto"/>
              </w:rPr>
            </w:pPr>
            <w:r>
              <w:rPr>
                <w:rFonts w:ascii="Arial" w:cs="Arial" w:eastAsia="Arial" w:hAnsi="Arial"/>
                <w:sz w:val="22"/>
                <w:szCs w:val="22"/>
                <w:color w:val="auto"/>
                <w:w w:val="81"/>
              </w:rPr>
              <w:t>$</w:t>
            </w:r>
          </w:p>
        </w:tc>
        <w:tc>
          <w:tcPr>
            <w:tcW w:w="2720" w:type="dxa"/>
            <w:vAlign w:val="bottom"/>
            <w:gridSpan w:val="2"/>
          </w:tcPr>
          <w:p>
            <w:pPr>
              <w:jc w:val="right"/>
              <w:ind w:right="40"/>
              <w:spacing w:after="0"/>
              <w:rPr>
                <w:sz w:val="20"/>
                <w:szCs w:val="20"/>
                <w:color w:val="auto"/>
              </w:rPr>
            </w:pPr>
            <w:r>
              <w:rPr>
                <w:rFonts w:ascii="Arial" w:cs="Arial" w:eastAsia="Arial" w:hAnsi="Arial"/>
                <w:sz w:val="22"/>
                <w:szCs w:val="22"/>
                <w:color w:val="auto"/>
              </w:rPr>
              <w:t>(26,262)</w:t>
            </w:r>
          </w:p>
        </w:tc>
        <w:tc>
          <w:tcPr>
            <w:tcW w:w="24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(41,843)</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22"/>
                <w:szCs w:val="22"/>
                <w:b w:val="1"/>
                <w:bCs w:val="1"/>
                <w:color w:val="auto"/>
              </w:rPr>
              <w:t>Net loss per share</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26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(6.33)</w:t>
            </w:r>
          </w:p>
        </w:tc>
        <w:tc>
          <w:tcPr>
            <w:tcW w:w="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32"/>
              <w:spacing w:after="0" w:line="224" w:lineRule="exact"/>
              <w:rPr>
                <w:sz w:val="20"/>
                <w:szCs w:val="20"/>
                <w:color w:val="auto"/>
              </w:rPr>
            </w:pPr>
            <w:r>
              <w:rPr>
                <w:rFonts w:ascii="Arial" w:cs="Arial" w:eastAsia="Arial" w:hAnsi="Arial"/>
                <w:sz w:val="22"/>
                <w:szCs w:val="22"/>
                <w:color w:val="auto"/>
                <w:w w:val="81"/>
              </w:rPr>
              <w:t>$</w:t>
            </w:r>
          </w:p>
        </w:tc>
        <w:tc>
          <w:tcPr>
            <w:tcW w:w="26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(19.50)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92"/>
        <w:spacing w:after="0" w:line="199" w:lineRule="auto"/>
        <w:tabs>
          <w:tab w:leader="none" w:pos="20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Results have been adjusted to reflect the one-for-thirteen reverse stock split effected in April 2025.</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swheeler@wheelhouselsa.com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areynolds@wheelhouselsa.com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2026-03-30T07:31:17Z</dcterms:created>
  <dcterms:modified xsi:type="dcterms:W3CDTF">2026-03-30T07:31:17Z</dcterms:modified>
</cp:coreProperties>
</file>