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737d8k.htm"/>
      <w:bookmarkStart w:id="1" w:name="ksd1773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45-1472564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23" w:type="dxa"/>
        <w:jc w:val="left"/>
        <w:tblInd w:w="0" w:type="dxa"/>
        <w:tblLayout w:type="fixed"/>
        <w:tblCellMar>
          <w:top w:w="0" w:type="dxa"/>
          <w:left w:w="0" w:type="dxa"/>
          <w:bottom w:w="0" w:type="dxa"/>
          <w:right w:w="0" w:type="dxa"/>
        </w:tblCellMar>
      </w:tblPr>
      <w:tblGrid>
        <w:gridCol w:w="3935"/>
        <w:gridCol w:w="60"/>
        <w:gridCol w:w="23"/>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2000 Sierra Point Parkway, Suite 400</w:t>
            </w:r>
          </w:p>
          <w:p>
            <w:pPr>
              <w:pStyle w:val="TableContents"/>
              <w:bidi w:val="0"/>
              <w:spacing w:before="0" w:after="20"/>
              <w:jc w:val="center"/>
              <w:rPr>
                <w:rFonts w:ascii="Times New Roman" w:hAnsi="Times New Roman"/>
                <w:b/>
                <w:sz w:val="20"/>
              </w:rPr>
            </w:pPr>
            <w:r>
              <w:rPr>
                <w:rFonts w:ascii="Times New Roman" w:hAnsi="Times New Roman"/>
                <w:b/>
                <w:sz w:val="20"/>
              </w:rPr>
              <w:t>Brisbane, California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94005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sz w:val="20"/>
          <w:u w:val="single"/>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9135" w:type="dxa"/>
        <w:jc w:val="left"/>
        <w:tblInd w:w="0" w:type="dxa"/>
        <w:tblLayout w:type="fixed"/>
        <w:tblCellMar>
          <w:top w:w="0" w:type="dxa"/>
          <w:left w:w="0" w:type="dxa"/>
          <w:bottom w:w="0" w:type="dxa"/>
          <w:right w:w="0" w:type="dxa"/>
        </w:tblCellMar>
      </w:tblPr>
      <w:tblGrid>
        <w:gridCol w:w="5255"/>
        <w:gridCol w:w="60"/>
        <w:gridCol w:w="71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525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pPr>
      <w:r>
        <w:rPr>
          <w:rFonts w:ascii="Times New Roman" w:hAnsi="Times New Roman"/>
          <w:sz w:val="20"/>
        </w:rPr>
        <w:t xml:space="preserve">As previously announced in the </w:t>
      </w:r>
      <w:hyperlink r:id="rId2">
        <w:r>
          <w:rPr>
            <w:rStyle w:val="InternetLink"/>
            <w:rFonts w:ascii="Times New Roman" w:hAnsi="Times New Roman"/>
            <w:sz w:val="20"/>
          </w:rPr>
          <w:t>Current Report of Form 8-K</w:t>
        </w:r>
      </w:hyperlink>
      <w:r>
        <w:rPr>
          <w:rFonts w:ascii="Times New Roman" w:hAnsi="Times New Roman"/>
          <w:sz w:val="20"/>
        </w:rPr>
        <w:t xml:space="preserve">, filed by Tempest Therapeutics, Inc. (the “Company”) with the Securities and Exchange Commission (“SEC”) on April 18, 2025, the Company has adopted a plan to extend its capital resources in connection with initiating a process to explore a full range of strategic alternatives. In support of such efforts, on June 5, 2025, each of Stephen Brady, the Company’s Chief Executive Officer and President, Samuel Whiting, the Company’s Executive Vice President and Chief Medical Officer, and Nicholas Maestas, the Company’s Chief Financial Officer and Corporate Secretary, transitioned (collectively, the “Transition”) to consulting agreements (collectively, the “Consulting Agreements”) with the Company, pursuant to which they will continue to serve the Company in their respective executive roles. Each Consulting Agreement has a term of one year, unless earlier terminated by either party thereto. Each of Mr. Brady, Dr. Whiting and Mr. Maestas will receive hourly compensation pursuant to the terms of his respective Consulting Agreement.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Transition, Mr. Brady will continue to serve as the Company’s principal executive officer and Mr. Maestas will continue to serve as the Company’s principal financial officer. Mr. Brady will also continue to serve as director on the Company’s board of directors. </w:t>
      </w:r>
    </w:p>
    <w:p>
      <w:pPr>
        <w:pStyle w:val="TextBody"/>
        <w:bidi w:val="0"/>
        <w:spacing w:before="240" w:after="0"/>
        <w:jc w:val="left"/>
        <w:rPr/>
      </w:pPr>
      <w:r>
        <w:rPr>
          <w:rFonts w:ascii="Times New Roman" w:hAnsi="Times New Roman"/>
          <w:sz w:val="20"/>
        </w:rPr>
        <w:t xml:space="preserve">In connection with the Transition, the Company and each of Mr. Brady, Dr. Whiting and Mr. Maestas entered into a Separation Agreement (collectively, the “Separation Agreements”). Each Separation Agreement provides for severance benefits resulting from a termination by the Company without “cause” under each of Mr. Brady’s, Dr. Whiting’s and Mr. Maestas’s respective employment agreements, as described in the Company’s </w:t>
      </w:r>
      <w:hyperlink r:id="rId3">
        <w:r>
          <w:rPr>
            <w:rStyle w:val="InternetLink"/>
            <w:rFonts w:ascii="Times New Roman" w:hAnsi="Times New Roman"/>
            <w:sz w:val="20"/>
          </w:rPr>
          <w:t>Annual Report on Form 10-K/A</w:t>
        </w:r>
      </w:hyperlink>
      <w:r>
        <w:rPr>
          <w:rFonts w:ascii="Times New Roman" w:hAnsi="Times New Roman"/>
          <w:sz w:val="20"/>
        </w:rPr>
        <w:t xml:space="preserve">, filed with the SEC on April 30, 2025. In addition, each of Mr. Brady, Dr. Whiting and Mr. Maestas will be entitled to full acceleration of all outstanding equity awards, which will become fully vested and exercisable as of June 5, 2025, with an extended post-Transition exercise period to the earlier of a Change of Control transaction or 180 days after each executive’s separation from service. The foregoing severance benefits are contingent upon a general release of claims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There were no disagreements between any of Mr. Brady, Dr. Whiting and Mr. Maestas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Consulting Agreements and Separation Agreements do not purport to be complete and are qualified by reference to the full text of each agreement, copies of which will be filed as exhibits to the Company’s Quarterly Report on Form 10-Q for the quarter ended June 30, 2025.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023" w:type="dxa"/>
        <w:jc w:val="left"/>
        <w:tblInd w:w="0" w:type="dxa"/>
        <w:tblLayout w:type="fixed"/>
        <w:tblCellMar>
          <w:top w:w="0" w:type="dxa"/>
          <w:left w:w="0" w:type="dxa"/>
          <w:bottom w:w="0" w:type="dxa"/>
          <w:right w:w="0" w:type="dxa"/>
        </w:tblCellMar>
      </w:tblPr>
      <w:tblGrid>
        <w:gridCol w:w="1820"/>
        <w:gridCol w:w="60"/>
        <w:gridCol w:w="23"/>
        <w:gridCol w:w="60"/>
        <w:gridCol w:w="365"/>
        <w:gridCol w:w="60"/>
        <w:gridCol w:w="363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pPr>
            <w:r>
              <w:rPr/>
              <w:t>Tempest Therapeutics,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6,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Brady</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Stephen Brady</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544227/000119312525085773/d792758d8k.htm" TargetMode="External"/><Relationship Id="rId3" Type="http://schemas.openxmlformats.org/officeDocument/2006/relationships/hyperlink" Target="http://www.sec.gov/Archives/edgar/data/../../../ix?doc=/Archives/edgar/data/1544227/000119312525107127/d920870d10k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813</Words>
  <Characters>4511</Characters>
  <CharactersWithSpaces>5317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