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7048500" cy="568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56889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80" w:space="460"/>
            <w:col w:w="8440"/>
          </w:cols>
          <w:pgMar w:left="460" w:top="220" w:right="359" w:bottom="671"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Brady Stephen R</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SUITE 275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jc w:val="center"/>
        <w:ind w:right="220"/>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Millendo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TPST</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06/25/2021</w:t>
      </w:r>
    </w:p>
    <w:p>
      <w:pPr>
        <w:spacing w:after="0" w:line="20" w:lineRule="exact"/>
        <w:rPr>
          <w:sz w:val="24"/>
          <w:szCs w:val="24"/>
          <w:color w:val="auto"/>
        </w:rPr>
      </w:pPr>
      <w:r>
        <w:rPr>
          <w:sz w:val="24"/>
          <w:szCs w:val="24"/>
          <w:color w:val="auto"/>
        </w:rPr>
        <w:br w:type="column"/>
      </w:r>
    </w:p>
    <w:p>
      <w:pPr>
        <w:ind w:right="720"/>
        <w:spacing w:after="0" w:line="258"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7"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20" w:type="dxa"/>
            <w:vAlign w:val="bottom"/>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20" w:type="dxa"/>
            <w:vAlign w:val="bottom"/>
          </w:tcPr>
          <w:p>
            <w:pPr>
              <w:ind w:left="36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2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20"/>
        <w:spacing w:after="0"/>
        <w:rPr>
          <w:sz w:val="20"/>
          <w:szCs w:val="20"/>
          <w:color w:val="auto"/>
        </w:rPr>
      </w:pPr>
      <w:r>
        <w:rPr>
          <w:rFonts w:ascii="Arial" w:cs="Arial" w:eastAsia="Arial" w:hAnsi="Arial"/>
          <w:sz w:val="16"/>
          <w:szCs w:val="16"/>
          <w:color w:val="0000FF"/>
        </w:rPr>
        <w:t>Chief Executive Officer</w:t>
      </w:r>
    </w:p>
    <w:p>
      <w:pPr>
        <w:spacing w:after="0" w:line="512" w:lineRule="exact"/>
        <w:rPr>
          <w:sz w:val="24"/>
          <w:szCs w:val="24"/>
          <w:color w:val="auto"/>
        </w:rPr>
      </w:pPr>
    </w:p>
    <w:p>
      <w:pPr>
        <w:sectPr>
          <w:pgSz w:w="11900" w:h="16838" w:orient="portrait"/>
          <w:cols w:equalWidth="0" w:num="3">
            <w:col w:w="3180" w:space="720"/>
            <w:col w:w="3100" w:space="720"/>
            <w:col w:w="3360"/>
          </w:cols>
          <w:pgMar w:left="460" w:top="220" w:right="359" w:bottom="671" w:gutter="0" w:footer="0" w:header="0"/>
          <w:type w:val="continuous"/>
        </w:sectPr>
      </w:pP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56"/>
        </w:trPr>
        <w:tc>
          <w:tcPr>
            <w:tcW w:w="20" w:type="dxa"/>
            <w:vAlign w:val="bottom"/>
            <w:vMerge w:val="restart"/>
          </w:tcPr>
          <w:p>
            <w:pPr>
              <w:spacing w:after="0"/>
              <w:rPr>
                <w:sz w:val="4"/>
                <w:szCs w:val="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20" w:type="dxa"/>
            <w:vAlign w:val="bottom"/>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vMerge w:val="restart"/>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SOUTH SAN</w:t>
            </w: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0000FF"/>
              </w:rPr>
              <w:t>CA</w:t>
            </w:r>
          </w:p>
        </w:tc>
        <w:tc>
          <w:tcPr>
            <w:tcW w:w="1060" w:type="dxa"/>
            <w:vAlign w:val="bottom"/>
            <w:vMerge w:val="restart"/>
          </w:tcPr>
          <w:p>
            <w:pPr>
              <w:ind w:left="80"/>
              <w:spacing w:after="0"/>
              <w:rPr>
                <w:sz w:val="20"/>
                <w:szCs w:val="20"/>
                <w:color w:val="auto"/>
              </w:rPr>
            </w:pPr>
            <w:r>
              <w:rPr>
                <w:rFonts w:ascii="Arial" w:cs="Arial" w:eastAsia="Arial" w:hAnsi="Arial"/>
                <w:sz w:val="16"/>
                <w:szCs w:val="16"/>
                <w:color w:val="0000FF"/>
              </w:rPr>
              <w:t>94080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20" w:type="dxa"/>
            <w:vAlign w:val="bottom"/>
            <w:gridSpan w:val="7"/>
            <w:vMerge w:val="continue"/>
          </w:tcPr>
          <w:p>
            <w:pPr>
              <w:spacing w:after="0"/>
              <w:rPr>
                <w:sz w:val="10"/>
                <w:szCs w:val="10"/>
                <w:color w:val="auto"/>
              </w:rPr>
            </w:pPr>
          </w:p>
        </w:tc>
        <w:tc>
          <w:tcPr>
            <w:tcW w:w="37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gridSpan w:val="6"/>
            <w:vMerge w:val="restart"/>
          </w:tcPr>
          <w:p>
            <w:pPr>
              <w:ind w:left="5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FRANCISCO</w:t>
            </w:r>
          </w:p>
        </w:tc>
        <w:tc>
          <w:tcPr>
            <w:tcW w:w="116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00" w:type="dxa"/>
            <w:vAlign w:val="bottom"/>
            <w:gridSpan w:val="6"/>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4"/>
          </w:tcPr>
          <w:p>
            <w:pPr>
              <w:jc w:val="right"/>
              <w:ind w:right="164"/>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ind w:left="9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900"/>
              <w:spacing w:after="0" w:line="122"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90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7"/>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3"/>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jc w:val="center"/>
              <w:ind w:right="44"/>
              <w:spacing w:after="0"/>
              <w:rPr>
                <w:sz w:val="20"/>
                <w:szCs w:val="20"/>
                <w:color w:val="auto"/>
              </w:rPr>
            </w:pPr>
            <w:r>
              <w:rPr>
                <w:rFonts w:ascii="Arial" w:cs="Arial" w:eastAsia="Arial" w:hAnsi="Arial"/>
                <w:sz w:val="11"/>
                <w:szCs w:val="11"/>
                <w:b w:val="1"/>
                <w:bCs w:val="1"/>
                <w:color w:val="auto"/>
                <w:w w:val="98"/>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jc w:val="center"/>
              <w:ind w:right="44"/>
              <w:spacing w:after="0" w:line="125" w:lineRule="exact"/>
              <w:rPr>
                <w:sz w:val="20"/>
                <w:szCs w:val="20"/>
                <w:color w:val="auto"/>
              </w:rPr>
            </w:pPr>
            <w:r>
              <w:rPr>
                <w:rFonts w:ascii="Arial" w:cs="Arial" w:eastAsia="Arial" w:hAnsi="Arial"/>
                <w:sz w:val="11"/>
                <w:szCs w:val="11"/>
                <w:b w:val="1"/>
                <w:bCs w:val="1"/>
                <w:color w:val="auto"/>
                <w:w w:val="98"/>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jc w:val="right"/>
              <w:ind w:right="164"/>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jc w:val="right"/>
              <w:ind w:right="184"/>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Option</w:t>
            </w:r>
          </w:p>
        </w:tc>
        <w:tc>
          <w:tcPr>
            <w:tcW w:w="640" w:type="dxa"/>
            <w:vAlign w:val="bottom"/>
            <w:vMerge w:val="restart"/>
          </w:tcPr>
          <w:p>
            <w:pPr>
              <w:jc w:val="center"/>
              <w:ind w:left="6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4.97</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06/25/2021</w:t>
            </w:r>
          </w:p>
        </w:tc>
        <w:tc>
          <w:tcPr>
            <w:tcW w:w="1060" w:type="dxa"/>
            <w:vAlign w:val="bottom"/>
          </w:tcPr>
          <w:p>
            <w:pPr>
              <w:spacing w:after="0"/>
              <w:rPr>
                <w:sz w:val="11"/>
                <w:szCs w:val="11"/>
                <w:color w:val="auto"/>
              </w:rPr>
            </w:pPr>
          </w:p>
        </w:tc>
        <w:tc>
          <w:tcPr>
            <w:tcW w:w="800" w:type="dxa"/>
            <w:vAlign w:val="bottom"/>
            <w:gridSpan w:val="3"/>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2"/>
              </w:rPr>
              <w:t>110,432</w:t>
            </w:r>
          </w:p>
        </w:tc>
        <w:tc>
          <w:tcPr>
            <w:tcW w:w="320" w:type="dxa"/>
            <w:vAlign w:val="bottom"/>
          </w:tcPr>
          <w:p>
            <w:pPr>
              <w:spacing w:after="0"/>
              <w:rPr>
                <w:sz w:val="11"/>
                <w:szCs w:val="11"/>
                <w:color w:val="auto"/>
              </w:rPr>
            </w:pPr>
          </w:p>
        </w:tc>
        <w:tc>
          <w:tcPr>
            <w:tcW w:w="740" w:type="dxa"/>
            <w:vAlign w:val="bottom"/>
            <w:gridSpan w:val="2"/>
            <w:vMerge w:val="restart"/>
          </w:tcPr>
          <w:p>
            <w:pPr>
              <w:jc w:val="center"/>
              <w:ind w:right="4"/>
              <w:spacing w:after="0"/>
              <w:rPr>
                <w:sz w:val="20"/>
                <w:szCs w:val="20"/>
                <w:color w:val="auto"/>
              </w:rPr>
            </w:pPr>
            <w:r>
              <w:rPr>
                <w:rFonts w:ascii="Arial" w:cs="Arial" w:eastAsia="Arial" w:hAnsi="Arial"/>
                <w:sz w:val="10"/>
                <w:szCs w:val="10"/>
                <w:color w:val="008000"/>
                <w:w w:val="97"/>
              </w:rPr>
              <w:t>(2)(3)</w:t>
            </w:r>
          </w:p>
        </w:tc>
        <w:tc>
          <w:tcPr>
            <w:tcW w:w="680" w:type="dxa"/>
            <w:vAlign w:val="bottom"/>
            <w:vMerge w:val="restart"/>
          </w:tcPr>
          <w:p>
            <w:pPr>
              <w:ind w:left="40"/>
              <w:spacing w:after="0"/>
              <w:rPr>
                <w:sz w:val="20"/>
                <w:szCs w:val="20"/>
                <w:color w:val="auto"/>
              </w:rPr>
            </w:pPr>
            <w:r>
              <w:rPr>
                <w:rFonts w:ascii="Arial" w:cs="Arial" w:eastAsia="Arial" w:hAnsi="Arial"/>
                <w:sz w:val="12"/>
                <w:szCs w:val="12"/>
                <w:color w:val="0000FF"/>
              </w:rPr>
              <w:t>09/15/2029</w:t>
            </w:r>
          </w:p>
        </w:tc>
        <w:tc>
          <w:tcPr>
            <w:tcW w:w="660" w:type="dxa"/>
            <w:vAlign w:val="bottom"/>
          </w:tcPr>
          <w:p>
            <w:pPr>
              <w:ind w:left="6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110,432</w:t>
            </w:r>
          </w:p>
        </w:tc>
        <w:tc>
          <w:tcPr>
            <w:tcW w:w="40" w:type="dxa"/>
            <w:vAlign w:val="bottom"/>
          </w:tcPr>
          <w:p>
            <w:pPr>
              <w:spacing w:after="0"/>
              <w:rPr>
                <w:sz w:val="11"/>
                <w:szCs w:val="11"/>
                <w:color w:val="auto"/>
              </w:rPr>
            </w:pPr>
          </w:p>
        </w:tc>
        <w:tc>
          <w:tcPr>
            <w:tcW w:w="700" w:type="dxa"/>
            <w:vAlign w:val="bottom"/>
            <w:vMerge w:val="restart"/>
          </w:tcPr>
          <w:p>
            <w:pPr>
              <w:jc w:val="center"/>
              <w:ind w:right="44"/>
              <w:spacing w:after="0"/>
              <w:rPr>
                <w:sz w:val="20"/>
                <w:szCs w:val="20"/>
                <w:color w:val="auto"/>
              </w:rPr>
            </w:pPr>
            <w:r>
              <w:rPr>
                <w:rFonts w:ascii="Arial" w:cs="Arial" w:eastAsia="Arial" w:hAnsi="Arial"/>
                <w:sz w:val="10"/>
                <w:szCs w:val="10"/>
                <w:color w:val="008000"/>
                <w:w w:val="97"/>
              </w:rPr>
              <w:t>(1)</w:t>
            </w:r>
          </w:p>
        </w:tc>
        <w:tc>
          <w:tcPr>
            <w:tcW w:w="8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110,432</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(Right to</w:t>
            </w: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color w:val="0000FF"/>
              </w:rPr>
              <w:t>Stock</w:t>
            </w: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Option</w:t>
            </w:r>
          </w:p>
        </w:tc>
        <w:tc>
          <w:tcPr>
            <w:tcW w:w="640" w:type="dxa"/>
            <w:vAlign w:val="bottom"/>
            <w:vMerge w:val="restart"/>
          </w:tcPr>
          <w:p>
            <w:pPr>
              <w:jc w:val="center"/>
              <w:ind w:left="84"/>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5.9</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06/25/2021</w:t>
            </w:r>
          </w:p>
        </w:tc>
        <w:tc>
          <w:tcPr>
            <w:tcW w:w="1060" w:type="dxa"/>
            <w:vAlign w:val="bottom"/>
          </w:tcPr>
          <w:p>
            <w:pPr>
              <w:spacing w:after="0"/>
              <w:rPr>
                <w:sz w:val="11"/>
                <w:szCs w:val="11"/>
                <w:color w:val="auto"/>
              </w:rPr>
            </w:pPr>
          </w:p>
        </w:tc>
        <w:tc>
          <w:tcPr>
            <w:tcW w:w="800" w:type="dxa"/>
            <w:vAlign w:val="bottom"/>
            <w:gridSpan w:val="3"/>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2"/>
              </w:rPr>
              <w:t>70,256</w:t>
            </w:r>
          </w:p>
        </w:tc>
        <w:tc>
          <w:tcPr>
            <w:tcW w:w="320" w:type="dxa"/>
            <w:vAlign w:val="bottom"/>
          </w:tcPr>
          <w:p>
            <w:pPr>
              <w:spacing w:after="0"/>
              <w:rPr>
                <w:sz w:val="11"/>
                <w:szCs w:val="11"/>
                <w:color w:val="auto"/>
              </w:rPr>
            </w:pPr>
          </w:p>
        </w:tc>
        <w:tc>
          <w:tcPr>
            <w:tcW w:w="740" w:type="dxa"/>
            <w:vAlign w:val="bottom"/>
            <w:gridSpan w:val="2"/>
            <w:vMerge w:val="restart"/>
          </w:tcPr>
          <w:p>
            <w:pPr>
              <w:jc w:val="center"/>
              <w:ind w:right="4"/>
              <w:spacing w:after="0"/>
              <w:rPr>
                <w:sz w:val="20"/>
                <w:szCs w:val="20"/>
                <w:color w:val="auto"/>
              </w:rPr>
            </w:pPr>
            <w:r>
              <w:rPr>
                <w:rFonts w:ascii="Arial" w:cs="Arial" w:eastAsia="Arial" w:hAnsi="Arial"/>
                <w:sz w:val="10"/>
                <w:szCs w:val="10"/>
                <w:color w:val="008000"/>
                <w:w w:val="97"/>
              </w:rPr>
              <w:t>(4)</w:t>
            </w:r>
          </w:p>
        </w:tc>
        <w:tc>
          <w:tcPr>
            <w:tcW w:w="680" w:type="dxa"/>
            <w:vAlign w:val="bottom"/>
            <w:vMerge w:val="restart"/>
          </w:tcPr>
          <w:p>
            <w:pPr>
              <w:ind w:left="40"/>
              <w:spacing w:after="0"/>
              <w:rPr>
                <w:sz w:val="20"/>
                <w:szCs w:val="20"/>
                <w:color w:val="auto"/>
              </w:rPr>
            </w:pPr>
            <w:r>
              <w:rPr>
                <w:rFonts w:ascii="Arial" w:cs="Arial" w:eastAsia="Arial" w:hAnsi="Arial"/>
                <w:sz w:val="12"/>
                <w:szCs w:val="12"/>
                <w:color w:val="0000FF"/>
              </w:rPr>
              <w:t>03/29/2030</w:t>
            </w:r>
          </w:p>
        </w:tc>
        <w:tc>
          <w:tcPr>
            <w:tcW w:w="660" w:type="dxa"/>
            <w:vAlign w:val="bottom"/>
          </w:tcPr>
          <w:p>
            <w:pPr>
              <w:ind w:left="6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70,256</w:t>
            </w:r>
          </w:p>
        </w:tc>
        <w:tc>
          <w:tcPr>
            <w:tcW w:w="40" w:type="dxa"/>
            <w:vAlign w:val="bottom"/>
          </w:tcPr>
          <w:p>
            <w:pPr>
              <w:spacing w:after="0"/>
              <w:rPr>
                <w:sz w:val="11"/>
                <w:szCs w:val="11"/>
                <w:color w:val="auto"/>
              </w:rPr>
            </w:pPr>
          </w:p>
        </w:tc>
        <w:tc>
          <w:tcPr>
            <w:tcW w:w="700" w:type="dxa"/>
            <w:vAlign w:val="bottom"/>
            <w:vMerge w:val="restart"/>
          </w:tcPr>
          <w:p>
            <w:pPr>
              <w:jc w:val="center"/>
              <w:ind w:right="44"/>
              <w:spacing w:after="0"/>
              <w:rPr>
                <w:sz w:val="20"/>
                <w:szCs w:val="20"/>
                <w:color w:val="auto"/>
              </w:rPr>
            </w:pPr>
            <w:r>
              <w:rPr>
                <w:rFonts w:ascii="Arial" w:cs="Arial" w:eastAsia="Arial" w:hAnsi="Arial"/>
                <w:sz w:val="10"/>
                <w:szCs w:val="10"/>
                <w:color w:val="008000"/>
                <w:w w:val="97"/>
              </w:rPr>
              <w:t>(1)</w:t>
            </w:r>
          </w:p>
        </w:tc>
        <w:tc>
          <w:tcPr>
            <w:tcW w:w="840" w:type="dxa"/>
            <w:vAlign w:val="bottom"/>
            <w:gridSpan w:val="2"/>
            <w:vMerge w:val="restart"/>
          </w:tcPr>
          <w:p>
            <w:pPr>
              <w:jc w:val="center"/>
              <w:ind w:right="4"/>
              <w:spacing w:after="0"/>
              <w:rPr>
                <w:sz w:val="20"/>
                <w:szCs w:val="20"/>
                <w:color w:val="auto"/>
              </w:rPr>
            </w:pPr>
            <w:r>
              <w:rPr>
                <w:rFonts w:ascii="Arial" w:cs="Arial" w:eastAsia="Arial" w:hAnsi="Arial"/>
                <w:sz w:val="12"/>
                <w:szCs w:val="12"/>
                <w:color w:val="0000FF"/>
                <w:w w:val="92"/>
              </w:rPr>
              <w:t>70,256</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(Right to</w:t>
            </w: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color w:val="0000FF"/>
              </w:rPr>
              <w:t>Stock</w:t>
            </w: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Option</w:t>
            </w:r>
          </w:p>
        </w:tc>
        <w:tc>
          <w:tcPr>
            <w:tcW w:w="640" w:type="dxa"/>
            <w:vAlign w:val="bottom"/>
            <w:vMerge w:val="restart"/>
          </w:tcPr>
          <w:p>
            <w:pPr>
              <w:jc w:val="center"/>
              <w:ind w:left="84"/>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10.25</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06/25/2021</w:t>
            </w:r>
          </w:p>
        </w:tc>
        <w:tc>
          <w:tcPr>
            <w:tcW w:w="1060" w:type="dxa"/>
            <w:vAlign w:val="bottom"/>
          </w:tcPr>
          <w:p>
            <w:pPr>
              <w:spacing w:after="0"/>
              <w:rPr>
                <w:sz w:val="11"/>
                <w:szCs w:val="11"/>
                <w:color w:val="auto"/>
              </w:rPr>
            </w:pPr>
          </w:p>
        </w:tc>
        <w:tc>
          <w:tcPr>
            <w:tcW w:w="800" w:type="dxa"/>
            <w:vAlign w:val="bottom"/>
            <w:gridSpan w:val="3"/>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3"/>
              </w:rPr>
              <w:t>8,050</w:t>
            </w:r>
          </w:p>
        </w:tc>
        <w:tc>
          <w:tcPr>
            <w:tcW w:w="320" w:type="dxa"/>
            <w:vAlign w:val="bottom"/>
          </w:tcPr>
          <w:p>
            <w:pPr>
              <w:spacing w:after="0"/>
              <w:rPr>
                <w:sz w:val="11"/>
                <w:szCs w:val="11"/>
                <w:color w:val="auto"/>
              </w:rPr>
            </w:pPr>
          </w:p>
        </w:tc>
        <w:tc>
          <w:tcPr>
            <w:tcW w:w="740" w:type="dxa"/>
            <w:vAlign w:val="bottom"/>
            <w:gridSpan w:val="2"/>
            <w:vMerge w:val="restart"/>
          </w:tcPr>
          <w:p>
            <w:pPr>
              <w:jc w:val="center"/>
              <w:ind w:right="4"/>
              <w:spacing w:after="0"/>
              <w:rPr>
                <w:sz w:val="20"/>
                <w:szCs w:val="20"/>
                <w:color w:val="auto"/>
              </w:rPr>
            </w:pPr>
            <w:r>
              <w:rPr>
                <w:rFonts w:ascii="Arial" w:cs="Arial" w:eastAsia="Arial" w:hAnsi="Arial"/>
                <w:sz w:val="10"/>
                <w:szCs w:val="10"/>
                <w:color w:val="008000"/>
                <w:w w:val="97"/>
              </w:rPr>
              <w:t>(5)</w:t>
            </w:r>
          </w:p>
        </w:tc>
        <w:tc>
          <w:tcPr>
            <w:tcW w:w="680" w:type="dxa"/>
            <w:vAlign w:val="bottom"/>
            <w:vMerge w:val="restart"/>
          </w:tcPr>
          <w:p>
            <w:pPr>
              <w:ind w:left="40"/>
              <w:spacing w:after="0"/>
              <w:rPr>
                <w:sz w:val="20"/>
                <w:szCs w:val="20"/>
                <w:color w:val="auto"/>
              </w:rPr>
            </w:pPr>
            <w:r>
              <w:rPr>
                <w:rFonts w:ascii="Arial" w:cs="Arial" w:eastAsia="Arial" w:hAnsi="Arial"/>
                <w:sz w:val="12"/>
                <w:szCs w:val="12"/>
                <w:color w:val="0000FF"/>
              </w:rPr>
              <w:t>03/09/2031</w:t>
            </w:r>
          </w:p>
        </w:tc>
        <w:tc>
          <w:tcPr>
            <w:tcW w:w="660" w:type="dxa"/>
            <w:vAlign w:val="bottom"/>
          </w:tcPr>
          <w:p>
            <w:pPr>
              <w:ind w:left="6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8,050</w:t>
            </w:r>
          </w:p>
        </w:tc>
        <w:tc>
          <w:tcPr>
            <w:tcW w:w="40" w:type="dxa"/>
            <w:vAlign w:val="bottom"/>
          </w:tcPr>
          <w:p>
            <w:pPr>
              <w:spacing w:after="0"/>
              <w:rPr>
                <w:sz w:val="11"/>
                <w:szCs w:val="11"/>
                <w:color w:val="auto"/>
              </w:rPr>
            </w:pPr>
          </w:p>
        </w:tc>
        <w:tc>
          <w:tcPr>
            <w:tcW w:w="700" w:type="dxa"/>
            <w:vAlign w:val="bottom"/>
            <w:vMerge w:val="restart"/>
          </w:tcPr>
          <w:p>
            <w:pPr>
              <w:jc w:val="center"/>
              <w:ind w:right="44"/>
              <w:spacing w:after="0"/>
              <w:rPr>
                <w:sz w:val="20"/>
                <w:szCs w:val="20"/>
                <w:color w:val="auto"/>
              </w:rPr>
            </w:pPr>
            <w:r>
              <w:rPr>
                <w:rFonts w:ascii="Arial" w:cs="Arial" w:eastAsia="Arial" w:hAnsi="Arial"/>
                <w:sz w:val="10"/>
                <w:szCs w:val="10"/>
                <w:color w:val="008000"/>
                <w:w w:val="97"/>
              </w:rPr>
              <w:t>(1)</w:t>
            </w:r>
          </w:p>
        </w:tc>
        <w:tc>
          <w:tcPr>
            <w:tcW w:w="8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8,050</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(Right to</w:t>
            </w: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color w:val="0000FF"/>
              </w:rPr>
              <w:t>Stock</w:t>
            </w: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Option</w:t>
            </w:r>
          </w:p>
        </w:tc>
        <w:tc>
          <w:tcPr>
            <w:tcW w:w="640" w:type="dxa"/>
            <w:vAlign w:val="bottom"/>
          </w:tcPr>
          <w:p>
            <w:pPr>
              <w:jc w:val="center"/>
              <w:ind w:left="6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26.4</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0000FF"/>
                <w:w w:val="93"/>
              </w:rPr>
              <w:t>06/25/2021</w:t>
            </w:r>
          </w:p>
        </w:tc>
        <w:tc>
          <w:tcPr>
            <w:tcW w:w="1060" w:type="dxa"/>
            <w:vAlign w:val="bottom"/>
          </w:tcPr>
          <w:p>
            <w:pPr>
              <w:spacing w:after="0"/>
              <w:rPr>
                <w:sz w:val="17"/>
                <w:szCs w:val="17"/>
                <w:color w:val="auto"/>
              </w:rPr>
            </w:pPr>
          </w:p>
        </w:tc>
        <w:tc>
          <w:tcPr>
            <w:tcW w:w="800" w:type="dxa"/>
            <w:vAlign w:val="bottom"/>
            <w:gridSpan w:val="3"/>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jc w:val="center"/>
              <w:spacing w:after="0"/>
              <w:rPr>
                <w:sz w:val="20"/>
                <w:szCs w:val="20"/>
                <w:color w:val="auto"/>
              </w:rPr>
            </w:pPr>
            <w:r>
              <w:rPr>
                <w:rFonts w:ascii="Arial" w:cs="Arial" w:eastAsia="Arial" w:hAnsi="Arial"/>
                <w:sz w:val="12"/>
                <w:szCs w:val="12"/>
                <w:color w:val="0000FF"/>
                <w:w w:val="93"/>
              </w:rPr>
              <w:t>1,982,250</w:t>
            </w:r>
          </w:p>
        </w:tc>
        <w:tc>
          <w:tcPr>
            <w:tcW w:w="320" w:type="dxa"/>
            <w:vAlign w:val="bottom"/>
          </w:tcPr>
          <w:p>
            <w:pPr>
              <w:spacing w:after="0"/>
              <w:rPr>
                <w:sz w:val="17"/>
                <w:szCs w:val="17"/>
                <w:color w:val="auto"/>
              </w:rPr>
            </w:pPr>
          </w:p>
        </w:tc>
        <w:tc>
          <w:tcPr>
            <w:tcW w:w="740" w:type="dxa"/>
            <w:vAlign w:val="bottom"/>
            <w:gridSpan w:val="2"/>
          </w:tcPr>
          <w:p>
            <w:pPr>
              <w:jc w:val="center"/>
              <w:ind w:right="4"/>
              <w:spacing w:after="0"/>
              <w:rPr>
                <w:sz w:val="20"/>
                <w:szCs w:val="20"/>
                <w:color w:val="auto"/>
              </w:rPr>
            </w:pPr>
            <w:r>
              <w:rPr>
                <w:rFonts w:ascii="Arial" w:cs="Arial" w:eastAsia="Arial" w:hAnsi="Arial"/>
                <w:sz w:val="10"/>
                <w:szCs w:val="10"/>
                <w:color w:val="008000"/>
                <w:w w:val="97"/>
              </w:rPr>
              <w:t>(6)</w:t>
            </w:r>
          </w:p>
        </w:tc>
        <w:tc>
          <w:tcPr>
            <w:tcW w:w="680" w:type="dxa"/>
            <w:vAlign w:val="bottom"/>
          </w:tcPr>
          <w:p>
            <w:pPr>
              <w:ind w:left="40"/>
              <w:spacing w:after="0"/>
              <w:rPr>
                <w:sz w:val="20"/>
                <w:szCs w:val="20"/>
                <w:color w:val="auto"/>
              </w:rPr>
            </w:pPr>
            <w:r>
              <w:rPr>
                <w:rFonts w:ascii="Arial" w:cs="Arial" w:eastAsia="Arial" w:hAnsi="Arial"/>
                <w:sz w:val="12"/>
                <w:szCs w:val="12"/>
                <w:color w:val="0000FF"/>
              </w:rPr>
              <w:t>04/28/2031</w:t>
            </w:r>
          </w:p>
        </w:tc>
        <w:tc>
          <w:tcPr>
            <w:tcW w:w="660" w:type="dxa"/>
            <w:vAlign w:val="bottom"/>
          </w:tcPr>
          <w:p>
            <w:pPr>
              <w:ind w:left="60"/>
              <w:spacing w:after="0"/>
              <w:rPr>
                <w:sz w:val="20"/>
                <w:szCs w:val="20"/>
                <w:color w:val="auto"/>
              </w:rPr>
            </w:pPr>
            <w:r>
              <w:rPr>
                <w:rFonts w:ascii="Arial" w:cs="Arial" w:eastAsia="Arial" w:hAnsi="Arial"/>
                <w:sz w:val="12"/>
                <w:szCs w:val="12"/>
                <w:color w:val="0000FF"/>
              </w:rPr>
              <w:t>Common</w:t>
            </w:r>
          </w:p>
        </w:tc>
        <w:tc>
          <w:tcPr>
            <w:tcW w:w="700" w:type="dxa"/>
            <w:vAlign w:val="bottom"/>
          </w:tcPr>
          <w:p>
            <w:pPr>
              <w:jc w:val="center"/>
              <w:spacing w:after="0"/>
              <w:rPr>
                <w:sz w:val="20"/>
                <w:szCs w:val="20"/>
                <w:color w:val="auto"/>
              </w:rPr>
            </w:pPr>
            <w:r>
              <w:rPr>
                <w:rFonts w:ascii="Arial" w:cs="Arial" w:eastAsia="Arial" w:hAnsi="Arial"/>
                <w:sz w:val="16"/>
                <w:szCs w:val="16"/>
                <w:color w:val="0000FF"/>
                <w:w w:val="89"/>
              </w:rPr>
              <w:t>1,982,250</w:t>
            </w:r>
          </w:p>
        </w:tc>
        <w:tc>
          <w:tcPr>
            <w:tcW w:w="40" w:type="dxa"/>
            <w:vAlign w:val="bottom"/>
          </w:tcPr>
          <w:p>
            <w:pPr>
              <w:spacing w:after="0"/>
              <w:rPr>
                <w:sz w:val="17"/>
                <w:szCs w:val="17"/>
                <w:color w:val="auto"/>
              </w:rPr>
            </w:pPr>
          </w:p>
        </w:tc>
        <w:tc>
          <w:tcPr>
            <w:tcW w:w="700" w:type="dxa"/>
            <w:vAlign w:val="bottom"/>
          </w:tcPr>
          <w:p>
            <w:pPr>
              <w:jc w:val="center"/>
              <w:ind w:right="44"/>
              <w:spacing w:after="0"/>
              <w:rPr>
                <w:sz w:val="20"/>
                <w:szCs w:val="20"/>
                <w:color w:val="auto"/>
              </w:rPr>
            </w:pPr>
            <w:r>
              <w:rPr>
                <w:rFonts w:ascii="Arial" w:cs="Arial" w:eastAsia="Arial" w:hAnsi="Arial"/>
                <w:sz w:val="10"/>
                <w:szCs w:val="10"/>
                <w:color w:val="008000"/>
                <w:w w:val="97"/>
              </w:rPr>
              <w:t>(1)</w:t>
            </w:r>
          </w:p>
        </w:tc>
        <w:tc>
          <w:tcPr>
            <w:tcW w:w="840" w:type="dxa"/>
            <w:vAlign w:val="bottom"/>
            <w:gridSpan w:val="2"/>
          </w:tcPr>
          <w:p>
            <w:pPr>
              <w:jc w:val="center"/>
              <w:ind w:right="4"/>
              <w:spacing w:after="0"/>
              <w:rPr>
                <w:sz w:val="20"/>
                <w:szCs w:val="20"/>
                <w:color w:val="auto"/>
              </w:rPr>
            </w:pPr>
            <w:r>
              <w:rPr>
                <w:rFonts w:ascii="Arial" w:cs="Arial" w:eastAsia="Arial" w:hAnsi="Arial"/>
                <w:sz w:val="12"/>
                <w:szCs w:val="12"/>
                <w:color w:val="0000FF"/>
                <w:w w:val="93"/>
              </w:rPr>
              <w:t>1,982,250</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ind w:left="160"/>
              <w:spacing w:after="0" w:line="89" w:lineRule="exact"/>
              <w:rPr>
                <w:sz w:val="20"/>
                <w:szCs w:val="20"/>
                <w:color w:val="auto"/>
              </w:rPr>
            </w:pPr>
            <w:r>
              <w:rPr>
                <w:rFonts w:ascii="Arial" w:cs="Arial" w:eastAsia="Arial" w:hAnsi="Arial"/>
                <w:sz w:val="10"/>
                <w:szCs w:val="10"/>
                <w:color w:val="0000FF"/>
              </w:rPr>
              <w:t>Stock</w:t>
            </w: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140" w:hanging="3"/>
        <w:spacing w:after="0" w:line="247"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merger of Millendo Therapeutics, Inc. ("Millendo") and private company Tempest Therapeutics, Inc. ("Tempest"), pursuant to the Agreement and Plan of Merger dated March 29, 2021 (the "Merger Agreement"), which closed on June 25, 2021 ("Closing"), (i) each share of Tempest's common stock converted into the right to receive approximately 0.0322 shares of Millendo common stock (the "Exchange Ratio"), and (ii) each outstanding and unexercised option to purchase shares of Tempest common stock converted into an option to purchase shares of Millendo's common stock, with necessary adjustments to reflect the Exchange Ratio but otherwise the same terms and conditions. The Exchange Ratio gives effect to the 15-to-1 reverse stock split of Millendo's common stock. On the Closing date, the closing price of Millendo common stock was $1.06 (unadjusted). Upon Closing, Millendo was renamed "Tempest Therapeutics, Inc."</w:t>
      </w:r>
    </w:p>
    <w:p>
      <w:pPr>
        <w:spacing w:after="0" w:line="26" w:lineRule="exact"/>
        <w:rPr>
          <w:rFonts w:ascii="Arial" w:cs="Arial" w:eastAsia="Arial" w:hAnsi="Arial"/>
          <w:sz w:val="12"/>
          <w:szCs w:val="12"/>
          <w:color w:val="008000"/>
        </w:rPr>
      </w:pPr>
    </w:p>
    <w:p>
      <w:pPr>
        <w:ind w:left="40" w:right="240" w:hanging="3"/>
        <w:spacing w:after="0" w:line="247"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One-fourth of the shares underlying this option vested on September 9, 2020, and the remaining shares vest in a series of 36 equal monthly installments thereafter, subject to the reporting person's continued service. Notwithstanding the foregoing, 100% of the unvested shares subject to this option vest immediately on the earliest of (i) the date that is 12 months following a change in control of the Issuer, (ii) the date the Issuer terminates the reporting person's status as a service provider upon or following the closing of the change in control for any reason other than cause or the reporting person's death or disability, in each case within the period beginning three months before and ending 12 months after the closing of the change in control, and (iii) the date the reporting person terminates his status as a service provider for good reason within the period beginning three months before and ending 12 months after the closing of the change in control (the "Brady Double-Trigger").</w:t>
      </w:r>
    </w:p>
    <w:p>
      <w:pPr>
        <w:spacing w:after="0" w:line="26"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If the successor corporation in a change in control does not assume the Brady Double-Trigger obligation, 100% of the unvested shares subject to this option will vest immediately prior to such change in control.</w:t>
      </w:r>
    </w:p>
    <w:p>
      <w:pPr>
        <w:spacing w:after="0" w:line="60" w:lineRule="exact"/>
        <w:rPr>
          <w:rFonts w:ascii="Arial" w:cs="Arial" w:eastAsia="Arial" w:hAnsi="Arial"/>
          <w:sz w:val="11"/>
          <w:szCs w:val="11"/>
          <w:color w:val="008000"/>
        </w:rPr>
      </w:pPr>
    </w:p>
    <w:p>
      <w:pPr>
        <w:ind w:left="40" w:right="160" w:hanging="3"/>
        <w:spacing w:after="0" w:line="250"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stock options vest in a series of 48 equal monthly installments measured from the vesting commencement date of February 20, 2020, subject to the reporting person's continued service. Notwithstanding the foregoing, if, within three months prior to or 12 months following a change in control, the Issuer terminates the reporting person's employment without cause or the reporting person resigns for good reasons, then the vesting of all of the shares subject to this option will be immediately accelerated such that all shares subject to the option will be deemed fully vested and exercisable as of the reporting person's last day of employment, provided that the reporting person satisfies certain severance conditions.</w:t>
      </w:r>
    </w:p>
    <w:p>
      <w:pPr>
        <w:spacing w:after="0" w:line="24" w:lineRule="exact"/>
        <w:rPr>
          <w:rFonts w:ascii="Arial" w:cs="Arial" w:eastAsia="Arial" w:hAnsi="Arial"/>
          <w:sz w:val="12"/>
          <w:szCs w:val="12"/>
          <w:color w:val="008000"/>
        </w:rPr>
      </w:pPr>
    </w:p>
    <w:p>
      <w:pPr>
        <w:ind w:left="40" w:right="160" w:hanging="3"/>
        <w:spacing w:after="0" w:line="250"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stock options vest in a series of 48 equal monthly installments measured from the vesting commencement date of March 5, 2021, subject to the reporting person's continued service. Notwithstanding the foregoing, if, within three months prior to or 12 months following a change in control, the Issuer terminates the reporting person's employment without cause or the reporting person resigns for good reasons, then the vesting of all of the shares subject to this option will be immediately accelerated such that all shares subject to the option will be deemed fully vested and exercisable as of the reporting person's last day of employment, provided that the reporting person satisfies certain severance conditions.</w:t>
      </w:r>
    </w:p>
    <w:p>
      <w:pPr>
        <w:spacing w:after="0" w:line="24"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stock options vest in a series of 48 equal monthly installments measured from the vesting commencement date of Closing, June 25, 2021, subject to the reporting person's continued service.</w:t>
      </w:r>
    </w:p>
    <w:p>
      <w:pPr>
        <w:spacing w:after="0" w:line="6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w w:val="96"/>
              </w:rPr>
              <w:t>/s/ Pierre Lorenzo,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06/29/2021</w:t>
            </w:r>
          </w:p>
        </w:tc>
        <w:tc>
          <w:tcPr>
            <w:tcW w:w="0" w:type="dxa"/>
            <w:vAlign w:val="bottom"/>
          </w:tcPr>
          <w:p>
            <w:pPr>
              <w:spacing w:after="0"/>
              <w:rPr>
                <w:sz w:val="1"/>
                <w:szCs w:val="1"/>
                <w:color w:val="auto"/>
              </w:rPr>
            </w:pPr>
          </w:p>
        </w:tc>
      </w:tr>
      <w:tr>
        <w:trPr>
          <w:trHeight w:val="80"/>
        </w:trPr>
        <w:tc>
          <w:tcPr>
            <w:tcW w:w="1660" w:type="dxa"/>
            <w:vAlign w:val="bottom"/>
            <w:tcBorders>
              <w:top w:val="single" w:sz="8" w:color="auto"/>
            </w:tcBorders>
            <w:vMerge w:val="restart"/>
          </w:tcPr>
          <w:p>
            <w:pPr>
              <w:spacing w:after="0" w:line="180" w:lineRule="exact"/>
              <w:rPr>
                <w:sz w:val="20"/>
                <w:szCs w:val="20"/>
                <w:color w:val="auto"/>
              </w:rPr>
            </w:pPr>
            <w:r>
              <w:rPr>
                <w:rFonts w:ascii="Arial" w:cs="Arial" w:eastAsia="Arial" w:hAnsi="Arial"/>
                <w:sz w:val="16"/>
                <w:szCs w:val="16"/>
                <w:color w:val="0000FF"/>
                <w:w w:val="91"/>
              </w:rPr>
              <w:t>fact for Stephen R. Brady</w:t>
            </w:r>
          </w:p>
        </w:tc>
        <w:tc>
          <w:tcPr>
            <w:tcW w:w="340" w:type="dxa"/>
            <w:vAlign w:val="bottom"/>
            <w:tcBorders>
              <w:top w:val="single" w:sz="8" w:color="auto"/>
            </w:tcBorders>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660" w:type="dxa"/>
            <w:vAlign w:val="bottom"/>
            <w:tcBorders>
              <w:top w:val="single" w:sz="8" w:color="auto"/>
              <w:bottom w:val="single" w:sz="8" w:color="auto"/>
            </w:tcBorders>
            <w:vMerge w:val="continue"/>
          </w:tcPr>
          <w:p>
            <w:pPr>
              <w:spacing w:after="0"/>
              <w:rPr>
                <w:sz w:val="6"/>
                <w:szCs w:val="6"/>
                <w:color w:val="auto"/>
              </w:rPr>
            </w:pPr>
          </w:p>
        </w:tc>
        <w:tc>
          <w:tcPr>
            <w:tcW w:w="340" w:type="dxa"/>
            <w:vAlign w:val="bottom"/>
            <w:tcBorders>
              <w:top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4"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6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241"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2021-06-29T21:06:11Z</dcterms:created>
  <dcterms:modified xsi:type="dcterms:W3CDTF">2021-06-29T21:06:11Z</dcterms:modified>
</cp:coreProperties>
</file>