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Maestas Nicholas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Strategy and Finance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38,425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3, 2023, subject to the reporting person's continued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Stephen Brady,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Nicholas Maestas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144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142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2023-01-05T19:04:29Z</dcterms:created>
  <dcterms:modified xsi:type="dcterms:W3CDTF">2023-01-05T19:04:29Z</dcterms:modified>
</cp:coreProperties>
</file>