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4989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8919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Xu Stella</w:t>
              </w:r>
            </w:hyperlink>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9"/>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Tempest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TPST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60" w:type="dxa"/>
            <w:vAlign w:val="bottom"/>
          </w:tcPr>
          <w:p>
            <w:pPr>
              <w:spacing w:after="0"/>
              <w:rPr>
                <w:sz w:val="9"/>
                <w:szCs w:val="9"/>
                <w:color w:val="auto"/>
              </w:rPr>
            </w:pPr>
          </w:p>
        </w:tc>
        <w:tc>
          <w:tcPr>
            <w:tcW w:w="16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gridSpan w:val="6"/>
            <w:vMerge w:val="restart"/>
          </w:tcPr>
          <w:p>
            <w:pPr>
              <w:spacing w:after="0"/>
              <w:rPr>
                <w:sz w:val="20"/>
                <w:szCs w:val="20"/>
                <w:color w:val="auto"/>
              </w:rPr>
            </w:pPr>
            <w:r>
              <w:rPr>
                <w:rFonts w:ascii="Arial" w:cs="Arial" w:eastAsia="Arial" w:hAnsi="Arial"/>
                <w:sz w:val="17"/>
                <w:szCs w:val="17"/>
                <w:color w:val="0000FF"/>
              </w:rPr>
              <w:t>TEMPEST THERAPEUTICS, INC.</w:t>
            </w:r>
          </w:p>
        </w:tc>
        <w:tc>
          <w:tcPr>
            <w:tcW w:w="1260" w:type="dxa"/>
            <w:vAlign w:val="bottom"/>
            <w:gridSpan w:val="5"/>
          </w:tcPr>
          <w:p>
            <w:pPr>
              <w:ind w:left="240"/>
              <w:spacing w:after="0"/>
              <w:rPr>
                <w:sz w:val="20"/>
                <w:szCs w:val="20"/>
                <w:color w:val="auto"/>
              </w:rPr>
            </w:pPr>
            <w:r>
              <w:rPr>
                <w:rFonts w:ascii="Arial" w:cs="Arial" w:eastAsia="Arial" w:hAnsi="Arial"/>
                <w:sz w:val="17"/>
                <w:szCs w:val="17"/>
                <w:color w:val="0000FF"/>
              </w:rPr>
              <w:t>07/01/2021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560" w:type="dxa"/>
            <w:vAlign w:val="bottom"/>
            <w:gridSpan w:val="6"/>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20" w:type="dxa"/>
            <w:vAlign w:val="bottom"/>
            <w:gridSpan w:val="5"/>
          </w:tcPr>
          <w:p>
            <w:pPr>
              <w:spacing w:after="0"/>
              <w:rPr>
                <w:sz w:val="20"/>
                <w:szCs w:val="20"/>
                <w:color w:val="auto"/>
              </w:rPr>
            </w:pPr>
            <w:r>
              <w:rPr>
                <w:rFonts w:ascii="Arial" w:cs="Arial" w:eastAsia="Arial" w:hAnsi="Arial"/>
                <w:sz w:val="17"/>
                <w:szCs w:val="17"/>
                <w:color w:val="0000FF"/>
                <w:w w:val="94"/>
              </w:rPr>
              <w:t>7000 SHORELINE CT., STE. 275</w:t>
            </w: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00" w:type="dxa"/>
            <w:vAlign w:val="bottom"/>
            <w:gridSpan w:val="9"/>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2"/>
                <w:szCs w:val="12"/>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gridSpan w:val="5"/>
            <w:vMerge w:val="restart"/>
          </w:tcPr>
          <w:p>
            <w:pPr>
              <w:ind w:left="240"/>
              <w:spacing w:after="0"/>
              <w:rPr>
                <w:sz w:val="20"/>
                <w:szCs w:val="20"/>
                <w:color w:val="auto"/>
              </w:rPr>
            </w:pPr>
            <w:r>
              <w:rPr>
                <w:rFonts w:ascii="Arial" w:cs="Arial" w:eastAsia="Arial" w:hAnsi="Arial"/>
                <w:sz w:val="17"/>
                <w:szCs w:val="17"/>
                <w:color w:val="0000FF"/>
              </w:rPr>
              <w:t>07/06/2021</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60" w:type="dxa"/>
            <w:vAlign w:val="bottom"/>
            <w:gridSpan w:val="5"/>
            <w:vMerge w:val="continue"/>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0" w:type="dxa"/>
            <w:vAlign w:val="bottom"/>
            <w:gridSpan w:val="10"/>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3"/>
            <w:vMerge w:val="restart"/>
          </w:tcPr>
          <w:p>
            <w:pPr>
              <w:spacing w:after="0"/>
              <w:rPr>
                <w:sz w:val="20"/>
                <w:szCs w:val="20"/>
                <w:color w:val="auto"/>
              </w:rPr>
            </w:pPr>
            <w:r>
              <w:rPr>
                <w:rFonts w:ascii="Arial" w:cs="Arial" w:eastAsia="Arial" w:hAnsi="Arial"/>
                <w:sz w:val="17"/>
                <w:szCs w:val="17"/>
                <w:color w:val="0000FF"/>
              </w:rPr>
              <w:t>SOUTH SAN</w:t>
            </w: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94080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3"/>
            <w:vMerge w:val="restart"/>
          </w:tcPr>
          <w:p>
            <w:pPr>
              <w:spacing w:after="0" w:line="164" w:lineRule="exact"/>
              <w:rPr>
                <w:sz w:val="20"/>
                <w:szCs w:val="20"/>
                <w:color w:val="auto"/>
              </w:rPr>
            </w:pPr>
            <w:r>
              <w:rPr>
                <w:rFonts w:ascii="Arial" w:cs="Arial" w:eastAsia="Arial" w:hAnsi="Arial"/>
                <w:sz w:val="17"/>
                <w:szCs w:val="17"/>
                <w:color w:val="0000FF"/>
              </w:rPr>
              <w:t>FRANCISCO</w:t>
            </w:r>
          </w:p>
        </w:tc>
        <w:tc>
          <w:tcPr>
            <w:tcW w:w="122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420" w:type="dxa"/>
            <w:vAlign w:val="bottom"/>
            <w:tcBorders>
              <w:bottom w:val="single" w:sz="8" w:color="9A9A9A"/>
            </w:tcBorders>
          </w:tcPr>
          <w:p>
            <w:pPr>
              <w:spacing w:after="0"/>
              <w:rPr>
                <w:sz w:val="3"/>
                <w:szCs w:val="3"/>
                <w:color w:val="auto"/>
              </w:rPr>
            </w:pPr>
          </w:p>
        </w:tc>
        <w:tc>
          <w:tcPr>
            <w:tcW w:w="1220" w:type="dxa"/>
            <w:vAlign w:val="bottom"/>
            <w:tcBorders>
              <w:bottom w:val="single" w:sz="8" w:color="9A9A9A"/>
            </w:tcBorders>
            <w:gridSpan w:val="2"/>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9"/>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6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5"/>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42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740" w:type="dxa"/>
            <w:vAlign w:val="bottom"/>
            <w:tcBorders>
              <w:bottom w:val="single" w:sz="8" w:color="2C2C2C"/>
            </w:tcBorders>
            <w:gridSpan w:val="2"/>
          </w:tcPr>
          <w:p>
            <w:pPr>
              <w:spacing w:after="0"/>
              <w:rPr>
                <w:sz w:val="7"/>
                <w:szCs w:val="7"/>
                <w:color w:val="auto"/>
              </w:rPr>
            </w:pPr>
          </w:p>
        </w:tc>
        <w:tc>
          <w:tcPr>
            <w:tcW w:w="180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9"/>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180" w:type="dxa"/>
            <w:vAlign w:val="bottom"/>
          </w:tcPr>
          <w:p>
            <w:pPr>
              <w:ind w:left="60"/>
              <w:spacing w:after="0"/>
              <w:rPr>
                <w:sz w:val="20"/>
                <w:szCs w:val="20"/>
                <w:color w:val="auto"/>
              </w:rPr>
            </w:pPr>
            <w:r>
              <w:rPr>
                <w:rFonts w:ascii="Arial" w:cs="Arial" w:eastAsia="Arial" w:hAnsi="Arial"/>
                <w:sz w:val="12"/>
                <w:szCs w:val="12"/>
                <w:b w:val="1"/>
                <w:bCs w:val="1"/>
                <w:color w:val="auto"/>
                <w:w w:val="99"/>
              </w:rPr>
              <w:t>2.</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Option</w:t>
            </w:r>
          </w:p>
        </w:tc>
        <w:tc>
          <w:tcPr>
            <w:tcW w:w="600" w:type="dxa"/>
            <w:vAlign w:val="bottom"/>
            <w:gridSpan w:val="2"/>
            <w:vMerge w:val="restart"/>
          </w:tcPr>
          <w:p>
            <w:pPr>
              <w:ind w:left="220"/>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11.07</w:t>
            </w:r>
          </w:p>
        </w:tc>
        <w:tc>
          <w:tcPr>
            <w:tcW w:w="180" w:type="dxa"/>
            <w:vAlign w:val="bottom"/>
          </w:tcPr>
          <w:p>
            <w:pPr>
              <w:spacing w:after="0"/>
              <w:rPr>
                <w:sz w:val="12"/>
                <w:szCs w:val="12"/>
                <w:color w:val="auto"/>
              </w:rPr>
            </w:pPr>
          </w:p>
        </w:tc>
        <w:tc>
          <w:tcPr>
            <w:tcW w:w="1040" w:type="dxa"/>
            <w:vAlign w:val="bottom"/>
            <w:vMerge w:val="restart"/>
          </w:tcPr>
          <w:p>
            <w:pPr>
              <w:ind w:left="240"/>
              <w:spacing w:after="0"/>
              <w:rPr>
                <w:sz w:val="20"/>
                <w:szCs w:val="20"/>
                <w:color w:val="auto"/>
              </w:rPr>
            </w:pPr>
            <w:r>
              <w:rPr>
                <w:rFonts w:ascii="Arial" w:cs="Arial" w:eastAsia="Arial" w:hAnsi="Arial"/>
                <w:sz w:val="13"/>
                <w:szCs w:val="13"/>
                <w:color w:val="0000FF"/>
              </w:rPr>
              <w:t>07/01/2021</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vMerge w:val="restart"/>
          </w:tcPr>
          <w:p>
            <w:pPr>
              <w:ind w:left="80"/>
              <w:spacing w:after="0"/>
              <w:rPr>
                <w:sz w:val="20"/>
                <w:szCs w:val="20"/>
                <w:color w:val="auto"/>
              </w:rPr>
            </w:pPr>
            <w:r>
              <w:rPr>
                <w:rFonts w:ascii="Arial" w:cs="Arial" w:eastAsia="Arial" w:hAnsi="Arial"/>
                <w:sz w:val="13"/>
                <w:szCs w:val="13"/>
                <w:color w:val="0000FF"/>
              </w:rPr>
              <w:t>A</w:t>
            </w:r>
          </w:p>
        </w:tc>
        <w:tc>
          <w:tcPr>
            <w:tcW w:w="560" w:type="dxa"/>
            <w:vAlign w:val="bottom"/>
            <w:vMerge w:val="restart"/>
          </w:tcPr>
          <w:p>
            <w:pPr>
              <w:ind w:left="180"/>
              <w:spacing w:after="0"/>
              <w:rPr>
                <w:sz w:val="20"/>
                <w:szCs w:val="20"/>
                <w:color w:val="auto"/>
              </w:rPr>
            </w:pPr>
            <w:r>
              <w:rPr>
                <w:rFonts w:ascii="Arial" w:cs="Arial" w:eastAsia="Arial" w:hAnsi="Arial"/>
                <w:sz w:val="13"/>
                <w:szCs w:val="13"/>
                <w:color w:val="0000FF"/>
              </w:rPr>
              <w:t>6,635</w:t>
            </w: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20" w:type="dxa"/>
            <w:vAlign w:val="bottom"/>
            <w:gridSpan w:val="3"/>
            <w:vMerge w:val="restart"/>
          </w:tcPr>
          <w:p>
            <w:pPr>
              <w:ind w:left="40"/>
              <w:spacing w:after="0"/>
              <w:rPr>
                <w:sz w:val="20"/>
                <w:szCs w:val="20"/>
                <w:color w:val="auto"/>
              </w:rPr>
            </w:pPr>
            <w:r>
              <w:rPr>
                <w:rFonts w:ascii="Arial" w:cs="Arial" w:eastAsia="Arial" w:hAnsi="Arial"/>
                <w:sz w:val="13"/>
                <w:szCs w:val="13"/>
                <w:color w:val="0000FF"/>
              </w:rPr>
              <w:t>06/30/2031</w:t>
            </w:r>
          </w:p>
        </w:tc>
        <w:tc>
          <w:tcPr>
            <w:tcW w:w="66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7"/>
                <w:szCs w:val="17"/>
                <w:color w:val="0000FF"/>
              </w:rPr>
              <w:t>6,635</w:t>
            </w:r>
          </w:p>
        </w:tc>
        <w:tc>
          <w:tcPr>
            <w:tcW w:w="20" w:type="dxa"/>
            <w:vAlign w:val="bottom"/>
          </w:tcPr>
          <w:p>
            <w:pPr>
              <w:spacing w:after="0"/>
              <w:rPr>
                <w:sz w:val="12"/>
                <w:szCs w:val="12"/>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ind w:left="260"/>
              <w:spacing w:after="0"/>
              <w:rPr>
                <w:sz w:val="20"/>
                <w:szCs w:val="20"/>
                <w:color w:val="auto"/>
              </w:rPr>
            </w:pPr>
            <w:r>
              <w:rPr>
                <w:rFonts w:ascii="Arial" w:cs="Arial" w:eastAsia="Arial" w:hAnsi="Arial"/>
                <w:sz w:val="13"/>
                <w:szCs w:val="13"/>
                <w:color w:val="0000FF"/>
                <w:w w:val="92"/>
              </w:rPr>
              <w:t>6,635</w:t>
            </w:r>
          </w:p>
        </w:tc>
        <w:tc>
          <w:tcPr>
            <w:tcW w:w="280" w:type="dxa"/>
            <w:vAlign w:val="bottom"/>
          </w:tcPr>
          <w:p>
            <w:pPr>
              <w:spacing w:after="0"/>
              <w:rPr>
                <w:sz w:val="12"/>
                <w:szCs w:val="12"/>
                <w:color w:val="auto"/>
              </w:rPr>
            </w:pPr>
          </w:p>
        </w:tc>
        <w:tc>
          <w:tcPr>
            <w:tcW w:w="680" w:type="dxa"/>
            <w:vAlign w:val="bottom"/>
            <w:vMerge w:val="restart"/>
          </w:tcPr>
          <w:p>
            <w:pPr>
              <w:ind w:left="260"/>
              <w:spacing w:after="0" w:line="269" w:lineRule="exact"/>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(2)</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(Right to</w:t>
            </w:r>
          </w:p>
        </w:tc>
        <w:tc>
          <w:tcPr>
            <w:tcW w:w="6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right="38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Vests over three (3) years, with one-third (1/3) of the award vesting on the first anniversary of the grant date and the remainder of the award vesting in equal monthly installments thereafter, subject to the reporting person's continuous service through each vesting date.</w:t>
      </w:r>
    </w:p>
    <w:p>
      <w:pPr>
        <w:spacing w:after="0" w:line="23" w:lineRule="exact"/>
        <w:rPr>
          <w:rFonts w:ascii="Arial" w:cs="Arial" w:eastAsia="Arial" w:hAnsi="Arial"/>
          <w:sz w:val="13"/>
          <w:szCs w:val="13"/>
          <w:color w:val="008000"/>
        </w:rPr>
      </w:pPr>
    </w:p>
    <w:p>
      <w:pPr>
        <w:ind w:left="40" w:right="240" w:firstLine="3"/>
        <w:spacing w:after="0" w:line="270"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holds these securities for the benefit of Quan Venture Fund I, L.P. ("Quan Capital"). The general partner of Quan Capital is Quan Venture Partners I, L.L.C. The reporting person is amanager of Quan Venture Partners I, L.L.C. The Reporting Person disclaims beneficial ownership of these securities, except to the extent of any pecuniary interest. This report on Form 4 shall not be deemed anadmission the Reporting Person is a beneficial owner of such securities for the purpose of Section 16 of the Exchange Act, or for any other purpose.</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The amended Form 4 is being filed to correct the vesting schedule of the option grant and to correct the price of the derivative security.</w:t>
      </w:r>
    </w:p>
    <w:p>
      <w:pPr>
        <w:spacing w:after="0" w:line="5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2080" w:type="dxa"/>
            <w:vAlign w:val="bottom"/>
            <w:gridSpan w:val="3"/>
          </w:tcPr>
          <w:p>
            <w:pPr>
              <w:spacing w:after="0"/>
              <w:rPr>
                <w:sz w:val="20"/>
                <w:szCs w:val="20"/>
                <w:color w:val="auto"/>
              </w:rPr>
            </w:pPr>
            <w:r>
              <w:rPr>
                <w:rFonts w:ascii="Arial" w:cs="Arial" w:eastAsia="Arial" w:hAnsi="Arial"/>
                <w:sz w:val="17"/>
                <w:szCs w:val="17"/>
                <w:color w:val="0000FF"/>
                <w:w w:val="96"/>
              </w:rPr>
              <w:t>/s/ Pierre Lorenzo (Attorney-</w:t>
            </w:r>
          </w:p>
        </w:tc>
        <w:tc>
          <w:tcPr>
            <w:tcW w:w="88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6"/>
              </w:rPr>
              <w:t>09/17/2021</w:t>
            </w:r>
          </w:p>
        </w:tc>
        <w:tc>
          <w:tcPr>
            <w:tcW w:w="0" w:type="dxa"/>
            <w:vAlign w:val="bottom"/>
          </w:tcPr>
          <w:p>
            <w:pPr>
              <w:spacing w:after="0"/>
              <w:rPr>
                <w:sz w:val="1"/>
                <w:szCs w:val="1"/>
                <w:color w:val="auto"/>
              </w:rPr>
            </w:pPr>
          </w:p>
        </w:tc>
      </w:tr>
      <w:tr>
        <w:trPr>
          <w:trHeight w:val="84"/>
        </w:trPr>
        <w:tc>
          <w:tcPr>
            <w:tcW w:w="6560" w:type="dxa"/>
            <w:vAlign w:val="bottom"/>
          </w:tcPr>
          <w:p>
            <w:pPr>
              <w:spacing w:after="0"/>
              <w:rPr>
                <w:sz w:val="7"/>
                <w:szCs w:val="7"/>
                <w:color w:val="auto"/>
              </w:rPr>
            </w:pPr>
          </w:p>
        </w:tc>
        <w:tc>
          <w:tcPr>
            <w:tcW w:w="540" w:type="dxa"/>
            <w:vAlign w:val="bottom"/>
            <w:tcBorders>
              <w:top w:val="single" w:sz="8" w:color="auto"/>
            </w:tcBorders>
            <w:vMerge w:val="restart"/>
          </w:tcPr>
          <w:p>
            <w:pPr>
              <w:spacing w:after="0" w:line="188" w:lineRule="exact"/>
              <w:rPr>
                <w:sz w:val="20"/>
                <w:szCs w:val="20"/>
                <w:color w:val="auto"/>
              </w:rPr>
            </w:pPr>
            <w:r>
              <w:rPr>
                <w:rFonts w:ascii="Arial" w:cs="Arial" w:eastAsia="Arial" w:hAnsi="Arial"/>
                <w:sz w:val="17"/>
                <w:szCs w:val="17"/>
                <w:color w:val="0000FF"/>
                <w:w w:val="90"/>
              </w:rPr>
              <w:t>in-Fact)</w:t>
            </w:r>
          </w:p>
        </w:tc>
        <w:tc>
          <w:tcPr>
            <w:tcW w:w="142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6560" w:type="dxa"/>
            <w:vAlign w:val="bottom"/>
          </w:tcPr>
          <w:p>
            <w:pPr>
              <w:spacing w:after="0"/>
              <w:rPr>
                <w:sz w:val="7"/>
                <w:szCs w:val="7"/>
                <w:color w:val="auto"/>
              </w:rPr>
            </w:pPr>
          </w:p>
        </w:tc>
        <w:tc>
          <w:tcPr>
            <w:tcW w:w="540" w:type="dxa"/>
            <w:vAlign w:val="bottom"/>
            <w:tcBorders>
              <w:top w:val="single" w:sz="8" w:color="auto"/>
              <w:bottom w:val="single" w:sz="8" w:color="auto"/>
            </w:tcBorders>
            <w:vMerge w:val="continue"/>
          </w:tcPr>
          <w:p>
            <w:pPr>
              <w:spacing w:after="0"/>
              <w:rPr>
                <w:sz w:val="7"/>
                <w:szCs w:val="7"/>
                <w:color w:val="auto"/>
              </w:rPr>
            </w:pPr>
          </w:p>
        </w:tc>
        <w:tc>
          <w:tcPr>
            <w:tcW w:w="142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6560" w:type="dxa"/>
            <w:vAlign w:val="bottom"/>
          </w:tcPr>
          <w:p>
            <w:pPr>
              <w:spacing w:after="0"/>
              <w:rPr>
                <w:sz w:val="19"/>
                <w:szCs w:val="19"/>
                <w:color w:val="auto"/>
              </w:rPr>
            </w:pPr>
          </w:p>
        </w:tc>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5"/>
        </w:trPr>
        <w:tc>
          <w:tcPr>
            <w:tcW w:w="864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64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28741" TargetMode="External"/><Relationship Id="rId13" Type="http://schemas.openxmlformats.org/officeDocument/2006/relationships/hyperlink" Target="http://www.sec.gov/cgi-bin/browse-edgar?action=getcompany&amp;CIK=00015442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2021-09-20T19:22:17Z</dcterms:created>
  <dcterms:modified xsi:type="dcterms:W3CDTF">2021-09-20T19:22:17Z</dcterms:modified>
</cp:coreProperties>
</file>