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ind w:left="8640"/>
        <w:spacing w:after="0"/>
        <w:rPr>
          <w:sz w:val="20"/>
          <w:szCs w:val="20"/>
          <w:color w:val="auto"/>
        </w:rPr>
      </w:pPr>
      <w:r>
        <w:rPr>
          <w:rFonts w:ascii="Arial" w:cs="Arial" w:eastAsia="Arial" w:hAnsi="Arial"/>
          <w:sz w:val="16"/>
          <w:szCs w:val="16"/>
          <w:b w:val="1"/>
          <w:bCs w:val="1"/>
          <w:color w:val="auto"/>
        </w:rPr>
        <w:t>Filed Pursuant to rule 424(b)(5)</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File No. 333-257990</w:t>
      </w:r>
    </w:p>
    <w:p>
      <w:pPr>
        <w:spacing w:after="0" w:line="94" w:lineRule="exact"/>
        <w:rPr>
          <w:sz w:val="24"/>
          <w:szCs w:val="24"/>
          <w:color w:val="auto"/>
        </w:rPr>
      </w:pPr>
    </w:p>
    <w:p>
      <w:pPr>
        <w:ind w:left="120"/>
        <w:spacing w:after="0"/>
        <w:rPr>
          <w:sz w:val="20"/>
          <w:szCs w:val="20"/>
          <w:color w:val="auto"/>
        </w:rPr>
      </w:pPr>
      <w:r>
        <w:rPr>
          <w:rFonts w:ascii="Arial" w:cs="Arial" w:eastAsia="Arial" w:hAnsi="Arial"/>
          <w:sz w:val="14"/>
          <w:szCs w:val="14"/>
          <w:b w:val="1"/>
          <w:bCs w:val="1"/>
          <w:color w:val="auto"/>
        </w:rPr>
        <w:t>PROSPECTUS SUPPLEMENT</w:t>
      </w:r>
    </w:p>
    <w:p>
      <w:pPr>
        <w:spacing w:after="0" w:line="4" w:lineRule="exact"/>
        <w:rPr>
          <w:sz w:val="24"/>
          <w:szCs w:val="24"/>
          <w:color w:val="auto"/>
        </w:rPr>
      </w:pPr>
    </w:p>
    <w:p>
      <w:pPr>
        <w:ind w:left="120"/>
        <w:spacing w:after="0"/>
        <w:rPr>
          <w:sz w:val="20"/>
          <w:szCs w:val="20"/>
          <w:color w:val="auto"/>
        </w:rPr>
      </w:pPr>
      <w:r>
        <w:rPr>
          <w:rFonts w:ascii="Arial" w:cs="Arial" w:eastAsia="Arial" w:hAnsi="Arial"/>
          <w:sz w:val="14"/>
          <w:szCs w:val="14"/>
          <w:b w:val="1"/>
          <w:bCs w:val="1"/>
          <w:color w:val="auto"/>
        </w:rPr>
        <w:t>(to Prospectus dated July 23,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Up to $100,000,000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245745</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426085</wp:posOffset>
            </wp:positionV>
            <wp:extent cx="1508760" cy="360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08760"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260"/>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both"/>
        <w:ind w:left="120" w:right="60"/>
        <w:spacing w:after="0" w:line="238" w:lineRule="auto"/>
        <w:rPr>
          <w:sz w:val="20"/>
          <w:szCs w:val="20"/>
          <w:color w:val="auto"/>
        </w:rPr>
      </w:pPr>
      <w:r>
        <w:rPr>
          <w:rFonts w:ascii="Arial" w:cs="Arial" w:eastAsia="Arial" w:hAnsi="Arial"/>
          <w:sz w:val="14"/>
          <w:szCs w:val="14"/>
          <w:color w:val="auto"/>
        </w:rPr>
        <w:t>We have entered into Open Market Sale Agreement</w:t>
      </w:r>
      <w:r>
        <w:rPr>
          <w:rFonts w:ascii="Arial" w:cs="Arial" w:eastAsia="Arial" w:hAnsi="Arial"/>
          <w:sz w:val="12"/>
          <w:szCs w:val="12"/>
          <w:color w:val="auto"/>
        </w:rPr>
        <w:t>SM</w:t>
      </w:r>
      <w:r>
        <w:rPr>
          <w:rFonts w:ascii="Arial" w:cs="Arial" w:eastAsia="Arial" w:hAnsi="Arial"/>
          <w:sz w:val="14"/>
          <w:szCs w:val="14"/>
          <w:color w:val="auto"/>
        </w:rPr>
        <w:t xml:space="preserve"> agreement, or the sales agreement, with Jefferies LLC, or Jefferies, dated July 23, 2021, relating to shares of our common stock offered by this prospectus supplement and the accompanying prospectus. In accordance with the terms of the sales agreement, we may offer and sell shares of our common stock having an aggregate offering price of up to $100,000,000 from time to time through Jefferies, acting as our sales agent.</w:t>
      </w:r>
    </w:p>
    <w:p>
      <w:pPr>
        <w:spacing w:after="0" w:line="183" w:lineRule="exact"/>
        <w:rPr>
          <w:sz w:val="24"/>
          <w:szCs w:val="24"/>
          <w:color w:val="auto"/>
        </w:rPr>
      </w:pPr>
    </w:p>
    <w:p>
      <w:pPr>
        <w:ind w:left="120" w:right="220"/>
        <w:spacing w:after="0" w:line="253" w:lineRule="auto"/>
        <w:rPr>
          <w:sz w:val="20"/>
          <w:szCs w:val="20"/>
          <w:color w:val="auto"/>
        </w:rPr>
      </w:pPr>
      <w:r>
        <w:rPr>
          <w:rFonts w:ascii="Arial" w:cs="Arial" w:eastAsia="Arial" w:hAnsi="Arial"/>
          <w:sz w:val="14"/>
          <w:szCs w:val="14"/>
          <w:color w:val="auto"/>
        </w:rPr>
        <w:t>Our common stock is listed on the Nasdaq Capital Market under the symbol “TPST.” On July 22, 2021, the last reported sale price of our common stock on the Nasdaq Capital Market was $16.74 per share.</w:t>
      </w:r>
    </w:p>
    <w:p>
      <w:pPr>
        <w:spacing w:after="0" w:line="174" w:lineRule="exact"/>
        <w:rPr>
          <w:sz w:val="24"/>
          <w:szCs w:val="24"/>
          <w:color w:val="auto"/>
        </w:rPr>
      </w:pPr>
    </w:p>
    <w:p>
      <w:pPr>
        <w:ind w:left="120" w:right="40"/>
        <w:spacing w:after="0" w:line="233" w:lineRule="auto"/>
        <w:rPr>
          <w:sz w:val="20"/>
          <w:szCs w:val="20"/>
          <w:color w:val="auto"/>
        </w:rPr>
      </w:pPr>
      <w:r>
        <w:rPr>
          <w:rFonts w:ascii="Arial" w:cs="Arial" w:eastAsia="Arial" w:hAnsi="Arial"/>
          <w:sz w:val="14"/>
          <w:szCs w:val="14"/>
          <w:color w:val="auto"/>
        </w:rPr>
        <w:t>Sales of shares of our common stock, if any, under this prospectus supplement and the accompanying prospectus will be made in sales deemed to be “at the market offerings” as defined in Rule 415(a)(4) promulgated under the Securities Act of 1933, as amended, or the Securities Act. Jefferies is not required to sell any specific amount of shares of common stock, but will act as our sales agent using commercially reasonable efforts consistent with its normal trading and sales practices, on mutually agreed terms between Jefferies and us. There is no arrangement for funds to be received in any escrow, trust or similar arrangement.</w:t>
      </w:r>
    </w:p>
    <w:p>
      <w:pPr>
        <w:spacing w:after="0" w:line="185" w:lineRule="exact"/>
        <w:rPr>
          <w:sz w:val="24"/>
          <w:szCs w:val="24"/>
          <w:color w:val="auto"/>
        </w:rPr>
      </w:pPr>
    </w:p>
    <w:p>
      <w:pPr>
        <w:ind w:left="120" w:right="120"/>
        <w:spacing w:after="0" w:line="231" w:lineRule="auto"/>
        <w:rPr>
          <w:sz w:val="20"/>
          <w:szCs w:val="20"/>
          <w:color w:val="auto"/>
        </w:rPr>
      </w:pPr>
      <w:r>
        <w:rPr>
          <w:rFonts w:ascii="Arial" w:cs="Arial" w:eastAsia="Arial" w:hAnsi="Arial"/>
          <w:sz w:val="14"/>
          <w:szCs w:val="14"/>
          <w:color w:val="auto"/>
        </w:rPr>
        <w:t>The compensation to Jefferies for sales of common stock sold pursuant to the sales agreement will be an amount equal to 3.0% of the gross proceeds of any shares of common stock sold under the sales agreement. See “Plan of Distribution” beginning on page S-11 for additional information regarding the compensation to be paid to Jefferies. In connection with the sale of the common stock on our behalf, Jefferies will be deemed to be an “underwriter” within the meaning of the Securities Act and the compensation of Jefferies will be deemed to be underwriting commissions or discounts. We have also agreed to provide indemnification and contribution to Jefferies with respect to certain liabilities, including liabilities under the Securities Act or the Securities Exchange Act of 1934, as amended.</w:t>
      </w:r>
    </w:p>
    <w:p>
      <w:pPr>
        <w:spacing w:after="0" w:line="184" w:lineRule="exact"/>
        <w:rPr>
          <w:sz w:val="24"/>
          <w:szCs w:val="24"/>
          <w:color w:val="auto"/>
        </w:rPr>
      </w:pPr>
    </w:p>
    <w:p>
      <w:pPr>
        <w:ind w:left="120" w:right="100"/>
        <w:spacing w:after="0" w:line="238" w:lineRule="auto"/>
        <w:rPr>
          <w:sz w:val="20"/>
          <w:szCs w:val="20"/>
          <w:color w:val="auto"/>
        </w:rPr>
      </w:pPr>
      <w:r>
        <w:rPr>
          <w:rFonts w:ascii="Arial" w:cs="Arial" w:eastAsia="Arial" w:hAnsi="Arial"/>
          <w:sz w:val="14"/>
          <w:szCs w:val="14"/>
          <w:color w:val="auto"/>
        </w:rPr>
        <w:t>We are a “smaller reporting company” under federal securities laws and as such, have elected to comply with reduced public company reporting requirements for this prospectus supplement, the accompanying prospectus, and the documents incorporated by reference herein and may elect to comply with reduced public company reporting requirements in future filings. See “Prospectus Supplement Summary—Implications of Being a 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213360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both"/>
        <w:ind w:left="120" w:right="220"/>
        <w:spacing w:after="0" w:line="329" w:lineRule="auto"/>
        <w:rPr>
          <w:rFonts w:ascii="Arial" w:cs="Arial" w:eastAsia="Arial" w:hAnsi="Arial"/>
          <w:sz w:val="15"/>
          <w:szCs w:val="15"/>
          <w:b w:val="1"/>
          <w:bCs w:val="1"/>
          <w:color w:val="auto"/>
        </w:rPr>
      </w:pPr>
      <w:r>
        <w:rPr>
          <w:rFonts w:ascii="Arial" w:cs="Arial" w:eastAsia="Arial" w:hAnsi="Arial"/>
          <w:sz w:val="15"/>
          <w:szCs w:val="15"/>
          <w:b w:val="1"/>
          <w:bCs w:val="1"/>
          <w:color w:val="auto"/>
        </w:rPr>
        <w:t>Investing in our common stock involves a high degree of risk. You should read this prospectus supplement and the accompanying prospectus and the documents incorporated by reference herein and therein before you make your investment decision. See “</w:t>
      </w:r>
      <w:hyperlink w:anchor="page6">
        <w:r>
          <w:rPr>
            <w:rFonts w:ascii="Arial" w:cs="Arial" w:eastAsia="Arial" w:hAnsi="Arial"/>
            <w:sz w:val="15"/>
            <w:szCs w:val="15"/>
            <w:b w:val="1"/>
            <w:bCs w:val="1"/>
            <w:u w:val="single" w:color="auto"/>
            <w:color w:val="0000EE"/>
          </w:rPr>
          <w:t>Risk Factors</w:t>
        </w:r>
      </w:hyperlink>
      <w:r>
        <w:rPr>
          <w:rFonts w:ascii="Arial" w:cs="Arial" w:eastAsia="Arial" w:hAnsi="Arial"/>
          <w:sz w:val="15"/>
          <w:szCs w:val="15"/>
          <w:b w:val="1"/>
          <w:bCs w:val="1"/>
          <w:color w:val="auto"/>
        </w:rPr>
        <w:t>” beginning on page S-3 of this prospectus supplement, and the documents incorporated by reference herein, including our current report on Form 8-K filed on July 16, 2021, to read about risks that you should consider before making a decision to purchase shares of our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182880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both"/>
        <w:ind w:left="120" w:right="220"/>
        <w:spacing w:after="0" w:line="253" w:lineRule="auto"/>
        <w:rPr>
          <w:sz w:val="20"/>
          <w:szCs w:val="20"/>
          <w:color w:val="auto"/>
        </w:rPr>
      </w:pPr>
      <w:r>
        <w:rPr>
          <w:rFonts w:ascii="Arial" w:cs="Arial" w:eastAsia="Arial" w:hAnsi="Arial"/>
          <w:sz w:val="14"/>
          <w:szCs w:val="14"/>
          <w:b w:val="1"/>
          <w:bCs w:val="1"/>
          <w:i w:val="1"/>
          <w:i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216535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Jefferies</w:t>
      </w:r>
    </w:p>
    <w:p>
      <w:pPr>
        <w:spacing w:after="0" w:line="22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The date of this prospectus supplement is July 23, 2021</w:t>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Prospectus Supplement</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440" w:type="dxa"/>
            <w:vAlign w:val="bottom"/>
            <w:gridSpan w:val="16"/>
            <w:vMerge w:val="restart"/>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ABOUT THIS PROSPECTUS SUPPLEMENT</w:t>
              </w:r>
            </w:hyperlink>
          </w:p>
        </w:tc>
        <w:tc>
          <w:tcPr>
            <w:tcW w:w="7120" w:type="dxa"/>
            <w:vAlign w:val="bottom"/>
            <w:gridSpan w:val="4"/>
            <w:vMerge w:val="restart"/>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3440" w:type="dxa"/>
            <w:vAlign w:val="bottom"/>
            <w:tcBorders>
              <w:bottom w:val="single" w:sz="8" w:color="0000EE"/>
            </w:tcBorders>
            <w:gridSpan w:val="16"/>
            <w:vMerge w:val="continue"/>
          </w:tcPr>
          <w:p>
            <w:pPr>
              <w:spacing w:after="0"/>
              <w:rPr>
                <w:sz w:val="14"/>
                <w:szCs w:val="14"/>
                <w:color w:val="auto"/>
              </w:rPr>
            </w:pPr>
          </w:p>
        </w:tc>
        <w:tc>
          <w:tcPr>
            <w:tcW w:w="7120" w:type="dxa"/>
            <w:vAlign w:val="bottom"/>
            <w:gridSpan w:val="4"/>
            <w:vMerge w:val="continue"/>
          </w:tcPr>
          <w:p>
            <w:pPr>
              <w:spacing w:after="0"/>
              <w:rPr>
                <w:sz w:val="14"/>
                <w:szCs w:val="14"/>
                <w:color w:val="auto"/>
              </w:rPr>
            </w:pPr>
          </w:p>
        </w:tc>
        <w:tc>
          <w:tcPr>
            <w:tcW w:w="4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S-ii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056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PROSPECTUS SUPPLEMENT SUMMARY</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63"/>
        </w:trPr>
        <w:tc>
          <w:tcPr>
            <w:tcW w:w="3280" w:type="dxa"/>
            <w:vAlign w:val="bottom"/>
            <w:tcBorders>
              <w:top w:val="single" w:sz="8" w:color="0000EE"/>
            </w:tcBorders>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RISK FACTORS</w:t>
              </w:r>
            </w:hyperlink>
          </w:p>
        </w:tc>
        <w:tc>
          <w:tcPr>
            <w:tcW w:w="7280" w:type="dxa"/>
            <w:vAlign w:val="bottom"/>
            <w:gridSpan w:val="5"/>
          </w:tcPr>
          <w:p>
            <w:pPr>
              <w:spacing w:after="0"/>
              <w:rPr>
                <w:sz w:val="22"/>
                <w:szCs w:val="2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S-3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560" w:type="dxa"/>
            <w:vAlign w:val="bottom"/>
            <w:gridSpan w:val="20"/>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SPECIAL NOTE REGARDING FORWARD-LOOKING STATEMENTS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263"/>
        </w:trPr>
        <w:tc>
          <w:tcPr>
            <w:tcW w:w="15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0"/>
              </w:rPr>
            </w:pPr>
            <w:hyperlink w:anchor="page11">
              <w:r>
                <w:rPr>
                  <w:rFonts w:ascii="Arial" w:cs="Arial" w:eastAsia="Arial" w:hAnsi="Arial"/>
                  <w:sz w:val="18"/>
                  <w:szCs w:val="18"/>
                  <w:color w:val="0000EE"/>
                  <w:w w:val="90"/>
                </w:rPr>
                <w:t>USE OF PROCEEDS</w:t>
              </w:r>
            </w:hyperlink>
          </w:p>
        </w:tc>
        <w:tc>
          <w:tcPr>
            <w:tcW w:w="3740" w:type="dxa"/>
            <w:vAlign w:val="bottom"/>
            <w:tcBorders>
              <w:top w:val="single" w:sz="8" w:color="0000EE"/>
            </w:tcBorders>
            <w:gridSpan w:val="13"/>
          </w:tcPr>
          <w:p>
            <w:pPr>
              <w:spacing w:after="0"/>
              <w:rPr>
                <w:sz w:val="22"/>
                <w:szCs w:val="22"/>
                <w:color w:val="auto"/>
              </w:rPr>
            </w:pPr>
          </w:p>
        </w:tc>
        <w:tc>
          <w:tcPr>
            <w:tcW w:w="5240" w:type="dxa"/>
            <w:vAlign w:val="bottom"/>
          </w:tcPr>
          <w:p>
            <w:pPr>
              <w:spacing w:after="0"/>
              <w:rPr>
                <w:sz w:val="22"/>
                <w:szCs w:val="2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263"/>
        </w:trPr>
        <w:tc>
          <w:tcPr>
            <w:tcW w:w="860" w:type="dxa"/>
            <w:vAlign w:val="bottom"/>
            <w:tcBorders>
              <w:bottom w:val="single" w:sz="8" w:color="0000EE"/>
            </w:tcBorders>
            <w:gridSpan w:val="2"/>
          </w:tcPr>
          <w:p>
            <w:pPr>
              <w:spacing w:after="0"/>
              <w:rPr>
                <w:rFonts w:ascii="Arial" w:cs="Arial" w:eastAsia="Arial" w:hAnsi="Arial"/>
                <w:sz w:val="18"/>
                <w:szCs w:val="18"/>
                <w:color w:val="0000EE"/>
                <w:w w:val="99"/>
              </w:rPr>
            </w:pPr>
            <w:hyperlink w:anchor="page12">
              <w:r>
                <w:rPr>
                  <w:rFonts w:ascii="Arial" w:cs="Arial" w:eastAsia="Arial" w:hAnsi="Arial"/>
                  <w:sz w:val="18"/>
                  <w:szCs w:val="18"/>
                  <w:color w:val="0000EE"/>
                  <w:w w:val="99"/>
                </w:rPr>
                <w:t>DILUTION</w:t>
              </w:r>
            </w:hyperlink>
          </w:p>
        </w:tc>
        <w:tc>
          <w:tcPr>
            <w:tcW w:w="9700" w:type="dxa"/>
            <w:vAlign w:val="bottom"/>
            <w:gridSpan w:val="18"/>
          </w:tcPr>
          <w:p>
            <w:pPr>
              <w:spacing w:after="0"/>
              <w:rPr>
                <w:sz w:val="22"/>
                <w:szCs w:val="2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263"/>
        </w:trPr>
        <w:tc>
          <w:tcPr>
            <w:tcW w:w="10560" w:type="dxa"/>
            <w:vAlign w:val="bottom"/>
            <w:gridSpan w:val="20"/>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PLAN OF DISTRIBUTION</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S-11</w:t>
            </w:r>
          </w:p>
        </w:tc>
        <w:tc>
          <w:tcPr>
            <w:tcW w:w="0" w:type="dxa"/>
            <w:vAlign w:val="bottom"/>
          </w:tcPr>
          <w:p>
            <w:pPr>
              <w:spacing w:after="0"/>
              <w:rPr>
                <w:sz w:val="1"/>
                <w:szCs w:val="1"/>
                <w:color w:val="auto"/>
              </w:rPr>
            </w:pPr>
          </w:p>
        </w:tc>
      </w:tr>
      <w:tr>
        <w:trPr>
          <w:trHeight w:val="263"/>
        </w:trPr>
        <w:tc>
          <w:tcPr>
            <w:tcW w:w="14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6"/>
              </w:rPr>
            </w:pPr>
            <w:hyperlink w:anchor="page16">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3"/>
          </w:tcPr>
          <w:p>
            <w:pPr>
              <w:spacing w:after="0"/>
              <w:rPr>
                <w:sz w:val="22"/>
                <w:szCs w:val="22"/>
                <w:color w:val="auto"/>
              </w:rPr>
            </w:pPr>
          </w:p>
        </w:tc>
        <w:tc>
          <w:tcPr>
            <w:tcW w:w="8520" w:type="dxa"/>
            <w:vAlign w:val="bottom"/>
            <w:gridSpan w:val="12"/>
          </w:tcPr>
          <w:p>
            <w:pPr>
              <w:spacing w:after="0"/>
              <w:rPr>
                <w:sz w:val="22"/>
                <w:szCs w:val="2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S-13</w:t>
            </w:r>
          </w:p>
        </w:tc>
        <w:tc>
          <w:tcPr>
            <w:tcW w:w="0" w:type="dxa"/>
            <w:vAlign w:val="bottom"/>
          </w:tcPr>
          <w:p>
            <w:pPr>
              <w:spacing w:after="0"/>
              <w:rPr>
                <w:sz w:val="1"/>
                <w:szCs w:val="1"/>
                <w:color w:val="auto"/>
              </w:rPr>
            </w:pPr>
          </w:p>
        </w:tc>
      </w:tr>
      <w:tr>
        <w:trPr>
          <w:trHeight w:val="263"/>
        </w:trPr>
        <w:tc>
          <w:tcPr>
            <w:tcW w:w="10560" w:type="dxa"/>
            <w:vAlign w:val="bottom"/>
            <w:gridSpan w:val="2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EXPERTS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S-13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560" w:type="dxa"/>
            <w:vAlign w:val="bottom"/>
            <w:gridSpan w:val="2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WHERE YOU CAN FIND MORE INFORMATION</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S-13</w:t>
            </w:r>
          </w:p>
        </w:tc>
        <w:tc>
          <w:tcPr>
            <w:tcW w:w="0" w:type="dxa"/>
            <w:vAlign w:val="bottom"/>
          </w:tcPr>
          <w:p>
            <w:pPr>
              <w:spacing w:after="0"/>
              <w:rPr>
                <w:sz w:val="1"/>
                <w:szCs w:val="1"/>
                <w:color w:val="auto"/>
              </w:rPr>
            </w:pPr>
          </w:p>
        </w:tc>
      </w:tr>
      <w:tr>
        <w:trPr>
          <w:trHeight w:val="20"/>
        </w:trPr>
        <w:tc>
          <w:tcPr>
            <w:tcW w:w="920" w:type="dxa"/>
            <w:vAlign w:val="bottom"/>
            <w:gridSpan w:val="3"/>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180" w:type="dxa"/>
            <w:vAlign w:val="bottom"/>
            <w:tcBorders>
              <w:bottom w:val="single" w:sz="8" w:color="0000EE"/>
            </w:tcBorders>
            <w:gridSpan w:val="18"/>
          </w:tcPr>
          <w:p>
            <w:pPr>
              <w:spacing w:after="0"/>
              <w:rPr>
                <w:rFonts w:ascii="Arial" w:cs="Arial" w:eastAsia="Arial" w:hAnsi="Arial"/>
                <w:sz w:val="18"/>
                <w:szCs w:val="18"/>
                <w:color w:val="0000EE"/>
                <w:w w:val="95"/>
              </w:rPr>
            </w:pPr>
            <w:hyperlink w:anchor="page17">
              <w:r>
                <w:rPr>
                  <w:rFonts w:ascii="Arial" w:cs="Arial" w:eastAsia="Arial" w:hAnsi="Arial"/>
                  <w:sz w:val="18"/>
                  <w:szCs w:val="18"/>
                  <w:color w:val="0000EE"/>
                  <w:w w:val="95"/>
                </w:rPr>
                <w:t>INCORPORATION OF CERTAIN INFORMATION BY REFERENCE</w:t>
              </w:r>
            </w:hyperlink>
          </w:p>
        </w:tc>
        <w:tc>
          <w:tcPr>
            <w:tcW w:w="5380" w:type="dxa"/>
            <w:vAlign w:val="bottom"/>
            <w:gridSpan w:val="2"/>
          </w:tcPr>
          <w:p>
            <w:pPr>
              <w:spacing w:after="0"/>
              <w:rPr>
                <w:sz w:val="22"/>
                <w:szCs w:val="2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S-14</w:t>
            </w:r>
          </w:p>
        </w:tc>
        <w:tc>
          <w:tcPr>
            <w:tcW w:w="0" w:type="dxa"/>
            <w:vAlign w:val="bottom"/>
          </w:tcPr>
          <w:p>
            <w:pPr>
              <w:spacing w:after="0"/>
              <w:rPr>
                <w:sz w:val="1"/>
                <w:szCs w:val="1"/>
                <w:color w:val="auto"/>
              </w:rPr>
            </w:pPr>
          </w:p>
        </w:tc>
      </w:tr>
      <w:tr>
        <w:trPr>
          <w:trHeight w:val="668"/>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760" w:type="dxa"/>
            <w:vAlign w:val="bottom"/>
            <w:gridSpan w:val="3"/>
          </w:tcPr>
          <w:p>
            <w:pPr>
              <w:jc w:val="center"/>
              <w:ind w:right="3270"/>
              <w:spacing w:after="0"/>
              <w:rPr>
                <w:sz w:val="20"/>
                <w:szCs w:val="20"/>
                <w:color w:val="auto"/>
              </w:rPr>
            </w:pPr>
            <w:r>
              <w:rPr>
                <w:rFonts w:ascii="Arial" w:cs="Arial" w:eastAsia="Arial" w:hAnsi="Arial"/>
                <w:sz w:val="18"/>
                <w:szCs w:val="18"/>
                <w:b w:val="1"/>
                <w:bCs w:val="1"/>
                <w:color w:val="auto"/>
                <w:w w:val="85"/>
              </w:rPr>
              <w:t>Prospectus</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560" w:type="dxa"/>
            <w:vAlign w:val="bottom"/>
            <w:gridSpan w:val="2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ABOUT THIS PROSPECTUS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63"/>
        </w:trPr>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7"/>
              </w:rPr>
            </w:pPr>
            <w:hyperlink w:anchor="page21">
              <w:r>
                <w:rPr>
                  <w:rFonts w:ascii="Arial" w:cs="Arial" w:eastAsia="Arial" w:hAnsi="Arial"/>
                  <w:sz w:val="18"/>
                  <w:szCs w:val="18"/>
                  <w:color w:val="0000EE"/>
                  <w:w w:val="97"/>
                </w:rPr>
                <w:t>SUMMARY</w:t>
              </w:r>
            </w:hyperlink>
          </w:p>
        </w:tc>
        <w:tc>
          <w:tcPr>
            <w:tcW w:w="1300" w:type="dxa"/>
            <w:vAlign w:val="bottom"/>
            <w:tcBorders>
              <w:top w:val="single" w:sz="8" w:color="0000EE"/>
            </w:tcBorders>
            <w:gridSpan w:val="7"/>
          </w:tcPr>
          <w:p>
            <w:pPr>
              <w:spacing w:after="0"/>
              <w:rPr>
                <w:sz w:val="22"/>
                <w:szCs w:val="22"/>
                <w:color w:val="auto"/>
              </w:rPr>
            </w:pPr>
          </w:p>
        </w:tc>
        <w:tc>
          <w:tcPr>
            <w:tcW w:w="8340" w:type="dxa"/>
            <w:vAlign w:val="bottom"/>
            <w:gridSpan w:val="10"/>
          </w:tcPr>
          <w:p>
            <w:pPr>
              <w:spacing w:after="0"/>
              <w:rPr>
                <w:sz w:val="22"/>
                <w:szCs w:val="2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4"/>
        </w:trPr>
        <w:tc>
          <w:tcPr>
            <w:tcW w:w="10560" w:type="dxa"/>
            <w:vAlign w:val="bottom"/>
            <w:gridSpan w:val="2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240" w:type="dxa"/>
            <w:vAlign w:val="bottom"/>
            <w:gridSpan w:val="4"/>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560" w:type="dxa"/>
            <w:vAlign w:val="bottom"/>
            <w:gridSpan w:val="2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SPECIAL NOTE REGARDING FORWARD-LOOKING STATEMENTS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3"/>
        </w:trPr>
        <w:tc>
          <w:tcPr>
            <w:tcW w:w="15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USE OF PROCEEDS</w:t>
              </w:r>
            </w:hyperlink>
          </w:p>
        </w:tc>
        <w:tc>
          <w:tcPr>
            <w:tcW w:w="3740" w:type="dxa"/>
            <w:vAlign w:val="bottom"/>
            <w:tcBorders>
              <w:top w:val="single" w:sz="8" w:color="0000EE"/>
            </w:tcBorders>
            <w:gridSpan w:val="13"/>
          </w:tcPr>
          <w:p>
            <w:pPr>
              <w:spacing w:after="0"/>
              <w:rPr>
                <w:sz w:val="22"/>
                <w:szCs w:val="22"/>
                <w:color w:val="auto"/>
              </w:rPr>
            </w:pPr>
          </w:p>
        </w:tc>
        <w:tc>
          <w:tcPr>
            <w:tcW w:w="5240" w:type="dxa"/>
            <w:vAlign w:val="bottom"/>
          </w:tcPr>
          <w:p>
            <w:pPr>
              <w:spacing w:after="0"/>
              <w:rPr>
                <w:sz w:val="22"/>
                <w:szCs w:val="2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64"/>
        </w:trPr>
        <w:tc>
          <w:tcPr>
            <w:tcW w:w="1056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DESCRIPTION OF CAPITAL STOCK</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20" w:type="dxa"/>
            <w:vAlign w:val="bottom"/>
            <w:gridSpan w:val="7"/>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040" w:type="dxa"/>
            <w:vAlign w:val="bottom"/>
            <w:tcBorders>
              <w:bottom w:val="single" w:sz="8" w:color="0000EE"/>
            </w:tcBorders>
            <w:gridSpan w:val="14"/>
          </w:tcPr>
          <w:p>
            <w:pPr>
              <w:spacing w:after="0"/>
              <w:rPr>
                <w:rFonts w:ascii="Arial" w:cs="Arial" w:eastAsia="Arial" w:hAnsi="Arial"/>
                <w:sz w:val="18"/>
                <w:szCs w:val="18"/>
                <w:color w:val="0000EE"/>
                <w:w w:val="94"/>
              </w:rPr>
            </w:pPr>
            <w:hyperlink w:anchor="page29">
              <w:r>
                <w:rPr>
                  <w:rFonts w:ascii="Arial" w:cs="Arial" w:eastAsia="Arial" w:hAnsi="Arial"/>
                  <w:sz w:val="18"/>
                  <w:szCs w:val="18"/>
                  <w:color w:val="0000EE"/>
                  <w:w w:val="94"/>
                </w:rPr>
                <w:t>DESCRIPTION OF DEBT SECURITIES</w:t>
              </w:r>
            </w:hyperlink>
          </w:p>
        </w:tc>
        <w:tc>
          <w:tcPr>
            <w:tcW w:w="7520" w:type="dxa"/>
            <w:vAlign w:val="bottom"/>
            <w:gridSpan w:val="6"/>
          </w:tcPr>
          <w:p>
            <w:pPr>
              <w:spacing w:after="0"/>
              <w:rPr>
                <w:sz w:val="22"/>
                <w:szCs w:val="2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63"/>
        </w:trPr>
        <w:tc>
          <w:tcPr>
            <w:tcW w:w="2480" w:type="dxa"/>
            <w:vAlign w:val="bottom"/>
            <w:tcBorders>
              <w:bottom w:val="single" w:sz="8" w:color="0000EE"/>
            </w:tcBorders>
            <w:gridSpan w:val="11"/>
          </w:tcPr>
          <w:p>
            <w:pPr>
              <w:spacing w:after="0"/>
              <w:rPr>
                <w:rFonts w:ascii="Arial" w:cs="Arial" w:eastAsia="Arial" w:hAnsi="Arial"/>
                <w:sz w:val="18"/>
                <w:szCs w:val="18"/>
                <w:color w:val="0000EE"/>
                <w:w w:val="94"/>
              </w:rPr>
            </w:pPr>
            <w:hyperlink w:anchor="page36">
              <w:r>
                <w:rPr>
                  <w:rFonts w:ascii="Arial" w:cs="Arial" w:eastAsia="Arial" w:hAnsi="Arial"/>
                  <w:sz w:val="18"/>
                  <w:szCs w:val="18"/>
                  <w:color w:val="0000EE"/>
                  <w:w w:val="94"/>
                </w:rPr>
                <w:t>DESCRIPTION OF WARRANTS</w:t>
              </w:r>
            </w:hyperlink>
          </w:p>
        </w:tc>
        <w:tc>
          <w:tcPr>
            <w:tcW w:w="8080" w:type="dxa"/>
            <w:vAlign w:val="bottom"/>
            <w:gridSpan w:val="9"/>
          </w:tcPr>
          <w:p>
            <w:pPr>
              <w:spacing w:after="0"/>
              <w:rPr>
                <w:sz w:val="22"/>
                <w:szCs w:val="2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0000EE"/>
            </w:tcBorders>
            <w:gridSpan w:val="7"/>
          </w:tcPr>
          <w:p>
            <w:pPr>
              <w:spacing w:after="0"/>
              <w:rPr>
                <w:rFonts w:ascii="Arial" w:cs="Arial" w:eastAsia="Arial" w:hAnsi="Arial"/>
                <w:sz w:val="18"/>
                <w:szCs w:val="18"/>
                <w:color w:val="0000EE"/>
                <w:w w:val="94"/>
              </w:rPr>
            </w:pPr>
            <w:hyperlink w:anchor="page39">
              <w:r>
                <w:rPr>
                  <w:rFonts w:ascii="Arial" w:cs="Arial" w:eastAsia="Arial" w:hAnsi="Arial"/>
                  <w:sz w:val="18"/>
                  <w:szCs w:val="18"/>
                  <w:color w:val="0000EE"/>
                  <w:w w:val="94"/>
                </w:rPr>
                <w:t>DESCRIPTION OF UNITS</w:t>
              </w:r>
            </w:hyperlink>
          </w:p>
        </w:tc>
        <w:tc>
          <w:tcPr>
            <w:tcW w:w="8540" w:type="dxa"/>
            <w:vAlign w:val="bottom"/>
            <w:gridSpan w:val="13"/>
          </w:tcPr>
          <w:p>
            <w:pPr>
              <w:spacing w:after="0"/>
              <w:rPr>
                <w:sz w:val="22"/>
                <w:szCs w:val="2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63"/>
        </w:trPr>
        <w:tc>
          <w:tcPr>
            <w:tcW w:w="214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40">
              <w:r>
                <w:rPr>
                  <w:rFonts w:ascii="Arial" w:cs="Arial" w:eastAsia="Arial" w:hAnsi="Arial"/>
                  <w:sz w:val="18"/>
                  <w:szCs w:val="18"/>
                  <w:color w:val="0000EE"/>
                  <w:w w:val="93"/>
                </w:rPr>
                <w:t>DESCRIPTION OF RIGHTS</w:t>
              </w:r>
            </w:hyperlink>
          </w:p>
        </w:tc>
        <w:tc>
          <w:tcPr>
            <w:tcW w:w="8420" w:type="dxa"/>
            <w:vAlign w:val="bottom"/>
            <w:gridSpan w:val="11"/>
          </w:tcPr>
          <w:p>
            <w:pPr>
              <w:spacing w:after="0"/>
              <w:rPr>
                <w:sz w:val="22"/>
                <w:szCs w:val="2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64"/>
        </w:trPr>
        <w:tc>
          <w:tcPr>
            <w:tcW w:w="3020" w:type="dxa"/>
            <w:vAlign w:val="bottom"/>
            <w:tcBorders>
              <w:bottom w:val="single" w:sz="8" w:color="0000EE"/>
            </w:tcBorders>
            <w:gridSpan w:val="13"/>
          </w:tcPr>
          <w:p>
            <w:pPr>
              <w:spacing w:after="0"/>
              <w:rPr>
                <w:rFonts w:ascii="Arial" w:cs="Arial" w:eastAsia="Arial" w:hAnsi="Arial"/>
                <w:sz w:val="18"/>
                <w:szCs w:val="18"/>
                <w:color w:val="0000EE"/>
                <w:w w:val="94"/>
              </w:rPr>
            </w:pPr>
            <w:hyperlink w:anchor="page42">
              <w:r>
                <w:rPr>
                  <w:rFonts w:ascii="Arial" w:cs="Arial" w:eastAsia="Arial" w:hAnsi="Arial"/>
                  <w:sz w:val="18"/>
                  <w:szCs w:val="18"/>
                  <w:color w:val="0000EE"/>
                  <w:w w:val="94"/>
                </w:rPr>
                <w:t>LEGAL OWNERSHIP OF SECURITIES</w:t>
              </w:r>
            </w:hyperlink>
          </w:p>
        </w:tc>
        <w:tc>
          <w:tcPr>
            <w:tcW w:w="7540" w:type="dxa"/>
            <w:vAlign w:val="bottom"/>
            <w:gridSpan w:val="7"/>
          </w:tcPr>
          <w:p>
            <w:pPr>
              <w:spacing w:after="0"/>
              <w:rPr>
                <w:sz w:val="22"/>
                <w:szCs w:val="2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63"/>
        </w:trPr>
        <w:tc>
          <w:tcPr>
            <w:tcW w:w="10560" w:type="dxa"/>
            <w:vAlign w:val="bottom"/>
            <w:gridSpan w:val="20"/>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PLAN OF DISTRIBUTION</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63"/>
        </w:trPr>
        <w:tc>
          <w:tcPr>
            <w:tcW w:w="14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6"/>
              </w:rPr>
            </w:pPr>
            <w:hyperlink w:anchor="page48">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3"/>
          </w:tcPr>
          <w:p>
            <w:pPr>
              <w:spacing w:after="0"/>
              <w:rPr>
                <w:sz w:val="22"/>
                <w:szCs w:val="22"/>
                <w:color w:val="auto"/>
              </w:rPr>
            </w:pPr>
          </w:p>
        </w:tc>
        <w:tc>
          <w:tcPr>
            <w:tcW w:w="8520" w:type="dxa"/>
            <w:vAlign w:val="bottom"/>
            <w:gridSpan w:val="12"/>
          </w:tcPr>
          <w:p>
            <w:pPr>
              <w:spacing w:after="0"/>
              <w:rPr>
                <w:sz w:val="22"/>
                <w:szCs w:val="2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64"/>
        </w:trPr>
        <w:tc>
          <w:tcPr>
            <w:tcW w:w="10560" w:type="dxa"/>
            <w:vAlign w:val="bottom"/>
            <w:gridSpan w:val="20"/>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EXPERTS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420" w:type="dxa"/>
            <w:vAlign w:val="bottom"/>
            <w:gridSpan w:val="17"/>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560" w:type="dxa"/>
            <w:vAlign w:val="bottom"/>
            <w:gridSpan w:val="20"/>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WHERE YOU CAN FIND MORE INFORMATION</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3800" w:type="dxa"/>
            <w:vAlign w:val="bottom"/>
            <w:gridSpan w:val="17"/>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560" w:type="dxa"/>
            <w:vAlign w:val="bottom"/>
            <w:gridSpan w:val="20"/>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INCORPORATION OF CERTAIN INFORMATION BY REFERENCE</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85"/>
        </w:trPr>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3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5240" w:type="dxa"/>
            <w:vAlign w:val="bottom"/>
          </w:tcPr>
          <w:p>
            <w:pPr>
              <w:jc w:val="center"/>
              <w:ind w:right="4790"/>
              <w:spacing w:after="0"/>
              <w:rPr>
                <w:sz w:val="20"/>
                <w:szCs w:val="20"/>
                <w:color w:val="auto"/>
              </w:rPr>
            </w:pPr>
            <w:r>
              <w:rPr>
                <w:rFonts w:ascii="Arial" w:cs="Arial" w:eastAsia="Arial" w:hAnsi="Arial"/>
                <w:sz w:val="18"/>
                <w:szCs w:val="18"/>
                <w:color w:val="auto"/>
                <w:w w:val="90"/>
              </w:rPr>
              <w:t>S-i</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This prospectus supplement is part of a shelf registration statement on Form S-3 that we filed with the Securities and Exchange Commission (the “SEC”). We provide information to you about this offering of shares of our common stock in two separate documents that are bound together: (1) this prospectus supplement, which describes the specific details regarding this offering; and (2) the accompanying prospectus, which provides general information, some of which may not apply to this offering. Generally, when we refer to this “prospectus,” we are referring to both documents combined. If information in this prospectus supplement is inconsistent with the accompanying prospectus, you should rely on this prospectus supplement. However, if any statement in one of these documents is inconsistent with a statement in another document having a later date - for example, a document incorporated by reference in this prospectus supplement - the statement in the document having the later date modifies or supersedes the earlier statement as our business, financial condition, results of operations and prospects may have changed since the earlier dates.</w:t>
      </w:r>
    </w:p>
    <w:p>
      <w:pPr>
        <w:spacing w:after="0" w:line="165"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You should rely only on the information contained in, or incorporated by reference into, this prospectus supplement and in any free writing prospectus that we may authorize for use in connection with this offering. We have not, and Jefferies has not, authorized any other person to provide you with different or additional information. If anyone provides you with different, additional or inconsistent information, you should not rely on it. We are not, and Jefferies is not, making an offer to sell or soliciting an offer to buy our securities in any jurisdiction in which an offer or solicitation is not authorized or in which the person making that offer or solicitation is not qualified to do so or to anyone to whom it is unlawful to make an offer or solicitation. You should assume that the information appearing in this prospectus supplement, the accompanying prospectus, the documents incorporated by reference into this prospectus supplement, and in any free writing prospectus that we may authorize for use in connection with this offering, is accurate only as of the date of those respective documents. Our business, financial condition, results of operations and prospects may have changed since those dates. You should read this prospectus supplement, the accompanying prospectus, the documents incorporated by reference into this prospectus supplement, and any free writing prospectus that we may authorize for use in connection with this offering, in their entirety before making an investment decision. You should also read and consider the information in the documents to which we have referred you in the sections of this prospectus supplement entitled “Incorporation of Certain Documents by Reference” and “Where You Can Find More Information.”</w:t>
      </w:r>
    </w:p>
    <w:p>
      <w:pPr>
        <w:spacing w:after="0" w:line="168"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We are offering to sell, and seeking offers to buy, shares of common stock only in jurisdictions where offers and sales are permitted. The distribution of this prospectus supplement and the accompanying prospectus and the offering of our common stock in certain jurisdictions may be restricted by law. Persons outside the United States who come into possession of this prospectus supplement and the accompanying prospectus must inform themselves about, and observe any restrictions relating to, the offering of our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66" w:lineRule="exact"/>
        <w:rPr>
          <w:sz w:val="20"/>
          <w:szCs w:val="20"/>
          <w:color w:val="auto"/>
        </w:rPr>
      </w:pPr>
    </w:p>
    <w:p>
      <w:pPr>
        <w:ind w:left="120" w:right="920"/>
        <w:spacing w:after="0" w:line="308" w:lineRule="auto"/>
        <w:rPr>
          <w:sz w:val="20"/>
          <w:szCs w:val="20"/>
          <w:color w:val="auto"/>
        </w:rPr>
      </w:pPr>
      <w:r>
        <w:rPr>
          <w:rFonts w:ascii="Arial" w:cs="Arial" w:eastAsia="Arial" w:hAnsi="Arial"/>
          <w:sz w:val="17"/>
          <w:szCs w:val="17"/>
          <w:color w:val="auto"/>
        </w:rPr>
        <w:t>Unless the context indicates otherwise, as used in this prospectus supplement, references to “we,” “us,” “our,” “the company” and “Tempest Therapeutics” refer to Tempest Therapeutics, Inc., formerly known as “Millendo Therapeutics, Inc.”, and its subsidiaries.</w:t>
      </w:r>
    </w:p>
    <w:p>
      <w:pPr>
        <w:spacing w:after="0" w:line="146"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This prospectus supplement, the accompanying prospectus and the information incorporated herein or therein by reference include trademarks, service marks and trade names owned by us or other companies. All trademarks, service marks and trade names included or incorporated by reference in this prospectus supplement are the property of their respective owners.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supplement or incorporated by reference in this prospectus supplement, and does not contain all of the information that you need to consider in making your investment decision. You should carefully read the entire prospectus supplement, the accompanying prospectus and any related free writing prospectus, including the risks of investing in our securities discussed under the heading “Risk Factors” contained in this prospectus supplement and in our current report on Form 8-K filed on July 16, 2021 and in subsequent filings we may file with the SEC. You should also carefully read the information incorporated by reference into this prospectus supplement, including our financial statements, and the exhibits to the registration statement of which this prospectus supplement is a part.</w:t>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300" w:right="20" w:firstLine="426"/>
        <w:spacing w:after="0" w:line="269" w:lineRule="auto"/>
        <w:rPr>
          <w:sz w:val="20"/>
          <w:szCs w:val="20"/>
          <w:color w:val="auto"/>
        </w:rPr>
      </w:pPr>
      <w:r>
        <w:rPr>
          <w:rFonts w:ascii="Arial" w:cs="Arial" w:eastAsia="Arial" w:hAnsi="Arial"/>
          <w:sz w:val="17"/>
          <w:szCs w:val="17"/>
          <w:color w:val="auto"/>
        </w:rPr>
        <w:t>We are a clinical-stage oncology company focused on leveraging our deep scientific understanding of cancer biology and medicinal chemistry to develop and advance novel, orally available therapies for the treatment of solid tumors. Our philosophy is to build a company based upon not only creative science and thoughtful management, but also upon the efficient translation of those ideas into therapies that will improve patient’s lives. To this end, we are advancing TPST-1495 and TPST-1120, two product candidates in clinical trials that we believe are the first clinical stage molecules designed to treat their respective targets; and a third program in preclinical studies that could be the first to target TREX-1, a key cellular enzyme that regulates the innate immune response in tumors. TPST-1495 is a dual antagonist of EP2 and EP4, receptors of prostaglandin E2, and is currently in a Phase 1 trial in solid tumors. Our second program, TPST-1120, is a selective antagonist of peroxisome proliferator-activated receptor alpha, or PPARα, and is also in a Phase 1 trial in solid tumors. We expect to report initial data from both these programs in the first half of 2022. Additionally, we are advancing a third program targeting the three prime repair exonuclease, or TREX-1, for which we expect to select a development candidate in the first half of 2022. Beyond these three ongoing programs, we plan to leverage our drug development and company-building experience, along with academic relationships to identify promising new targets that may feed new programs into our pipeline.</w:t>
      </w:r>
    </w:p>
    <w:p>
      <w:pPr>
        <w:spacing w:after="0" w:line="2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 Smaller Reporting Company</w:t>
      </w:r>
    </w:p>
    <w:p>
      <w:pPr>
        <w:spacing w:after="0" w:line="121" w:lineRule="exact"/>
        <w:rPr>
          <w:sz w:val="20"/>
          <w:szCs w:val="20"/>
          <w:color w:val="auto"/>
        </w:rPr>
      </w:pPr>
    </w:p>
    <w:p>
      <w:pPr>
        <w:ind w:left="300" w:right="20" w:firstLine="426"/>
        <w:spacing w:after="0" w:line="255" w:lineRule="auto"/>
        <w:rPr>
          <w:sz w:val="20"/>
          <w:szCs w:val="20"/>
          <w:color w:val="auto"/>
        </w:rPr>
      </w:pPr>
      <w:r>
        <w:rPr>
          <w:rFonts w:ascii="Arial" w:cs="Arial" w:eastAsia="Arial" w:hAnsi="Arial"/>
          <w:sz w:val="18"/>
          <w:szCs w:val="18"/>
          <w:color w:val="auto"/>
        </w:rPr>
        <w:t>We are a “smaller reporting company” as defined in the Securities Exchange Act of 1934 (the “Exchange Act”). As a smaller reporting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right="120" w:firstLine="426"/>
        <w:spacing w:after="0" w:line="255" w:lineRule="auto"/>
        <w:rPr>
          <w:sz w:val="20"/>
          <w:szCs w:val="20"/>
          <w:color w:val="auto"/>
        </w:rPr>
      </w:pPr>
      <w:r>
        <w:rPr>
          <w:rFonts w:ascii="Arial" w:cs="Arial" w:eastAsia="Arial" w:hAnsi="Arial"/>
          <w:sz w:val="18"/>
          <w:szCs w:val="18"/>
          <w:color w:val="auto"/>
        </w:rPr>
        <w:t>We were incorporated under the laws of the State of Delaware in April 2011 under the name “Ovastem, Inc.” and changed our name to “OvaScience, Inc.” (“OvaScience”) in May 2011. On December 7, 2018, we completed a reverse merger with what was then known as “Millendo Therapeutics, Inc.” (“Private Millendo”), pursuant to which, among other matters, Orion Merger Sub, Inc., a Delaware corporation and a wholly owned subsidiary of OvaScience, merged with and into Private Millendo, with Private Millendo continuing as a wholly owned subsidiary of OvaScience and the surviving corporation of the merger (the “Millendo Merger”). Immediately following the Millendo Merger, we changed our name from “Ovascience, Inc” to “Millendo Therapeutics, Inc.”</w:t>
      </w:r>
    </w:p>
    <w:p>
      <w:pPr>
        <w:spacing w:after="0" w:line="38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20"/>
          </w:cols>
          <w:pgMar w:left="320" w:top="459" w:right="6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On June 25, 2021, we completed a merger with TempestTx, Inc. (formerly Tempest Therapeutics, Inc.) (“Private Tempest”) in accordance with the terms of the Agreement and Plan of Merger, dated as of March 29, 2021 (the “Merger Agreement”), by and among us, Private Tempest and Mars Merger Corp., a Delaware corporation and our wholly owned subsidiary (“Merger Sub”), pursuant to which, among other matters, Merger Sub merged with and into Private Tempest, with Private Tempest continuing as our wholly owned subsidiary and the surviving corporation of the merger (the “Merger”). On June 25, 2021, we effected a 1-for-15 reverse stock split of our common stock (the “Reverse Stock Split”), completed the Merger, and changed our name to “Tempest Therapeutics, Inc.” Following the completion of the Merger, the business conducted by us became primarily the business conducted by Private Tempest.</w:t>
      </w:r>
    </w:p>
    <w:p>
      <w:pPr>
        <w:spacing w:after="0" w:line="195"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Our shares of common stock are listed on The Nasdaq Capital Market, previously trading through the close of business on Friday, June 25, 2021 under the ticker symbol “MLND,” and trading on a post-Reverse Stock Split adjusted basis, under the ticker symbol “TPST,” since June 28, 2021.</w:t>
      </w:r>
    </w:p>
    <w:p>
      <w:pPr>
        <w:spacing w:after="0" w:line="12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Our principal executive offices are located at 7000 Shoreline Court; Suite 275 South San Francisco, CA 94080, and our telephone number is (415) 798-8589. Our website is located at Tempesttx.com. We do not incorporate by reference into this prospectus supplement the information on, or accessible through, our website, and you should not consider it as part of this prospectus supplement.</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1120"/>
          </w:cols>
          <w:pgMar w:left="320" w:top="459" w:right="459" w:bottom="1440" w:gutter="0" w:footer="0" w:header="0"/>
        </w:sectPr>
      </w:pPr>
    </w:p>
    <w:p>
      <w:pPr>
        <w:spacing w:after="0" w:line="2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Shares of our common stock having an aggregate offering price of up to $100.0 million.</w:t>
      </w:r>
    </w:p>
    <w:p>
      <w:pPr>
        <w:spacing w:after="0" w:line="62" w:lineRule="exact"/>
        <w:rPr>
          <w:sz w:val="20"/>
          <w:szCs w:val="20"/>
          <w:color w:val="auto"/>
        </w:rPr>
      </w:pPr>
    </w:p>
    <w:p>
      <w:pPr>
        <w:sectPr>
          <w:pgSz w:w="11900" w:h="16838" w:orient="portrait"/>
          <w:cols w:equalWidth="0" w:num="2">
            <w:col w:w="5240" w:space="720"/>
            <w:col w:w="516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Plan of Distribution</w:t>
      </w:r>
    </w:p>
    <w:p>
      <w:pPr>
        <w:spacing w:after="0" w:line="20" w:lineRule="exact"/>
        <w:rPr>
          <w:sz w:val="20"/>
          <w:szCs w:val="20"/>
          <w:color w:val="auto"/>
        </w:rPr>
      </w:pPr>
      <w:r>
        <w:rPr>
          <w:sz w:val="20"/>
          <w:szCs w:val="20"/>
          <w:color w:val="auto"/>
        </w:rPr>
        <w:br w:type="column"/>
      </w:r>
    </w:p>
    <w:p>
      <w:pPr>
        <w:ind w:right="160"/>
        <w:spacing w:after="0" w:line="342" w:lineRule="auto"/>
        <w:rPr>
          <w:sz w:val="20"/>
          <w:szCs w:val="20"/>
          <w:color w:val="auto"/>
        </w:rPr>
      </w:pPr>
      <w:r>
        <w:rPr>
          <w:rFonts w:ascii="Arial" w:cs="Arial" w:eastAsia="Arial" w:hAnsi="Arial"/>
          <w:sz w:val="16"/>
          <w:szCs w:val="16"/>
          <w:color w:val="auto"/>
        </w:rPr>
        <w:t>“At the market” offering that may be made from time to time through our sales agent, Jefferies. See “Plan of Distribution” on page S-11.</w:t>
      </w:r>
    </w:p>
    <w:p>
      <w:pPr>
        <w:spacing w:after="0" w:line="16" w:lineRule="exact"/>
        <w:rPr>
          <w:sz w:val="20"/>
          <w:szCs w:val="20"/>
          <w:color w:val="auto"/>
        </w:rPr>
      </w:pPr>
    </w:p>
    <w:p>
      <w:pPr>
        <w:sectPr>
          <w:pgSz w:w="11900" w:h="16838" w:orient="portrait"/>
          <w:cols w:equalWidth="0" w:num="2">
            <w:col w:w="5240" w:space="720"/>
            <w:col w:w="516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57" w:lineRule="auto"/>
        <w:rPr>
          <w:sz w:val="20"/>
          <w:szCs w:val="20"/>
          <w:color w:val="auto"/>
        </w:rPr>
      </w:pPr>
      <w:r>
        <w:rPr>
          <w:rFonts w:ascii="Arial" w:cs="Arial" w:eastAsia="Arial" w:hAnsi="Arial"/>
          <w:sz w:val="18"/>
          <w:szCs w:val="18"/>
          <w:color w:val="auto"/>
        </w:rPr>
        <w:t>We currently intend to use the net proceeds from the sale of the securities offered hereby to fund the continued development of the product candidates in our pipeline, and for working capital, capital expenditures and general corporate purposes. See “Use of Proceeds” on page S-8 of this prospectus supplement.</w:t>
      </w:r>
    </w:p>
    <w:p>
      <w:pPr>
        <w:spacing w:after="0" w:line="80" w:lineRule="exact"/>
        <w:rPr>
          <w:sz w:val="20"/>
          <w:szCs w:val="20"/>
          <w:color w:val="auto"/>
        </w:rPr>
      </w:pPr>
    </w:p>
    <w:p>
      <w:pPr>
        <w:sectPr>
          <w:pgSz w:w="11900" w:h="16838" w:orient="portrait"/>
          <w:cols w:equalWidth="0" w:num="2">
            <w:col w:w="5240" w:space="720"/>
            <w:col w:w="516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100"/>
        <w:spacing w:after="0" w:line="257" w:lineRule="auto"/>
        <w:rPr>
          <w:sz w:val="20"/>
          <w:szCs w:val="20"/>
          <w:color w:val="auto"/>
        </w:rPr>
      </w:pPr>
      <w:r>
        <w:rPr>
          <w:rFonts w:ascii="Arial" w:cs="Arial" w:eastAsia="Arial" w:hAnsi="Arial"/>
          <w:sz w:val="18"/>
          <w:szCs w:val="18"/>
          <w:color w:val="auto"/>
        </w:rPr>
        <w:t>Investing in our common stock involves significant risks. See “Risk Factors” on page S-3 of this prospectus supplement, and under similar headings in other documents incorporated by reference into this prospectus, including the current report on Form 8-K filed on July 16, 2021.</w:t>
      </w:r>
    </w:p>
    <w:p>
      <w:pPr>
        <w:spacing w:after="0" w:line="80" w:lineRule="exact"/>
        <w:rPr>
          <w:sz w:val="20"/>
          <w:szCs w:val="20"/>
          <w:color w:val="auto"/>
        </w:rPr>
      </w:pPr>
    </w:p>
    <w:p>
      <w:pPr>
        <w:sectPr>
          <w:pgSz w:w="11900" w:h="16838" w:orient="portrait"/>
          <w:cols w:equalWidth="0" w:num="2">
            <w:col w:w="5240" w:space="720"/>
            <w:col w:w="516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Nasdaq Capital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“TPST”</w:t>
      </w:r>
    </w:p>
    <w:p>
      <w:pPr>
        <w:spacing w:after="0" w:line="158" w:lineRule="exact"/>
        <w:rPr>
          <w:sz w:val="20"/>
          <w:szCs w:val="20"/>
          <w:color w:val="auto"/>
        </w:rPr>
      </w:pPr>
    </w:p>
    <w:p>
      <w:pPr>
        <w:sectPr>
          <w:pgSz w:w="11900" w:h="16838" w:orient="portrait"/>
          <w:cols w:equalWidth="0" w:num="2">
            <w:col w:w="5240" w:space="720"/>
            <w:col w:w="5160"/>
          </w:cols>
          <w:pgMar w:left="320" w:top="459" w:right="459" w:bottom="1440" w:gutter="0" w:footer="0" w:header="0"/>
          <w:type w:val="continuous"/>
        </w:sectPr>
      </w:pPr>
    </w:p>
    <w:p>
      <w:pPr>
        <w:jc w:val="center"/>
        <w:ind w:right="-119"/>
        <w:spacing w:after="0"/>
        <w:rPr>
          <w:sz w:val="20"/>
          <w:szCs w:val="20"/>
          <w:color w:val="auto"/>
        </w:rPr>
      </w:pPr>
      <w:r>
        <w:rPr>
          <w:rFonts w:ascii="Arial" w:cs="Arial" w:eastAsia="Arial" w:hAnsi="Arial"/>
          <w:sz w:val="15"/>
          <w:szCs w:val="15"/>
          <w:color w:val="auto"/>
        </w:rPr>
        <w:t>S-2</w:t>
      </w:r>
    </w:p>
    <w:p>
      <w:pPr>
        <w:sectPr>
          <w:pgSz w:w="11900" w:h="16838" w:orient="portrait"/>
          <w:cols w:equalWidth="0" w:num="1">
            <w:col w:w="11120"/>
          </w:cols>
          <w:pgMar w:left="320" w:top="459" w:right="45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i w:val="1"/>
          <w:iCs w:val="1"/>
          <w:color w:val="auto"/>
        </w:rPr>
        <w:t>Investing in our common stock involves risk. You should carefully consider the specific risks discussed below, together with all the other information contained in the prospectus supplement or incorporated by reference into this prospectus supplement. You should also consider the risks, uncertainties and assumptions discussed under the caption “Risk Factors” included in our current report on Form 8-K filed on July 16, 2021 which are incorporated by reference into this prospectus supplement.. These risk factors may be amended, supplemented or superseded from time to time by other reports we file with the SEC in the future. These risks and uncertainties are not the only risks and uncertainties we face. Additional risks and uncertainties not presently known to us, or that we currently view as immaterial, may also impair our business. If any of the risks or uncertainties described in our SEC filings or any additional risks and uncertainties actually occur, our business, financial condition and results of operations could be materially and adversely affected. In that case, the trading price of our securities could decline and you might lose all or part of your investment.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RISKS RELATED TO THIS OFFERING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experience dilution.</w:t>
      </w:r>
    </w:p>
    <w:p>
      <w:pPr>
        <w:spacing w:after="0" w:line="225"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price per share of our common stock being offered may be higher than the net tangible book value per share of our common stock, and as such, you may suffer substantial dilution in the net tangible book value of the common stock you purchase in this offering. In addition, we have a significant number of options and/or warrants outstanding. If the holders of these options and/or warrants exercise such options and/or warrants, you may incur further dilution.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 and exercise of outstanding options and/or warrants.</w:t>
      </w:r>
    </w:p>
    <w:p>
      <w:pPr>
        <w:spacing w:after="0" w:line="225"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In order to raise additional capital, we may in the future offer additional shares of our common stock or other securities convertible into or exchangeable for or exercisable for our common stock.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our common stock or other securities convertible into or exchangeable for or exercisable for our common stock in future transactions may be higher or lower than the price per share in this offering.</w:t>
      </w:r>
    </w:p>
    <w:p>
      <w:pPr>
        <w:spacing w:after="0" w:line="192"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Additionally, there are shares of common stock that are subject to outstanding options, reserved for future issuance under our equity incentive plans or subject to outstanding warrants that are eligible for sale in the public market to the extent permitted by the provisions of various vesting schedules and Rule 144 and Rule 701 under the Securities Act.</w:t>
      </w:r>
    </w:p>
    <w:p>
      <w:pPr>
        <w:spacing w:after="0" w:line="184"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Our management might apply the net proceeds from this offering in ways with which you do not agree and in ways that may impair the value of your investment.</w:t>
      </w:r>
    </w:p>
    <w:p>
      <w:pPr>
        <w:spacing w:after="0" w:line="170"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We currently intend to use the net proceeds from this offering primarily to fund the continued development of the product candidates in our pipeline, and for working capital, capital expenditures and general corporate purposes. We may also use a portion of the net proceeds to invest in or acquire businesses or technologies that we believe are complementary to our own, although we have no current plans, commitments or agreements with respect to any acquisitions as of the date of this prospectus supplement. Pending these uses, we expect to invest the net proceeds in investment-grade, interest-bearing securities. Our management has broad discretion as to the use of these proceeds and you will be relying on the judgment of our management regarding the application of these proceeds. We might apply these proceeds in ways with which you do not agree, or in ways that do not yield a favorable return. If our management applies these proceeds in a manner that does not yield a significant return, if any, on our investment of these net proceeds, it could compromise our ability to pursue our growth strategy and adversely affect the market price of our common stock.</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It is not possible to predict the actual number of shares we will sell under the sales agreement, or the net proceeds resulting from those sales.</w:t>
      </w:r>
    </w:p>
    <w:p>
      <w:pPr>
        <w:spacing w:after="0" w:line="248"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Subject to certain limitations in the sales agreement and compliance with applicable law, we have the discretion to deliver instruction to Jefferies to sell shares of our common stock at any time throughout the term of the sales agreement. The number of shares that are sold through Jefferies after our instruction will fluctuate based on a number of factors, including the market price of our common stock during the sales period, the limits we set with Jefferies in any instruction to sell shares, and the demand for our common stock during the sales period. Because the price per share of each share sold will fluctuate during this offering, it is not currently possible to predict the number of shares that will be sold or the net proceeds to be raised in connection with those sales.</w:t>
      </w:r>
    </w:p>
    <w:p>
      <w:pPr>
        <w:spacing w:after="0" w:line="192"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The common stock offered hereby will be sold in “at the market offerings”, and investors who buy shares at different times will likely pay different prices.</w:t>
      </w:r>
    </w:p>
    <w:p>
      <w:pPr>
        <w:spacing w:after="0" w:line="170"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Investors who purchase shares in this offering at different times will likely pay different prices, and accordingly may experience different levels of dilution and different outcomes in their investment results. We will have discretion, subject to market demand, to vary the timing, prices, and numbers of shares sold in this offering. In addition, subject to the final determination by our board of directors or any restrictions we may place in any applicable placement notice, there is no minimum or maximum sales price for shares to be sold in this offering. Investors may experience a decline in the value of the shares they purchase in this offering as a result of sales made at prices lower than the prices they paid.</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do not anticipate that we will pay any cash dividends in the foreseeable future.</w:t>
      </w:r>
    </w:p>
    <w:p>
      <w:pPr>
        <w:spacing w:after="0" w:line="225"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The current expectation is that we will retain our future earnings, if any, to fund our growth as opposed to paying dividends. As a result, capital appreciation, if any, of our common stock will be your sole source of gain, if any, for the foreseeable future.</w:t>
      </w:r>
    </w:p>
    <w:p>
      <w:pPr>
        <w:spacing w:after="0" w:line="170"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The trading price of the shares of our common stock has been and is likely to continue to be volatile, and purchasers of our common stock could incur substantial losses.</w:t>
      </w:r>
    </w:p>
    <w:p>
      <w:pPr>
        <w:spacing w:after="0" w:line="170"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The market price of our common stock has been and is likely to continue to be volatile. Some of the factors that may cause the market price of our common stock to fluctuate include:</w:t>
      </w:r>
    </w:p>
    <w:p>
      <w:pPr>
        <w:spacing w:after="0" w:line="76" w:lineRule="exact"/>
        <w:rPr>
          <w:sz w:val="20"/>
          <w:szCs w:val="20"/>
          <w:color w:val="auto"/>
        </w:rPr>
      </w:pPr>
    </w:p>
    <w:p>
      <w:pPr>
        <w:ind w:left="1080" w:hanging="424"/>
        <w:spacing w:after="0"/>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results of clinical trials and preclinical studies of our product candidates, or those of our competitors or our existing or future collaborators;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failure to meet or exceed financial and development projections we may provide to the public;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failure to meet or exceed the financial and development projections of the investment community;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7"/>
          <w:szCs w:val="17"/>
          <w:color w:val="auto"/>
        </w:rPr>
      </w:pPr>
      <w:r>
        <w:rPr>
          <w:rFonts w:ascii="Arial" w:cs="Arial" w:eastAsia="Arial" w:hAnsi="Arial"/>
          <w:sz w:val="17"/>
          <w:szCs w:val="17"/>
          <w:color w:val="auto"/>
        </w:rPr>
        <w:t>if we do not achieve the perceived benefits of the Merger as rapidly or to the extent anticipated by financial or industry analysts;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
        </w:numPr>
        <w:rPr>
          <w:rFonts w:ascii="Arial" w:cs="Arial" w:eastAsia="Arial" w:hAnsi="Arial"/>
          <w:sz w:val="17"/>
          <w:szCs w:val="17"/>
          <w:color w:val="auto"/>
        </w:rPr>
      </w:pPr>
      <w:r>
        <w:rPr>
          <w:rFonts w:ascii="Arial" w:cs="Arial" w:eastAsia="Arial" w:hAnsi="Arial"/>
          <w:sz w:val="17"/>
          <w:szCs w:val="17"/>
          <w:color w:val="auto"/>
        </w:rPr>
        <w:t>announcements of significant acquisitions, strategic collaborations, joint ventures or capital commitments by us or our competitors;</w:t>
      </w:r>
    </w:p>
    <w:p>
      <w:pPr>
        <w:spacing w:after="0" w:line="142" w:lineRule="exact"/>
        <w:rPr>
          <w:rFonts w:ascii="Arial" w:cs="Arial" w:eastAsia="Arial" w:hAnsi="Arial"/>
          <w:sz w:val="17"/>
          <w:szCs w:val="17"/>
          <w:color w:val="auto"/>
        </w:rPr>
      </w:pPr>
    </w:p>
    <w:p>
      <w:pPr>
        <w:ind w:left="1080" w:right="6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actions taken by regulatory agencies with respect to our product candidates, clinical studies, manufacturing process or sales and marketing terms;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its technologies;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0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securities or industry analysts do not publish research or reports about our business, or if they issue adverse or misleading opinions regarding our business and stock;</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market or macroeconomic conditions or market conditions in the pharmaceutical and biotechnology sectors;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sales of securities by us or our securityholders in the future;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7"/>
          <w:szCs w:val="17"/>
          <w:color w:val="auto"/>
        </w:rPr>
      </w:pPr>
      <w:r>
        <w:rPr>
          <w:rFonts w:ascii="Arial" w:cs="Arial" w:eastAsia="Arial" w:hAnsi="Arial"/>
          <w:sz w:val="17"/>
          <w:szCs w:val="17"/>
          <w:color w:val="auto"/>
        </w:rPr>
        <w:t>if we fail to raise an adequate amount of capital to fund our operations and continued development of our product candidates;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30"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announcements by competitors of new commercial products, clinical progress or lack thereof, significant contracts, commercial relationships or capital commitments;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adverse publicity relating to precision medicine product candidates, including with respect to other products in such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introduction of technological innovations or new therapies that compete with our products and services;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period-to-period fluctuations in our financial results.</w:t>
      </w:r>
    </w:p>
    <w:p>
      <w:pPr>
        <w:spacing w:after="0" w:line="225"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Moreover, the stock markets in general have experienced substantial volatility that has often been unrelated to the operating performance of individual companies. These broad market fluctuations may also adversely affect the trading price of our common stock. In addition, a recession, depression or other sustained adverse market event resulting from the spread of COVID-19 or otherwise could materially and adversely affect our business and the value of our common stock. 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its intrinsic value. Activist campaigns that contest or conflict with our strategic direction or seek changes in the composition of our board of directors could have an adverse effect on its operating results and financial condition.</w:t>
      </w:r>
    </w:p>
    <w:p>
      <w:pPr>
        <w:spacing w:after="0" w:line="9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960"/>
          </w:cols>
          <w:pgMar w:left="320" w:top="459" w:right="6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jc w:val="both"/>
        <w:ind w:left="120" w:right="360"/>
        <w:spacing w:after="0" w:line="311" w:lineRule="auto"/>
        <w:rPr>
          <w:sz w:val="20"/>
          <w:szCs w:val="20"/>
          <w:color w:val="auto"/>
        </w:rPr>
      </w:pPr>
      <w:r>
        <w:rPr>
          <w:rFonts w:ascii="Arial" w:cs="Arial" w:eastAsia="Arial" w:hAnsi="Arial"/>
          <w:sz w:val="16"/>
          <w:szCs w:val="16"/>
          <w:color w:val="auto"/>
        </w:rPr>
        <w:t>This prospectus supplement includes and incorporates by reference “forward-looking statements” within the meaning of the U.S. Private Securities Litigation Reform Act of 1995 and releases issued by the SEC and within the meaning of Section 27A of the Securities Act, and Section 21E of the Exchange Act. Any statements contained herein that are not statements of historical facts may be deemed to be forward-looking statements.</w:t>
      </w:r>
    </w:p>
    <w:p>
      <w:pPr>
        <w:spacing w:after="0" w:line="14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In some cases, you can identify forward-looking statements by terminology such as “aim,” “anticipate,” “assume,” “believe,” “continue,” “could,” “due,” “estimate,” “expect,” “intend,” “may,” “objective,” “plan,” “predict,” “potential,” “positioned,” “seek,” “should,” “target,” “will,” “would” and other similar expressions that are predictions of or indicate future events and future trends, or the negative of these terms or similar language. Forward-looking statements include, but are not limited to, statements about:</w:t>
      </w:r>
    </w:p>
    <w:p>
      <w:pPr>
        <w:spacing w:after="0" w:line="92" w:lineRule="exact"/>
        <w:rPr>
          <w:sz w:val="20"/>
          <w:szCs w:val="20"/>
          <w:color w:val="auto"/>
        </w:rPr>
      </w:pPr>
    </w:p>
    <w:p>
      <w:pPr>
        <w:ind w:left="1080" w:hanging="424"/>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timing, progress and results clinical trials for TPST-1495 and TPST-1120 and preclinical studies for TREX-1 and any other product candidates we develop, including statements regarding the timing of initiation and completion of studies or trials and related preparatory work, the period during which the results of the trials will become available and our research and development programs;</w:t>
      </w:r>
    </w:p>
    <w:p>
      <w:pPr>
        <w:spacing w:after="0" w:line="92"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or likelihood of regulatory filings for TPST-1495, TPST-1120 and TREX-1 and any other product candidates we develop and our ability to obtain and maintain regulatory approvals for such product candidates for any indication;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manufacturing capabilities and strategy, including the scalability of our manufacturing methods and processes;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benefits, activity, effectiveness and safety of TPST-1495, TPST-1120 and TREX-1 and any other product candidates we develop;</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intentions and ability to successfully commercialize our product candidates;</w:t>
      </w:r>
    </w:p>
    <w:p>
      <w:pPr>
        <w:spacing w:after="0" w:line="130" w:lineRule="exact"/>
        <w:rPr>
          <w:rFonts w:ascii="Arial" w:cs="Arial" w:eastAsia="Arial" w:hAnsi="Arial"/>
          <w:sz w:val="18"/>
          <w:szCs w:val="18"/>
          <w:color w:val="auto"/>
        </w:rPr>
      </w:pPr>
    </w:p>
    <w:p>
      <w:pPr>
        <w:ind w:left="1080" w:right="80" w:hanging="424"/>
        <w:spacing w:after="0" w:line="34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estimates regarding our expenses, future revenues, capital requirements, our needs for or ability to obtain additional financing and the period over which we expect our current cash, cash equivalents and marketable securities to be sufficient to fund our operations;</w:t>
      </w:r>
    </w:p>
    <w:p>
      <w:pPr>
        <w:spacing w:after="0" w:line="29" w:lineRule="exact"/>
        <w:rPr>
          <w:rFonts w:ascii="Arial" w:cs="Arial" w:eastAsia="Arial" w:hAnsi="Arial"/>
          <w:sz w:val="16"/>
          <w:szCs w:val="16"/>
          <w:color w:val="auto"/>
        </w:rPr>
      </w:pPr>
    </w:p>
    <w:p>
      <w:pPr>
        <w:ind w:left="1080" w:right="42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intended reliance on and the performance of third parties, including collaborators, contract research organizations and third-party manufacturers;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and enforce our intellectual property protection and the scope and duration of such protection;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 including competing therapies;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introduction of technological innovations or new therapies that compete with our products and services;</w:t>
      </w:r>
    </w:p>
    <w:p>
      <w:pPr>
        <w:spacing w:after="0" w:line="130" w:lineRule="exact"/>
        <w:rPr>
          <w:rFonts w:ascii="Arial" w:cs="Arial" w:eastAsia="Arial" w:hAnsi="Arial"/>
          <w:sz w:val="18"/>
          <w:szCs w:val="18"/>
          <w:color w:val="auto"/>
        </w:rPr>
      </w:pPr>
    </w:p>
    <w:p>
      <w:pPr>
        <w:ind w:left="1080" w:right="140" w:hanging="424"/>
        <w:spacing w:after="0" w:line="311"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the COVID-19 pandemic on the initiation (including the emergence of variant strains), progress or expected timing of our clinical trials and the timing of related data, our efforts to adjust trial-related activities to address the impact of the COVID-19 pandemic, and other future impacts of the COVID-19 pandemic on the economy, our industry and our financial condition and results of operations;</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current and future laws and regulations;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intended use of proceeds from this offering.</w:t>
      </w:r>
    </w:p>
    <w:p>
      <w:pPr>
        <w:spacing w:after="0" w:line="225"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These statements are based on management’s current expectations, estimates, forecasts and projections about our business and industry, are not guarantees of future performance and involve known and unknown risks, uncertainties and other factors that are in some cases beyond our control, such as the impacts of the COVID-19</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080"/>
          </w:cols>
          <w:pgMar w:left="320" w:top="459" w:right="4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pandemic, and that may cause our or our industry’s actual results, levels of activity, performance or achievements to be materially different from those anticipated by the forward-looking statements. We discuss many of these risks in greater detail in the section entitled “Risk Factors” and elsewhere in this prospectus supplement. You should read these factors and the other cautionary statements made in this prospectus supplement as being applicable to all related forward-looking statements wherever they appear herein or therein. If one or more of these factors materialize, or if any underlying assumptions prove incorrect, our actual results, levels of activity, performance, or achievements may vary materially from any future results, activity, performance, or achievements expressed or implied by these forward-looking statements. We caution readers not to place undue reliance on any forward-looking statements made by us, which speak only as of the date they were made. We undertake no obligation to publicly update any forward-looking statements after the date of this prospectus supplement, whether as a result of new information, future events or otherwise, except as required by law.</w:t>
      </w:r>
    </w:p>
    <w:p>
      <w:pPr>
        <w:spacing w:after="0" w:line="196"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You should read this prospectus supplement together with the accompanying prospectus and documents we have filed with the SEC that are incorporated by reference and any free writing prospectus that we may authorize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00"/>
          </w:cols>
          <w:pgMar w:left="32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may issue and sell shares of our common stock having aggregate sales proceeds of up to $100.0 million from time to time. Because there is no minimum offering price for the shares that we may offer from time to time, the actual total public offering amount, commissions and proceeds to us, if any, are not determinable at this time. There can be no assurance that we will sell any shares under or fully utilize the sales agreement with Jefferies as a source of financing.</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currently intend to use the net proceeds from the sale of the securities offered hereby to fund the continued development of the product candidates in our pipeline, and for working capital, capital expenditures and general corporate purposes. We may also use a portion of the net proceeds to invest in or acquire businesses or technologies that we believe are complementary to our own, although we have no current plans, commitments or agreements with respect to any acquisitions as of the date of this prospectus supplement. Pending these uses, we expect to invest the net proceeds in investment-grade, interest-bearing securities.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080"/>
          </w:cols>
          <w:pgMar w:left="320" w:top="459"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Our net tangible book value as of March 31, 2021 was approximately $12.8 million, or $0.10 per share. Net tangible book value per share is determined by dividing our total tangible assets, less total liabilities, by the number of shares of our common stock outstanding as of March 31, 2021. Dilution with respect to net tangible book value per share represents the difference between the amount per share paid by purchasers of shares of common stock in this offering and the net tangible book value per share of our common stock immediately after this offering.</w:t>
      </w:r>
    </w:p>
    <w:p>
      <w:pPr>
        <w:spacing w:after="0" w:line="17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After giving effect to the sale of 5,973,716 shares of our common stock in this offering at an assumed offering price of $16.74 per share, the last reported sale price of our common stock on the Nasdaq Capital Market on July 22, 2021, and after deducting estimated offering commissions and offering expenses payable by us, our as adjusted net tangible book value as of March 31, 2021 would have been approximately $109.2 million, or $0.80 per share. This represents an immediate increase in net tangible book value of $0.70 per share to existing stockholders and immediate dilution of $15.94 per share to investors purchasing our common stock in this offering at the assumed public offering price. The following table illustrates this dilution on a per share basis:</w:t>
      </w:r>
    </w:p>
    <w:p>
      <w:pPr>
        <w:spacing w:after="0" w:line="234"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15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$16.74</w:t>
            </w: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rPr>
              <w:t>Net tangible book value per share of as of March 31, 2021</w:t>
            </w: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w w:val="87"/>
              </w:rPr>
              <w:t>$ 0.10</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net tangible book value per share attributable to this offering</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0.70</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9"/>
        </w:trPr>
        <w:tc>
          <w:tcPr>
            <w:tcW w:w="6800" w:type="dxa"/>
            <w:vAlign w:val="bottom"/>
          </w:tcPr>
          <w:p>
            <w:pPr>
              <w:spacing w:after="0"/>
              <w:rPr>
                <w:sz w:val="20"/>
                <w:szCs w:val="20"/>
                <w:color w:val="auto"/>
              </w:rPr>
            </w:pPr>
            <w:r>
              <w:rPr>
                <w:rFonts w:ascii="Arial" w:cs="Arial" w:eastAsia="Arial" w:hAnsi="Arial"/>
                <w:sz w:val="18"/>
                <w:szCs w:val="18"/>
                <w:color w:val="auto"/>
                <w:w w:val="98"/>
              </w:rPr>
              <w:t>As adjusted net tangible book value per share as of March 31, 2021, after giving effect</w:t>
            </w:r>
          </w:p>
        </w:tc>
        <w:tc>
          <w:tcPr>
            <w:tcW w:w="46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7"/>
        </w:trPr>
        <w:tc>
          <w:tcPr>
            <w:tcW w:w="6800" w:type="dxa"/>
            <w:vAlign w:val="bottom"/>
          </w:tcPr>
          <w:p>
            <w:pPr>
              <w:ind w:left="180"/>
              <w:spacing w:after="0"/>
              <w:rPr>
                <w:sz w:val="20"/>
                <w:szCs w:val="20"/>
                <w:color w:val="auto"/>
              </w:rPr>
            </w:pPr>
            <w:r>
              <w:rPr>
                <w:rFonts w:ascii="Arial" w:cs="Arial" w:eastAsia="Arial" w:hAnsi="Arial"/>
                <w:sz w:val="18"/>
                <w:szCs w:val="18"/>
                <w:color w:val="auto"/>
              </w:rPr>
              <w:t>to this offering</w:t>
            </w:r>
          </w:p>
        </w:tc>
        <w:tc>
          <w:tcPr>
            <w:tcW w:w="1020" w:type="dxa"/>
            <w:vAlign w:val="bottom"/>
            <w:gridSpan w:val="2"/>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0.80</w:t>
            </w:r>
          </w:p>
        </w:tc>
        <w:tc>
          <w:tcPr>
            <w:tcW w:w="40" w:type="dxa"/>
            <w:vAlign w:val="bottom"/>
          </w:tcPr>
          <w:p>
            <w:pPr>
              <w:spacing w:after="0"/>
              <w:rPr>
                <w:sz w:val="20"/>
                <w:szCs w:val="20"/>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investors purchasing our common stock in this offering</w:t>
            </w:r>
          </w:p>
        </w:tc>
        <w:tc>
          <w:tcPr>
            <w:tcW w:w="15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15.94</w:t>
            </w:r>
          </w:p>
        </w:tc>
      </w:tr>
      <w:tr>
        <w:trPr>
          <w:trHeight w:val="20"/>
        </w:trPr>
        <w:tc>
          <w:tcPr>
            <w:tcW w:w="68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above discussion and table are based on 131,061,442 shares of our common stock outstanding as of March 31, 2021, and exclude:</w:t>
      </w:r>
    </w:p>
    <w:p>
      <w:pPr>
        <w:spacing w:after="0" w:line="131"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15,967,929 shares of our common stock issuable upon the exercise or vesting of warrants, options and other stock-based awards.</w:t>
      </w:r>
    </w:p>
    <w:p>
      <w:pPr>
        <w:spacing w:after="0" w:line="237" w:lineRule="exact"/>
        <w:rPr>
          <w:sz w:val="20"/>
          <w:szCs w:val="20"/>
          <w:color w:val="auto"/>
        </w:rPr>
      </w:pPr>
    </w:p>
    <w:p>
      <w:pPr>
        <w:ind w:left="120" w:right="40"/>
        <w:spacing w:after="0" w:line="268" w:lineRule="auto"/>
        <w:rPr>
          <w:sz w:val="20"/>
          <w:szCs w:val="20"/>
          <w:color w:val="auto"/>
        </w:rPr>
      </w:pPr>
      <w:r>
        <w:rPr>
          <w:rFonts w:ascii="Arial" w:cs="Arial" w:eastAsia="Arial" w:hAnsi="Arial"/>
          <w:sz w:val="17"/>
          <w:szCs w:val="17"/>
          <w:color w:val="auto"/>
        </w:rPr>
        <w:t>The table above assumes for illustrative purposes that an aggregate of 5,973,716 shares of our common stock are offered during the term of the sales agreement with Jefferies at a price of $16.74 per share, the last reported sale price of our common stock on the Nasdaq Capital Market on July 22, 2021, for aggregate gross proceeds of $100.0 million. The shares subject to the sales agreement with Jefferies are being sold from time to time at various prices. An increase of $1.00 per share in the price at which the shares are sold from the assumed offering price of $16.74 per share shown in the table above, assuming all of our common stock in the aggregate amount of $100.0 million during the term of the sales agreement with Jefferies is sold at that price, would increase our as adjusted net tangible book value per share after the offering to $0.93 per share and would increase the dilution in net tangible book value per share to new investors in this offering to $16.71 per share, after deducting commissions and estimated aggregate offering expenses payable by us. A decrease of $1.00 per share in the price at which the shares are sold from the assumed offering price of $16.74 per share shown in the table above, assuming all of our common stock in the aggregate amount of $100.0 million during the term of the sales agreement with Jefferies is sold at that price, would decrease our as adjusted net tangible book value per share after the offering to $0.93 per share and would decrease the dilution in net tangible book value per share to new investors in this offering to $14.71 per share, after deducting commissions and estimated aggregate offering expenses payable by us. This information is supplied for illustrative purposes only and will adjust based on the actual public offering price and other terms of this offering determined at pricing.</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To the extent that outstanding stock options outstanding as of March 31, 2021 have been or may be exercised or other shares issued, investors purchasing our common stock in this offering may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12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0980"/>
          </w:cols>
          <w:pgMar w:left="320" w:top="459" w:right="5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We have entered into a sales agreement with Jefferies, under which we may offer and sell up to $100,000,000 of our shares of common stock from time to time through Jefferies acting as agent. Sales of our shares of common stock, if any, under this prospectus supplement and the accompanying prospectus will be made by any method that is deemed to be an “at the market offering” as defined in Rule 415(a)(4) under the Securities Act.</w:t>
      </w:r>
    </w:p>
    <w:p>
      <w:pPr>
        <w:spacing w:after="0" w:line="14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Each time we wish to issue and sell our shares of common stock under the sales agreement, we will notify Jefferies of the number of shares to be issued, the dates on which such sales are anticipated to be made, any limitation on the number of shares to be sold in any one day and any minimum price below which sales may not be made. Once we have so instructed Jefferies, unless Jefferies declines to accept the terms of such notice, Jefferies has agreed to use its commercially reasonable efforts consistent with its normal trading and sales practices to sell such shares up to the amount specified on such terms. The obligations of Jefferies under the sales agreement to sell our shares of common stock are subject to a number of conditions that we must meet.</w:t>
      </w:r>
    </w:p>
    <w:p>
      <w:pPr>
        <w:spacing w:after="0" w:line="192"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settlement of sales of shares between us and Jefferies is generally anticipated to occur on the second trading day following the date on which the sale was made. Sales of our shares of common stock as contemplated in this prospectus supplement will be settled through the facilities of The Depository Trust Company or by such other means as we and Jefferies may agree upon. There is no arrangement for funds to be received in an escrow, trust or similar arrangement.</w:t>
      </w:r>
    </w:p>
    <w:p>
      <w:pPr>
        <w:spacing w:after="0" w:line="187"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We will pay Jefferies a commission equal to 3.0% of the aggregate gross proceeds we receive from each sale of our shares of common stock. Because there is no minimum offering amount required as a condition to close this offering, the actual total public offering amount, commissions and proceeds to us, if any, are not determinable at this time. In addition, we have agreed to reimburse Jefferies for the fees and disbursements of its counsel, payable upon execution of the sales agreement, in an amount not to exceed $75,000, in addition to certain ongoing disbursements of its legal counsel. We estimate that the total expenses for the offering, excluding any commissions or expense reimbursement payable to Jefferies under the terms of the sales agreement, will be approximately $400,000. The remaining sale proceeds, after deducting any other transaction fees, will equal our net proceeds from the sale of such shares.</w:t>
      </w:r>
    </w:p>
    <w:p>
      <w:pPr>
        <w:spacing w:after="0" w:line="19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Jefferies will provide written confirmation to us before the open on the Nasdaq Capital Market on the day following each day on which our shares of common stock are sold under the sales agreement. Each confirmation will include the number of shares sold on that day, the aggregate gross proceeds of such sales and the proceeds to us.</w:t>
      </w:r>
    </w:p>
    <w:p>
      <w:pPr>
        <w:spacing w:after="0" w:line="184"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In connection with the sale of our shares of common stock on our behalf, Jefferies will be deemed to be an “underwriter” within the meaning of the Securities Act, and the compensation of Jefferies will be deemed to be underwriting commissions or discounts. We have agreed to indemnify Jefferies against certain civil liabilities, including liabilities under the Securities Act. We have also agreed to contribute to payments Jefferies may be required to make in respect of such liabilities.</w:t>
      </w:r>
    </w:p>
    <w:p>
      <w:pPr>
        <w:spacing w:after="0" w:line="18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offering of our shares of common stock pursuant to the sales agreement will terminate upon the earlier of (i) the sale of all shares of common stock subject to the sales agreement and (ii) the termination of the sales agreement as permitted therein. We and Jefferies may each terminate the sales agreement at any time upon three trading days’ prior notice.</w:t>
      </w:r>
    </w:p>
    <w:p>
      <w:pPr>
        <w:spacing w:after="0" w:line="184"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This summary of the material provisions of the sales agreement does not purport to be a complete statement of its terms and conditions. A copy of the sales agreement is filed as an exhibit to a current report on Form 8-K filed under the Securities Exchange Act of 1934, as amended, and incorporated by reference in this prospectus supplement. Jefferies and its affiliates may in the future provide various investment banking, commercial banking, financial advisory and other financial services for us and our affiliates, for which services they may in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future receive customary fees. In the course of its business, Jefferies may actively trade our securities for its own account or for the accounts of customers, and, accordingly, Jefferies may at any time hold long or short positions in such securities. A prospectus supplement and the accompanying prospectus in electronic format may be made available on a website maintained by Jefferies, and Jefferies may distribute the prospectus supplement and the accompanying prospectus electronically.</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060"/>
          </w:cols>
          <w:pgMar w:left="320" w:top="459" w:right="5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validity of the common stock offered by this prospectus supplement will be passed upon by Sidley Austin LLP. San Francisco, California .</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Latham &amp; Watkins LLP, San Diego, California, is counsel for Jefferies in connection with this offering.</w:t>
      </w: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Ernst &amp; Young LLP, independent registered public accounting firm, has audited the consolidated financial statements of Millendo Therapeutics, Inc. included in its Annual Report on Form 10-K for the year ended December 31, 2020, as set forth in their report, which is incorporated by reference in this prospectus supplement and elsewhere in the registration statement. These financial statements are incorporated by reference in reliance on Ernst &amp; Young LLP’s report, given on their authority as experts in accounting and auditing.</w:t>
      </w:r>
    </w:p>
    <w:p>
      <w:pPr>
        <w:spacing w:after="0" w:line="187"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The financial statements of Tempestx, Inc. (formerly Tempest Therapeutics, Inc.) as of and for the years end December 31, 2020 and December 31, 2019, incorporated by reference in this Prospectus from Tempest Therapeutics, Inc.’s Current Report on Form 8-K filed on July 16, 2021, have been audited by Deloitte &amp; Touche LLP, an independent registered public accounting firm, as stated in their report which is incorporated by reference (which report expresses an unqualified opinion on the financial statements and includes an explanatory paragraph referring to substantial doubt regarding Tempestx, Inc.’s ability to continue as a going concern). Such financial statements have been so incorporated in reliance upon the report of such firm given upon their authority as experts in accounting and auditing.</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We have filed with the SEC a registration statement on Form S-3 under the Securities Act with respect to the securities offered by this prospectus supplement and the accompanying prospectus. This prospectus supplement and the accompanying prospectus do not contain all of the information set forth in the registration statement, of which they are a part, and the exhibits to such registration statement. For further information with respect to us and our securities, we refer you to the registration statement and to the exhibits to such registration statement. Statements contained in this prospectus supplement and the accompanying prospectus as to the contents of any contract or other document referred to in, or incorporated by reference in, this prospectus supplement and the accompanying prospectus are not necessarily complete and, where that contract is an exhibit to the registration statement, each statement is qualified in all respects by the exhibit to which the reference relates.</w:t>
      </w:r>
    </w:p>
    <w:p>
      <w:pPr>
        <w:spacing w:after="0" w:line="177"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color w:val="auto"/>
        </w:rPr>
        <w:t>We are subject to the information and periodic reporting requirements of the Exchange Act, and we file annual, quarterly and current reports, proxy statements, and other information with the SEC. Our SEC filings are available to the public over the Internet at the SEC’s website at sec.gov.</w:t>
      </w:r>
    </w:p>
    <w:p>
      <w:pPr>
        <w:spacing w:after="0" w:line="124"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Copies of certain information filed by us with the SEC are also available on our website at Tempesttx.com. Information contained in or accessible through our website is not incorporated by reference in this prospectus supplement, the accompanying prospectus or the registration statement of which they form a part, and you should not consider it a part of this prospectus supplement, the accompanying prospectus or the registration statement.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The SEC’s rules allow us to “incorporate by reference” information into this prospectus supplement and the accompanying prospectus. This means that we can disclose important information to you by referring you to another document. The information incorporated or deemed to be incorporated by reference is considered to be a part of this prospectus supplement, and information filed separately with the SEC subsequent to the date of this prospectus supplement and prior to the termination of the offering referred to in this prospectus supplement will automatically be deemed to update and supersede this information. The following documents previously filed with the SEC are incorporated by reference into this prospectus supplement except for any documents or portions thereof deemed to be “furnished” and not “filed” in accordance with SEC rules:</w:t>
      </w:r>
    </w:p>
    <w:p>
      <w:pPr>
        <w:spacing w:after="0" w:line="83"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32">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3">
        <w:r>
          <w:rPr>
            <w:rFonts w:ascii="Arial" w:cs="Arial" w:eastAsia="Arial" w:hAnsi="Arial"/>
            <w:sz w:val="18"/>
            <w:szCs w:val="18"/>
            <w:u w:val="single" w:color="auto"/>
            <w:color w:val="0000EE"/>
          </w:rPr>
          <w:t>10-K/A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34">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2021;</w:t>
      </w:r>
    </w:p>
    <w:p>
      <w:pPr>
        <w:spacing w:after="0" w:line="130"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5"/>
        </w:numPr>
        <w:rPr>
          <w:rFonts w:ascii="Arial" w:cs="Arial" w:eastAsia="Arial" w:hAnsi="Arial"/>
          <w:sz w:val="18"/>
          <w:szCs w:val="18"/>
          <w:color w:val="0000EE"/>
        </w:rPr>
      </w:pPr>
      <w:hyperlink r:id="rId35">
        <w:r>
          <w:rPr>
            <w:rFonts w:ascii="Arial" w:cs="Arial" w:eastAsia="Arial" w:hAnsi="Arial"/>
            <w:sz w:val="18"/>
            <w:szCs w:val="18"/>
            <w:color w:val="auto"/>
          </w:rPr>
          <w:t xml:space="preserve">Our Current Reports on Form 8-K and Form 8-K/A filed with the SEC on </w:t>
        </w:r>
        <w:r>
          <w:rPr>
            <w:rFonts w:ascii="Arial" w:cs="Arial" w:eastAsia="Arial" w:hAnsi="Arial"/>
            <w:sz w:val="18"/>
            <w:szCs w:val="18"/>
            <w:u w:val="single" w:color="auto"/>
            <w:color w:val="0000EE"/>
          </w:rPr>
          <w:t>January 5, 2021, January 28, 2021, March 29,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June 11,</w:t>
        </w:r>
      </w:hyperlink>
      <w:r>
        <w:rPr>
          <w:rFonts w:ascii="Arial" w:cs="Arial" w:eastAsia="Arial" w:hAnsi="Arial"/>
          <w:sz w:val="18"/>
          <w:szCs w:val="18"/>
          <w:color w:val="auto"/>
        </w:rPr>
        <w:t xml:space="preserve"> </w:t>
      </w:r>
      <w:hyperlink r:id="rId36">
        <w:r>
          <w:rPr>
            <w:rFonts w:ascii="Arial" w:cs="Arial" w:eastAsia="Arial" w:hAnsi="Arial"/>
            <w:sz w:val="18"/>
            <w:szCs w:val="18"/>
            <w:u w:val="single" w:color="auto"/>
            <w:color w:val="0000EE"/>
          </w:rPr>
          <w:t>2021, June 23, 2021, June 28, 2021</w:t>
        </w:r>
        <w:r>
          <w:rPr>
            <w:rFonts w:ascii="Arial" w:cs="Arial" w:eastAsia="Arial" w:hAnsi="Arial"/>
            <w:sz w:val="18"/>
            <w:szCs w:val="18"/>
            <w:color w:val="0000EE"/>
          </w:rPr>
          <w:t xml:space="preserve"> </w:t>
        </w:r>
        <w:r>
          <w:rPr>
            <w:rFonts w:ascii="Arial" w:cs="Arial" w:eastAsia="Arial" w:hAnsi="Arial"/>
            <w:sz w:val="18"/>
            <w:szCs w:val="18"/>
            <w:color w:val="000000"/>
          </w:rPr>
          <w:t>other than the information furnished pursuant to Item 7.01 and Exhibit 99.1),</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July 1, 2021, July 7,</w:t>
        </w:r>
      </w:hyperlink>
      <w:r>
        <w:rPr>
          <w:rFonts w:ascii="Arial" w:cs="Arial" w:eastAsia="Arial" w:hAnsi="Arial"/>
          <w:sz w:val="18"/>
          <w:szCs w:val="18"/>
          <w:color w:val="0000EE"/>
        </w:rPr>
        <w:t xml:space="preserve"> </w:t>
      </w:r>
      <w:hyperlink r:id="rId36">
        <w:r>
          <w:rPr>
            <w:rFonts w:ascii="Arial" w:cs="Arial" w:eastAsia="Arial" w:hAnsi="Arial"/>
            <w:sz w:val="18"/>
            <w:szCs w:val="18"/>
            <w:u w:val="single" w:color="auto"/>
            <w:color w:val="0000EE"/>
          </w:rPr>
          <w:t xml:space="preserve">2021, </w:t>
        </w:r>
      </w:hyperlink>
      <w:hyperlink r:id="rId37">
        <w:r>
          <w:rPr>
            <w:rFonts w:ascii="Arial" w:cs="Arial" w:eastAsia="Arial" w:hAnsi="Arial"/>
            <w:sz w:val="18"/>
            <w:szCs w:val="18"/>
            <w:u w:val="single" w:color="auto"/>
            <w:color w:val="0000EE"/>
          </w:rPr>
          <w:t xml:space="preserve">July 12, 2021 </w:t>
        </w:r>
      </w:hyperlink>
      <w:hyperlink r:id="rId36">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38">
        <w:r>
          <w:rPr>
            <w:rFonts w:ascii="Arial" w:cs="Arial" w:eastAsia="Arial" w:hAnsi="Arial"/>
            <w:sz w:val="18"/>
            <w:szCs w:val="18"/>
            <w:u w:val="single" w:color="auto"/>
            <w:color w:val="0000EE"/>
          </w:rPr>
          <w:t>July 16, 2021</w:t>
        </w:r>
      </w:hyperlink>
      <w:hyperlink r:id="rId36">
        <w:r>
          <w:rPr>
            <w:rFonts w:ascii="Arial" w:cs="Arial" w:eastAsia="Arial" w:hAnsi="Arial"/>
            <w:sz w:val="18"/>
            <w:szCs w:val="18"/>
            <w:color w:val="000000"/>
          </w:rPr>
          <w:t>; and</w:t>
        </w:r>
      </w:hyperlink>
    </w:p>
    <w:p>
      <w:pPr>
        <w:spacing w:after="0" w:line="89" w:lineRule="exact"/>
        <w:rPr>
          <w:rFonts w:ascii="Arial" w:cs="Arial" w:eastAsia="Arial" w:hAnsi="Arial"/>
          <w:sz w:val="18"/>
          <w:szCs w:val="18"/>
          <w:color w:val="0000EE"/>
        </w:rPr>
      </w:pPr>
    </w:p>
    <w:p>
      <w:pPr>
        <w:ind w:left="1080" w:hanging="424"/>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set forth in the registration statement on </w:t>
      </w:r>
      <w:hyperlink r:id="rId39">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registering our common stock under Section 12 of the Exchange Act, which was filed with the SEC on April 25, 2013, including any amendments or reports filed for purposes of updating such description.</w:t>
      </w:r>
    </w:p>
    <w:p>
      <w:pPr>
        <w:spacing w:after="0" w:line="184" w:lineRule="exact"/>
        <w:rPr>
          <w:rFonts w:ascii="Arial" w:cs="Arial" w:eastAsia="Arial" w:hAnsi="Arial"/>
          <w:sz w:val="18"/>
          <w:szCs w:val="18"/>
          <w:color w:val="0000EE"/>
        </w:rPr>
      </w:pPr>
    </w:p>
    <w:p>
      <w:pPr>
        <w:ind w:left="120" w:right="160"/>
        <w:spacing w:after="0" w:line="257" w:lineRule="auto"/>
        <w:rPr>
          <w:sz w:val="20"/>
          <w:szCs w:val="20"/>
          <w:color w:val="auto"/>
        </w:rPr>
      </w:pPr>
      <w:r>
        <w:rPr>
          <w:rFonts w:ascii="Arial" w:cs="Arial" w:eastAsia="Arial" w:hAnsi="Arial"/>
          <w:sz w:val="18"/>
          <w:szCs w:val="18"/>
          <w:color w:val="auto"/>
        </w:rPr>
        <w:t>All documents that we file (but not those that we furnish) pursuant to Sections 13(a), 13(c), 14 or 15(d) of the Exchange Act on or after the date of this prospectus supplement but prior to the termination of the offering covered hereby shall be deemed to be incorporated by reference into this prospectus supplement and will automatically update and supersede the information in this prospectus supplement, the accompanying prospectus and any previously filed documents. References in this prospectus supplement to documents incorporated by reference shall also include documents deemed to be incorporated by reference.</w:t>
      </w:r>
    </w:p>
    <w:p>
      <w:pPr>
        <w:spacing w:after="0" w:line="188" w:lineRule="exact"/>
        <w:rPr>
          <w:rFonts w:ascii="Arial" w:cs="Arial" w:eastAsia="Arial" w:hAnsi="Arial"/>
          <w:sz w:val="18"/>
          <w:szCs w:val="18"/>
          <w:color w:val="0000EE"/>
        </w:rPr>
      </w:pPr>
    </w:p>
    <w:p>
      <w:pPr>
        <w:ind w:left="120" w:right="20"/>
        <w:spacing w:after="0" w:line="277" w:lineRule="auto"/>
        <w:rPr>
          <w:sz w:val="20"/>
          <w:szCs w:val="20"/>
          <w:color w:val="auto"/>
        </w:rPr>
      </w:pPr>
      <w:r>
        <w:rPr>
          <w:rFonts w:ascii="Arial" w:cs="Arial" w:eastAsia="Arial" w:hAnsi="Arial"/>
          <w:sz w:val="18"/>
          <w:szCs w:val="18"/>
          <w:color w:val="auto"/>
        </w:rPr>
        <w:t>Information that is “furnished” to the SEC shall not be deemed incorporated by reference into this prospectus supplement or the registration statement of which this prospectus supplement is part.</w:t>
      </w:r>
    </w:p>
    <w:p>
      <w:pPr>
        <w:spacing w:after="0" w:line="170" w:lineRule="exact"/>
        <w:rPr>
          <w:rFonts w:ascii="Arial" w:cs="Arial" w:eastAsia="Arial" w:hAnsi="Arial"/>
          <w:sz w:val="18"/>
          <w:szCs w:val="18"/>
          <w:color w:val="0000EE"/>
        </w:rPr>
      </w:pPr>
    </w:p>
    <w:p>
      <w:pPr>
        <w:ind w:left="120" w:right="20"/>
        <w:spacing w:after="0" w:line="257" w:lineRule="auto"/>
        <w:rPr>
          <w:sz w:val="20"/>
          <w:szCs w:val="20"/>
          <w:color w:val="auto"/>
        </w:rPr>
      </w:pPr>
      <w:r>
        <w:rPr>
          <w:rFonts w:ascii="Arial" w:cs="Arial" w:eastAsia="Arial" w:hAnsi="Arial"/>
          <w:sz w:val="18"/>
          <w:szCs w:val="18"/>
          <w:color w:val="auto"/>
        </w:rPr>
        <w:t>Any statement made in a document incorporated or deemed to be incorporated by reference into this prospectus supplement will be deemed to be modified or superseded for purposes of this prospectus supplement to the extent that a statement contained in this prospectus supplement, or in any other subsequently filed document that is incorporated or deemed to be incorporated by reference into this prospectus supplement, modifies or supersedes that statement. Any statement so modified or superseded will not be deemed, except as so modified or superseded, to constitute a part of this prospectus supplement.</w:t>
      </w:r>
    </w:p>
    <w:p>
      <w:pPr>
        <w:spacing w:after="0" w:line="188" w:lineRule="exact"/>
        <w:rPr>
          <w:rFonts w:ascii="Arial" w:cs="Arial" w:eastAsia="Arial" w:hAnsi="Arial"/>
          <w:sz w:val="18"/>
          <w:szCs w:val="18"/>
          <w:color w:val="0000EE"/>
        </w:rPr>
      </w:pPr>
    </w:p>
    <w:p>
      <w:pPr>
        <w:ind w:left="120" w:right="20"/>
        <w:spacing w:after="0" w:line="259" w:lineRule="auto"/>
        <w:rPr>
          <w:sz w:val="20"/>
          <w:szCs w:val="20"/>
          <w:color w:val="auto"/>
        </w:rPr>
      </w:pPr>
      <w:r>
        <w:rPr>
          <w:rFonts w:ascii="Arial" w:cs="Arial" w:eastAsia="Arial" w:hAnsi="Arial"/>
          <w:sz w:val="18"/>
          <w:szCs w:val="18"/>
          <w:color w:val="auto"/>
        </w:rPr>
        <w:t>You can obtain any of the filings incorporated by reference into this prospectus supplement through us or from the SEC through the SEC’s website at sec.gov. Upon request, we will provide, without charge, a copy of any or all of the reports and documents referred to above which have been incorporated by reference into this prospectus supplement. You should direct requests for these documents to: Tempest Therapeutics, Inc., Attn: Investor Relations, 7000 Shoreline Court; Suite 275 South San Francisco, CA 94080.</w:t>
      </w:r>
    </w:p>
    <w:p>
      <w:pPr>
        <w:spacing w:after="0" w:line="187" w:lineRule="exact"/>
        <w:rPr>
          <w:rFonts w:ascii="Arial" w:cs="Arial" w:eastAsia="Arial" w:hAnsi="Arial"/>
          <w:sz w:val="18"/>
          <w:szCs w:val="18"/>
          <w:color w:val="0000EE"/>
        </w:rPr>
      </w:pPr>
    </w:p>
    <w:p>
      <w:pPr>
        <w:ind w:left="120"/>
        <w:spacing w:after="0" w:line="301" w:lineRule="auto"/>
        <w:rPr>
          <w:sz w:val="20"/>
          <w:szCs w:val="20"/>
          <w:color w:val="auto"/>
        </w:rPr>
      </w:pPr>
      <w:r>
        <w:rPr>
          <w:rFonts w:ascii="Arial" w:cs="Arial" w:eastAsia="Arial" w:hAnsi="Arial"/>
          <w:sz w:val="16"/>
          <w:szCs w:val="16"/>
          <w:color w:val="auto"/>
        </w:rPr>
        <w:t>Our reports and documents incorporated by reference herein may also be found in the “Investor Relations” section of our website at Tempesttx.com. The content of our website and any information that is linked to or accessible from our website (other than our filings with the SEC that are incorporated by reference, as set forth under “Incorporation of Certain Documents by Reference”) is not incorporated by reference into this prospectus supplement, and you should not consider it a part of this prospectus supplement, the accompanying prospectus or the registration statement of which they are a part.</w:t>
      </w:r>
    </w:p>
    <w:p>
      <w:pPr>
        <w:spacing w:after="0" w:line="90" w:lineRule="exact"/>
        <w:rPr>
          <w:rFonts w:ascii="Arial" w:cs="Arial" w:eastAsia="Arial" w:hAnsi="Arial"/>
          <w:sz w:val="18"/>
          <w:szCs w:val="18"/>
          <w:color w:val="0000EE"/>
        </w:rPr>
      </w:pPr>
    </w:p>
    <w:p>
      <w:pPr>
        <w:jc w:val="center"/>
        <w:ind w:right="-1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94615</wp:posOffset>
            </wp:positionV>
            <wp:extent cx="1508760" cy="3600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50876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$250,000,000</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Common Stock</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Preferred Stock</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Debt Securities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Warrants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Units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Rights to Purchase Common Stock, Preferred Stock,</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Debt Securities or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156845</wp:posOffset>
            </wp:positionV>
            <wp:extent cx="1474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9" w:lineRule="exact"/>
        <w:rPr>
          <w:sz w:val="20"/>
          <w:szCs w:val="20"/>
          <w:color w:val="auto"/>
        </w:rPr>
      </w:pPr>
    </w:p>
    <w:p>
      <w:pPr>
        <w:ind w:left="120"/>
        <w:spacing w:after="0" w:line="278" w:lineRule="auto"/>
        <w:rPr>
          <w:sz w:val="20"/>
          <w:szCs w:val="20"/>
          <w:color w:val="auto"/>
        </w:rPr>
      </w:pPr>
      <w:r>
        <w:rPr>
          <w:rFonts w:ascii="Arial" w:cs="Arial" w:eastAsia="Arial" w:hAnsi="Arial"/>
          <w:sz w:val="16"/>
          <w:szCs w:val="16"/>
          <w:color w:val="auto"/>
        </w:rPr>
        <w:t>From time to time, we may offer up to $250,000,000 of any combination of the securities described in this prospectus in one or more offerings. We may also offer securities as may be issuable upon conversion, redemption, repurchase, exchange or exercise of any securities registered hereunder, including any applicable anti-dilution provisions.</w:t>
      </w:r>
    </w:p>
    <w:p>
      <w:pPr>
        <w:spacing w:after="0" w:line="76" w:lineRule="exact"/>
        <w:rPr>
          <w:sz w:val="20"/>
          <w:szCs w:val="20"/>
          <w:color w:val="auto"/>
        </w:rPr>
      </w:pPr>
    </w:p>
    <w:p>
      <w:pPr>
        <w:ind w:left="120" w:right="160"/>
        <w:spacing w:after="0" w:line="271" w:lineRule="auto"/>
        <w:rPr>
          <w:sz w:val="20"/>
          <w:szCs w:val="20"/>
          <w:color w:val="auto"/>
        </w:rPr>
      </w:pPr>
      <w:r>
        <w:rPr>
          <w:rFonts w:ascii="Arial" w:cs="Arial" w:eastAsia="Arial" w:hAnsi="Arial"/>
          <w:sz w:val="16"/>
          <w:szCs w:val="16"/>
          <w:color w:val="auto"/>
        </w:rPr>
        <w:t>This prospectus provides a general description of the securities we may offer. Each time we offer securities, we will provide specific terms of the securities offered in a supplement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spacing w:after="0" w:line="77"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We will sell these securities directly to investors, through agents designated from time to time or to or through underwriters or dealers, on a continuous or delayed basis. For additional information on the methods of sale, you should refer to the section entitled “Plan of Distribution” in this prospectus. If any agents or underwriters are involved in the sale of any securities with respect to which this prospectus is being delivered, the names of such agents or underwriters and any applicable fees, commissions, discounts or over-allotment options will be set forth in a prospectus supplement. The price to the public of such securities and the net proceeds we expect to receive from such sale will also be set forth in a prospectus supplement.</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This prospectus may not be used to consummate a sale of any securities unless accompanied by a prospectus supplement.</w:t>
      </w:r>
    </w:p>
    <w:p>
      <w:pPr>
        <w:spacing w:after="0" w:line="126"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Our common stock is traded on the Nasdaq Capital Market under the symbol “TPST.” On July 15, 2021, the last reported sale price of our common stock was $19.43 per share.</w:t>
      </w:r>
    </w:p>
    <w:p>
      <w:pPr>
        <w:spacing w:after="0" w:line="64" w:lineRule="exact"/>
        <w:rPr>
          <w:sz w:val="20"/>
          <w:szCs w:val="20"/>
          <w:color w:val="auto"/>
        </w:rPr>
      </w:pPr>
    </w:p>
    <w:p>
      <w:pPr>
        <w:ind w:left="120" w:right="260"/>
        <w:spacing w:after="0" w:line="278" w:lineRule="auto"/>
        <w:rPr>
          <w:sz w:val="20"/>
          <w:szCs w:val="20"/>
          <w:color w:val="auto"/>
        </w:rPr>
      </w:pPr>
      <w:r>
        <w:rPr>
          <w:rFonts w:ascii="Arial" w:cs="Arial" w:eastAsia="Arial" w:hAnsi="Arial"/>
          <w:sz w:val="16"/>
          <w:szCs w:val="16"/>
          <w:color w:val="auto"/>
        </w:rPr>
        <w:t>We are a “smaller reporting company” under federal securities laws and as such, have elected to comply with reduced public company reporting requirements for this prospectus and the documents incorporated by reference herein and may elect to comply with reduced public company reporting requirements in future filings. See “Summary—Implications of Being a 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131445</wp:posOffset>
            </wp:positionV>
            <wp:extent cx="14744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95" w:lineRule="exact"/>
        <w:rPr>
          <w:sz w:val="20"/>
          <w:szCs w:val="20"/>
          <w:color w:val="auto"/>
        </w:rPr>
      </w:pPr>
    </w:p>
    <w:p>
      <w:pPr>
        <w:ind w:left="120" w:right="220"/>
        <w:spacing w:after="0" w:line="281"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securities involves a high degree of risk. You should review carefully the risks and uncertainties described under the heading “</w:t>
      </w:r>
      <w:hyperlink w:anchor="page23">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contained in the applicable prospectus supplement and any related free writing prospectus, and under similar headings in the other documents that are incorporated by reference into this prospectus as described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138430</wp:posOffset>
            </wp:positionV>
            <wp:extent cx="1474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6" w:lineRule="exact"/>
        <w:rPr>
          <w:sz w:val="20"/>
          <w:szCs w:val="20"/>
          <w:color w:val="auto"/>
        </w:rPr>
      </w:pPr>
    </w:p>
    <w:p>
      <w:pPr>
        <w:jc w:val="both"/>
        <w:ind w:left="120" w:right="40"/>
        <w:spacing w:after="0" w:line="281"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130175</wp:posOffset>
            </wp:positionV>
            <wp:extent cx="14744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date of this prospectus is July 23, 2021.</w:t>
      </w:r>
    </w:p>
    <w:p>
      <w:pPr>
        <w:sectPr>
          <w:pgSz w:w="11900" w:h="16838" w:orient="portrait"/>
          <w:cols w:equalWidth="0" w:num="1">
            <w:col w:w="11120"/>
          </w:cols>
          <w:pgMar w:left="320" w:top="459" w:right="4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8740" w:type="dxa"/>
            <w:vAlign w:val="bottom"/>
            <w:gridSpan w:val="18"/>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340" w:type="dxa"/>
            <w:vAlign w:val="bottom"/>
          </w:tcPr>
          <w:p>
            <w:pPr>
              <w:spacing w:after="0"/>
              <w:rPr>
                <w:sz w:val="17"/>
                <w:szCs w:val="17"/>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20" w:type="dxa"/>
            <w:vAlign w:val="bottom"/>
            <w:gridSpan w:val="3"/>
          </w:tcPr>
          <w:p>
            <w:pPr>
              <w:ind w:left="74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620" w:type="dxa"/>
            <w:vAlign w:val="bottom"/>
            <w:gridSpan w:val="1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ABOUT THIS PROSPECTUS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64"/>
        </w:trPr>
        <w:tc>
          <w:tcPr>
            <w:tcW w:w="120" w:type="dxa"/>
            <w:vAlign w:val="bottom"/>
          </w:tcPr>
          <w:p>
            <w:pPr>
              <w:spacing w:after="0"/>
              <w:rPr>
                <w:sz w:val="22"/>
                <w:szCs w:val="22"/>
                <w:color w:val="auto"/>
              </w:rPr>
            </w:pPr>
          </w:p>
        </w:tc>
        <w:tc>
          <w:tcPr>
            <w:tcW w:w="9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7"/>
              </w:rPr>
            </w:pPr>
            <w:hyperlink w:anchor="page21">
              <w:r>
                <w:rPr>
                  <w:rFonts w:ascii="Arial" w:cs="Arial" w:eastAsia="Arial" w:hAnsi="Arial"/>
                  <w:sz w:val="18"/>
                  <w:szCs w:val="18"/>
                  <w:color w:val="0000EE"/>
                  <w:w w:val="97"/>
                </w:rPr>
                <w:t>SUMMARY</w:t>
              </w:r>
            </w:hyperlink>
          </w:p>
        </w:tc>
        <w:tc>
          <w:tcPr>
            <w:tcW w:w="1300" w:type="dxa"/>
            <w:vAlign w:val="bottom"/>
            <w:tcBorders>
              <w:top w:val="single" w:sz="8" w:color="0000EE"/>
            </w:tcBorders>
            <w:gridSpan w:val="7"/>
          </w:tcPr>
          <w:p>
            <w:pPr>
              <w:spacing w:after="0"/>
              <w:rPr>
                <w:sz w:val="22"/>
                <w:szCs w:val="22"/>
                <w:color w:val="auto"/>
              </w:rPr>
            </w:pPr>
          </w:p>
        </w:tc>
        <w:tc>
          <w:tcPr>
            <w:tcW w:w="6400" w:type="dxa"/>
            <w:vAlign w:val="bottom"/>
            <w:gridSpan w:val="8"/>
          </w:tcPr>
          <w:p>
            <w:pPr>
              <w:spacing w:after="0"/>
              <w:rPr>
                <w:sz w:val="22"/>
                <w:szCs w:val="22"/>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3"/>
        </w:trPr>
        <w:tc>
          <w:tcPr>
            <w:tcW w:w="120" w:type="dxa"/>
            <w:vAlign w:val="bottom"/>
          </w:tcPr>
          <w:p>
            <w:pPr>
              <w:spacing w:after="0"/>
              <w:rPr>
                <w:sz w:val="22"/>
                <w:szCs w:val="22"/>
                <w:color w:val="auto"/>
              </w:rPr>
            </w:pPr>
          </w:p>
        </w:tc>
        <w:tc>
          <w:tcPr>
            <w:tcW w:w="8620" w:type="dxa"/>
            <w:vAlign w:val="bottom"/>
            <w:gridSpan w:val="17"/>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8620" w:type="dxa"/>
            <w:vAlign w:val="bottom"/>
            <w:gridSpan w:val="17"/>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SPECIAL NOTE REGARDING FORWARD-LOOKING STATEMENTS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63"/>
        </w:trPr>
        <w:tc>
          <w:tcPr>
            <w:tcW w:w="120" w:type="dxa"/>
            <w:vAlign w:val="bottom"/>
          </w:tcPr>
          <w:p>
            <w:pPr>
              <w:spacing w:after="0"/>
              <w:rPr>
                <w:sz w:val="22"/>
                <w:szCs w:val="22"/>
                <w:color w:val="auto"/>
              </w:rPr>
            </w:pPr>
          </w:p>
        </w:tc>
        <w:tc>
          <w:tcPr>
            <w:tcW w:w="15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USE OF PROCEEDS</w:t>
              </w:r>
            </w:hyperlink>
          </w:p>
        </w:tc>
        <w:tc>
          <w:tcPr>
            <w:tcW w:w="3740" w:type="dxa"/>
            <w:vAlign w:val="bottom"/>
            <w:tcBorders>
              <w:top w:val="single" w:sz="8" w:color="0000EE"/>
            </w:tcBorders>
            <w:gridSpan w:val="11"/>
          </w:tcPr>
          <w:p>
            <w:pPr>
              <w:spacing w:after="0"/>
              <w:rPr>
                <w:sz w:val="22"/>
                <w:szCs w:val="22"/>
                <w:color w:val="auto"/>
              </w:rPr>
            </w:pPr>
          </w:p>
        </w:tc>
        <w:tc>
          <w:tcPr>
            <w:tcW w:w="3300" w:type="dxa"/>
            <w:vAlign w:val="bottom"/>
          </w:tcPr>
          <w:p>
            <w:pPr>
              <w:spacing w:after="0"/>
              <w:rPr>
                <w:sz w:val="22"/>
                <w:szCs w:val="22"/>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63"/>
        </w:trPr>
        <w:tc>
          <w:tcPr>
            <w:tcW w:w="120" w:type="dxa"/>
            <w:vAlign w:val="bottom"/>
          </w:tcPr>
          <w:p>
            <w:pPr>
              <w:spacing w:after="0"/>
              <w:rPr>
                <w:sz w:val="22"/>
                <w:szCs w:val="22"/>
                <w:color w:val="auto"/>
              </w:rPr>
            </w:pPr>
          </w:p>
        </w:tc>
        <w:tc>
          <w:tcPr>
            <w:tcW w:w="8620" w:type="dxa"/>
            <w:vAlign w:val="bottom"/>
            <w:gridSpan w:val="1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DESCRIPTION OF CAPITAL STOCK</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3040" w:type="dxa"/>
            <w:vAlign w:val="bottom"/>
            <w:tcBorders>
              <w:bottom w:val="single" w:sz="8" w:color="0000EE"/>
            </w:tcBorders>
            <w:gridSpan w:val="13"/>
          </w:tcPr>
          <w:p>
            <w:pPr>
              <w:spacing w:after="0"/>
              <w:rPr>
                <w:rFonts w:ascii="Arial" w:cs="Arial" w:eastAsia="Arial" w:hAnsi="Arial"/>
                <w:sz w:val="18"/>
                <w:szCs w:val="18"/>
                <w:color w:val="0000EE"/>
                <w:w w:val="94"/>
              </w:rPr>
            </w:pPr>
            <w:hyperlink w:anchor="page29">
              <w:r>
                <w:rPr>
                  <w:rFonts w:ascii="Arial" w:cs="Arial" w:eastAsia="Arial" w:hAnsi="Arial"/>
                  <w:sz w:val="18"/>
                  <w:szCs w:val="18"/>
                  <w:color w:val="0000EE"/>
                  <w:w w:val="94"/>
                </w:rPr>
                <w:t>DESCRIPTION OF DEBT SECURITIES</w:t>
              </w:r>
            </w:hyperlink>
          </w:p>
        </w:tc>
        <w:tc>
          <w:tcPr>
            <w:tcW w:w="5580" w:type="dxa"/>
            <w:vAlign w:val="bottom"/>
            <w:gridSpan w:val="4"/>
          </w:tcPr>
          <w:p>
            <w:pPr>
              <w:spacing w:after="0"/>
              <w:rPr>
                <w:sz w:val="22"/>
                <w:szCs w:val="22"/>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63"/>
        </w:trPr>
        <w:tc>
          <w:tcPr>
            <w:tcW w:w="120" w:type="dxa"/>
            <w:vAlign w:val="bottom"/>
          </w:tcPr>
          <w:p>
            <w:pPr>
              <w:spacing w:after="0"/>
              <w:rPr>
                <w:sz w:val="22"/>
                <w:szCs w:val="22"/>
                <w:color w:val="auto"/>
              </w:rPr>
            </w:pPr>
          </w:p>
        </w:tc>
        <w:tc>
          <w:tcPr>
            <w:tcW w:w="2480" w:type="dxa"/>
            <w:vAlign w:val="bottom"/>
            <w:tcBorders>
              <w:bottom w:val="single" w:sz="8" w:color="0000EE"/>
            </w:tcBorders>
            <w:gridSpan w:val="10"/>
          </w:tcPr>
          <w:p>
            <w:pPr>
              <w:spacing w:after="0"/>
              <w:rPr>
                <w:rFonts w:ascii="Arial" w:cs="Arial" w:eastAsia="Arial" w:hAnsi="Arial"/>
                <w:sz w:val="18"/>
                <w:szCs w:val="18"/>
                <w:color w:val="0000EE"/>
                <w:w w:val="94"/>
              </w:rPr>
            </w:pPr>
            <w:hyperlink w:anchor="page36">
              <w:r>
                <w:rPr>
                  <w:rFonts w:ascii="Arial" w:cs="Arial" w:eastAsia="Arial" w:hAnsi="Arial"/>
                  <w:sz w:val="18"/>
                  <w:szCs w:val="18"/>
                  <w:color w:val="0000EE"/>
                  <w:w w:val="94"/>
                </w:rPr>
                <w:t>DESCRIPTION OF WARRANTS</w:t>
              </w:r>
            </w:hyperlink>
          </w:p>
        </w:tc>
        <w:tc>
          <w:tcPr>
            <w:tcW w:w="6140" w:type="dxa"/>
            <w:vAlign w:val="bottom"/>
            <w:gridSpan w:val="7"/>
          </w:tcPr>
          <w:p>
            <w:pPr>
              <w:spacing w:after="0"/>
              <w:rPr>
                <w:sz w:val="22"/>
                <w:szCs w:val="22"/>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63"/>
        </w:trPr>
        <w:tc>
          <w:tcPr>
            <w:tcW w:w="120" w:type="dxa"/>
            <w:vAlign w:val="bottom"/>
          </w:tcPr>
          <w:p>
            <w:pPr>
              <w:spacing w:after="0"/>
              <w:rPr>
                <w:sz w:val="22"/>
                <w:szCs w:val="22"/>
                <w:color w:val="auto"/>
              </w:rPr>
            </w:pPr>
          </w:p>
        </w:tc>
        <w:tc>
          <w:tcPr>
            <w:tcW w:w="2020" w:type="dxa"/>
            <w:vAlign w:val="bottom"/>
            <w:tcBorders>
              <w:bottom w:val="single" w:sz="8" w:color="0000EE"/>
            </w:tcBorders>
            <w:gridSpan w:val="6"/>
          </w:tcPr>
          <w:p>
            <w:pPr>
              <w:spacing w:after="0"/>
              <w:rPr>
                <w:rFonts w:ascii="Arial" w:cs="Arial" w:eastAsia="Arial" w:hAnsi="Arial"/>
                <w:sz w:val="18"/>
                <w:szCs w:val="18"/>
                <w:color w:val="0000EE"/>
                <w:w w:val="94"/>
              </w:rPr>
            </w:pPr>
            <w:hyperlink w:anchor="page39">
              <w:r>
                <w:rPr>
                  <w:rFonts w:ascii="Arial" w:cs="Arial" w:eastAsia="Arial" w:hAnsi="Arial"/>
                  <w:sz w:val="18"/>
                  <w:szCs w:val="18"/>
                  <w:color w:val="0000EE"/>
                  <w:w w:val="94"/>
                </w:rPr>
                <w:t>DESCRIPTION OF UNITS</w:t>
              </w:r>
            </w:hyperlink>
          </w:p>
        </w:tc>
        <w:tc>
          <w:tcPr>
            <w:tcW w:w="6600" w:type="dxa"/>
            <w:vAlign w:val="bottom"/>
            <w:gridSpan w:val="11"/>
          </w:tcPr>
          <w:p>
            <w:pPr>
              <w:spacing w:after="0"/>
              <w:rPr>
                <w:sz w:val="22"/>
                <w:szCs w:val="22"/>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63"/>
        </w:trPr>
        <w:tc>
          <w:tcPr>
            <w:tcW w:w="120" w:type="dxa"/>
            <w:vAlign w:val="bottom"/>
          </w:tcPr>
          <w:p>
            <w:pPr>
              <w:spacing w:after="0"/>
              <w:rPr>
                <w:sz w:val="22"/>
                <w:szCs w:val="22"/>
                <w:color w:val="auto"/>
              </w:rPr>
            </w:pPr>
          </w:p>
        </w:tc>
        <w:tc>
          <w:tcPr>
            <w:tcW w:w="214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40">
              <w:r>
                <w:rPr>
                  <w:rFonts w:ascii="Arial" w:cs="Arial" w:eastAsia="Arial" w:hAnsi="Arial"/>
                  <w:sz w:val="18"/>
                  <w:szCs w:val="18"/>
                  <w:color w:val="0000EE"/>
                  <w:w w:val="93"/>
                </w:rPr>
                <w:t>DESCRIPTION OF RIGHTS</w:t>
              </w:r>
            </w:hyperlink>
          </w:p>
        </w:tc>
        <w:tc>
          <w:tcPr>
            <w:tcW w:w="6480" w:type="dxa"/>
            <w:vAlign w:val="bottom"/>
            <w:gridSpan w:val="9"/>
          </w:tcPr>
          <w:p>
            <w:pPr>
              <w:spacing w:after="0"/>
              <w:rPr>
                <w:sz w:val="22"/>
                <w:szCs w:val="22"/>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63"/>
        </w:trPr>
        <w:tc>
          <w:tcPr>
            <w:tcW w:w="120" w:type="dxa"/>
            <w:vAlign w:val="bottom"/>
          </w:tcPr>
          <w:p>
            <w:pPr>
              <w:spacing w:after="0"/>
              <w:rPr>
                <w:sz w:val="22"/>
                <w:szCs w:val="22"/>
                <w:color w:val="auto"/>
              </w:rPr>
            </w:pPr>
          </w:p>
        </w:tc>
        <w:tc>
          <w:tcPr>
            <w:tcW w:w="3020" w:type="dxa"/>
            <w:vAlign w:val="bottom"/>
            <w:tcBorders>
              <w:bottom w:val="single" w:sz="8" w:color="0000EE"/>
            </w:tcBorders>
            <w:gridSpan w:val="12"/>
          </w:tcPr>
          <w:p>
            <w:pPr>
              <w:spacing w:after="0"/>
              <w:rPr>
                <w:rFonts w:ascii="Arial" w:cs="Arial" w:eastAsia="Arial" w:hAnsi="Arial"/>
                <w:sz w:val="18"/>
                <w:szCs w:val="18"/>
                <w:color w:val="0000EE"/>
                <w:w w:val="94"/>
              </w:rPr>
            </w:pPr>
            <w:hyperlink w:anchor="page42">
              <w:r>
                <w:rPr>
                  <w:rFonts w:ascii="Arial" w:cs="Arial" w:eastAsia="Arial" w:hAnsi="Arial"/>
                  <w:sz w:val="18"/>
                  <w:szCs w:val="18"/>
                  <w:color w:val="0000EE"/>
                  <w:w w:val="94"/>
                </w:rPr>
                <w:t>LEGAL OWNERSHIP OF SECURITIES</w:t>
              </w:r>
            </w:hyperlink>
          </w:p>
        </w:tc>
        <w:tc>
          <w:tcPr>
            <w:tcW w:w="5600" w:type="dxa"/>
            <w:vAlign w:val="bottom"/>
            <w:gridSpan w:val="5"/>
          </w:tcPr>
          <w:p>
            <w:pPr>
              <w:spacing w:after="0"/>
              <w:rPr>
                <w:sz w:val="22"/>
                <w:szCs w:val="22"/>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63"/>
        </w:trPr>
        <w:tc>
          <w:tcPr>
            <w:tcW w:w="120" w:type="dxa"/>
            <w:vAlign w:val="bottom"/>
          </w:tcPr>
          <w:p>
            <w:pPr>
              <w:spacing w:after="0"/>
              <w:rPr>
                <w:sz w:val="22"/>
                <w:szCs w:val="22"/>
                <w:color w:val="auto"/>
              </w:rPr>
            </w:pPr>
          </w:p>
        </w:tc>
        <w:tc>
          <w:tcPr>
            <w:tcW w:w="8620" w:type="dxa"/>
            <w:vAlign w:val="bottom"/>
            <w:gridSpan w:val="1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PLAN OF DISTRIBUTION</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64"/>
        </w:trPr>
        <w:tc>
          <w:tcPr>
            <w:tcW w:w="120" w:type="dxa"/>
            <w:vAlign w:val="bottom"/>
          </w:tcPr>
          <w:p>
            <w:pPr>
              <w:spacing w:after="0"/>
              <w:rPr>
                <w:sz w:val="22"/>
                <w:szCs w:val="22"/>
                <w:color w:val="auto"/>
              </w:rPr>
            </w:pPr>
          </w:p>
        </w:tc>
        <w:tc>
          <w:tcPr>
            <w:tcW w:w="14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6"/>
              </w:rPr>
            </w:pPr>
            <w:hyperlink w:anchor="page48">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3"/>
          </w:tcPr>
          <w:p>
            <w:pPr>
              <w:spacing w:after="0"/>
              <w:rPr>
                <w:sz w:val="22"/>
                <w:szCs w:val="22"/>
                <w:color w:val="auto"/>
              </w:rPr>
            </w:pPr>
          </w:p>
        </w:tc>
        <w:tc>
          <w:tcPr>
            <w:tcW w:w="6580" w:type="dxa"/>
            <w:vAlign w:val="bottom"/>
            <w:gridSpan w:val="10"/>
          </w:tcPr>
          <w:p>
            <w:pPr>
              <w:spacing w:after="0"/>
              <w:rPr>
                <w:sz w:val="22"/>
                <w:szCs w:val="22"/>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63"/>
        </w:trPr>
        <w:tc>
          <w:tcPr>
            <w:tcW w:w="120" w:type="dxa"/>
            <w:vAlign w:val="bottom"/>
          </w:tcPr>
          <w:p>
            <w:pPr>
              <w:spacing w:after="0"/>
              <w:rPr>
                <w:sz w:val="22"/>
                <w:szCs w:val="22"/>
                <w:color w:val="auto"/>
              </w:rPr>
            </w:pPr>
          </w:p>
        </w:tc>
        <w:tc>
          <w:tcPr>
            <w:tcW w:w="8620" w:type="dxa"/>
            <w:vAlign w:val="bottom"/>
            <w:gridSpan w:val="1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EXPERTS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40" w:type="dxa"/>
            <w:vAlign w:val="bottom"/>
            <w:gridSpan w:val="1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8620" w:type="dxa"/>
            <w:vAlign w:val="bottom"/>
            <w:gridSpan w:val="1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WHERE YOU CAN FIND MORE INFORMATION</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120" w:type="dxa"/>
            <w:vAlign w:val="bottom"/>
          </w:tcPr>
          <w:p>
            <w:pPr>
              <w:spacing w:after="0" w:line="20" w:lineRule="exact"/>
              <w:rPr>
                <w:sz w:val="1"/>
                <w:szCs w:val="1"/>
                <w:color w:val="auto"/>
              </w:rPr>
            </w:pPr>
          </w:p>
        </w:tc>
        <w:tc>
          <w:tcPr>
            <w:tcW w:w="3800" w:type="dxa"/>
            <w:vAlign w:val="bottom"/>
            <w:gridSpan w:val="14"/>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5180" w:type="dxa"/>
            <w:vAlign w:val="bottom"/>
            <w:tcBorders>
              <w:bottom w:val="single" w:sz="8" w:color="0000EE"/>
            </w:tcBorders>
            <w:gridSpan w:val="15"/>
          </w:tcPr>
          <w:p>
            <w:pPr>
              <w:spacing w:after="0"/>
              <w:rPr>
                <w:rFonts w:ascii="Arial" w:cs="Arial" w:eastAsia="Arial" w:hAnsi="Arial"/>
                <w:sz w:val="18"/>
                <w:szCs w:val="18"/>
                <w:color w:val="0000EE"/>
                <w:w w:val="95"/>
              </w:rPr>
            </w:pPr>
            <w:hyperlink w:anchor="page49">
              <w:r>
                <w:rPr>
                  <w:rFonts w:ascii="Arial" w:cs="Arial" w:eastAsia="Arial" w:hAnsi="Arial"/>
                  <w:sz w:val="18"/>
                  <w:szCs w:val="18"/>
                  <w:color w:val="0000EE"/>
                  <w:w w:val="95"/>
                </w:rPr>
                <w:t>INCORPORATION OF CERTAIN INFORMATION BY REFERENCE</w:t>
              </w:r>
            </w:hyperlink>
          </w:p>
        </w:tc>
        <w:tc>
          <w:tcPr>
            <w:tcW w:w="3440" w:type="dxa"/>
            <w:vAlign w:val="bottom"/>
            <w:gridSpan w:val="2"/>
          </w:tcPr>
          <w:p>
            <w:pPr>
              <w:spacing w:after="0"/>
              <w:rPr>
                <w:sz w:val="22"/>
                <w:szCs w:val="22"/>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This prospectus is a part of a registration statement on Form S-3 that we filed with the Securities and Exchange Commission, or SEC, utilizing a “shelf” registration process. Under this shelf registration process, we may sell any combination of the securities described in this prospectus in one or more offerings up to a total aggregate offering price of $250,000,000. This prospectus provides you with a general description of the securities we may offer.</w:t>
      </w:r>
    </w:p>
    <w:p>
      <w:pPr>
        <w:spacing w:after="0" w:line="14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Each time we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You should read this prospectus, any applicable prospectus supplement and any related free writing prospectus, together with the information incorporated herein by reference as described under the heading “Incorporation of Certain Information by Reference,” before investing in any of the securities offered.</w:t>
      </w:r>
    </w:p>
    <w:p>
      <w:pPr>
        <w:spacing w:after="0" w:line="268" w:lineRule="exact"/>
        <w:rPr>
          <w:sz w:val="20"/>
          <w:szCs w:val="20"/>
          <w:color w:val="auto"/>
        </w:rPr>
      </w:pPr>
    </w:p>
    <w:p>
      <w:pPr>
        <w:ind w:left="120" w:right="740"/>
        <w:spacing w:after="0" w:line="282" w:lineRule="auto"/>
        <w:rPr>
          <w:sz w:val="20"/>
          <w:szCs w:val="20"/>
          <w:color w:val="auto"/>
        </w:rPr>
      </w:pPr>
      <w:r>
        <w:rPr>
          <w:rFonts w:ascii="Arial" w:cs="Arial" w:eastAsia="Arial" w:hAnsi="Arial"/>
          <w:sz w:val="18"/>
          <w:szCs w:val="18"/>
          <w:b w:val="1"/>
          <w:bCs w:val="1"/>
          <w:color w:val="auto"/>
        </w:rPr>
        <w:t>THIS PROSPECTUS MAY NOT BE USED TO CONSUMMATE A SALE OF SECURITIES UNLESS IT IS ACCOMPANIED BY A PROSPECTUS SUPPLEMENT.</w:t>
      </w:r>
    </w:p>
    <w:p>
      <w:pPr>
        <w:spacing w:after="0" w:line="58"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Neither we, nor any agent, underwriter or dealer has authorized any person to give any information or to make any representation other than those contained or incorporated by reference in this prospectus, any applicable prospectus supplement or any related free writing prospectus prepared by or on behalf of us or to which we have referred you. This prospectus, any applicable supplement to this prospectus or any related free writing prospectus do not constitute an offer to sell or the solicitation of an offer to buy any securities other than the registered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00"/>
          </w:cols>
          <w:pgMar w:left="320" w:top="446"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84"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w:t>
      </w:r>
    </w:p>
    <w:p>
      <w:pPr>
        <w:spacing w:after="0" w:line="171" w:lineRule="exact"/>
        <w:rPr>
          <w:sz w:val="20"/>
          <w:szCs w:val="20"/>
          <w:color w:val="auto"/>
        </w:rPr>
      </w:pPr>
    </w:p>
    <w:p>
      <w:pPr>
        <w:ind w:left="120" w:right="220"/>
        <w:spacing w:after="0" w:line="257" w:lineRule="auto"/>
        <w:rPr>
          <w:sz w:val="20"/>
          <w:szCs w:val="20"/>
          <w:color w:val="auto"/>
        </w:rPr>
      </w:pPr>
      <w:r>
        <w:rPr>
          <w:rFonts w:ascii="Arial" w:cs="Arial" w:eastAsia="Arial" w:hAnsi="Arial"/>
          <w:sz w:val="18"/>
          <w:szCs w:val="18"/>
          <w:color w:val="auto"/>
        </w:rPr>
        <w:t>This prospectus and the information incorporated herein by reference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200" w:lineRule="exact"/>
        <w:rPr>
          <w:sz w:val="20"/>
          <w:szCs w:val="20"/>
          <w:color w:val="auto"/>
        </w:rPr>
      </w:pPr>
    </w:p>
    <w:p>
      <w:pPr>
        <w:spacing w:after="0" w:line="28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00"/>
          </w:cols>
          <w:pgMar w:left="32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99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6998970" cy="54991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00" w:right="80"/>
        <w:spacing w:after="0" w:line="273" w:lineRule="auto"/>
        <w:rPr>
          <w:sz w:val="20"/>
          <w:szCs w:val="20"/>
          <w:color w:val="auto"/>
        </w:rPr>
      </w:pPr>
      <w:r>
        <w:rPr>
          <w:rFonts w:ascii="Arial" w:cs="Arial" w:eastAsia="Arial" w:hAnsi="Arial"/>
          <w:sz w:val="17"/>
          <w:szCs w:val="17"/>
          <w:color w:val="auto"/>
        </w:rPr>
        <w:t>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178" w:lineRule="exact"/>
        <w:rPr>
          <w:sz w:val="20"/>
          <w:szCs w:val="20"/>
          <w:color w:val="auto"/>
        </w:rPr>
      </w:pPr>
    </w:p>
    <w:p>
      <w:pPr>
        <w:ind w:left="300" w:right="120"/>
        <w:spacing w:after="0" w:line="273" w:lineRule="auto"/>
        <w:rPr>
          <w:sz w:val="20"/>
          <w:szCs w:val="20"/>
          <w:color w:val="auto"/>
        </w:rPr>
      </w:pPr>
      <w:r>
        <w:rPr>
          <w:rFonts w:ascii="Arial" w:cs="Arial" w:eastAsia="Arial" w:hAnsi="Arial"/>
          <w:sz w:val="17"/>
          <w:szCs w:val="17"/>
          <w:color w:val="auto"/>
        </w:rPr>
        <w:t xml:space="preserve">Unless the context indicates otherwise, as used in this prospectus, unless the context otherwise requires, references to “we,” “us,” “our,” “the company” and “Tempest Therapeutics” refer to Tempest Therapeutics, Inc, formerly known as “Millendo Therapeutics, Inc.”, and its subsidiaries. We own various U.S. federal trademark applications and unregistered trademarks, including our company name. All other trademarks or trade names referred to in this prospectus are the property of their respective owners. Solely for convenience, the trademarks and trade names in this prospectus are referred to without the symbols </w:t>
      </w:r>
      <w:r>
        <w:rPr>
          <w:rFonts w:ascii="Arial" w:cs="Arial" w:eastAsia="Arial" w:hAnsi="Arial"/>
          <w:sz w:val="14"/>
          <w:szCs w:val="14"/>
          <w:color w:val="auto"/>
        </w:rPr>
        <w:t>®</w:t>
      </w:r>
      <w:r>
        <w:rPr>
          <w:rFonts w:ascii="Arial" w:cs="Arial" w:eastAsia="Arial" w:hAnsi="Arial"/>
          <w:sz w:val="17"/>
          <w:szCs w:val="17"/>
          <w:color w:val="auto"/>
        </w:rPr>
        <w:t xml:space="preserve"> and </w:t>
      </w:r>
      <w:r>
        <w:rPr>
          <w:rFonts w:ascii="Arial" w:cs="Arial" w:eastAsia="Arial" w:hAnsi="Arial"/>
          <w:sz w:val="14"/>
          <w:szCs w:val="14"/>
          <w:color w:val="auto"/>
        </w:rPr>
        <w:t>™</w:t>
      </w:r>
      <w:r>
        <w:rPr>
          <w:rFonts w:ascii="Arial" w:cs="Arial" w:eastAsia="Arial" w:hAnsi="Arial"/>
          <w:sz w:val="17"/>
          <w:szCs w:val="17"/>
          <w:color w:val="auto"/>
        </w:rPr>
        <w:t>, but such references should not be construed as any indication that their respective owners will not assert, to the fullest extent under applicable law, their rights thereto.</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300"/>
        <w:spacing w:after="0" w:line="287" w:lineRule="auto"/>
        <w:rPr>
          <w:sz w:val="20"/>
          <w:szCs w:val="20"/>
          <w:color w:val="auto"/>
        </w:rPr>
      </w:pPr>
      <w:r>
        <w:rPr>
          <w:rFonts w:ascii="Arial" w:cs="Arial" w:eastAsia="Arial" w:hAnsi="Arial"/>
          <w:sz w:val="16"/>
          <w:szCs w:val="16"/>
          <w:color w:val="auto"/>
        </w:rPr>
        <w:t>We are a clinical-stage oncology company focused on leveraging our deep scientific understanding of cancer biology and medicinal chemistry to develop and advance novel, orally available therapies for the treatment of solid tumors. Our philosophy is to build a company based upon not only creative science and thoughtful management, but also upon the efficient translation of those ideas into therapies that will improve patient’s lives. To this end, we are advancing TPST-1495 and TPST-1120, two product candidates in clinical trials that we believe are the first clinical stage molecules designed to treat their respective targets; and a third program in preclinical studies that could be the first to target TREX-1, a key cellular enzyme that regulates the innate immune response in tumors. TPST-1495 is a dual antagonist of EP2 and EP4, receptors of prostaglandin E2, and is currently in a Phase 1 trial in solid tumors. Our second program, TPST-1120, is a selective antagonist of peroxisome proliferator-activated receptor alpha, or PPARα, and is also in a Phase 1 trial in solid tumors. We expect to report initial data from both these programs in the first half of 2022. Additionally, we are advancing a third program targeting the three prime repair exonuclease, or TREX-1, for which we expect to select a development candidate in the first half of 2022. Beyond these three ongoing programs, we plan to leverage our drug development and company-building experience, along with academic relationships to identify promising new targets that may feed new programs into our pipeline.</w:t>
      </w:r>
    </w:p>
    <w:p>
      <w:pPr>
        <w:spacing w:after="0" w:line="27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 Smaller Reporting Company</w:t>
      </w:r>
    </w:p>
    <w:p>
      <w:pPr>
        <w:spacing w:after="0" w:line="121" w:lineRule="exact"/>
        <w:rPr>
          <w:sz w:val="20"/>
          <w:szCs w:val="20"/>
          <w:color w:val="auto"/>
        </w:rPr>
      </w:pPr>
    </w:p>
    <w:p>
      <w:pPr>
        <w:ind w:left="300" w:right="140"/>
        <w:spacing w:after="0" w:line="255" w:lineRule="auto"/>
        <w:rPr>
          <w:sz w:val="20"/>
          <w:szCs w:val="20"/>
          <w:color w:val="auto"/>
        </w:rPr>
      </w:pPr>
      <w:r>
        <w:rPr>
          <w:rFonts w:ascii="Arial" w:cs="Arial" w:eastAsia="Arial" w:hAnsi="Arial"/>
          <w:sz w:val="18"/>
          <w:szCs w:val="18"/>
          <w:color w:val="auto"/>
        </w:rPr>
        <w:t>We are a “smaller reporting company” as defined in the Securities Exchange Act of 1934 (the “Exchange Act”). As a smaller reporting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38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441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6998970" cy="34417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300" w:right="60"/>
        <w:spacing w:after="0" w:line="255" w:lineRule="auto"/>
        <w:rPr>
          <w:sz w:val="20"/>
          <w:szCs w:val="20"/>
          <w:color w:val="auto"/>
        </w:rPr>
      </w:pPr>
      <w:r>
        <w:rPr>
          <w:rFonts w:ascii="Arial" w:cs="Arial" w:eastAsia="Arial" w:hAnsi="Arial"/>
          <w:sz w:val="18"/>
          <w:szCs w:val="18"/>
          <w:color w:val="auto"/>
        </w:rPr>
        <w:t>We were incorporated under the laws of the State of Delaware in April 2011 under the name “Ovastem, Inc.” and changed our name to “OvaScience, Inc.” (“OvaScience”) in May 2011. On December 7, 2018, we completed a reverse merger with what was then known as “Millendo Therapeutics, Inc.” (“Private Millendo”), pursuant to which, among other matters, Orion Merger Sub, Inc., a Delaware corporation and a wholly owned subsidiary of OvaScience, merged with and into Private Millendo, with Private Millendo continuing as a wholly owned subsidiary of OvaScience and the surviving corporation of the merger (the “Millendo Merger”). Immediately following the Millendo Merger, we changed our name from “Ovascience, Inc” to “Millendo Therapeutics, Inc.”</w:t>
      </w:r>
    </w:p>
    <w:p>
      <w:pPr>
        <w:spacing w:after="0" w:line="192" w:lineRule="exact"/>
        <w:rPr>
          <w:sz w:val="20"/>
          <w:szCs w:val="20"/>
          <w:color w:val="auto"/>
        </w:rPr>
      </w:pPr>
    </w:p>
    <w:p>
      <w:pPr>
        <w:ind w:left="300"/>
        <w:spacing w:after="0" w:line="272" w:lineRule="auto"/>
        <w:rPr>
          <w:sz w:val="20"/>
          <w:szCs w:val="20"/>
          <w:color w:val="auto"/>
        </w:rPr>
      </w:pPr>
      <w:r>
        <w:rPr>
          <w:rFonts w:ascii="Arial" w:cs="Arial" w:eastAsia="Arial" w:hAnsi="Arial"/>
          <w:sz w:val="17"/>
          <w:szCs w:val="17"/>
          <w:color w:val="auto"/>
        </w:rPr>
        <w:t>On June 25, 2021, we completed a merger with TempestTx, Inc. (formerly Tempest Therapeutics, Inc.) (“Private Tempest”) in accordance with the terms of the Agreement and Plan of Merger, dated as of March 29, 2021 (the “Merger Agreement”), by and among us, Private Tempest and Mars Merger Corp., a Delaware corporation and our wholly owned subsidiary (“Merger Sub”), pursuant to which, among other matters, Merger Sub merged with and into Private Tempest, with Private Tempest continuing as our wholly owned subsidiary and the surviving corporation of the merger (the “Merger”). On June 25, 2021, we effected a 1-for-15 reverse stock split of our common stock (the “Reverse Stock Split”), completed the Merger, and changed our name to “Tempest Therapeutics, Inc.” Following the completion of the Merger, the business conducted by us became primarily the business conducted by Private Tempest.</w:t>
      </w:r>
    </w:p>
    <w:p>
      <w:pPr>
        <w:spacing w:after="0" w:line="177" w:lineRule="exact"/>
        <w:rPr>
          <w:sz w:val="20"/>
          <w:szCs w:val="20"/>
          <w:color w:val="auto"/>
        </w:rPr>
      </w:pPr>
    </w:p>
    <w:p>
      <w:pPr>
        <w:jc w:val="both"/>
        <w:ind w:left="300" w:right="160"/>
        <w:spacing w:after="0" w:line="342" w:lineRule="auto"/>
        <w:rPr>
          <w:sz w:val="20"/>
          <w:szCs w:val="20"/>
          <w:color w:val="auto"/>
        </w:rPr>
      </w:pPr>
      <w:r>
        <w:rPr>
          <w:rFonts w:ascii="Arial" w:cs="Arial" w:eastAsia="Arial" w:hAnsi="Arial"/>
          <w:sz w:val="16"/>
          <w:szCs w:val="16"/>
          <w:color w:val="auto"/>
        </w:rPr>
        <w:t>Our shares of common stock are listed on The Nasdaq Capital Market, previously trading through the close of business on Friday, June 25, 2021 under the ticker symbol “MLND,” and trading on post-Reverse Stock Split adjusted basis, under the ticker symbol “TPST,” since June 28, 2021.</w:t>
      </w:r>
    </w:p>
    <w:p>
      <w:pPr>
        <w:spacing w:after="0" w:line="124" w:lineRule="exact"/>
        <w:rPr>
          <w:sz w:val="20"/>
          <w:szCs w:val="20"/>
          <w:color w:val="auto"/>
        </w:rPr>
      </w:pPr>
    </w:p>
    <w:p>
      <w:pPr>
        <w:ind w:left="300" w:right="20"/>
        <w:spacing w:after="0" w:line="263" w:lineRule="auto"/>
        <w:rPr>
          <w:sz w:val="20"/>
          <w:szCs w:val="20"/>
          <w:color w:val="auto"/>
        </w:rPr>
      </w:pPr>
      <w:r>
        <w:rPr>
          <w:rFonts w:ascii="Arial" w:cs="Arial" w:eastAsia="Arial" w:hAnsi="Arial"/>
          <w:sz w:val="18"/>
          <w:szCs w:val="18"/>
          <w:color w:val="auto"/>
        </w:rPr>
        <w:t>Our principal executive offices are located at 7000 Shoreline Court; Suite 275 South San Francisco, CA 94080, and our telephone number is (415) 798-8589. Our website is located at http://www.Tempesttx.com. We do not incorporate by reference into this prospectus the information on, or accessible through, our website, and you should not consider it as part of this prospectus.</w:t>
      </w:r>
    </w:p>
    <w:p>
      <w:pPr>
        <w:spacing w:after="0" w:line="37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60"/>
          </w:cols>
          <w:pgMar w:left="320" w:top="459" w:right="7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Investing in our securities involves a high degree of risk. You should carefully review the risks and uncertainties described under the heading “Risk Factors” contained in the applicable prospectus supplement and any related free writing prospectus, and under similar headings in our Annual Report on Form 10-K, as updated by any subsequently filed periodic reports and other documents that are incorporated by reference into this prospectus, including the Current Report on Form 8-K filed on July 16, 2021, before deciding whether to purchase any of the securities being registered pursuant to the registration statement of which this prospectus is a part. Each of the risk factors described in the documents referenced above could adversely affect our business, operating results and financial condition,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w:t>
      </w:r>
    </w:p>
    <w:p>
      <w:pPr>
        <w:spacing w:after="0" w:line="39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This prospectus, each prospectus supplement and the information incorporated by reference in this prospectus and each prospectus supplement contains and may contain certain statements that constitute “forward-looking statements” within the meaning of Section 27A of the Securities Act of 1933 and Section 21E of the Exchange Act. The words “may,” “might,” “can,” “will,” “to be,” “could,” “would,” “should,” “expect,” “intend,” “plan,” “objective,” “anticipate,” “believe,” “estimate,” “predict,” “project,” “potential,” “likely,” “continue” and “ongoing,” or the negative of these terms, or other comparable terminology are intended to identify forward-looking statements, but are not the exclusive means of identifying such statements. Those statements appear in this prospectus, any accompanying prospectus supplement and the documents incorporated herein and therein by reference, particularly in the sections entitled “The Company,” “Risk Factors,” “Management’s Discussion and Analysis of Financial Condition and Results of Operations” and “Business,” and include statements regarding the intent, belief or current expectations of the Company and management that are subject to known and unknown risks, uncertainties and assumptions.</w:t>
      </w:r>
    </w:p>
    <w:p>
      <w:pPr>
        <w:spacing w:after="0" w:line="181" w:lineRule="exact"/>
        <w:rPr>
          <w:sz w:val="20"/>
          <w:szCs w:val="20"/>
          <w:color w:val="auto"/>
        </w:rPr>
      </w:pPr>
    </w:p>
    <w:p>
      <w:pPr>
        <w:ind w:left="120" w:right="540"/>
        <w:spacing w:after="0" w:line="259" w:lineRule="auto"/>
        <w:rPr>
          <w:sz w:val="20"/>
          <w:szCs w:val="20"/>
          <w:color w:val="auto"/>
        </w:rPr>
      </w:pPr>
      <w:r>
        <w:rPr>
          <w:rFonts w:ascii="Arial" w:cs="Arial" w:eastAsia="Arial" w:hAnsi="Arial"/>
          <w:sz w:val="18"/>
          <w:szCs w:val="18"/>
          <w:color w:val="auto"/>
        </w:rPr>
        <w:t>This prospectus, any prospectus supplement and the information incorporated by reference in this prospectus and any prospectus supplement also contain statements that are based on the current expectations of our company and management.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87"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The risks, uncertainties and assumptions that could cause actual results to differ materially from those anticipated or implied in our forward-looking statements include, but are not limited to, those set forth above under the section entitled “Risk Factors” and in the applicable prospectus supplement, together with all of the other information contained in or incorporated by reference into the prospectus supplement or appearing or incorporated by reference into this prospectus.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We will retain broad discretion over the use of the net proceeds from the sale of the securities offered hereby. Except as described in any applicable prospectus supplement or in any free writing prospectuses that we may authorize to be provided to you in connection with a specific offering, we currently intend to use the net proceeds from the sale of the securities offered hereby for working capital, capital expenditures and general corporate purposes. We may also use a portion of the net proceeds to invest in or acquire businesses or technologies that we believe are complementary to our own, although we have no current plans, commitments or agreements with respect to any acquisitions as of the date of this prospectus. We will set forth in the applicable prospectus supplement or free writing prospectus our intended use for the net proceeds received from the sale of any securities sold pursuant to the prospectus supplement or free writing prospectus. Pending these uses, we intend to invest the net proceeds in investment-grade, interest-bearing securities.</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320" w:top="459" w:right="5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i w:val="1"/>
          <w:iCs w:val="1"/>
          <w:color w:val="auto"/>
        </w:rPr>
        <w:t>The following description is a general summary of the terms of the shares of common stock or shares of preferred stock that we may issue. The description below and in any prospectus supplement does not include all of the terms of the shares of common stock or shares of preferred stock and should be read together with our amended and restated certificate of incorporation and amended and restated bylaws. This description also summarizes relevant provisions of the General Corporation Law of the State of Delaware, or “DGCL.” Therefore, please carefully consider the actual provisions of the amended and restated certificate of incorporation and amended and restated bylaws, which have been filed with the SEC as exhibits to the registration statement of which this prospectus forms a part, and the DGCL.</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Our restated certificate authorizes us to issue up to 100,000,000 shares of common stock, $0.001 par value per share, and 5,000,000 shares of preferred stock, $0.001 par value per share, all of which shares of preferred stock are undesignated. Our board of directors may establish the rights and preferences of the preferred stock from time to time.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Holders of common stock are entitled to receive proportionately any dividends as may be declared by our board of directors, subject to any preferential dividend rights of any series of preferred stock that we may designate and issue in the future.</w:t>
      </w:r>
    </w:p>
    <w:p>
      <w:pPr>
        <w:spacing w:after="0" w:line="171"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 The rights, preferences and privileges of holders of common stock are subject to and may be adversely affected by the rights of the holders of shares of any series of preferred stock that we may designate and issue in the future.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Our board of directors may, without further action by our stockholders, from time to time, direct the issuance of shares of up to 5,000,000 shares of preferred stock in series and may, at the time of issuance,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181"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Our board of directors will fix the designations, voting powers, preferences and rights of each series, as well as the qualifications, limitations or restrictions thereof, of the preferred stock of each series that we offer under this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prospectus and applicable prospectus supplements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we are offering before the issuance of that series of preferred stock. This description will include:</w:t>
      </w:r>
    </w:p>
    <w:p>
      <w:pPr>
        <w:spacing w:after="0" w:line="92"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shares we are offering;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liquidation preference per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purchase price per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dividend rate per share, dividend period and payment dates and method of calculation for dividends;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right, if any, to defer payment of dividends and the maximum length of any such deferral period;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provisions for redemption or repurchase, if applicable, and any restrictions on our ability to exercise those redemption and repurchase rights;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or other securities of ours, including depositary shares and warrants, and, if applicable, the conversion period, the conversion price, or how it will be calculated, and under what circumstances it may be adjusted;</w:t>
      </w:r>
    </w:p>
    <w:p>
      <w:pPr>
        <w:spacing w:after="0" w:line="89"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period, the exchange price, or how it will be calculated, and under what circumstances it may be adjusted;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preemption rights,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interests in the preferred stock will be represented by depositary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discussion of any material or special U.S. federal income tax considerations applicable to the preferred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relative ranking and preferences of the preferred stock as to dividend rights and rights if we liquidate, dissolve or wind up our affairs;</w:t>
      </w:r>
    </w:p>
    <w:p>
      <w:pPr>
        <w:spacing w:after="0" w:line="153" w:lineRule="exact"/>
        <w:rPr>
          <w:rFonts w:ascii="Arial" w:cs="Arial" w:eastAsia="Arial" w:hAnsi="Arial"/>
          <w:sz w:val="16"/>
          <w:szCs w:val="16"/>
          <w:color w:val="auto"/>
        </w:rPr>
      </w:pPr>
    </w:p>
    <w:p>
      <w:pPr>
        <w:ind w:left="1080" w:right="2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limitations on issuances of any class or series of preferred stock ranking senior to or on a parity with the series of preferred stock being issued as to dividend rights and rights if we liquidate, dissolve or wind up our affairs;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specific terms, rights, preferences, privileges, qualifications or restrictions of the preferred stock.</w:t>
      </w:r>
    </w:p>
    <w:p>
      <w:pPr>
        <w:spacing w:after="0" w:line="22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General Corporation Law of the State of Delaware, or DGCL, the state of our incorporation, provides that the holders of preferred stock will have the right to vote separately as a class (or, in some cases, as a series) on an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amendment to our certificate of incorporation if the amendment would change the par value or, unless the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17" w:lineRule="exact"/>
        <w:rPr>
          <w:sz w:val="20"/>
          <w:szCs w:val="20"/>
          <w:color w:val="auto"/>
        </w:rPr>
      </w:pPr>
    </w:p>
    <w:p>
      <w:pPr>
        <w:ind w:left="120" w:right="320"/>
        <w:spacing w:after="0" w:line="342" w:lineRule="auto"/>
        <w:rPr>
          <w:sz w:val="20"/>
          <w:szCs w:val="20"/>
          <w:color w:val="auto"/>
        </w:rPr>
      </w:pPr>
      <w:r>
        <w:rPr>
          <w:rFonts w:ascii="Arial" w:cs="Arial" w:eastAsia="Arial" w:hAnsi="Arial"/>
          <w:sz w:val="16"/>
          <w:szCs w:val="16"/>
          <w:color w:val="auto"/>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29" w:lineRule="exact"/>
        <w:rPr>
          <w:sz w:val="20"/>
          <w:szCs w:val="20"/>
          <w:color w:val="auto"/>
        </w:rPr>
      </w:pPr>
    </w:p>
    <w:p>
      <w:pPr>
        <w:ind w:left="1080" w:right="18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75" w:lineRule="exact"/>
        <w:rPr>
          <w:rFonts w:ascii="Arial" w:cs="Arial" w:eastAsia="Arial" w:hAnsi="Arial"/>
          <w:sz w:val="18"/>
          <w:szCs w:val="18"/>
          <w:color w:val="auto"/>
        </w:rPr>
      </w:pPr>
    </w:p>
    <w:p>
      <w:pPr>
        <w:ind w:left="1080" w:right="40" w:hanging="424"/>
        <w:spacing w:after="0" w:line="275" w:lineRule="auto"/>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81" w:lineRule="exact"/>
        <w:rPr>
          <w:rFonts w:ascii="Arial" w:cs="Arial" w:eastAsia="Arial" w:hAnsi="Arial"/>
          <w:sz w:val="17"/>
          <w:szCs w:val="17"/>
          <w:color w:val="auto"/>
        </w:rPr>
      </w:pPr>
    </w:p>
    <w:p>
      <w:pPr>
        <w:ind w:left="1080" w:right="20" w:hanging="424"/>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w:t>
      </w:r>
      <w:r>
        <w:rPr>
          <w:rFonts w:ascii="Arial" w:cs="Arial" w:eastAsia="Arial" w:hAnsi="Arial"/>
          <w:sz w:val="15"/>
          <w:szCs w:val="15"/>
          <w:color w:val="auto"/>
        </w:rPr>
        <w:t>2</w:t>
      </w:r>
      <w:r>
        <w:rPr>
          <w:rFonts w:ascii="Arial" w:cs="Arial" w:eastAsia="Arial" w:hAnsi="Arial"/>
          <w:sz w:val="18"/>
          <w:szCs w:val="18"/>
          <w:color w:val="auto"/>
        </w:rPr>
        <w:t>/3% of the outstanding voting stock that is not owned by the interested stockholder.</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general, Section 203 defines a “business combination” to include the following:</w:t>
      </w:r>
    </w:p>
    <w:p>
      <w:pPr>
        <w:spacing w:after="0" w:line="131"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142"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70"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Staggered Board</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Our restated certificate and by-laws divide our board of directors into three classes with staggered three year terms. In addition, our restated certificate and by-laws provide that directors may be removed only for cause and only by the affirmative vote of the holders of 75% of our shares of capital stock present in person or by proxy and entitled to vote. Under our restated certificate and by-laws, any vacancy on our board of directors, including a vacancy resulting from an enlargement of our board of directors, may be filled only by vote of a majority of our</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directors then in office. Furthermore, our restated certificate provides that the authorized number of directors may be changed only by the resolution of our board of directors, subject to the rights of any holders of preferred stock to elect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us.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17"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The authorized but unissued shares of common stock and preferred stock are available for future issuance without stockholder approval, subject to any limitations imposed by the listing standards of any exchange on which our shares are listed.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Special Meeting of Stockholders; Advance Notice Requirements for Stockholder Proposals and Director Nominations; Stockholder Action</w:t>
      </w:r>
    </w:p>
    <w:p>
      <w:pPr>
        <w:spacing w:after="0" w:line="140"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Our restated certificate provides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Super Majority Voting</w:t>
      </w:r>
    </w:p>
    <w:p>
      <w:pPr>
        <w:spacing w:after="0" w:line="117" w:lineRule="exact"/>
        <w:rPr>
          <w:sz w:val="20"/>
          <w:szCs w:val="20"/>
          <w:color w:val="auto"/>
        </w:rPr>
      </w:pPr>
    </w:p>
    <w:p>
      <w:pPr>
        <w:ind w:left="120" w:right="160"/>
        <w:spacing w:after="0" w:line="273" w:lineRule="auto"/>
        <w:rPr>
          <w:sz w:val="20"/>
          <w:szCs w:val="20"/>
          <w:color w:val="auto"/>
        </w:rPr>
      </w:pPr>
      <w:r>
        <w:rPr>
          <w:rFonts w:ascii="Arial" w:cs="Arial" w:eastAsia="Arial" w:hAnsi="Arial"/>
          <w:sz w:val="17"/>
          <w:szCs w:val="17"/>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 a greater percentage. Our by-laws may be amended or repealed by a majority vote of our board of directors or the affirmative vote of the holders of at least 75% of the votes that all of our stockholders would be entitled to cast in any election of directors. In addition, the affirmative vote of the holders of at least 75% of the votes that all of our stockholders would be entitled to cast in any election of directors is required to amend or repeal or to adopt any provisions inconsistent with certain of the provisions of our restated certificate.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transfer agent and registrar for our common stock is Computershare Trust Company, N.A., with offices at 250 Royall Street, Canton, Massachusetts 02021. The transfer agent for any series of preferred stock that we may offer under this prospectus will be named and described in the prospectus supplement for that series.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 on Nasdaq</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is listed on the Nasdaq Capital Market under the symbol “TPST.”</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6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8"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describe in the applicable prospectus supplement the terms of the series of debt securities being offered, including:</w:t>
      </w:r>
    </w:p>
    <w:p>
      <w:pPr>
        <w:spacing w:after="0" w:line="131"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title of the series of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limit upon the aggregate principal amount that may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maturity date or 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form of the debt securities of the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applicability of any guarantees;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debt securities rank as senior debt, senior subordinated debt, subordinated debt or any combination thereof, and the terms of any subordination;</w:t>
      </w:r>
    </w:p>
    <w:p>
      <w:pPr>
        <w:spacing w:after="0" w:line="75" w:lineRule="exact"/>
        <w:rPr>
          <w:rFonts w:ascii="Arial" w:cs="Arial" w:eastAsia="Arial" w:hAnsi="Arial"/>
          <w:sz w:val="18"/>
          <w:szCs w:val="18"/>
          <w:color w:val="auto"/>
        </w:rPr>
      </w:pPr>
    </w:p>
    <w:p>
      <w:pPr>
        <w:ind w:left="1080" w:right="120" w:hanging="424"/>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60" w:hanging="424"/>
        <w:spacing w:after="0" w:line="342"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130"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89"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89"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denominations in which we will issue the series of debt securities, if other than denominations of $1,000 and any integral multiple thereof;</w:t>
      </w:r>
    </w:p>
    <w:p>
      <w:pPr>
        <w:spacing w:after="0" w:line="75" w:lineRule="exact"/>
        <w:rPr>
          <w:rFonts w:ascii="Arial" w:cs="Arial" w:eastAsia="Arial" w:hAnsi="Arial"/>
          <w:sz w:val="18"/>
          <w:szCs w:val="18"/>
          <w:color w:val="auto"/>
        </w:rPr>
      </w:pPr>
    </w:p>
    <w:p>
      <w:pPr>
        <w:ind w:left="1080" w:right="460" w:hanging="424"/>
        <w:spacing w:after="0" w:line="26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debt securities of the series shall be issued in whole or in part in the form of a global security or securities;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terms and conditions, if any, upon which such global security or securities may be exchanged in whole or in part for other individual securities;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depositary for such global security or securities;</w:t>
      </w:r>
    </w:p>
    <w:p>
      <w:pPr>
        <w:spacing w:after="0" w:line="130" w:lineRule="exact"/>
        <w:rPr>
          <w:rFonts w:ascii="Arial" w:cs="Arial" w:eastAsia="Arial" w:hAnsi="Arial"/>
          <w:sz w:val="18"/>
          <w:szCs w:val="18"/>
          <w:color w:val="auto"/>
        </w:rPr>
      </w:pPr>
    </w:p>
    <w:p>
      <w:pPr>
        <w:ind w:left="1080" w:hanging="424"/>
        <w:spacing w:after="0" w:line="279" w:lineRule="auto"/>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76" w:lineRule="exact"/>
        <w:rPr>
          <w:rFonts w:ascii="Arial" w:cs="Arial" w:eastAsia="Arial" w:hAnsi="Arial"/>
          <w:sz w:val="17"/>
          <w:szCs w:val="17"/>
          <w:color w:val="auto"/>
        </w:rPr>
      </w:pPr>
    </w:p>
    <w:p>
      <w:pPr>
        <w:ind w:left="1080" w:right="28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75" w:lineRule="exact"/>
        <w:rPr>
          <w:rFonts w:ascii="Arial" w:cs="Arial" w:eastAsia="Arial" w:hAnsi="Arial"/>
          <w:sz w:val="18"/>
          <w:szCs w:val="18"/>
          <w:color w:val="auto"/>
        </w:rPr>
      </w:pPr>
    </w:p>
    <w:p>
      <w:pPr>
        <w:ind w:left="1080" w:right="102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additions to or changes in the covenants applicable to the particular debt securities being issued, including, among others, the consolidation, merger or sale covenant;</w:t>
      </w:r>
    </w:p>
    <w:p>
      <w:pPr>
        <w:spacing w:after="0" w:line="75" w:lineRule="exact"/>
        <w:rPr>
          <w:rFonts w:ascii="Arial" w:cs="Arial" w:eastAsia="Arial" w:hAnsi="Arial"/>
          <w:sz w:val="18"/>
          <w:szCs w:val="18"/>
          <w:color w:val="auto"/>
        </w:rPr>
      </w:pPr>
    </w:p>
    <w:p>
      <w:pPr>
        <w:ind w:left="1080" w:right="380" w:hanging="424"/>
        <w:spacing w:after="0" w:line="308" w:lineRule="auto"/>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additions to or changes in or deletions of the provisions relating to covenant defeasance and legal defeasance;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additions to or changes in the provisions relating to satisfaction and discharge of the indenture;</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additions to or changes in the provisions relating to the modification of the indenture both with and without the consent of holders of debt securities issued under the indenture;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currency of payment of debt securities if other than U.S. dollars and the manner of determining the equivalent amount in U.S. dollars;</w:t>
      </w:r>
    </w:p>
    <w:p>
      <w:pPr>
        <w:spacing w:after="0" w:line="153" w:lineRule="exact"/>
        <w:rPr>
          <w:rFonts w:ascii="Arial" w:cs="Arial" w:eastAsia="Arial" w:hAnsi="Arial"/>
          <w:sz w:val="16"/>
          <w:szCs w:val="16"/>
          <w:color w:val="auto"/>
        </w:rPr>
      </w:pPr>
    </w:p>
    <w:p>
      <w:pPr>
        <w:ind w:left="1080" w:right="8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interest will be payable in cash or additional debt securities at our or the holders’ option and the terms and conditions upon which the election may be made;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00" w:hanging="424"/>
        <w:spacing w:after="0" w:line="308" w:lineRule="auto"/>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restrictions on transfer, sale or assignment of the debt securities of the series; and</w:t>
      </w:r>
    </w:p>
    <w:p>
      <w:pPr>
        <w:spacing w:after="0" w:line="130" w:lineRule="exact"/>
        <w:rPr>
          <w:rFonts w:ascii="Arial" w:cs="Arial" w:eastAsia="Arial" w:hAnsi="Arial"/>
          <w:sz w:val="18"/>
          <w:szCs w:val="18"/>
          <w:color w:val="auto"/>
        </w:rPr>
      </w:pPr>
    </w:p>
    <w:p>
      <w:pPr>
        <w:ind w:left="1080" w:right="240" w:hanging="424"/>
        <w:spacing w:after="0" w:line="308" w:lineRule="auto"/>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 or Exchange Rights</w:t>
      </w:r>
    </w:p>
    <w:p>
      <w:pPr>
        <w:spacing w:after="0" w:line="121" w:lineRule="exact"/>
        <w:rPr>
          <w:sz w:val="20"/>
          <w:szCs w:val="20"/>
          <w:color w:val="auto"/>
        </w:rPr>
      </w:pPr>
    </w:p>
    <w:p>
      <w:pPr>
        <w:jc w:val="both"/>
        <w:ind w:left="120" w:right="100"/>
        <w:spacing w:after="0" w:line="279" w:lineRule="auto"/>
        <w:rPr>
          <w:sz w:val="20"/>
          <w:szCs w:val="20"/>
          <w:color w:val="auto"/>
        </w:rPr>
      </w:pPr>
      <w:r>
        <w:rPr>
          <w:rFonts w:ascii="Arial" w:cs="Arial" w:eastAsia="Arial" w:hAnsi="Arial"/>
          <w:sz w:val="17"/>
          <w:szCs w:val="17"/>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or Sale</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76" w:lineRule="exact"/>
        <w:rPr>
          <w:sz w:val="20"/>
          <w:szCs w:val="20"/>
          <w:color w:val="auto"/>
        </w:rPr>
      </w:pPr>
    </w:p>
    <w:p>
      <w:pPr>
        <w:jc w:val="both"/>
        <w:ind w:left="1080" w:right="80" w:hanging="424"/>
        <w:spacing w:after="0" w:line="311"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54" w:lineRule="exact"/>
        <w:rPr>
          <w:rFonts w:ascii="Arial" w:cs="Arial" w:eastAsia="Arial" w:hAnsi="Arial"/>
          <w:sz w:val="16"/>
          <w:szCs w:val="16"/>
          <w:color w:val="auto"/>
        </w:rPr>
      </w:pPr>
    </w:p>
    <w:p>
      <w:pPr>
        <w:ind w:left="1080" w:right="80" w:hanging="424"/>
        <w:spacing w:after="0" w:line="301"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62" w:lineRule="exact"/>
        <w:rPr>
          <w:rFonts w:ascii="Arial" w:cs="Arial" w:eastAsia="Arial" w:hAnsi="Arial"/>
          <w:sz w:val="16"/>
          <w:szCs w:val="16"/>
          <w:color w:val="auto"/>
        </w:rPr>
      </w:pPr>
    </w:p>
    <w:p>
      <w:pPr>
        <w:ind w:left="1080" w:hanging="424"/>
        <w:spacing w:after="0" w:line="279" w:lineRule="auto"/>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76" w:lineRule="exact"/>
        <w:rPr>
          <w:rFonts w:ascii="Arial" w:cs="Arial" w:eastAsia="Arial" w:hAnsi="Arial"/>
          <w:sz w:val="17"/>
          <w:szCs w:val="17"/>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w:t>
      </w:r>
    </w:p>
    <w:p>
      <w:pPr>
        <w:spacing w:after="0" w:line="225" w:lineRule="exact"/>
        <w:rPr>
          <w:sz w:val="20"/>
          <w:szCs w:val="20"/>
          <w:color w:val="auto"/>
        </w:rPr>
      </w:pPr>
    </w:p>
    <w:p>
      <w:pPr>
        <w:ind w:left="120" w:right="320"/>
        <w:spacing w:after="0" w:line="311" w:lineRule="auto"/>
        <w:rPr>
          <w:sz w:val="20"/>
          <w:szCs w:val="20"/>
          <w:color w:val="auto"/>
        </w:rPr>
      </w:pPr>
      <w:r>
        <w:rPr>
          <w:rFonts w:ascii="Arial" w:cs="Arial" w:eastAsia="Arial" w:hAnsi="Arial"/>
          <w:sz w:val="16"/>
          <w:szCs w:val="16"/>
          <w:color w:val="auto"/>
        </w:rPr>
        <w:t>If any event of default occurs and is continuing and if such event of default is known to an officer the trustee, the trustee shall mail to each holder, pursuant to Section 313(c) of the Trust Indenture Act, notice of the event of default within the earlier of 90 days after it occurs and 30 days after it is known to an officer of the trustee or written notice of it is received by the trustee, provided that such event of default has not been cured.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63" w:lineRule="auto"/>
        <w:rPr>
          <w:sz w:val="20"/>
          <w:szCs w:val="20"/>
          <w:color w:val="auto"/>
        </w:rPr>
      </w:pPr>
      <w:r>
        <w:rPr>
          <w:rFonts w:ascii="Arial" w:cs="Arial" w:eastAsia="Arial" w:hAnsi="Arial"/>
          <w:sz w:val="18"/>
          <w:szCs w:val="18"/>
          <w:color w:val="auto"/>
        </w:rPr>
        <w:t>Additionally, except in the case of a default in the payment of the principal of (or premium, if any) or interest on any security, the trustee shall be protected in withholding such notice if and so long as the officers of the trustee in good faith determine that the withholding of such notice is in the interest of the holders</w:t>
      </w:r>
    </w:p>
    <w:p>
      <w:pPr>
        <w:spacing w:after="0" w:line="184" w:lineRule="exact"/>
        <w:rPr>
          <w:sz w:val="20"/>
          <w:szCs w:val="20"/>
          <w:color w:val="auto"/>
        </w:rPr>
      </w:pPr>
    </w:p>
    <w:p>
      <w:pPr>
        <w:ind w:left="120" w:right="300"/>
        <w:spacing w:after="0" w:line="311" w:lineRule="auto"/>
        <w:rPr>
          <w:sz w:val="20"/>
          <w:szCs w:val="20"/>
          <w:color w:val="auto"/>
        </w:rPr>
      </w:pPr>
      <w:r>
        <w:rPr>
          <w:rFonts w:ascii="Arial" w:cs="Arial" w:eastAsia="Arial" w:hAnsi="Arial"/>
          <w:sz w:val="16"/>
          <w:szCs w:val="16"/>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4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82"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70"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A holder of the debt securities of any series will have the right to institute a proceeding under the indenture or to appoint a receiver or trustee, or to seek other remedies only if:</w:t>
      </w:r>
    </w:p>
    <w:p>
      <w:pPr>
        <w:spacing w:after="0" w:line="76"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holder has given written notice to the trustee of a continuing event of default with respect to that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holders of at least 25% in aggregate principal amount of the outstanding debt securities of that series have made written request,</w:t>
      </w:r>
    </w:p>
    <w:p>
      <w:pPr>
        <w:spacing w:after="0" w:line="142"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such holders have offered to the trustee indemnity satisfactory to it against the costs, expenses and liabilities to be incurred by the trustee in compliance with the request; and</w:t>
      </w:r>
    </w:p>
    <w:p>
      <w:pPr>
        <w:spacing w:after="0" w:line="75" w:lineRule="exact"/>
        <w:rPr>
          <w:rFonts w:ascii="Arial" w:cs="Arial" w:eastAsia="Arial" w:hAnsi="Arial"/>
          <w:sz w:val="18"/>
          <w:szCs w:val="18"/>
          <w:color w:val="auto"/>
        </w:rPr>
      </w:pPr>
    </w:p>
    <w:p>
      <w:pPr>
        <w:ind w:left="1080" w:right="480" w:hanging="424"/>
        <w:spacing w:after="0" w:line="308" w:lineRule="auto"/>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46"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periodically file statements with the trustee regarding our compliance with specified covenants in the indenture.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of Indenture; Waiver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and the trustee may change an indenture without the consent of any holders with respect to specific matters:</w:t>
      </w:r>
    </w:p>
    <w:p>
      <w:pPr>
        <w:spacing w:after="0" w:line="131"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indenture or in the debt securities of any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comply with the provisions described above under “Description of Debt Securities—Consolidation, Merger or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provide for uncertificated debt securities in addition to or in place of certificated debt securities;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add to our covenants, restrictions, conditions or provisions such new covenants, restrictions, conditions or provisions for the benefit of the holders of all or any series of debt securities, to make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80"/>
        <w:spacing w:after="0" w:line="277" w:lineRule="auto"/>
        <w:rPr>
          <w:sz w:val="20"/>
          <w:szCs w:val="20"/>
          <w:color w:val="auto"/>
        </w:rPr>
      </w:pPr>
      <w:r>
        <w:rPr>
          <w:rFonts w:ascii="Arial" w:cs="Arial" w:eastAsia="Arial" w:hAnsi="Arial"/>
          <w:sz w:val="18"/>
          <w:szCs w:val="18"/>
          <w:color w:val="auto"/>
        </w:rPr>
        <w:t>occurrence, or the occurrence and the continuance, of a default in any such additional covenants, restrictions, conditions or provisions an event of default or to surrender any right or power conferred upon us in the indenture;</w:t>
      </w:r>
    </w:p>
    <w:p>
      <w:pPr>
        <w:spacing w:after="0" w:line="76" w:lineRule="exact"/>
        <w:rPr>
          <w:sz w:val="20"/>
          <w:szCs w:val="20"/>
          <w:color w:val="auto"/>
        </w:rPr>
      </w:pPr>
    </w:p>
    <w:p>
      <w:pPr>
        <w:ind w:left="1080" w:right="76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to make any change that does not adversely affect the interests of any holder of debt securities of any series in any material respect;</w:t>
      </w:r>
    </w:p>
    <w:p>
      <w:pPr>
        <w:spacing w:after="0" w:line="142" w:lineRule="exact"/>
        <w:rPr>
          <w:rFonts w:ascii="Arial" w:cs="Arial" w:eastAsia="Arial" w:hAnsi="Arial"/>
          <w:sz w:val="17"/>
          <w:szCs w:val="17"/>
          <w:color w:val="auto"/>
        </w:rPr>
      </w:pPr>
    </w:p>
    <w:p>
      <w:pPr>
        <w:jc w:val="both"/>
        <w:ind w:left="1080" w:right="140" w:hanging="424"/>
        <w:spacing w:after="0" w:line="286"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70" w:lineRule="exact"/>
        <w:rPr>
          <w:rFonts w:ascii="Arial" w:cs="Arial" w:eastAsia="Arial" w:hAnsi="Arial"/>
          <w:sz w:val="17"/>
          <w:szCs w:val="17"/>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under any indenture by a successor trustee;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to comply with any requirements of the SEC in connection with the qualification of any indenture under the Trust Indenture Act.</w:t>
      </w:r>
    </w:p>
    <w:p>
      <w:pPr>
        <w:spacing w:after="0" w:line="23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92"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extending the fixed maturity of any debt securities of any series;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reducing any premium payable upon the redemption of any series of any debt securities; or</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amendment, supplement, modification or waiver.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Discharge</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Each indenture provides that we can elect to be discharged from our obligations with respect to one or more series of debt securities, except for specified obligations, including obligations to:</w:t>
      </w:r>
    </w:p>
    <w:p>
      <w:pPr>
        <w:spacing w:after="0" w:line="76"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for payment;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 principal of and premium and interest on any debt securities of the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recover excess money held by the trustee;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2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Exchange and Transfer</w:t>
      </w:r>
    </w:p>
    <w:p>
      <w:pPr>
        <w:spacing w:after="0" w:line="121"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92"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4"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61" w:lineRule="exact"/>
        <w:rPr>
          <w:sz w:val="20"/>
          <w:szCs w:val="20"/>
          <w:color w:val="auto"/>
        </w:rPr>
      </w:pPr>
    </w:p>
    <w:p>
      <w:pPr>
        <w:jc w:val="both"/>
        <w:ind w:left="120" w:right="120"/>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131" w:lineRule="exact"/>
        <w:rPr>
          <w:sz w:val="20"/>
          <w:szCs w:val="20"/>
          <w:color w:val="auto"/>
        </w:rPr>
      </w:pPr>
    </w:p>
    <w:p>
      <w:pPr>
        <w:jc w:val="both"/>
        <w:ind w:left="1080" w:right="240" w:hanging="424"/>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89"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Concerning the Trustee</w:t>
      </w:r>
    </w:p>
    <w:p>
      <w:pPr>
        <w:spacing w:after="0" w:line="121"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78"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 except to the extent that the Trust Indenture Act is applicable.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The following description, together with the additional information we may include in any applicable prospectus supplements and free writing prospectuses, summarizes the material terms and provisions of the warrants that we may offer under this prospectus, which may consist of warrants to purchase common stock, preferred stock or debt securities and may be issued in one or more series. Warrants may be issued independently or together with common stock, preferred stock or debt securities offered by any prospectus supplement, and may be attached to or separate from those securities. While the terms we have summarized below will apply generally to any warrants that we may offer under this prospectus, we will describe the particular terms of any series of warrants that we may offer in more detail in the applicable prospectus supplement and any applicable free writing prospectus. The terms of any warrants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spacing w:after="0" w:line="196"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We have filed forms of the warrant agreements and forms of warrant certificates containing the terms of the warrants being offered as exhibits to the registration statement of which this prospectus is a part. We will incorporate by reference from reports that we file with the SEC, the form of warrant agreement, if any, including a form of warrant certificate, that describes the terms of the particular series of warrants we are offering. The following summaries of material provisions of the warrants and the warrant agreements are subject to, and qualified in their entirety by reference to, all the provisions of the warrant agreement and warrant certificate applicable to the particular series of warrants that we may offer under this prospectus. We urge you to read the applicable prospectus supplements related to the particular series of warrants that we may offer under this prospectus, as well as any related free writing prospectuses, and the complete warrant agreements and warrant certificates that contain the terms of the warrants.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describe in the applicable prospectus supplement the terms relating to a series of warrants being offered, including:</w:t>
      </w:r>
    </w:p>
    <w:p>
      <w:pPr>
        <w:spacing w:after="0" w:line="131"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title of such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offering price or prices and aggregate number of warrants offered;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currency or currencies for which the warrants may be purchased;</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the date on and after which the warrants and the related securities will be separately transferable;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130" w:lineRule="exact"/>
        <w:rPr>
          <w:rFonts w:ascii="Arial" w:cs="Arial" w:eastAsia="Arial" w:hAnsi="Arial"/>
          <w:sz w:val="18"/>
          <w:szCs w:val="18"/>
          <w:color w:val="auto"/>
        </w:rPr>
      </w:pPr>
    </w:p>
    <w:p>
      <w:pPr>
        <w:ind w:left="1080" w:hanging="424"/>
        <w:spacing w:after="0" w:line="308" w:lineRule="auto"/>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the case of warrants to purchase debt securities, the principal amount of debt securities purchasable upon exercise of one warrant and the price at which, and currency in which, this principal amount of debt securities may be purchased upon such exercise;</w:t>
      </w:r>
    </w:p>
    <w:p>
      <w:pPr>
        <w:spacing w:after="0" w:line="51" w:lineRule="exact"/>
        <w:rPr>
          <w:rFonts w:ascii="Arial" w:cs="Arial" w:eastAsia="Arial" w:hAnsi="Arial"/>
          <w:sz w:val="17"/>
          <w:szCs w:val="17"/>
          <w:color w:val="auto"/>
        </w:rPr>
      </w:pPr>
    </w:p>
    <w:p>
      <w:pPr>
        <w:ind w:left="1080" w:right="40" w:hanging="424"/>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the exercise of one warrant and the price at which, and the currency in which, these shares may be purchased upon such exercise;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 of any merger, consolidation, sale or other disposition of our business on the warrant agreements and the warrants;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terms of any rights to force the exercise of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provisions for changes to or adjustments in the exercise price or number of securities issuable upon exercise of the warrants;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will commence and expire;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manner in which the warrant agreements and warrants may be modified;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discussion of any material or special U.S. federal income tax consequences of holding or exercising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warrants.</w:t>
      </w:r>
    </w:p>
    <w:p>
      <w:pPr>
        <w:spacing w:after="0" w:line="225"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Before exercising their warrants, holders of warrants will not have any of the rights of holders of the securities purchasable upon such exercise, including:</w:t>
      </w:r>
    </w:p>
    <w:p>
      <w:pPr>
        <w:spacing w:after="0" w:line="76" w:lineRule="exact"/>
        <w:rPr>
          <w:sz w:val="20"/>
          <w:szCs w:val="20"/>
          <w:color w:val="auto"/>
        </w:rPr>
      </w:pPr>
    </w:p>
    <w:p>
      <w:pPr>
        <w:ind w:left="1080" w:right="6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75"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right to receive dividends, if any, or, payments upon our liquidation, dissolution or winding up or to exercise voting rights, if any.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Exercise of Warrants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87"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Unless we otherwise specify in the applicable prospectus supplement, 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 in connection with the exercise of the warrant.</w:t>
      </w:r>
    </w:p>
    <w:p>
      <w:pPr>
        <w:spacing w:after="0" w:line="188"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Enforceability of Rights by Holders of Warrants</w:t>
      </w:r>
    </w:p>
    <w:p>
      <w:pPr>
        <w:spacing w:after="0" w:line="121"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320" w:top="459" w:right="4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87"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92"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If we offer any units, certain terms of that series of units will be described in the applicable prospectus supplement, including, without limitation, the following, as applicable:</w:t>
      </w:r>
    </w:p>
    <w:p>
      <w:pPr>
        <w:spacing w:after="0" w:line="76"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title of the series of units;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identification and description of the separate constituent securities comprising the units;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price or prices at which the units will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if any, on and after which the constituent securities comprising the units will be separately transferable;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discussion of certain United States federal income tax considerations applicable to the units;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terms of the units and their constituent securities.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To the extent applicable, 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76" w:lineRule="exact"/>
        <w:rPr>
          <w:sz w:val="20"/>
          <w:szCs w:val="20"/>
          <w:color w:val="auto"/>
        </w:rPr>
      </w:pPr>
    </w:p>
    <w:p>
      <w:pPr>
        <w:jc w:val="both"/>
        <w:ind w:left="120" w:right="340"/>
        <w:spacing w:after="0" w:line="263" w:lineRule="auto"/>
        <w:rPr>
          <w:sz w:val="20"/>
          <w:szCs w:val="20"/>
          <w:color w:val="auto"/>
        </w:rPr>
      </w:pPr>
      <w:r>
        <w:rPr>
          <w:rFonts w:ascii="Arial" w:cs="Arial" w:eastAsia="Arial" w:hAnsi="Arial"/>
          <w:sz w:val="18"/>
          <w:szCs w:val="18"/>
          <w:color w:val="auto"/>
        </w:rPr>
        <w:t>We, any unit agents and any of their agents may treat the registered holder of any unit certificate as an absolute owner of the units evidenced by that certificate for any purpose and as the person entitled to exercise the rights attaching to the units so requested, despite any notice to the contrary. See “Legal Ownership of Securities.”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RIGHTS</w:t>
      </w:r>
    </w:p>
    <w:p>
      <w:pPr>
        <w:spacing w:after="0" w:line="229" w:lineRule="exact"/>
        <w:rPr>
          <w:sz w:val="20"/>
          <w:szCs w:val="20"/>
          <w:color w:val="auto"/>
        </w:rPr>
      </w:pPr>
    </w:p>
    <w:p>
      <w:pPr>
        <w:ind w:left="120" w:right="160"/>
        <w:spacing w:after="0" w:line="273" w:lineRule="auto"/>
        <w:rPr>
          <w:sz w:val="20"/>
          <w:szCs w:val="20"/>
          <w:color w:val="auto"/>
        </w:rPr>
      </w:pPr>
      <w:r>
        <w:rPr>
          <w:rFonts w:ascii="Arial" w:cs="Arial" w:eastAsia="Arial" w:hAnsi="Arial"/>
          <w:sz w:val="17"/>
          <w:szCs w:val="17"/>
          <w:color w:val="auto"/>
        </w:rPr>
        <w:t>We may issue rights to purchase common stock, preferred stock, debt securities or units. Rights may be issued independently or together with other securities and may or may not be transferable by the person purchasing or receiving the rights. In connection with any rights offering to our stockholders, we may enter into a standby underwriting, backstop or other arrangement with one or more underwriters or other persons pursuant to which such underwriters or other persons would purchase any offered securities remaining unsubscribed for after such rights offering. In connection with a rights offering to our stockholders, we would distribute certificates evidencing the rights and a prospectus supplement to our stockholders on or about the record date that we set for receiving rights in such rights offering.</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applicable prospectus supplement will describe the following terms of any rights we may issue, including some or all of the following:</w:t>
      </w:r>
    </w:p>
    <w:p>
      <w:pPr>
        <w:spacing w:after="0" w:line="131"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title and aggregate number of the rights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subscription price or a formula for the determination of the subscription price for the rights and the currency or currencies in which the subscription price may be payable;</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rights are issued and the number of rights issued with each such security or each principal amount of such security;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the rights issued to each stockholder;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extent to which the rights are transferable;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the case of rights to purchase debt securities, the principal amount of debt securities purchasable upon exercise of one right;</w:t>
      </w:r>
    </w:p>
    <w:p>
      <w:pPr>
        <w:spacing w:after="0" w:line="142" w:lineRule="exact"/>
        <w:rPr>
          <w:rFonts w:ascii="Arial" w:cs="Arial" w:eastAsia="Arial" w:hAnsi="Arial"/>
          <w:sz w:val="17"/>
          <w:szCs w:val="17"/>
          <w:color w:val="auto"/>
        </w:rPr>
      </w:pPr>
    </w:p>
    <w:p>
      <w:pPr>
        <w:ind w:left="1080" w:right="50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case of rights to purchase common stock or preferred stock, the type of stock and number of shares of stock purchasable upon exercise of one right;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date on which the right to exercise the rights will commence, and the date on which the rights will expire (subject to any extension);</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rights that may be exercised at any one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extent to which such rights include an over-subscription privilege with respect to unsubscribed securities;</w:t>
      </w:r>
    </w:p>
    <w:p>
      <w:pPr>
        <w:spacing w:after="0" w:line="130" w:lineRule="exact"/>
        <w:rPr>
          <w:rFonts w:ascii="Arial" w:cs="Arial" w:eastAsia="Arial" w:hAnsi="Arial"/>
          <w:sz w:val="18"/>
          <w:szCs w:val="18"/>
          <w:color w:val="auto"/>
        </w:rPr>
      </w:pPr>
    </w:p>
    <w:p>
      <w:pPr>
        <w:ind w:left="1080" w:right="300" w:hanging="424"/>
        <w:spacing w:after="0" w:line="26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applicable, the procedures for adjusting the subscription price and number of shares of common stock or preferred stock purchasable upon the exercise of each right upon the occurrence of certain events, including stock splits, reverse stock splits, combinations, subdivisions or reclassifications of common stock or preferred stock;</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 on the rights of any merger, consolidation, sale or other disposition of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of any rights to redeem or call the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rights;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backstop or other purchase arrangement that we may enter into in connection with the rights offering;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exchange and exercise of the rights.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Exercise of Rights</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Each right will entitle the holder to purchase for cash or other consideration such shares of stock or principal amount of securities at the subscription price as shall in each case be set forth in, or be determinable as set forth in, the prospectus supplement relating to the rights offered thereby. Rights may be exercised as set forth in the applicable prospectus supplement beginning on the date specified therein and continuing until the close of business on the expiration date set forth in the prospectus supplement relating to the rights offered thereby. After the close of business on the expiration date, unexercised rights will become void.</w:t>
      </w:r>
    </w:p>
    <w:p>
      <w:pPr>
        <w:spacing w:after="0" w:line="188" w:lineRule="exact"/>
        <w:rPr>
          <w:sz w:val="20"/>
          <w:szCs w:val="20"/>
          <w:color w:val="auto"/>
        </w:rPr>
      </w:pPr>
    </w:p>
    <w:p>
      <w:pPr>
        <w:jc w:val="both"/>
        <w:ind w:left="120" w:right="200"/>
        <w:spacing w:after="0" w:line="301" w:lineRule="auto"/>
        <w:rPr>
          <w:sz w:val="20"/>
          <w:szCs w:val="20"/>
          <w:color w:val="auto"/>
        </w:rPr>
      </w:pPr>
      <w:r>
        <w:rPr>
          <w:rFonts w:ascii="Arial" w:cs="Arial" w:eastAsia="Arial" w:hAnsi="Arial"/>
          <w:sz w:val="16"/>
          <w:szCs w:val="16"/>
          <w:color w:val="auto"/>
        </w:rPr>
        <w:t>Upon receipt of payment and a subscription certificate properly completed and duly executed at the corporate trust office of the subscription agent or any other office indicated in the prospectus supplement, we will, as soon as practicable, forward the securities purchasable upon such exercise. If less than all of the rights represented by such subscription certificate are exercised, a new subscription certificate will be issued for the remaining rights. If we so indicate in the applicable prospectus supplement, holders of the rights may surrender securities as all or part of the exercise price for rights.</w:t>
      </w:r>
    </w:p>
    <w:p>
      <w:pPr>
        <w:spacing w:after="0" w:line="157"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We may determine to offer any unsubscribed offered securities directly to stockholders, persons other than stockholders, to or through agents, underwriters or dealers or through a combination of such methods, including pursuant to standby underwriting, backstop or other arrangements, as set forth in the applicable prospectus supplement.</w:t>
      </w:r>
    </w:p>
    <w:p>
      <w:pPr>
        <w:spacing w:after="0" w:line="184"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Prior to exercising their rights, holders of rights will not have any of the rights of holders of the securities purchasable upon subscription, including, in the case of rights to purchase common stock or preferred stock, the right to receive dividends, if any, or payments upon our liquidation, dissolution or winding up or to exercise any voting rights or, in the case of rights to purchase debt securities, the right to receive principal, premium, if any, or interest payments, on the debt securities purchasable upon exercise or to enforce covenants in the applicable indenture.</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OWNERSHIP OF SECURITIES</w:t>
      </w:r>
    </w:p>
    <w:p>
      <w:pPr>
        <w:spacing w:after="0" w:line="22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or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Holders</w:t>
      </w:r>
    </w:p>
    <w:p>
      <w:pPr>
        <w:spacing w:after="0" w:line="12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87"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76"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Street Name Holders</w:t>
      </w:r>
    </w:p>
    <w:p>
      <w:pPr>
        <w:spacing w:after="0" w:line="121" w:lineRule="exact"/>
        <w:rPr>
          <w:sz w:val="20"/>
          <w:szCs w:val="20"/>
          <w:color w:val="auto"/>
        </w:rPr>
      </w:pPr>
    </w:p>
    <w:p>
      <w:pPr>
        <w:jc w:val="both"/>
        <w:ind w:left="120" w:right="120"/>
        <w:spacing w:after="0" w:line="259" w:lineRule="auto"/>
        <w:rPr>
          <w:sz w:val="20"/>
          <w:szCs w:val="20"/>
          <w:color w:val="auto"/>
        </w:rPr>
      </w:pPr>
      <w:r>
        <w:rPr>
          <w:rFonts w:ascii="Arial" w:cs="Arial" w:eastAsia="Arial" w:hAnsi="Arial"/>
          <w:sz w:val="18"/>
          <w:szCs w:val="18"/>
          <w:color w:val="auto"/>
        </w:rPr>
        <w:t>We may terminate a global security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legal holders, of those securities.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Holders</w:t>
      </w:r>
    </w:p>
    <w:p>
      <w:pPr>
        <w:spacing w:after="0" w:line="12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80"/>
          </w:cols>
          <w:pgMar w:left="320" w:top="459"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For example, once we make a payment or give a notice to the holder, we have no further responsibility for the payment or notice even if that holder is required, under agreements with its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an indenture, or for other purposes. In such an event, we would seek approval only from the legal holders, and not the indirect holders, of the securities. Whether and how the legal holders contact the indirect holders is up to the legal holders.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Special Considerations for Indirect Holders</w:t>
      </w:r>
    </w:p>
    <w:p>
      <w:pPr>
        <w:spacing w:after="0" w:line="121"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If you hold securities through a bank, broker or other financial institution, either in book-entry form because the securities are represented by one or more global securities or in street name, you should check with your own institution to find out:</w:t>
      </w:r>
    </w:p>
    <w:p>
      <w:pPr>
        <w:spacing w:after="0" w:line="76"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and how you can instruct it to send you securities registered in your own name so you can be a legal holder, if that is permitted in the future;</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how it would exercise rights under the securities if there were a default or other event triggering the need for holders to act to protect their interests;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the securities are in book-entry form, how the depositary’s rules and procedures will affect these matters.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70"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securities issued in book-entry form.</w:t>
      </w:r>
    </w:p>
    <w:p>
      <w:pPr>
        <w:spacing w:after="0" w:line="18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spacing w:after="0" w:line="195"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320" w:top="459" w:right="5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Special Considerations for Global Securities</w:t>
      </w:r>
    </w:p>
    <w:p>
      <w:pPr>
        <w:spacing w:after="0" w:line="121"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securities are issued only as global securities, an investor should be aware of the following:</w:t>
      </w:r>
    </w:p>
    <w:p>
      <w:pPr>
        <w:spacing w:after="0" w:line="131" w:lineRule="exact"/>
        <w:rPr>
          <w:sz w:val="20"/>
          <w:szCs w:val="20"/>
          <w:color w:val="auto"/>
        </w:rPr>
      </w:pPr>
    </w:p>
    <w:p>
      <w:pPr>
        <w:ind w:left="1080" w:right="4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securities to some insurance companies and to other institutions that are required by law to own their securities in non-book-entry form;</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the global security in circumstances where certificates representing the securities must be delivered to the lender or other beneficiary of the pledge in order for the pledge to be effective;</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depositary’s policies, which may change from time to time, will govern payments, transfers, exchanges and other matters relating to an investor’s interest in the global security;</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and any applicable trustee have no responsibility for any aspect of the depositary’s actions or for its records of ownership interests in the global security, nor will we or any applicable trustee supervise the depositary in any way;</w:t>
      </w:r>
    </w:p>
    <w:p>
      <w:pPr>
        <w:spacing w:after="0" w:line="75" w:lineRule="exact"/>
        <w:rPr>
          <w:rFonts w:ascii="Arial" w:cs="Arial" w:eastAsia="Arial" w:hAnsi="Arial"/>
          <w:sz w:val="18"/>
          <w:szCs w:val="18"/>
          <w:color w:val="auto"/>
        </w:rPr>
      </w:pPr>
    </w:p>
    <w:p>
      <w:pPr>
        <w:ind w:left="1080" w:right="300" w:hanging="424"/>
        <w:spacing w:after="0" w:line="308" w:lineRule="auto"/>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depositary may, and we understand that DTC will, require that those who purchase and sell interests in the global security within its book-entry system use immediately available funds, and your broker or bank may require you to do so as well; and</w:t>
      </w:r>
    </w:p>
    <w:p>
      <w:pPr>
        <w:spacing w:after="0" w:line="51" w:lineRule="exact"/>
        <w:rPr>
          <w:rFonts w:ascii="Arial" w:cs="Arial" w:eastAsia="Arial" w:hAnsi="Arial"/>
          <w:sz w:val="17"/>
          <w:szCs w:val="17"/>
          <w:color w:val="auto"/>
        </w:rPr>
      </w:pPr>
    </w:p>
    <w:p>
      <w:pPr>
        <w:ind w:left="1080" w:right="260" w:hanging="424"/>
        <w:spacing w:after="0" w:line="308" w:lineRule="auto"/>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financial institutions that participate in the depositary’s book-entry system, and through which an investor holds its interest in the global security, may also have their own policies affecting payments, notices and other matters relating to the securities.</w:t>
      </w:r>
    </w:p>
    <w:p>
      <w:pPr>
        <w:spacing w:after="0" w:line="146"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There may be more than one financial intermediary in the chain of ownership for an investor. We do not monitor and are not responsible for the actions of any of those intermediaries.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Special Situations When a Global Security Will Be Terminated</w:t>
      </w:r>
    </w:p>
    <w:p>
      <w:pPr>
        <w:spacing w:after="0" w:line="121"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global security will terminate when the following special situations occur:</w:t>
      </w:r>
    </w:p>
    <w:p>
      <w:pPr>
        <w:spacing w:after="0" w:line="131" w:lineRule="exact"/>
        <w:rPr>
          <w:sz w:val="20"/>
          <w:szCs w:val="20"/>
          <w:color w:val="auto"/>
        </w:rPr>
      </w:pPr>
    </w:p>
    <w:p>
      <w:pPr>
        <w:ind w:left="1080" w:right="26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we notify any applicable trustee that we wish to terminate that global security;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if an event of default has occurred with regard to securities represented by that global security and has not been cured or waived.</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applicable prospectus supplement may also list additional situations for terminating a global security that would apply only to the particular series of securities covered by the prospectus supplement. When a global security terminates, the depositary, and neither we nor any applicable trustee, is responsible for deciding the names of the institutions that will be the initial direct holders.</w:t>
      </w:r>
    </w:p>
    <w:p>
      <w:pPr>
        <w:spacing w:after="0" w:line="1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0"/>
          </w:cols>
          <w:pgMar w:left="320" w:top="459" w:right="6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We may sell the securities from time to time pursuant to underwritten public offerings, negotiated transactions, block trades or a combination of these methods. We may sell the securities to or through underwriters or dealers, through agents, or directly to one or more purchasers. We may distribute securities from time to time in one or more transactions:</w:t>
      </w:r>
    </w:p>
    <w:p>
      <w:pPr>
        <w:spacing w:after="0" w:line="89"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We may also sell equity securities covered by this registration statement in an “at the market” offering as defined in Rule 415(a)(4) under the Securities Act. Such offering may be made into an existing trading market for such securities in transactions at other than a fixed price on or through the facilities of the Nasdaq Capital Market or any other securities exchange or quotation or trading service on which such securities may be listed, quoted or traded at the time of sale.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Such at the market offerings, if any, may be conducted by underwriters acting as principal or agent.</w:t>
      </w:r>
    </w:p>
    <w:p>
      <w:pPr>
        <w:spacing w:after="0" w:line="225"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76"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purchase price of the securities and the proceeds we will receive from the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agency fees or underwriting discounts and other items constituting agents’ or underwriters’ compensation;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Only underwriters named in the prospectus supplement are underwriters of the securities offered by the prospectus supplement.</w:t>
      </w:r>
    </w:p>
    <w:p>
      <w:pPr>
        <w:spacing w:after="0" w:line="225" w:lineRule="exact"/>
        <w:rPr>
          <w:sz w:val="20"/>
          <w:szCs w:val="20"/>
          <w:color w:val="auto"/>
        </w:rPr>
      </w:pPr>
    </w:p>
    <w:p>
      <w:pPr>
        <w:ind w:left="120" w:right="120"/>
        <w:spacing w:after="0" w:line="272" w:lineRule="auto"/>
        <w:rPr>
          <w:sz w:val="20"/>
          <w:szCs w:val="20"/>
          <w:color w:val="auto"/>
        </w:rPr>
      </w:pPr>
      <w:r>
        <w:rPr>
          <w:rFonts w:ascii="Arial" w:cs="Arial" w:eastAsia="Arial" w:hAnsi="Arial"/>
          <w:sz w:val="17"/>
          <w:szCs w:val="17"/>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17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311" w:lineRule="auto"/>
        <w:rPr>
          <w:sz w:val="20"/>
          <w:szCs w:val="20"/>
          <w:color w:val="auto"/>
        </w:rPr>
      </w:pPr>
      <w:r>
        <w:rPr>
          <w:rFonts w:ascii="Arial" w:cs="Arial" w:eastAsia="Arial" w:hAnsi="Arial"/>
          <w:sz w:val="16"/>
          <w:szCs w:val="16"/>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49"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184"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All securities we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84"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Any underwriter may engage in overallotment, stabilizing transactions, short covering transactions and penalty bids.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spacing w:after="0" w:line="17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Any underwriters who are qualified market makers on the Nasdaq Capital Market may engage in passive market making transactions in the securities on the Nasdaq Capital Market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Unless otherwise indicated in the applicable prospectus supplement, certain legal matters in connection with the offering and the validity of the securities offered by this prospectus, and any supplement thereto, will be passed upon by Sidley Austin LLP, San Francisco, California. Additional legal matters may be passed upon for us or any underwriters, dealers or agents, by counsel that we will name in the applicable prospectus supplement.</w:t>
      </w: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Ernst &amp; Young LLP, independent registered public accounting firm, has audited the consolidated financial statements of Millendo Therapeutics, Inc. included in its Annual Report on Form 10-K for the year ended December 31, 2020, as set forth in their report, which is incorporated by reference in this prospectus and elsewhere in the registration statement. These financial statements are incorporated by reference in reliance on Ernst &amp; Young LLP’s report, given on their authority as experts in accounting and auditing.</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financial statements of Tempestx, Inc. (formerly Tempest Therapeutics, Inc.) as of and for the years end December 31, 2020 and December 31, 2019</w:t>
      </w:r>
    </w:p>
    <w:p>
      <w:pPr>
        <w:spacing w:after="0" w:line="46" w:lineRule="exact"/>
        <w:rPr>
          <w:sz w:val="20"/>
          <w:szCs w:val="20"/>
          <w:color w:val="auto"/>
        </w:rPr>
      </w:pPr>
    </w:p>
    <w:p>
      <w:pPr>
        <w:jc w:val="both"/>
        <w:ind w:left="120" w:right="120" w:hanging="4"/>
        <w:spacing w:after="0" w:line="253" w:lineRule="auto"/>
        <w:tabs>
          <w:tab w:leader="none" w:pos="21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in this Prospectus from Tempest Therapeutics, Inc.’s Current Report on Form 8-K filed on July 16, 2021, have been audited by Deloitte &amp; Touche LLP, an independent registered public accounting firm, as stated in their report which is incorporated by reference (which report expresses an unqualified opinion on the financial statements and includes an explanatory paragraph referring to substantial doubt regarding Tempestx, Inc.’s ability to continue as a going concern). Such financial statements have been so incorporated in reliance upon the report of such firm given upon their authority as experts in accounting and auditing.</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You should rely only on the information contained in this prospectus or incorporated by reference in this prospectus. We have not authorized anyone else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w:t>
      </w:r>
    </w:p>
    <w:p>
      <w:pPr>
        <w:spacing w:after="0" w:line="17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http://www.sec.gov.</w:t>
      </w:r>
    </w:p>
    <w:p>
      <w:pPr>
        <w:spacing w:after="0" w:line="17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Copies of certain information filed by us with the SEC are also available on our website at www.tempesttx.com. Information contained in or accessible through our website does not constitute a part of this prospectus and is not incorporated by reference in this prospectus.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The SEC allows us to “incorporate by reference” information into this prospectus, which means that we can disclose important information to you by referring you to another document filed separately with the SEC. The SEC file number for the documents incorporated by reference in this prospectus is 001-35890. The documents incorporated by reference into this prospectus contain important information that you should read about us.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documents are incorporated by reference into this document:</w:t>
      </w:r>
    </w:p>
    <w:p>
      <w:pPr>
        <w:spacing w:after="0" w:line="131"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79">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80">
        <w:r>
          <w:rPr>
            <w:rFonts w:ascii="Arial" w:cs="Arial" w:eastAsia="Arial" w:hAnsi="Arial"/>
            <w:sz w:val="18"/>
            <w:szCs w:val="18"/>
            <w:u w:val="single" w:color="auto"/>
            <w:color w:val="0000EE"/>
          </w:rPr>
          <w:t>10-K/A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81">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2021;</w:t>
      </w:r>
    </w:p>
    <w:p>
      <w:pPr>
        <w:spacing w:after="0" w:line="130" w:lineRule="exact"/>
        <w:rPr>
          <w:rFonts w:ascii="Arial" w:cs="Arial" w:eastAsia="Arial" w:hAnsi="Arial"/>
          <w:sz w:val="18"/>
          <w:szCs w:val="18"/>
          <w:color w:val="auto"/>
        </w:rPr>
      </w:pPr>
    </w:p>
    <w:p>
      <w:pPr>
        <w:jc w:val="both"/>
        <w:ind w:left="1080" w:right="240" w:hanging="424"/>
        <w:spacing w:after="0" w:line="263" w:lineRule="auto"/>
        <w:tabs>
          <w:tab w:leader="none" w:pos="1080" w:val="left"/>
        </w:tabs>
        <w:numPr>
          <w:ilvl w:val="0"/>
          <w:numId w:val="31"/>
        </w:numPr>
        <w:rPr>
          <w:rFonts w:ascii="Arial" w:cs="Arial" w:eastAsia="Arial" w:hAnsi="Arial"/>
          <w:sz w:val="18"/>
          <w:szCs w:val="18"/>
          <w:color w:val="0000EE"/>
        </w:rPr>
      </w:pPr>
      <w:hyperlink r:id="rId82">
        <w:r>
          <w:rPr>
            <w:rFonts w:ascii="Arial" w:cs="Arial" w:eastAsia="Arial" w:hAnsi="Arial"/>
            <w:sz w:val="18"/>
            <w:szCs w:val="18"/>
            <w:color w:val="auto"/>
          </w:rPr>
          <w:t xml:space="preserve">Our Current Reports on Form 8-K and Form 8-K/A filed with the SEC on </w:t>
        </w:r>
        <w:r>
          <w:rPr>
            <w:rFonts w:ascii="Arial" w:cs="Arial" w:eastAsia="Arial" w:hAnsi="Arial"/>
            <w:sz w:val="18"/>
            <w:szCs w:val="18"/>
            <w:u w:val="single" w:color="auto"/>
            <w:color w:val="0000EE"/>
          </w:rPr>
          <w:t>January 5,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January 28,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29,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June 11,</w:t>
        </w:r>
      </w:hyperlink>
      <w:r>
        <w:rPr>
          <w:rFonts w:ascii="Arial" w:cs="Arial" w:eastAsia="Arial" w:hAnsi="Arial"/>
          <w:sz w:val="18"/>
          <w:szCs w:val="18"/>
          <w:color w:val="auto"/>
        </w:rPr>
        <w:t xml:space="preserve"> </w:t>
      </w:r>
      <w:hyperlink r:id="rId83">
        <w:r>
          <w:rPr>
            <w:rFonts w:ascii="Arial" w:cs="Arial" w:eastAsia="Arial" w:hAnsi="Arial"/>
            <w:sz w:val="18"/>
            <w:szCs w:val="18"/>
            <w:u w:val="single" w:color="auto"/>
            <w:color w:val="0000EE"/>
          </w:rPr>
          <w:t>2021</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June 23, 2021</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June 28, 2021</w:t>
        </w:r>
        <w:r>
          <w:rPr>
            <w:rFonts w:ascii="Arial" w:cs="Arial" w:eastAsia="Arial" w:hAnsi="Arial"/>
            <w:sz w:val="18"/>
            <w:szCs w:val="18"/>
            <w:color w:val="0000EE"/>
          </w:rPr>
          <w:t xml:space="preserve"> </w:t>
        </w:r>
        <w:r>
          <w:rPr>
            <w:rFonts w:ascii="Arial" w:cs="Arial" w:eastAsia="Arial" w:hAnsi="Arial"/>
            <w:sz w:val="18"/>
            <w:szCs w:val="18"/>
            <w:color w:val="000000"/>
          </w:rPr>
          <w:t>(other than the information furnished pursuant to Item 7.01 and Exhibit 99.1),</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July 1, 2021</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July 7,</w:t>
        </w:r>
      </w:hyperlink>
      <w:r>
        <w:rPr>
          <w:rFonts w:ascii="Arial" w:cs="Arial" w:eastAsia="Arial" w:hAnsi="Arial"/>
          <w:sz w:val="18"/>
          <w:szCs w:val="18"/>
          <w:color w:val="0000EE"/>
        </w:rPr>
        <w:t xml:space="preserve"> </w:t>
      </w:r>
      <w:hyperlink r:id="rId83">
        <w:r>
          <w:rPr>
            <w:rFonts w:ascii="Arial" w:cs="Arial" w:eastAsia="Arial" w:hAnsi="Arial"/>
            <w:sz w:val="18"/>
            <w:szCs w:val="18"/>
            <w:u w:val="single" w:color="auto"/>
            <w:color w:val="0000EE"/>
          </w:rPr>
          <w:t>2021</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37">
        <w:r>
          <w:rPr>
            <w:rFonts w:ascii="Arial" w:cs="Arial" w:eastAsia="Arial" w:hAnsi="Arial"/>
            <w:sz w:val="18"/>
            <w:szCs w:val="18"/>
            <w:u w:val="single" w:color="auto"/>
            <w:color w:val="0000EE"/>
          </w:rPr>
          <w:t xml:space="preserve">July 12, 2021 </w:t>
        </w:r>
      </w:hyperlink>
      <w:hyperlink r:id="rId83">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38">
        <w:r>
          <w:rPr>
            <w:rFonts w:ascii="Arial" w:cs="Arial" w:eastAsia="Arial" w:hAnsi="Arial"/>
            <w:sz w:val="18"/>
            <w:szCs w:val="18"/>
            <w:u w:val="single" w:color="auto"/>
            <w:color w:val="0000EE"/>
          </w:rPr>
          <w:t>July 16, 2021</w:t>
        </w:r>
      </w:hyperlink>
      <w:hyperlink r:id="rId83">
        <w:r>
          <w:rPr>
            <w:rFonts w:ascii="Arial" w:cs="Arial" w:eastAsia="Arial" w:hAnsi="Arial"/>
            <w:sz w:val="18"/>
            <w:szCs w:val="18"/>
            <w:color w:val="000000"/>
          </w:rPr>
          <w:t>; and</w:t>
        </w:r>
      </w:hyperlink>
    </w:p>
    <w:p>
      <w:pPr>
        <w:spacing w:after="0" w:line="89" w:lineRule="exact"/>
        <w:rPr>
          <w:rFonts w:ascii="Arial" w:cs="Arial" w:eastAsia="Arial" w:hAnsi="Arial"/>
          <w:sz w:val="18"/>
          <w:szCs w:val="18"/>
          <w:color w:val="0000EE"/>
        </w:rPr>
      </w:pPr>
    </w:p>
    <w:p>
      <w:pPr>
        <w:ind w:left="1080" w:hanging="424"/>
        <w:spacing w:after="0" w:line="263"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set forth in the registration statement on </w:t>
      </w:r>
      <w:hyperlink r:id="rId84">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registering our common stock under Section 12 of the Exchange Act, which was filed with the SEC on April 25, 2013, including any amendments or reports filed for purposes of updating such description.</w:t>
      </w:r>
    </w:p>
    <w:p>
      <w:pPr>
        <w:spacing w:after="0" w:line="184" w:lineRule="exact"/>
        <w:rPr>
          <w:rFonts w:ascii="Arial" w:cs="Arial" w:eastAsia="Arial" w:hAnsi="Arial"/>
          <w:sz w:val="18"/>
          <w:szCs w:val="18"/>
          <w:color w:val="0000EE"/>
        </w:rPr>
      </w:pPr>
    </w:p>
    <w:p>
      <w:pPr>
        <w:ind w:left="120"/>
        <w:spacing w:after="0" w:line="275" w:lineRule="auto"/>
        <w:rPr>
          <w:sz w:val="20"/>
          <w:szCs w:val="20"/>
          <w:color w:val="auto"/>
        </w:rPr>
      </w:pPr>
      <w:r>
        <w:rPr>
          <w:rFonts w:ascii="Arial" w:cs="Arial" w:eastAsia="Arial" w:hAnsi="Arial"/>
          <w:sz w:val="17"/>
          <w:szCs w:val="17"/>
          <w:color w:val="auto"/>
        </w:rPr>
        <w:t>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 (i) after the date of the initial filing of the registration statement of which this prospectus forms a part and prior to effectiveness of the registration statement, or (ii) after the date of this prospectus but prior to the termination of the offering. These documents include periodic reports, such as Annual Reports on Form 10-K, Quarterly Reports on Form 10-Q and Current Reports on Form 8-K, as well as proxy statements.</w:t>
      </w:r>
    </w:p>
    <w:p>
      <w:pPr>
        <w:spacing w:after="0" w:line="176" w:lineRule="exact"/>
        <w:rPr>
          <w:rFonts w:ascii="Arial" w:cs="Arial" w:eastAsia="Arial" w:hAnsi="Arial"/>
          <w:sz w:val="18"/>
          <w:szCs w:val="18"/>
          <w:color w:val="0000EE"/>
        </w:rPr>
      </w:pPr>
    </w:p>
    <w:p>
      <w:pPr>
        <w:ind w:left="120" w:right="100"/>
        <w:spacing w:after="0" w:line="259" w:lineRule="auto"/>
        <w:rPr>
          <w:sz w:val="20"/>
          <w:szCs w:val="20"/>
          <w:color w:val="auto"/>
        </w:rPr>
      </w:pPr>
      <w:r>
        <w:rPr>
          <w:rFonts w:ascii="Arial" w:cs="Arial" w:eastAsia="Arial" w:hAnsi="Arial"/>
          <w:sz w:val="18"/>
          <w:szCs w:val="18"/>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to Tempest Therapeutics, Inc., Attn: Investor Relations, 7000 Shoreline Court; Suite 275 South San Francisco, CA 94080.</w:t>
      </w:r>
    </w:p>
    <w:p>
      <w:pPr>
        <w:spacing w:after="0" w:line="187" w:lineRule="exact"/>
        <w:rPr>
          <w:rFonts w:ascii="Arial" w:cs="Arial" w:eastAsia="Arial" w:hAnsi="Arial"/>
          <w:sz w:val="18"/>
          <w:szCs w:val="18"/>
          <w:color w:val="0000EE"/>
        </w:rPr>
      </w:pPr>
    </w:p>
    <w:p>
      <w:pPr>
        <w:ind w:left="120" w:right="100"/>
        <w:spacing w:after="0" w:line="311" w:lineRule="auto"/>
        <w:rPr>
          <w:sz w:val="20"/>
          <w:szCs w:val="20"/>
          <w:color w:val="auto"/>
        </w:rPr>
      </w:pPr>
      <w:r>
        <w:rPr>
          <w:rFonts w:ascii="Arial" w:cs="Arial" w:eastAsia="Arial" w:hAnsi="Arial"/>
          <w:sz w:val="16"/>
          <w:szCs w:val="16"/>
          <w:color w:val="auto"/>
        </w:rPr>
        <w:t>Any statement contained in this prospectus or contained in a document incorporated or deemed to be incorporated by reference into this prospectus will be deemed to be modified or superseded to the extent that a statement contained in this prospectus or any subsequently filed supplement to this prospectus, or document deemed to be incorporated by reference into this prospectus, modifies or supersedes such statement.</w:t>
      </w:r>
    </w:p>
    <w:p>
      <w:pPr>
        <w:spacing w:after="0" w:line="200" w:lineRule="exact"/>
        <w:rPr>
          <w:rFonts w:ascii="Arial" w:cs="Arial" w:eastAsia="Arial" w:hAnsi="Arial"/>
          <w:sz w:val="18"/>
          <w:szCs w:val="18"/>
          <w:color w:val="0000EE"/>
        </w:rPr>
      </w:pPr>
    </w:p>
    <w:p>
      <w:pPr>
        <w:spacing w:after="0" w:line="246" w:lineRule="exact"/>
        <w:rPr>
          <w:rFonts w:ascii="Arial" w:cs="Arial" w:eastAsia="Arial" w:hAnsi="Arial"/>
          <w:sz w:val="18"/>
          <w:szCs w:val="18"/>
          <w:color w:val="0000EE"/>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460"/>
        <w:spacing w:after="0"/>
        <w:rPr>
          <w:sz w:val="20"/>
          <w:szCs w:val="20"/>
          <w:color w:val="auto"/>
        </w:rPr>
      </w:pPr>
      <w:r>
        <w:rPr>
          <w:rFonts w:ascii="Arial" w:cs="Arial" w:eastAsia="Arial" w:hAnsi="Arial"/>
          <w:sz w:val="29"/>
          <w:szCs w:val="29"/>
          <w:b w:val="1"/>
          <w:bCs w:val="1"/>
          <w:color w:val="auto"/>
        </w:rPr>
        <w:t>Up to $100,000,000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340360</wp:posOffset>
            </wp:positionV>
            <wp:extent cx="1508760" cy="3600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150876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406400</wp:posOffset>
            </wp:positionV>
            <wp:extent cx="1474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140"/>
        <w:spacing w:after="0"/>
        <w:rPr>
          <w:sz w:val="20"/>
          <w:szCs w:val="20"/>
          <w:color w:val="auto"/>
        </w:rPr>
      </w:pPr>
      <w:r>
        <w:rPr>
          <w:rFonts w:ascii="Arial" w:cs="Arial" w:eastAsia="Arial" w:hAnsi="Arial"/>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249555</wp:posOffset>
            </wp:positionV>
            <wp:extent cx="1474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100"/>
        <w:spacing w:after="0"/>
        <w:rPr>
          <w:sz w:val="20"/>
          <w:szCs w:val="20"/>
          <w:color w:val="auto"/>
        </w:rPr>
      </w:pPr>
      <w:r>
        <w:rPr>
          <w:rFonts w:ascii="Arial" w:cs="Arial" w:eastAsia="Arial" w:hAnsi="Arial"/>
          <w:sz w:val="29"/>
          <w:szCs w:val="29"/>
          <w:b w:val="1"/>
          <w:bCs w:val="1"/>
          <w:color w:val="auto"/>
        </w:rPr>
        <w:t>Jefferies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408940</wp:posOffset>
            </wp:positionV>
            <wp:extent cx="14744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July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428625</wp:posOffset>
            </wp:positionV>
            <wp:extent cx="6995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488950</wp:posOffset>
            </wp:positionV>
            <wp:extent cx="699516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sectPr>
      <w:pgSz w:w="11900" w:h="16838" w:orient="portrait"/>
      <w:cols w:equalWidth="0" w:num="1">
        <w:col w:w="10139"/>
      </w:cols>
      <w:pgMar w:left="32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jpe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85" Type="http://schemas.openxmlformats.org/officeDocument/2006/relationships/image" Target="media/image64.png"/><Relationship Id="rId86" Type="http://schemas.openxmlformats.org/officeDocument/2006/relationships/image" Target="media/image65.png"/><Relationship Id="rId87" Type="http://schemas.openxmlformats.org/officeDocument/2006/relationships/image" Target="media/image66.png"/><Relationship Id="rId88" Type="http://schemas.openxmlformats.org/officeDocument/2006/relationships/image" Target="media/image67.jpeg"/><Relationship Id="rId89" Type="http://schemas.openxmlformats.org/officeDocument/2006/relationships/image" Target="media/image68.png"/><Relationship Id="rId90" Type="http://schemas.openxmlformats.org/officeDocument/2006/relationships/image" Target="media/image69.png"/><Relationship Id="rId91" Type="http://schemas.openxmlformats.org/officeDocument/2006/relationships/image" Target="media/image70.png"/><Relationship Id="rId92" Type="http://schemas.openxmlformats.org/officeDocument/2006/relationships/image" Target="media/image71.png"/><Relationship Id="rId93" Type="http://schemas.openxmlformats.org/officeDocument/2006/relationships/image" Target="media/image72.png"/><Relationship Id="rId32" Type="http://schemas.openxmlformats.org/officeDocument/2006/relationships/hyperlink" Target="http://www.sec.gov/ix?doc=/Archives/edgar/data/1544227/000154422721000018/mlnd-20201231.htm" TargetMode="External"/><Relationship Id="rId33" Type="http://schemas.openxmlformats.org/officeDocument/2006/relationships/hyperlink" Target="http://www.sec.gov/ix?doc=/Archives/edgar/data/1544227/000154422721000026/mlnd-20201231.htm" TargetMode="External"/><Relationship Id="rId34" Type="http://schemas.openxmlformats.org/officeDocument/2006/relationships/hyperlink" Target="http://www.sec.gov/ix?doc=/Archives/edgar/data/1544227/000154422721000029/mlnd-20210331.htm" TargetMode="External"/><Relationship Id="rId35" Type="http://schemas.openxmlformats.org/officeDocument/2006/relationships/hyperlink" Target="http://www.sec.gov/Archives/edgar/data/1544227/000119312521189024/d165428d8k.htm" TargetMode="External"/><Relationship Id="rId36" Type="http://schemas.openxmlformats.org/officeDocument/2006/relationships/hyperlink" Target="http://www.sec.gov/Archives/edgar/data/1544227/000119312521209988/d69289d8k.htm" TargetMode="External"/><Relationship Id="rId37" Type="http://schemas.openxmlformats.org/officeDocument/2006/relationships/hyperlink" Target="http://www.sec.gov/Archives/edgar/data/1544227/000119312521212534/d181625d8k.htm" TargetMode="External"/><Relationship Id="rId38" Type="http://schemas.openxmlformats.org/officeDocument/2006/relationships/hyperlink" Target="http://www.sec.gov/Archives/edgar/data/1544227/000119312521217458/d138850d8k.htm" TargetMode="External"/><Relationship Id="rId39" Type="http://schemas.openxmlformats.org/officeDocument/2006/relationships/hyperlink" Target="http://www.sec.gov/Archives/edgar/data/1544227/000110465913033085/a13-9660_28a12b.htm" TargetMode="External"/><Relationship Id="rId79" Type="http://schemas.openxmlformats.org/officeDocument/2006/relationships/hyperlink" Target="http://www.sec.gov/ix?doc=/Archives/edgar/data/0001544227/000154422721000018/mlnd-20201231.htm" TargetMode="External"/><Relationship Id="rId80" Type="http://schemas.openxmlformats.org/officeDocument/2006/relationships/hyperlink" Target="http://www.sec.gov/ix?doc=/Archives/edgar/data/0001544227/000154422721000026/mlnd-20201231.htm" TargetMode="External"/><Relationship Id="rId81" Type="http://schemas.openxmlformats.org/officeDocument/2006/relationships/hyperlink" Target="http://www.sec.gov/ix?doc=/Archives/edgar/data/0001544227/000154422721000029/mlnd-20210331.htm" TargetMode="External"/><Relationship Id="rId82" Type="http://schemas.openxmlformats.org/officeDocument/2006/relationships/hyperlink" Target="http://www.sec.gov/Archives/edgar/data/0001544227/000119312521189024/d165428d8k.htm" TargetMode="External"/><Relationship Id="rId83" Type="http://schemas.openxmlformats.org/officeDocument/2006/relationships/hyperlink" Target="http://www.sec.gov/Archives/edgar/data/0001544227/000119312521209988/d69289d8k.htm" TargetMode="External"/><Relationship Id="rId84" Type="http://schemas.openxmlformats.org/officeDocument/2006/relationships/hyperlink" Target="http://www.sec.gov/Archives/edgar/data/0001544227/000110465913033085/a13-9660_2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2021-07-23T15:39:46Z</dcterms:created>
  <dcterms:modified xsi:type="dcterms:W3CDTF">2021-07-23T15:39:46Z</dcterms:modified>
</cp:coreProperties>
</file>