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320040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1"/>
          <w:szCs w:val="41"/>
          <w:b w:val="1"/>
          <w:bCs w:val="1"/>
          <w:color w:val="auto"/>
        </w:rPr>
        <w:t>TEMPEST THERAPEUTICS, INC.</w:t>
      </w:r>
    </w:p>
    <w:p>
      <w:pPr>
        <w:spacing w:after="0" w:line="6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ind w:left="2580"/>
        <w:spacing w:after="0"/>
        <w:tabs>
          <w:tab w:leader="none" w:pos="8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45-1472564</w:t>
      </w:r>
    </w:p>
    <w:p>
      <w:pPr>
        <w:spacing w:after="0" w:line="28" w:lineRule="exact"/>
        <w:rPr>
          <w:sz w:val="24"/>
          <w:szCs w:val="24"/>
          <w:color w:val="auto"/>
        </w:rPr>
      </w:pPr>
    </w:p>
    <w:p>
      <w:pPr>
        <w:ind w:left="104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Number)</w:t>
      </w:r>
    </w:p>
    <w:p>
      <w:pPr>
        <w:spacing w:after="0" w:line="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Brisbane, California, 94005</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(415) 798-8589</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Stephen Brady</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Brisbane, California, 94005</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(415) 798-8589</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Laura Berezin</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Jaime Chase</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1700 Seventh Avenue, Suite 1900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Seattle, Washington 98101</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(206) 452-8756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5"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63" w:lineRule="exact"/>
        <w:rPr>
          <w:sz w:val="24"/>
          <w:szCs w:val="24"/>
          <w:color w:val="auto"/>
        </w:rPr>
      </w:pPr>
    </w:p>
    <w:p>
      <w:pPr>
        <w:ind w:left="1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ind w:left="120"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100"/>
          </w:cols>
          <w:pgMar w:left="320" w:top="225" w:right="479" w:bottom="0" w:gutter="0" w:footer="0" w:header="0"/>
        </w:sectPr>
      </w:pPr>
    </w:p>
    <w:p>
      <w:pPr>
        <w:spacing w:after="0" w:line="66" w:lineRule="exact"/>
        <w:rPr>
          <w:sz w:val="24"/>
          <w:szCs w:val="24"/>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w:t>
      </w:r>
    </w:p>
    <w:p>
      <w:pPr>
        <w:sectPr>
          <w:pgSz w:w="11900" w:h="16838" w:orient="portrait"/>
          <w:cols w:equalWidth="0" w:num="1">
            <w:col w:w="11100"/>
          </w:cols>
          <w:pgMar w:left="320" w:top="225" w:right="479" w:bottom="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40"/>
          </w:cols>
          <w:pgMar w:left="440" w:top="117" w:right="8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JULY 19, 2024</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99060</wp:posOffset>
            </wp:positionV>
            <wp:extent cx="214312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39"/>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0"/>
          <w:szCs w:val="20"/>
          <w:color w:val="auto"/>
        </w:rPr>
      </w:pPr>
    </w:p>
    <w:p>
      <w:pPr>
        <w:jc w:val="both"/>
        <w:ind w:left="120" w:right="180"/>
        <w:spacing w:after="0" w:line="281" w:lineRule="auto"/>
        <w:rPr>
          <w:sz w:val="20"/>
          <w:szCs w:val="20"/>
          <w:color w:val="auto"/>
        </w:rPr>
      </w:pPr>
      <w:r>
        <w:rPr>
          <w:rFonts w:ascii="Times New Roman" w:cs="Times New Roman" w:eastAsia="Times New Roman" w:hAnsi="Times New Roman"/>
          <w:sz w:val="16"/>
          <w:szCs w:val="16"/>
          <w:color w:val="auto"/>
        </w:rPr>
        <w:t>From time to time, we may offer up to $300,000,000 of any combination of the securities described in this prospectus in one or more offerings. We may also offer the securities registered hereunder as may be issuable upon conversion, redemption, repurchase, exchange or exercise of any securities registered hereunder, including any applicable anti-dilution provisions.</w:t>
      </w:r>
    </w:p>
    <w:p>
      <w:pPr>
        <w:spacing w:after="0" w:line="6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129" w:lineRule="exact"/>
        <w:rPr>
          <w:sz w:val="20"/>
          <w:szCs w:val="20"/>
          <w:color w:val="auto"/>
        </w:rPr>
      </w:pPr>
    </w:p>
    <w:p>
      <w:pPr>
        <w:ind w:left="120" w:right="160"/>
        <w:spacing w:after="0" w:line="298"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“TPST.” On July 18, 2024 the last reported sale price of our common stock was $1.95 per share.</w:t>
      </w:r>
    </w:p>
    <w:p>
      <w:pPr>
        <w:spacing w:after="0" w:line="56"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6"/>
          <w:szCs w:val="16"/>
          <w:color w:val="auto"/>
        </w:rPr>
        <w:t>As of July 18, 2024, the aggregate market value of our common stock held by our non-affiliates, as calculated pursuant to the rules of the Securities and Exchange Commission, was approximately $40.6 million, based upon 20,842,381 shares of our outstanding common stock held by non-affiliates at the per share price of $1.95, the closing sale price of our common stock on Nasdaq on July 18, 2024. We have not offered any securities pursuant to General Instruction I.B.6 of Form S-3 during the prior 12-calendar-month period that ends on and includes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w:t>
      </w:r>
    </w:p>
    <w:p>
      <w:pPr>
        <w:spacing w:after="0" w:line="76"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78"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9"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6 of this prospectus and any similar section contained in the applicable prospectus supplement and any related free writing prospectus, and under similar headings in the other documents that are incorporated by reference into this prospectus, as described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 2024.</w:t>
      </w:r>
    </w:p>
    <w:p>
      <w:pPr>
        <w:sectPr>
          <w:pgSz w:w="11900" w:h="16838" w:orient="portrait"/>
          <w:cols w:equalWidth="0" w:num="1">
            <w:col w:w="11120"/>
          </w:cols>
          <w:pgMar w:left="320" w:top="455"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from time to time,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91"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The distribution of this prospectus and any related prospectus supplement or free writing prospectuses and the offering of our securities in certain jurisdictions may be restricted by law. Persons outside the United States who come into possession of this prospectus and any related prospectus supplement or free writing prospectuses must inform themselves about, and observe any restrictions relating to, the offering of our securities and the distribution of this prospectus and any related prospectus supplement outside the United States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take no responsibility for, and can provide no assurance as to the reliability of, any other information that others may give you.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including the information incorporated by reference herein, from our own research as well as from industry and general publications, surveys and studies conducted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and information incorporated by reference herein. These and other factors could cause results to differ materially from those expressed in the estimates made by the independent parties and by 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7"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for which we recently released new and positive data results from our randomized Phase 1b/2 study in first-line hepatocellular carcinoma, or HCC, on June 20, 2024, and which we plan to advance into a Phase 3 clinical trial in HCC, subject to ongoing discussions with the U.S. Food and Drug Administration, or FDA. TPST-1495, a dual antagonist of the EP2 and EP4 receptors of prostaglandin E2, is in the process of completing its Phase 1 trials and we are working with the Cancer Prevention Clinical Trials Network on a National Cancer Institute -funded Phase 2 study and subject to final approval from the consortium, plan to start the study in the second half of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in the applicable prospectus supplement and contained in our most recent Annual Report on Form 10-K and in our most recent Quarterly Report on Form 10-Q, as well as any amendments thereto reflected in subsequent filings with the SEC, before you invest in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exception from compliance with the auditor attestation requirements of Section 404 of the Sarbanes-Oxley Act of 2002, as amended.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up to a total dollar amount of $300,000,000, from time to time under this prospectus, together with the applicable prospectus supplement and any related free writing prospectuses,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prospectuses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29" w:lineRule="exact"/>
        <w:rPr>
          <w:sz w:val="20"/>
          <w:szCs w:val="20"/>
          <w:color w:val="auto"/>
        </w:rPr>
      </w:pPr>
    </w:p>
    <w:p>
      <w:pPr>
        <w:ind w:left="30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or for any other purpose we describe in the applicable prospectus supplement.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 The applicable prospectus supplement will contain information, where applicable, as to other listings, if any, on the Nasdaq Capital Market or other securities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in their entirety, together with other information in this prospectus, any related prospectus supplement, the documents incorporated by reference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as amended, or the Securities Act, and Section 21E of the Exchange Act. The words “may,” “might,” “will,” “could,” “would,” “should,” “expect,” “intend,” “plan,” “objective,” “anticipate,” “believe,” “estimate,” “predict,” “project,” “potential,” “continue” and “ongoing,” or the negative of these terms, or other comparable terminology are intended to identify forward-looking statements, but are not the exclusive means of identifying such statements.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may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76"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87"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restated certificate of incorporation, as amended, and amended and restated bylaws. This description also summarizes relevant provisions of the General Corporation Law of the State of Delaware, or “DGCL.” Therefore, please carefully consider the actual provisions of the restated certificate of incorporation, as amended, and amended and restated bylaws, which have been filed with the SEC as exhibits to the registration statement of which this prospectus forms a part, and the DGCL.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See “Preferred Stock Purchase Rights” below.</w:t>
      </w:r>
    </w:p>
    <w:p>
      <w:pPr>
        <w:spacing w:after="0" w:line="16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(each a “Purchase Right,” and collectively, the “Purchase Rights”) to purchase one-thousandth of one share of our newly designated Preferred Shares (as defined below) for each outstanding share of our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(“Rights Agent”). The Rights Agent currently serves as our transfer agent with respect to our common stock and also has been appointed transfer agent with respect to the Series A Junior Participating Preferred Stock, par value $0.001 per share (each, a “Preferred Share” and collectively, the “Preferred Shares”), if any, that may be issued pursuant to the exercise of Purchase Rights under the Rights Agreement. The Purchase Rights will expire on October 10, 2024 or, if our stockholders approve the Rights Plan, on October 10, 2026 (“Final Expiration Date”), unless the Purchase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the Board. The Rights Agreement was adopted in response to the significant and ongoing dislocation in the trading price of our common stock and not in response to a specific takeover threat. Our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Purchase Rights will not be exercisable and will trade with shares of our common stock until the earlier to occur of (a) the tenth calendar day (or such later date as may be determined by the board) after a person or group acquires beneficial ownership of 10% (15% in the case of a passive institutional investor) or more of our outstanding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term “Acquiring Person” is subject to certain customary exceptions whereby certain stockholders that would have otherwise been an Acquiring Person are excluded from the definition of “Acquiring Person.” Any stockholders with beneficial ownership of our common stock above the applicable threshold as of the time of this announcement are grandfathered at their current ownership levels but are not permitted to increase their ownership without triggering the Purchase Rights. Prior to exercise, the Purchase Right does not give its holder any dividend, voting or liquidation rights.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date when the Purchase Rights separate from our common stock and become exercisable is referred to herein as the “Distribution Date.” Until that date, common stock certificates or, in the case of uncertificated shares, notations in the book-entry account system, will evidence the Purchase Rights, and any transfer of shares of our common stock will constitute a transfer of Purchase Rights. After the Distribution Date, the Purchase Rights will be evidenced by separate book-entry credits or by Purchase Rights certificates that the Company will mail to all eligible, certificated holders of our common stock. Any Purchase Rights held by an Acquiring Person are null and void and may not be exercised.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spacing w:after="0" w:line="222" w:lineRule="auto"/>
        <w:rPr>
          <w:sz w:val="20"/>
          <w:szCs w:val="20"/>
          <w:color w:val="auto"/>
        </w:rPr>
      </w:pPr>
      <w:r>
        <w:rPr>
          <w:rFonts w:ascii="Times New Roman" w:cs="Times New Roman" w:eastAsia="Times New Roman" w:hAnsi="Times New Roman"/>
          <w:sz w:val="18"/>
          <w:szCs w:val="18"/>
          <w:color w:val="auto"/>
        </w:rPr>
        <w:t>After the Distribution Date, each Purchase Right will entitle the holder to purchase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has economic terms similar to that of one share of our common stock. The Exercise Price payable, and the number of Preferred Shares or other securities or other property issuable upon exercise of the Purchase Rights will be subject to adjustment from time to time to prevent dilution in the event of a stock dividend on, or a subdivision, combination or reclassification of, the Preferred Shares. The exercise of Purchase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issuable upon the exercise of one Purchase Right, which may, at our election, be evidenced by depositary receipts), and in lieu thereof, an adjustment in cash will be made based on the market price of the Preferred Shares on the last trading day prior to the date of exercise.</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 whether or not such interests are considered to be ownership of underlying shares of our common stock or are reportable for purposes of Regulation 13D of the Securities Exchange Act of 1934, as amended — are treated as beneficial ownership of the number of shares of our common stock equivalent to the economic exposure created by the derivative position, to the extent actual shares of our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133" w:lineRule="exact"/>
        <w:rPr>
          <w:sz w:val="20"/>
          <w:szCs w:val="20"/>
          <w:color w:val="auto"/>
        </w:rPr>
      </w:pPr>
    </w:p>
    <w:p>
      <w:pPr>
        <w:ind w:left="108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Purchase Rights except the Acquiring Person or its affiliates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Exercise Price, purchase shares of Company Common Stock with a market value of twice the Exercise Price.</w:t>
      </w:r>
    </w:p>
    <w:p>
      <w:pPr>
        <w:spacing w:after="0" w:line="63"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the Board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Purchase Rights (other than Purchase Rights owned by the Acquiring Person or its affiliates), in whole or in part, for shares of our common stock at an exchange ratio of one share of our common stock per Purchase Right (subject to adjustment).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right="80" w:hanging="424"/>
        <w:spacing w:after="0" w:line="26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the Company is later acquired in a merger or similar transaction after the Distribution Date, all holders of Purchase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Acquiring Person or its affiliates may purchase, for the Exercise Price, a number of shares of our common stock of the person engaging in the transaction having a market value of twice the Exercise Price.</w:t>
      </w:r>
    </w:p>
    <w:p>
      <w:pPr>
        <w:spacing w:after="0" w:line="279"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b w:val="1"/>
          <w:bCs w:val="1"/>
          <w:i w:val="1"/>
          <w:iCs w:val="1"/>
          <w:color w:val="auto"/>
        </w:rPr>
        <w:t>Company Preferred Share Provision</w:t>
      </w:r>
    </w:p>
    <w:p>
      <w:pPr>
        <w:spacing w:after="0" w:line="121"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the our common stock;</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would rank junior to any other series of the Company’s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Rights will expire on the Final Expiration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board may redeem the Purchase Rights for $0.001 per Purchase Right at any time prior to the earlier of (A) such time as any person or group becomes an Acquiring Person or (B) the close of business on the Final Expiration Date. Following the expiration of the above periods, the Purchase Rights become nonredeemable. If the board redeems any Purchase Rights, it must redeem all of the Purchase Rights. Once the Purchase Rights are redeemed, the only right of the holders of Purchase Rights will be to receive the redemption price of $0.001 per Purchase Right. The redemption price will be adjusted if the Company effects a stock split or stock dividend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Rights will have the benefit of certain customary anti-dilution provisions.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terms of the Rights Agreement may be amended by the board without the consent of the holders of the Purchase Rights. After a person or group becomes an Acquiring Person, the board may not amend the Rights Agreement in a way that adversely affects holders of the Purchase Rights.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to redeem the Purchase Rights. Until a Purchase Right is exercised, the holder thereof, as such, will have no rights as a stockholder of the Company, including, without limitation, the right to vote or to receive dividends.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2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If a dealer is used in the sale of securities, we or an underwriter will sell the securities to the dealer, as principal. The dealer may then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Seattle, Washington.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66">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67">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69">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0">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1">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7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registering our common stock under Section 12 of the Exchange Act, which was filed with the SEC on April 25, 2013, as updated by </w:t>
      </w:r>
      <w:hyperlink r:id="rId7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(other than current reports furnished under Item 2.02 or Item 7.01 of</w:t>
      </w:r>
    </w:p>
    <w:p>
      <w:pPr>
        <w:spacing w:after="0" w:line="27" w:lineRule="exact"/>
        <w:rPr>
          <w:rFonts w:ascii="Times New Roman" w:cs="Times New Roman" w:eastAsia="Times New Roman" w:hAnsi="Times New Roman"/>
          <w:sz w:val="18"/>
          <w:szCs w:val="18"/>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Form 8-K and exhibits filed on such form that are related to such items unless such Form 8-K expressly provides to the contrary)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 94005, telephone: (415) 798-8589.</w:t>
      </w:r>
    </w:p>
    <w:p>
      <w:pPr>
        <w:spacing w:after="0" w:line="180"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55"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20" w:right="3340" w:firstLine="3380"/>
        <w:spacing w:after="0" w:line="378" w:lineRule="auto"/>
        <w:rPr>
          <w:sz w:val="20"/>
          <w:szCs w:val="20"/>
          <w:color w:val="auto"/>
        </w:rPr>
      </w:pPr>
      <w:r>
        <w:rPr>
          <w:rFonts w:ascii="Times New Roman" w:cs="Times New Roman" w:eastAsia="Times New Roman" w:hAnsi="Times New Roman"/>
          <w:sz w:val="18"/>
          <w:szCs w:val="18"/>
          <w:b w:val="1"/>
          <w:bCs w:val="1"/>
          <w:color w:val="auto"/>
        </w:rPr>
        <w:t>INFORMATION NOT REQUIRED IN PROSPECTUS Item 14. Other Expenses of Issuance and Distribution</w:t>
      </w: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 and the FINRA filing fee.</w:t>
      </w:r>
    </w:p>
    <w:p>
      <w:pPr>
        <w:sectPr>
          <w:pgSz w:w="11900" w:h="16838" w:orient="portrait"/>
          <w:cols w:equalWidth="0" w:num="1">
            <w:col w:w="11100"/>
          </w:cols>
          <w:pgMar w:left="320" w:top="455" w:right="479" w:bottom="1440" w:gutter="0" w:footer="0" w:header="0"/>
        </w:sectPr>
      </w:pPr>
    </w:p>
    <w:p>
      <w:pPr>
        <w:spacing w:after="0" w:line="16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Trustee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Printing and miscellaneous expenses</w:t>
      </w:r>
    </w:p>
    <w:p>
      <w:pPr>
        <w:spacing w:after="0" w:line="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$14,603</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440" w:hanging="439"/>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771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wp:posOffset>
            </wp:positionV>
            <wp:extent cx="377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7940" w:space="720"/>
            <w:col w:w="2440"/>
          </w:cols>
          <w:pgMar w:left="320" w:top="455" w:right="479" w:bottom="1440" w:gutter="0" w:footer="0" w:header="0"/>
          <w:type w:val="continuous"/>
        </w:sect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Corporate Law, or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amended certificate of incorporation and amended and restated bylaws provide for indemnification by the registrant of its directors and officers to the fullest extent permitted by the DGCL.</w:t>
      </w:r>
    </w:p>
    <w:p>
      <w:pPr>
        <w:spacing w:after="0" w:line="189"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3" w:lineRule="exact"/>
        <w:rPr>
          <w:sz w:val="20"/>
          <w:szCs w:val="20"/>
          <w:color w:val="auto"/>
        </w:rPr>
      </w:pPr>
    </w:p>
    <w:p>
      <w:pPr>
        <w:ind w:left="120" w:right="120" w:hanging="4"/>
        <w:spacing w:after="0" w:line="260"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amended certificate of incorporation provides for such limitation of liability to the fullest extent permitted by the DGCL.</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to provide contractual indemnification in addition to the indemnification provided in its restated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payments which may be made by the registrant to such officers and directors pursuant to any indemnification provision contained in the registrant’s amended certificate of incorporation and amended and restated bylaws or otherwise as a matter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760" w:type="dxa"/>
            <w:vAlign w:val="bottom"/>
            <w:gridSpan w:val="1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1.2</w:t>
            </w:r>
          </w:p>
        </w:tc>
        <w:tc>
          <w:tcPr>
            <w:tcW w:w="92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Sales Agreement, dated June 20, 2024, between the Company and Jefferies LLC (incorporated by reference to Exhibit 1.1 of the</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Registrant’s Current Report on Form 8-K (File No. 001-35890), filed with the SEC on June 20, 2024).</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2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Agreement and Plan of Merger, dated as of March 29, 2021, by and among Tempest Therapeutics, Inc., Mars Merger Corp. and</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Tempest Therapeutics, Inc. (incorporated by reference to Exhibit 2.1 of the Registrant’s Current Report on Form 8-K (File</w:t>
              </w:r>
            </w:hyperlink>
          </w:p>
        </w:tc>
        <w:tc>
          <w:tcPr>
            <w:tcW w:w="1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No. 001-35890), filed with the SEC on March 29, 2021.</w:t>
              </w:r>
            </w:hyperlink>
          </w:p>
        </w:tc>
        <w:tc>
          <w:tcPr>
            <w:tcW w:w="5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Restated Certificate of Incorporation of the Registrant (incorporated by reference to Exhibit 3.1 to the Registrant’s Quarterly Report on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10-Q (File No. 001-35890), filed with the SEC on May 15, 2019).</w:t>
              </w:r>
            </w:hyperlink>
          </w:p>
        </w:tc>
        <w:tc>
          <w:tcPr>
            <w:tcW w:w="4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Certificate of Amendment to the Restated Certificate of Incorporation of the Registrant (incorporated by reference to Exhibit 3.1 to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Registrant’sCurrent Report on Form 8-K (File No. 001-35890), filed with the SEC on June 28, 2021).</w:t>
              </w:r>
            </w:hyperlink>
          </w:p>
        </w:tc>
        <w:tc>
          <w:tcPr>
            <w:tcW w:w="2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Certificate of Amendment to the Restated Certificate of Incorporation of the Registrant (incorporated by reference to Exhibit 3.2 to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Registrant’sCurrent Report on Form 8-K (File No. 001-35890), filed with the SEC on June 28, 2021).</w:t>
              </w:r>
            </w:hyperlink>
          </w:p>
        </w:tc>
        <w:tc>
          <w:tcPr>
            <w:tcW w:w="2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w:t>
            </w:r>
          </w:p>
        </w:tc>
        <w:tc>
          <w:tcPr>
            <w:tcW w:w="9800" w:type="dxa"/>
            <w:vAlign w:val="bottom"/>
            <w:gridSpan w:val="2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Designation of Series A Junior Participating Preferred Stock filed with the Secretary of State of the State of Delaware 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October 10, 2023 (incorporated by reference to Exhibit 3.1 of the Registrant’s Current Report on Form 8-K (File No. 35890), filed with</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SEC on October 11, 2023).</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3.6</w:t>
            </w:r>
          </w:p>
        </w:tc>
        <w:tc>
          <w:tcPr>
            <w:tcW w:w="9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Amended and Restated Bylaws of the Registrant (incorporated by reference to Exhibit 3.1 of the Registrant’s Current Report on Form</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8-K (File No. 35890), filed with the SEC on September 24, 2021).</w:t>
              </w:r>
            </w:hyperlink>
          </w:p>
        </w:tc>
        <w:tc>
          <w:tcPr>
            <w:tcW w:w="5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Tempest Therapeutics, Inc. Warrant to Purchase Stock (incorporated by reference to Exhibit 4.2 to the Registration Statement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on Form S-4/A (File No. 333-255198) filed with the SEC on May 4, 2021).</w:t>
              </w:r>
            </w:hyperlink>
          </w:p>
        </w:tc>
        <w:tc>
          <w:tcPr>
            <w:tcW w:w="4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800" w:type="dxa"/>
            <w:vAlign w:val="bottom"/>
            <w:gridSpan w:val="22"/>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Registration Rights Agreement, dated April 26, 2022, by and among Tempest Therapeutics, Inc. and the persons party thereto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488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(incorporated by reference to Exhibit 10.2 to Registrant’s Current Report on Form 8-K (File No. 001-35890) filed with the SEC on</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May 2, 2022).</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Rights Agreement, dated as of October 10, 2023, between Tempest Therapeutics, Inc. and Computershare Trust Company, N.A., which</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includes the form of Certificate of Designation as Exhibit A, the form of Right Certificate as Exhibit B and the Summary of Rights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Purchase Preferred Shares as Exhibit C (incorporated by reference to Exhibit 4.1 of Registrant’s Current Report on Form 8-K (File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No. 001-35890), filed with the SEC on October 11,2023).</w:t>
              </w:r>
            </w:hyperlink>
          </w:p>
        </w:tc>
        <w:tc>
          <w:tcPr>
            <w:tcW w:w="5240" w:type="dxa"/>
            <w:vAlign w:val="bottom"/>
            <w:tcBorders>
              <w:top w:val="single" w:sz="8" w:color="0000EE"/>
            </w:tcBorders>
            <w:gridSpan w:val="9"/>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Form of Debt Indenture.</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Debt Securities.</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of Common Stock Warrant Agreement and Warrant Certificate.</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76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4.7*</w:t>
      </w:r>
      <w:r>
        <w:rPr>
          <w:rFonts w:ascii="Times New Roman" w:cs="Times New Roman" w:eastAsia="Times New Roman" w:hAnsi="Times New Roman"/>
          <w:sz w:val="17"/>
          <w:szCs w:val="17"/>
          <w:color w:val="auto"/>
        </w:rPr>
        <w:t>Form of Preferred Stock Warrant Agreement and Warrant Certificate.</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4.8*</w:t>
      </w:r>
      <w:r>
        <w:rPr>
          <w:rFonts w:ascii="Times New Roman" w:cs="Times New Roman" w:eastAsia="Times New Roman" w:hAnsi="Times New Roman"/>
          <w:sz w:val="17"/>
          <w:szCs w:val="17"/>
          <w:color w:val="auto"/>
        </w:rPr>
        <w:t>Form of Debt Securities Warrant Agreement and Warrant Certificate.</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4.9*</w:t>
      </w:r>
      <w:r>
        <w:rPr>
          <w:rFonts w:ascii="Times New Roman" w:cs="Times New Roman" w:eastAsia="Times New Roman" w:hAnsi="Times New Roman"/>
          <w:sz w:val="18"/>
          <w:szCs w:val="18"/>
          <w:color w:val="auto"/>
        </w:rPr>
        <w:t>Form of Specimen Preferred Stock Certificate and Certificate of Designations of Preferred Stock.</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4.10*</w:t>
      </w:r>
      <w:r>
        <w:rPr>
          <w:rFonts w:ascii="Times New Roman" w:cs="Times New Roman" w:eastAsia="Times New Roman" w:hAnsi="Times New Roman"/>
          <w:sz w:val="18"/>
          <w:szCs w:val="18"/>
          <w:color w:val="auto"/>
        </w:rPr>
        <w:t>Form of Rights Agreement.</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4.11*</w:t>
      </w:r>
      <w:r>
        <w:rPr>
          <w:rFonts w:ascii="Times New Roman" w:cs="Times New Roman" w:eastAsia="Times New Roman" w:hAnsi="Times New Roman"/>
          <w:sz w:val="17"/>
          <w:szCs w:val="17"/>
          <w:color w:val="auto"/>
        </w:rPr>
        <w:t>Form of Unit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Cooley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Ernst &amp; Young LLP, Independent Registered Public Accounting Firm to Tempest Therapeutics, Inc.</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8"/>
          <w:szCs w:val="18"/>
          <w:u w:val="single" w:color="auto"/>
          <w:color w:val="0000EE"/>
        </w:rPr>
        <w:t>Consent of Cooley LLP (included in Exhibit 5.1).</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on signature page).</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25.1*</w:t>
      </w:r>
      <w:r>
        <w:rPr>
          <w:rFonts w:ascii="Times New Roman" w:cs="Times New Roman" w:eastAsia="Times New Roman" w:hAnsi="Times New Roman"/>
          <w:sz w:val="17"/>
          <w:szCs w:val="17"/>
          <w:color w:val="auto"/>
        </w:rPr>
        <w:t>Statement of Eligibility of Trustee under the Indenture.</w:t>
      </w:r>
    </w:p>
    <w:p>
      <w:pPr>
        <w:spacing w:after="0" w:line="129"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131" w:lineRule="exact"/>
        <w:rPr>
          <w:sz w:val="20"/>
          <w:szCs w:val="20"/>
          <w:color w:val="auto"/>
        </w:rPr>
      </w:pPr>
    </w:p>
    <w:p>
      <w:pPr>
        <w:ind w:left="120" w:right="1780" w:hanging="4"/>
        <w:spacing w:after="0" w:line="423" w:lineRule="auto"/>
        <w:tabs>
          <w:tab w:leader="none" w:pos="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by a report filed under the Exchange Act and incorporated herein by reference, if applicable. ** Filed herewith.</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100" w:right="100" w:firstLine="7"/>
        <w:spacing w:after="0" w:line="255" w:lineRule="auto"/>
        <w:tabs>
          <w:tab w:leader="none" w:pos="13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100" w:right="260" w:firstLine="7"/>
        <w:spacing w:after="0" w:line="282" w:lineRule="auto"/>
        <w:tabs>
          <w:tab w:leader="none" w:pos="141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undertakings set forth in paragraphs (1)(i), (1)(ii) and (1)(iii) above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74" w:lineRule="exact"/>
        <w:rPr>
          <w:sz w:val="20"/>
          <w:szCs w:val="20"/>
          <w:color w:val="auto"/>
        </w:rPr>
      </w:pPr>
    </w:p>
    <w:p>
      <w:pPr>
        <w:ind w:left="560" w:hanging="4"/>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60" w:hanging="4"/>
        <w:spacing w:after="0" w:line="282"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100" w:right="100" w:firstLine="7"/>
        <w:spacing w:after="0" w:line="282" w:lineRule="auto"/>
        <w:tabs>
          <w:tab w:leader="none" w:pos="131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00" w:right="60" w:firstLine="7"/>
        <w:spacing w:after="0" w:line="253" w:lineRule="auto"/>
        <w:tabs>
          <w:tab w:leader="none" w:pos="13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560" w:hanging="4"/>
        <w:spacing w:after="0" w:line="254"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ind w:left="560" w:right="200" w:hanging="4"/>
        <w:spacing w:after="0" w:line="261"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1" w:lineRule="exact"/>
        <w:rPr>
          <w:rFonts w:ascii="Times New Roman" w:cs="Times New Roman" w:eastAsia="Times New Roman" w:hAnsi="Times New Roman"/>
          <w:sz w:val="18"/>
          <w:szCs w:val="18"/>
          <w:color w:val="auto"/>
        </w:rPr>
      </w:pPr>
    </w:p>
    <w:p>
      <w:pPr>
        <w:ind w:left="560" w:hanging="4"/>
        <w:spacing w:after="0" w:line="258"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Act in accordance with the rules and regulations prescribed by the Commission under Section 305(b)(2) of the Trust Indenture Act.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1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Brisbane, State of California, on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Brady</w:t>
            </w:r>
          </w:p>
        </w:tc>
      </w:tr>
      <w:tr>
        <w:trPr>
          <w:trHeight w:val="189"/>
        </w:trPr>
        <w:tc>
          <w:tcPr>
            <w:tcW w:w="300" w:type="dxa"/>
            <w:vAlign w:val="bottom"/>
          </w:tcPr>
          <w:p>
            <w:pPr>
              <w:spacing w:after="0"/>
              <w:rPr>
                <w:sz w:val="16"/>
                <w:szCs w:val="16"/>
                <w:color w:val="auto"/>
              </w:rPr>
            </w:pPr>
          </w:p>
        </w:tc>
        <w:tc>
          <w:tcPr>
            <w:tcW w:w="4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Stephen Brady</w:t>
            </w:r>
          </w:p>
        </w:tc>
      </w:tr>
      <w:tr>
        <w:trPr>
          <w:trHeight w:val="236"/>
        </w:trPr>
        <w:tc>
          <w:tcPr>
            <w:tcW w:w="3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Stephen Brady and Nicholas Maestas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9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below as of July 19,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Brady</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Brady</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Nicholas Maestas</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Strategy and Finance and Secretary</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Nicholas Maestas</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Justin Trojanowski</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 Treasurer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Trojanowski</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Raab</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Raab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Pellizzari</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Christine Pellizzari</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 Nichol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Nichol, M.B., Ch.B., M.B.A.</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Ronit Simantov</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Ronit Simantov, M.D.</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Iss</w:t>
      </w: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b w:val="1"/>
          <w:bCs w:val="1"/>
          <w:color w:val="auto"/>
        </w:rPr>
        <w:t>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ectPr>
          <w:pgSz w:w="11900" w:h="16838" w:orient="portrait"/>
          <w:cols w:equalWidth="0" w:num="1">
            <w:col w:w="10020"/>
          </w:cols>
          <w:pgMar w:left="1440" w:top="117" w:right="4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Definitions of Terms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Authenticating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Sinking Fund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1320" w:type="dxa"/>
            <w:vAlign w:val="bottom"/>
          </w:tcPr>
          <w:p>
            <w:pPr>
              <w:spacing w:after="0"/>
              <w:rPr>
                <w:sz w:val="24"/>
                <w:szCs w:val="24"/>
                <w:color w:val="auto"/>
              </w:rPr>
            </w:pPr>
          </w:p>
        </w:tc>
        <w:tc>
          <w:tcPr>
            <w:tcW w:w="856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i.</w:t>
            </w:r>
          </w:p>
        </w:tc>
        <w:tc>
          <w:tcPr>
            <w:tcW w:w="10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7</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CONCERNING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Certain Rights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7.03  Trustee Not Responsible for Recitals or Issuance or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7.04  May Hold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7.05  Moneys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7.06  Compensation and Reimbursement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7.07  Reliance on Officer’s Certificate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7.08  Disqualification; Conflicting Interests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7.09  Corporate Trustee Required; Eligibility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7.10  Resignation and Removal; Appointment of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7.11  Acceptance of Appointment By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7.12  Merger, Conversion, Consolidation or Succession to Business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5"/>
        </w:trPr>
        <w:tc>
          <w:tcPr>
            <w:tcW w:w="1140" w:type="dxa"/>
            <w:vAlign w:val="bottom"/>
          </w:tcPr>
          <w:p>
            <w:pPr>
              <w:spacing w:after="0"/>
              <w:rPr>
                <w:sz w:val="24"/>
                <w:szCs w:val="24"/>
                <w:color w:val="auto"/>
              </w:rPr>
            </w:pPr>
          </w:p>
        </w:tc>
        <w:tc>
          <w:tcPr>
            <w:tcW w:w="828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ii.</w:t>
            </w:r>
          </w:p>
        </w:tc>
        <w:tc>
          <w:tcPr>
            <w:tcW w:w="152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ENTITY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to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13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by Successor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4"/>
        </w:trPr>
        <w:tc>
          <w:tcPr>
            <w:tcW w:w="1400" w:type="dxa"/>
            <w:vAlign w:val="bottom"/>
          </w:tcPr>
          <w:p>
            <w:pPr>
              <w:spacing w:after="0"/>
              <w:rPr>
                <w:sz w:val="24"/>
                <w:szCs w:val="24"/>
                <w:color w:val="auto"/>
              </w:rPr>
            </w:pPr>
          </w:p>
        </w:tc>
        <w:tc>
          <w:tcPr>
            <w:tcW w:w="794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iii.</w:t>
            </w:r>
          </w:p>
        </w:tc>
        <w:tc>
          <w:tcPr>
            <w:tcW w:w="16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51" w:name="page52"/>
    <w:bookmarkEnd w:id="5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Jury Trial Waiver</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Separability</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Patriot Act</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1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620" w:type="dxa"/>
            <w:vAlign w:val="bottom"/>
          </w:tcPr>
          <w:p>
            <w:pPr>
              <w:jc w:val="right"/>
              <w:ind w:right="5271"/>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0600"/>
          </w:cols>
          <w:pgMar w:left="800" w:top="266" w:right="4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NDENTURE</w:t>
      </w:r>
      <w:r>
        <w:rPr>
          <w:rFonts w:ascii="Times New Roman" w:cs="Times New Roman" w:eastAsia="Times New Roman" w:hAnsi="Times New Roman"/>
          <w:sz w:val="18"/>
          <w:szCs w:val="18"/>
          <w:color w:val="auto"/>
        </w:rPr>
        <w:t>, dated as of [•], 2024, among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color w:val="auto"/>
        </w:rPr>
        <w:t>], as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53" w:name="page54"/>
    <w:bookmarkEnd w:id="53"/>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corporation duly organized and existing under the laws of the State of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ELAWARE</w:t>
      </w:r>
      <w:r>
        <w:rPr>
          <w:rFonts w:ascii="Times New Roman" w:cs="Times New Roman" w:eastAsia="Times New Roman" w:hAnsi="Times New Roman"/>
          <w:sz w:val="18"/>
          <w:szCs w:val="18"/>
          <w:color w:val="auto"/>
        </w:rPr>
        <w:t>, and, subject to the provisions of Article Ten, shall also include its successors and assigns.</w:t>
      </w:r>
    </w:p>
    <w:p>
      <w:pPr>
        <w:spacing w:after="0" w:line="15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-49530</wp:posOffset>
            </wp:positionV>
            <wp:extent cx="2628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2628265"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4" w:name="page55"/>
    <w:bookmarkEnd w:id="54"/>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5" w:name="page56"/>
    <w:bookmarkEnd w:id="55"/>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jc w:val="center"/>
        <w:ind w:right="2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6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means _________________________, and, subject to the provisions of Article Seven, shall also include its successors and assigns, and,</w:t>
      </w:r>
    </w:p>
    <w:p>
      <w:pPr>
        <w:spacing w:after="0" w:line="4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2001, Pub. L. 107-56, as amended and signed into law October 26, 2001.</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61" w:lineRule="auto"/>
        <w:tabs>
          <w:tab w:leader="none" w:pos="124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1"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b w:val="1"/>
          <w:bCs w:val="1"/>
          <w:color w:val="auto"/>
        </w:rPr>
      </w:pPr>
    </w:p>
    <w:p>
      <w:pPr>
        <w:ind w:right="120" w:firstLine="1428"/>
        <w:spacing w:after="0" w:line="266" w:lineRule="auto"/>
        <w:tabs>
          <w:tab w:leader="none" w:pos="168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57" w:name="page58"/>
    <w:bookmarkEnd w:id="57"/>
    <w:p>
      <w:pPr>
        <w:ind w:left="1680" w:hanging="252"/>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maturity date or dates on which the principal of the Securities of the series is payable;</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 terms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any subordination;</w:t>
      </w:r>
    </w:p>
    <w:p>
      <w:pPr>
        <w:spacing w:after="0" w:line="98" w:lineRule="exact"/>
        <w:rPr>
          <w:rFonts w:ascii="Times New Roman" w:cs="Times New Roman" w:eastAsia="Times New Roman" w:hAnsi="Times New Roman"/>
          <w:sz w:val="18"/>
          <w:szCs w:val="18"/>
          <w:b w:val="1"/>
          <w:bCs w:val="1"/>
          <w:color w:val="auto"/>
        </w:rPr>
      </w:pPr>
    </w:p>
    <w:p>
      <w:pPr>
        <w:ind w:right="80" w:firstLine="1428"/>
        <w:spacing w:after="0" w:line="261" w:lineRule="auto"/>
        <w:tabs>
          <w:tab w:leader="none" w:pos="168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68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3"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117" w:lineRule="exact"/>
        <w:rPr>
          <w:rFonts w:ascii="Times New Roman" w:cs="Times New Roman" w:eastAsia="Times New Roman" w:hAnsi="Times New Roman"/>
          <w:sz w:val="18"/>
          <w:szCs w:val="18"/>
          <w:b w:val="1"/>
          <w:bCs w:val="1"/>
          <w:color w:val="auto"/>
        </w:rPr>
      </w:pPr>
    </w:p>
    <w:p>
      <w:pPr>
        <w:ind w:right="20" w:firstLine="1428"/>
        <w:spacing w:after="0" w:line="266" w:lineRule="auto"/>
        <w:tabs>
          <w:tab w:leader="none" w:pos="176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b w:val="1"/>
          <w:bCs w:val="1"/>
          <w:color w:val="auto"/>
        </w:rPr>
      </w:pPr>
    </w:p>
    <w:p>
      <w:pPr>
        <w:ind w:right="540" w:firstLine="1428"/>
        <w:spacing w:after="0" w:line="266" w:lineRule="auto"/>
        <w:tabs>
          <w:tab w:leader="none" w:pos="177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67"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77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53" w:lineRule="exact"/>
        <w:rPr>
          <w:rFonts w:ascii="Times New Roman" w:cs="Times New Roman" w:eastAsia="Times New Roman" w:hAnsi="Times New Roman"/>
          <w:sz w:val="18"/>
          <w:szCs w:val="18"/>
          <w:b w:val="1"/>
          <w:bCs w:val="1"/>
          <w:color w:val="auto"/>
        </w:rPr>
      </w:pPr>
    </w:p>
    <w:p>
      <w:pPr>
        <w:ind w:right="120" w:firstLine="1428"/>
        <w:spacing w:after="0" w:line="266" w:lineRule="auto"/>
        <w:tabs>
          <w:tab w:leader="none" w:pos="177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8" w:name="page59"/>
    <w:bookmarkEnd w:id="58"/>
    <w:p>
      <w:pPr>
        <w:ind w:right="200" w:firstLine="1428"/>
        <w:spacing w:after="0" w:line="266"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b w:val="1"/>
          <w:bCs w:val="1"/>
          <w:color w:val="auto"/>
        </w:rPr>
      </w:pPr>
    </w:p>
    <w:p>
      <w:pPr>
        <w:jc w:val="both"/>
        <w:ind w:firstLine="1428"/>
        <w:spacing w:after="0" w:line="258"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75"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53" w:lineRule="exact"/>
        <w:rPr>
          <w:rFonts w:ascii="Times New Roman" w:cs="Times New Roman" w:eastAsia="Times New Roman" w:hAnsi="Times New Roman"/>
          <w:sz w:val="18"/>
          <w:szCs w:val="18"/>
          <w:b w:val="1"/>
          <w:bCs w:val="1"/>
          <w:color w:val="auto"/>
        </w:rPr>
      </w:pPr>
    </w:p>
    <w:p>
      <w:pPr>
        <w:ind w:right="62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53" w:lineRule="exact"/>
        <w:rPr>
          <w:rFonts w:ascii="Times New Roman" w:cs="Times New Roman" w:eastAsia="Times New Roman" w:hAnsi="Times New Roman"/>
          <w:sz w:val="18"/>
          <w:szCs w:val="18"/>
          <w:b w:val="1"/>
          <w:bCs w:val="1"/>
          <w:color w:val="auto"/>
        </w:rPr>
      </w:pPr>
    </w:p>
    <w:p>
      <w:pPr>
        <w:ind w:right="18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17"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117" w:lineRule="exact"/>
        <w:rPr>
          <w:rFonts w:ascii="Times New Roman" w:cs="Times New Roman" w:eastAsia="Times New Roman" w:hAnsi="Times New Roman"/>
          <w:sz w:val="18"/>
          <w:szCs w:val="18"/>
          <w:b w:val="1"/>
          <w:bCs w:val="1"/>
          <w:color w:val="auto"/>
        </w:rPr>
      </w:pPr>
    </w:p>
    <w:p>
      <w:pPr>
        <w:ind w:right="40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53" w:lineRule="exact"/>
        <w:rPr>
          <w:rFonts w:ascii="Times New Roman" w:cs="Times New Roman" w:eastAsia="Times New Roman" w:hAnsi="Times New Roman"/>
          <w:sz w:val="18"/>
          <w:szCs w:val="18"/>
          <w:b w:val="1"/>
          <w:bCs w:val="1"/>
          <w:color w:val="auto"/>
        </w:rPr>
      </w:pPr>
    </w:p>
    <w:p>
      <w:pPr>
        <w:ind w:left="1780" w:hanging="352"/>
        <w:spacing w:after="0"/>
        <w:tabs>
          <w:tab w:leader="none" w:pos="17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 U.S.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dollars;</w:t>
      </w:r>
    </w:p>
    <w:p>
      <w:pPr>
        <w:spacing w:after="0" w:line="98" w:lineRule="exact"/>
        <w:rPr>
          <w:rFonts w:ascii="Times New Roman" w:cs="Times New Roman" w:eastAsia="Times New Roman" w:hAnsi="Times New Roman"/>
          <w:sz w:val="18"/>
          <w:szCs w:val="18"/>
          <w:b w:val="1"/>
          <w:bCs w:val="1"/>
          <w:color w:val="auto"/>
        </w:rPr>
      </w:pPr>
    </w:p>
    <w:p>
      <w:pPr>
        <w:ind w:right="14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Times New Roman" w:cs="Times New Roman" w:eastAsia="Times New Roman" w:hAnsi="Times New Roman"/>
          <w:sz w:val="18"/>
          <w:szCs w:val="18"/>
          <w:b w:val="1"/>
          <w:bCs w:val="1"/>
          <w:color w:val="auto"/>
        </w:rPr>
      </w:pPr>
    </w:p>
    <w:p>
      <w:pPr>
        <w:ind w:right="120" w:firstLine="1428"/>
        <w:spacing w:after="0" w:line="282" w:lineRule="auto"/>
        <w:tabs>
          <w:tab w:leader="none" w:pos="17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9" w:name="page60"/>
    <w:bookmarkEnd w:id="59"/>
    <w:p>
      <w:pPr>
        <w:ind w:left="1340" w:hanging="353"/>
        <w:spacing w:after="0"/>
        <w:tabs>
          <w:tab w:leader="none" w:pos="1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restrictions on transfer, sale or assignment of the Securities of the series; and</w:t>
      </w:r>
    </w:p>
    <w:p>
      <w:pPr>
        <w:spacing w:after="0" w:line="117"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33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60" w:name="page61"/>
    <w:bookmarkEnd w:id="60"/>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right="20" w:firstLine="1428"/>
        <w:spacing w:after="0" w:line="253" w:lineRule="auto"/>
        <w:tabs>
          <w:tab w:leader="none" w:pos="168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79"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68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61" w:name="page62"/>
    <w:bookmarkEnd w:id="6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right="160" w:firstLine="440"/>
        <w:spacing w:after="0" w:line="312"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7"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 Registration of Transfer and Exchange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987"/>
        <w:spacing w:after="0" w:line="277" w:lineRule="auto"/>
        <w:tabs>
          <w:tab w:leader="none" w:pos="124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9" w:lineRule="exact"/>
        <w:rPr>
          <w:rFonts w:ascii="Times New Roman" w:cs="Times New Roman" w:eastAsia="Times New Roman" w:hAnsi="Times New Roman"/>
          <w:sz w:val="17"/>
          <w:szCs w:val="17"/>
          <w:b w:val="1"/>
          <w:bCs w:val="1"/>
          <w:color w:val="auto"/>
        </w:rPr>
      </w:pPr>
    </w:p>
    <w:p>
      <w:pPr>
        <w:ind w:right="80" w:firstLine="987"/>
        <w:spacing w:after="0" w:line="258" w:lineRule="auto"/>
        <w:tabs>
          <w:tab w:leader="none" w:pos="125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initially appoints the Trustee as Security Registrar for each series of Securities.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68" w:lineRule="exact"/>
        <w:rPr>
          <w:sz w:val="20"/>
          <w:szCs w:val="20"/>
          <w:color w:val="auto"/>
        </w:rPr>
      </w:pPr>
    </w:p>
    <w:p>
      <w:pPr>
        <w:ind w:firstLine="987"/>
        <w:spacing w:after="0" w:line="258" w:lineRule="auto"/>
        <w:tabs>
          <w:tab w:leader="none" w:pos="123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75"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25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63" w:name="page64"/>
    <w:bookmarkEnd w:id="6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4" w:name="page65"/>
    <w:bookmarkEnd w:id="64"/>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2.08 Cancellation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 Authenticating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5" w:lineRule="auto"/>
        <w:tabs>
          <w:tab w:leader="none" w:pos="124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80" w:lineRule="exact"/>
        <w:rPr>
          <w:rFonts w:ascii="Times New Roman" w:cs="Times New Roman" w:eastAsia="Times New Roman" w:hAnsi="Times New Roman"/>
          <w:sz w:val="18"/>
          <w:szCs w:val="18"/>
          <w:b w:val="1"/>
          <w:bCs w:val="1"/>
          <w:color w:val="auto"/>
        </w:rPr>
      </w:pPr>
    </w:p>
    <w:p>
      <w:pPr>
        <w:ind w:right="160" w:firstLine="987"/>
        <w:spacing w:after="0" w:line="266" w:lineRule="auto"/>
        <w:tabs>
          <w:tab w:leader="none" w:pos="125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66" w:name="page67"/>
    <w:bookmarkEnd w:id="66"/>
    <w:p>
      <w:pPr>
        <w:ind w:firstLine="987"/>
        <w:spacing w:after="0" w:line="252" w:lineRule="auto"/>
        <w:tabs>
          <w:tab w:leader="none" w:pos="123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2.12 CUSIP Numbers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3.01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24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68" w:name="page69"/>
    <w:bookmarkEnd w:id="68"/>
    <w:p>
      <w:pPr>
        <w:ind w:firstLine="987"/>
        <w:spacing w:after="0" w:line="253" w:lineRule="auto"/>
        <w:tabs>
          <w:tab w:leader="none" w:pos="125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72" w:lineRule="auto"/>
        <w:tabs>
          <w:tab w:leader="none" w:pos="1246"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63" w:lineRule="exact"/>
        <w:rPr>
          <w:rFonts w:ascii="Times New Roman" w:cs="Times New Roman" w:eastAsia="Times New Roman" w:hAnsi="Times New Roman"/>
          <w:sz w:val="17"/>
          <w:szCs w:val="17"/>
          <w:b w:val="1"/>
          <w:bCs w:val="1"/>
          <w:color w:val="auto"/>
        </w:rPr>
      </w:pPr>
    </w:p>
    <w:p>
      <w:pPr>
        <w:jc w:val="both"/>
        <w:ind w:right="200" w:firstLine="987"/>
        <w:spacing w:after="0" w:line="266" w:lineRule="auto"/>
        <w:tabs>
          <w:tab w:leader="none" w:pos="125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3.04 Sinking Fund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9" w:name="page70"/>
    <w:bookmarkEnd w:id="6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0" w:name="page71"/>
    <w:bookmarkEnd w:id="7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4.03 Paying Agents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66" w:lineRule="auto"/>
        <w:tabs>
          <w:tab w:leader="none" w:pos="124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b w:val="1"/>
          <w:bCs w:val="1"/>
          <w:color w:val="auto"/>
        </w:rPr>
      </w:pPr>
    </w:p>
    <w:p>
      <w:pPr>
        <w:ind w:firstLine="1428"/>
        <w:spacing w:after="0" w:line="266" w:lineRule="auto"/>
        <w:tabs>
          <w:tab w:leader="none" w:pos="1687"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b w:val="1"/>
          <w:bCs w:val="1"/>
          <w:color w:val="auto"/>
        </w:rPr>
      </w:pPr>
    </w:p>
    <w:p>
      <w:pPr>
        <w:ind w:right="580" w:firstLine="1428"/>
        <w:spacing w:after="0" w:line="282" w:lineRule="auto"/>
        <w:tabs>
          <w:tab w:leader="none" w:pos="1687"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3"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687"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1" w:name="page72"/>
    <w:bookmarkEnd w:id="71"/>
    <w:p>
      <w:pPr>
        <w:ind w:left="1680" w:hanging="252"/>
        <w:spacing w:after="0"/>
        <w:tabs>
          <w:tab w:leader="none" w:pos="168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perform all other duties of paying agent as set forth in this Indenture.</w:t>
      </w:r>
    </w:p>
    <w:p>
      <w:pPr>
        <w:spacing w:after="0" w:line="117" w:lineRule="exact"/>
        <w:rPr>
          <w:rFonts w:ascii="Times New Roman" w:cs="Times New Roman" w:eastAsia="Times New Roman" w:hAnsi="Times New Roman"/>
          <w:sz w:val="18"/>
          <w:szCs w:val="18"/>
          <w:b w:val="1"/>
          <w:bCs w:val="1"/>
          <w:color w:val="auto"/>
        </w:rPr>
      </w:pPr>
    </w:p>
    <w:p>
      <w:pPr>
        <w:ind w:right="20" w:firstLine="987"/>
        <w:spacing w:after="0" w:line="254" w:lineRule="auto"/>
        <w:tabs>
          <w:tab w:leader="none" w:pos="125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3"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5.02 Preservation Of Information; Communications With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540" w:firstLine="987"/>
        <w:spacing w:after="0" w:line="266" w:lineRule="auto"/>
        <w:tabs>
          <w:tab w:leader="none" w:pos="124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67"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117" w:lineRule="exact"/>
        <w:rPr>
          <w:rFonts w:ascii="Times New Roman" w:cs="Times New Roman" w:eastAsia="Times New Roman" w:hAnsi="Times New Roman"/>
          <w:sz w:val="18"/>
          <w:szCs w:val="18"/>
          <w:b w:val="1"/>
          <w:bCs w:val="1"/>
          <w:color w:val="auto"/>
        </w:rPr>
      </w:pPr>
    </w:p>
    <w:p>
      <w:pPr>
        <w:ind w:right="60" w:firstLine="987"/>
        <w:spacing w:after="0" w:line="266" w:lineRule="auto"/>
        <w:tabs>
          <w:tab w:leader="none" w:pos="123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24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86"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25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73" w:name="page74"/>
    <w:bookmarkEnd w:id="7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60" w:firstLine="987"/>
        <w:spacing w:after="0" w:line="282" w:lineRule="auto"/>
        <w:tabs>
          <w:tab w:leader="none" w:pos="124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53"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17" w:lineRule="exact"/>
        <w:rPr>
          <w:rFonts w:ascii="Times New Roman" w:cs="Times New Roman" w:eastAsia="Times New Roman" w:hAnsi="Times New Roman"/>
          <w:sz w:val="18"/>
          <w:szCs w:val="18"/>
          <w:b w:val="1"/>
          <w:bCs w:val="1"/>
          <w:color w:val="auto"/>
        </w:rPr>
      </w:pPr>
    </w:p>
    <w:p>
      <w:pPr>
        <w:ind w:right="220" w:firstLine="987"/>
        <w:spacing w:after="0" w:line="266" w:lineRule="auto"/>
        <w:tabs>
          <w:tab w:leader="none" w:pos="123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987"/>
        <w:spacing w:after="0" w:line="282" w:lineRule="auto"/>
        <w:tabs>
          <w:tab w:leader="none" w:pos="124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b w:val="1"/>
          <w:bCs w:val="1"/>
          <w:color w:val="auto"/>
        </w:rPr>
      </w:pPr>
    </w:p>
    <w:p>
      <w:pPr>
        <w:ind w:right="20" w:firstLine="1428"/>
        <w:spacing w:after="0" w:line="261" w:lineRule="auto"/>
        <w:tabs>
          <w:tab w:leader="none" w:pos="1687"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687"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74" w:name="page75"/>
    <w:bookmarkEnd w:id="74"/>
    <w:p>
      <w:pPr>
        <w:ind w:left="4" w:firstLine="1428"/>
        <w:spacing w:after="0" w:line="256" w:lineRule="auto"/>
        <w:tabs>
          <w:tab w:leader="none" w:pos="1691"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79" w:lineRule="exact"/>
        <w:rPr>
          <w:rFonts w:ascii="Times New Roman" w:cs="Times New Roman" w:eastAsia="Times New Roman" w:hAnsi="Times New Roman"/>
          <w:sz w:val="18"/>
          <w:szCs w:val="18"/>
          <w:b w:val="1"/>
          <w:bCs w:val="1"/>
          <w:color w:val="auto"/>
        </w:rPr>
      </w:pPr>
    </w:p>
    <w:p>
      <w:pPr>
        <w:ind w:left="4" w:right="380" w:firstLine="1428"/>
        <w:spacing w:after="0" w:line="266" w:lineRule="auto"/>
        <w:tabs>
          <w:tab w:leader="none" w:pos="1691"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b w:val="1"/>
          <w:bCs w:val="1"/>
          <w:color w:val="auto"/>
        </w:rPr>
      </w:pPr>
    </w:p>
    <w:p>
      <w:pPr>
        <w:ind w:left="4" w:right="200" w:firstLine="1428"/>
        <w:spacing w:after="0" w:line="266" w:lineRule="auto"/>
        <w:tabs>
          <w:tab w:leader="none" w:pos="1691"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67" w:lineRule="exact"/>
        <w:rPr>
          <w:rFonts w:ascii="Times New Roman" w:cs="Times New Roman" w:eastAsia="Times New Roman" w:hAnsi="Times New Roman"/>
          <w:sz w:val="18"/>
          <w:szCs w:val="18"/>
          <w:b w:val="1"/>
          <w:bCs w:val="1"/>
          <w:color w:val="auto"/>
        </w:rPr>
      </w:pPr>
    </w:p>
    <w:p>
      <w:pPr>
        <w:ind w:left="4" w:right="60" w:firstLine="987"/>
        <w:spacing w:after="0" w:line="269" w:lineRule="auto"/>
        <w:tabs>
          <w:tab w:leader="none" w:pos="1260"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b w:val="1"/>
          <w:bCs w:val="1"/>
          <w:color w:val="auto"/>
        </w:rPr>
      </w:pPr>
    </w:p>
    <w:p>
      <w:pPr>
        <w:ind w:left="4" w:right="40" w:hanging="4"/>
        <w:spacing w:after="0" w:line="260"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such rescission and annulment shall extend to or shall affect any subsequent default or impair any right consequent thereon.</w:t>
      </w:r>
    </w:p>
    <w:p>
      <w:pPr>
        <w:spacing w:after="0" w:line="117" w:lineRule="exact"/>
        <w:rPr>
          <w:sz w:val="20"/>
          <w:szCs w:val="20"/>
          <w:color w:val="auto"/>
        </w:rPr>
      </w:pPr>
    </w:p>
    <w:p>
      <w:pPr>
        <w:ind w:right="40" w:firstLine="987"/>
        <w:spacing w:after="0" w:line="258" w:lineRule="auto"/>
        <w:tabs>
          <w:tab w:leader="none" w:pos="125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52" w:lineRule="auto"/>
        <w:tabs>
          <w:tab w:leader="none" w:pos="124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7.06.</w:t>
      </w:r>
    </w:p>
    <w:p>
      <w:pPr>
        <w:spacing w:after="0" w:line="98"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5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75" w:lineRule="exact"/>
        <w:rPr>
          <w:rFonts w:ascii="Times New Roman" w:cs="Times New Roman" w:eastAsia="Times New Roman" w:hAnsi="Times New Roman"/>
          <w:sz w:val="18"/>
          <w:szCs w:val="18"/>
          <w:b w:val="1"/>
          <w:bCs w:val="1"/>
          <w:color w:val="auto"/>
        </w:rPr>
      </w:pPr>
    </w:p>
    <w:p>
      <w:pPr>
        <w:ind w:right="340" w:firstLine="987"/>
        <w:spacing w:after="0" w:line="261" w:lineRule="auto"/>
        <w:tabs>
          <w:tab w:leader="none" w:pos="123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6" w:name="page77"/>
    <w:bookmarkEnd w:id="7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79" w:lineRule="exact"/>
        <w:rPr>
          <w:sz w:val="20"/>
          <w:szCs w:val="20"/>
          <w:color w:val="auto"/>
        </w:rPr>
      </w:pPr>
    </w:p>
    <w:p>
      <w:pPr>
        <w:ind w:right="20" w:firstLine="987"/>
        <w:spacing w:after="0" w:line="258" w:lineRule="auto"/>
        <w:tabs>
          <w:tab w:leader="none" w:pos="125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To the payment of the remainder, if any, to the Company or any other Person lawfully entitled thereto.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61" w:lineRule="auto"/>
        <w:tabs>
          <w:tab w:leader="none" w:pos="124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78" w:name="page79"/>
    <w:bookmarkEnd w:id="78"/>
    <w:p>
      <w:pPr>
        <w:ind w:right="20" w:firstLine="987"/>
        <w:spacing w:after="0" w:line="261" w:lineRule="auto"/>
        <w:tabs>
          <w:tab w:leader="none" w:pos="125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79" w:name="page80"/>
    <w:bookmarkEnd w:id="7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6" w:lineRule="auto"/>
        <w:tabs>
          <w:tab w:leader="none" w:pos="124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79"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5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firstLine="987"/>
        <w:spacing w:after="0" w:line="282" w:lineRule="auto"/>
        <w:tabs>
          <w:tab w:leader="none" w:pos="120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727"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b w:val="1"/>
          <w:bCs w:val="1"/>
          <w:color w:val="auto"/>
        </w:rPr>
      </w:pPr>
    </w:p>
    <w:p>
      <w:pPr>
        <w:ind w:right="20" w:firstLine="1428"/>
        <w:spacing w:after="0" w:line="258" w:lineRule="auto"/>
        <w:tabs>
          <w:tab w:leader="none" w:pos="1717"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80" w:name="page81"/>
    <w:bookmarkEnd w:id="80"/>
    <w:p>
      <w:pPr>
        <w:ind w:left="-20" w:right="240" w:firstLine="987"/>
        <w:spacing w:after="0" w:line="312" w:lineRule="auto"/>
        <w:tabs>
          <w:tab w:leader="none" w:pos="1236"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31" w:lineRule="exact"/>
        <w:rPr>
          <w:rFonts w:ascii="Times New Roman" w:cs="Times New Roman" w:eastAsia="Times New Roman" w:hAnsi="Times New Roman"/>
          <w:sz w:val="17"/>
          <w:szCs w:val="17"/>
          <w:b w:val="1"/>
          <w:bCs w:val="1"/>
          <w:color w:val="auto"/>
        </w:rPr>
      </w:pPr>
    </w:p>
    <w:p>
      <w:pPr>
        <w:ind w:left="-20" w:firstLine="987"/>
        <w:spacing w:after="0" w:line="261" w:lineRule="auto"/>
        <w:tabs>
          <w:tab w:leader="none" w:pos="128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71" w:lineRule="exact"/>
        <w:rPr>
          <w:rFonts w:ascii="Times New Roman" w:cs="Times New Roman" w:eastAsia="Times New Roman" w:hAnsi="Times New Roman"/>
          <w:sz w:val="18"/>
          <w:szCs w:val="18"/>
          <w:b w:val="1"/>
          <w:bCs w:val="1"/>
          <w:color w:val="auto"/>
        </w:rPr>
      </w:pPr>
    </w:p>
    <w:p>
      <w:pPr>
        <w:ind w:left="-20" w:right="60" w:firstLine="987"/>
        <w:spacing w:after="0" w:line="261" w:lineRule="auto"/>
        <w:tabs>
          <w:tab w:leader="none" w:pos="127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71"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117" w:lineRule="exact"/>
        <w:rPr>
          <w:rFonts w:ascii="Times New Roman" w:cs="Times New Roman" w:eastAsia="Times New Roman" w:hAnsi="Times New Roman"/>
          <w:sz w:val="18"/>
          <w:szCs w:val="18"/>
          <w:b w:val="1"/>
          <w:bCs w:val="1"/>
          <w:color w:val="auto"/>
        </w:rPr>
      </w:pPr>
    </w:p>
    <w:p>
      <w:pPr>
        <w:ind w:left="1280" w:hanging="313"/>
        <w:spacing w:after="0"/>
        <w:tabs>
          <w:tab w:leader="none" w:pos="12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117" w:lineRule="exact"/>
        <w:rPr>
          <w:rFonts w:ascii="Times New Roman" w:cs="Times New Roman" w:eastAsia="Times New Roman" w:hAnsi="Times New Roman"/>
          <w:sz w:val="18"/>
          <w:szCs w:val="18"/>
          <w:b w:val="1"/>
          <w:bCs w:val="1"/>
          <w:color w:val="auto"/>
        </w:rPr>
      </w:pPr>
    </w:p>
    <w:p>
      <w:pPr>
        <w:ind w:left="-20" w:right="360" w:firstLine="987"/>
        <w:spacing w:after="0" w:line="282" w:lineRule="auto"/>
        <w:tabs>
          <w:tab w:leader="none" w:pos="132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Trustee shall have any duty or responsibility for any act or omission of any other Trustee appointed with respect to a series of Securities hereunder.</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jc w:val="both"/>
        <w:ind w:left="-20" w:right="20" w:firstLine="987"/>
        <w:spacing w:after="0" w:line="266" w:lineRule="auto"/>
        <w:tabs>
          <w:tab w:leader="none" w:pos="122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b w:val="1"/>
          <w:bCs w:val="1"/>
          <w:color w:val="auto"/>
        </w:rPr>
      </w:pPr>
    </w:p>
    <w:p>
      <w:pPr>
        <w:ind w:left="-20" w:right="40" w:firstLine="987"/>
        <w:spacing w:after="0" w:line="266" w:lineRule="auto"/>
        <w:tabs>
          <w:tab w:leader="none" w:pos="123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67" w:lineRule="exact"/>
        <w:rPr>
          <w:rFonts w:ascii="Times New Roman" w:cs="Times New Roman" w:eastAsia="Times New Roman" w:hAnsi="Times New Roman"/>
          <w:sz w:val="18"/>
          <w:szCs w:val="18"/>
          <w:b w:val="1"/>
          <w:bCs w:val="1"/>
          <w:color w:val="auto"/>
        </w:rPr>
      </w:pPr>
    </w:p>
    <w:p>
      <w:pPr>
        <w:ind w:left="-20" w:right="100" w:firstLine="987"/>
        <w:spacing w:after="0" w:line="312" w:lineRule="auto"/>
        <w:tabs>
          <w:tab w:leader="none" w:pos="1216"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81" w:name="page82"/>
    <w:bookmarkEnd w:id="81"/>
    <w:p>
      <w:pPr>
        <w:ind w:right="20" w:firstLine="987"/>
        <w:spacing w:after="0" w:line="274" w:lineRule="auto"/>
        <w:tabs>
          <w:tab w:leader="none" w:pos="1256"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64" w:lineRule="exact"/>
        <w:rPr>
          <w:rFonts w:ascii="Times New Roman" w:cs="Times New Roman" w:eastAsia="Times New Roman" w:hAnsi="Times New Roman"/>
          <w:sz w:val="17"/>
          <w:szCs w:val="17"/>
          <w:b w:val="1"/>
          <w:bCs w:val="1"/>
          <w:color w:val="auto"/>
        </w:rPr>
      </w:pPr>
    </w:p>
    <w:p>
      <w:pPr>
        <w:ind w:right="420" w:firstLine="987"/>
        <w:spacing w:after="0" w:line="282" w:lineRule="auto"/>
        <w:tabs>
          <w:tab w:leader="none" w:pos="123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1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83" w:lineRule="exact"/>
        <w:rPr>
          <w:rFonts w:ascii="Times New Roman" w:cs="Times New Roman" w:eastAsia="Times New Roman" w:hAnsi="Times New Roman"/>
          <w:sz w:val="18"/>
          <w:szCs w:val="18"/>
          <w:b w:val="1"/>
          <w:bCs w:val="1"/>
          <w:color w:val="auto"/>
        </w:rPr>
      </w:pPr>
    </w:p>
    <w:p>
      <w:pPr>
        <w:jc w:val="both"/>
        <w:ind w:right="100" w:firstLine="987"/>
        <w:spacing w:after="0" w:line="266" w:lineRule="auto"/>
        <w:tabs>
          <w:tab w:leader="none" w:pos="124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b w:val="1"/>
          <w:bCs w:val="1"/>
          <w:color w:val="auto"/>
        </w:rPr>
      </w:pPr>
    </w:p>
    <w:p>
      <w:pPr>
        <w:ind w:right="60" w:firstLine="987"/>
        <w:spacing w:after="0" w:line="258" w:lineRule="auto"/>
        <w:tabs>
          <w:tab w:leader="none" w:pos="125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20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82" w:name="page83"/>
    <w:bookmarkEnd w:id="82"/>
    <w:p>
      <w:pPr>
        <w:ind w:firstLine="987"/>
        <w:spacing w:after="0" w:line="270" w:lineRule="auto"/>
        <w:tabs>
          <w:tab w:leader="none" w:pos="1216"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68" w:lineRule="exact"/>
        <w:rPr>
          <w:rFonts w:ascii="Times New Roman" w:cs="Times New Roman" w:eastAsia="Times New Roman" w:hAnsi="Times New Roman"/>
          <w:sz w:val="17"/>
          <w:szCs w:val="17"/>
          <w:b w:val="1"/>
          <w:bCs w:val="1"/>
          <w:color w:val="auto"/>
        </w:rPr>
      </w:pPr>
    </w:p>
    <w:p>
      <w:pPr>
        <w:ind w:right="540" w:firstLine="987"/>
        <w:spacing w:after="0" w:line="266" w:lineRule="auto"/>
        <w:tabs>
          <w:tab w:leader="none" w:pos="125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67" w:lineRule="exact"/>
        <w:rPr>
          <w:rFonts w:ascii="Times New Roman" w:cs="Times New Roman" w:eastAsia="Times New Roman" w:hAnsi="Times New Roman"/>
          <w:sz w:val="18"/>
          <w:szCs w:val="18"/>
          <w:b w:val="1"/>
          <w:bCs w:val="1"/>
          <w:color w:val="auto"/>
        </w:rPr>
      </w:pPr>
    </w:p>
    <w:p>
      <w:pPr>
        <w:ind w:right="60" w:firstLine="987"/>
        <w:spacing w:after="0" w:line="289" w:lineRule="auto"/>
        <w:tabs>
          <w:tab w:leader="none" w:pos="1206"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987"/>
        <w:spacing w:after="0" w:line="261" w:lineRule="auto"/>
        <w:tabs>
          <w:tab w:leader="none" w:pos="1246"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7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117" w:lineRule="exact"/>
        <w:rPr>
          <w:rFonts w:ascii="Times New Roman" w:cs="Times New Roman" w:eastAsia="Times New Roman" w:hAnsi="Times New Roman"/>
          <w:sz w:val="18"/>
          <w:szCs w:val="18"/>
          <w:b w:val="1"/>
          <w:bCs w:val="1"/>
          <w:color w:val="auto"/>
        </w:rPr>
      </w:pPr>
    </w:p>
    <w:p>
      <w:pPr>
        <w:ind w:right="440" w:firstLine="987"/>
        <w:spacing w:after="0" w:line="266" w:lineRule="auto"/>
        <w:tabs>
          <w:tab w:leader="none" w:pos="1236"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7.04 May Hold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61" w:lineRule="auto"/>
        <w:tabs>
          <w:tab w:leader="none" w:pos="124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71" w:lineRule="exact"/>
        <w:rPr>
          <w:rFonts w:ascii="Times New Roman" w:cs="Times New Roman" w:eastAsia="Times New Roman" w:hAnsi="Times New Roman"/>
          <w:sz w:val="18"/>
          <w:szCs w:val="18"/>
          <w:b w:val="1"/>
          <w:bCs w:val="1"/>
          <w:color w:val="auto"/>
        </w:rPr>
      </w:pPr>
    </w:p>
    <w:p>
      <w:pPr>
        <w:ind w:right="120" w:firstLine="987"/>
        <w:spacing w:after="0" w:line="255" w:lineRule="auto"/>
        <w:tabs>
          <w:tab w:leader="none" w:pos="125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80" w:lineRule="exact"/>
        <w:rPr>
          <w:rFonts w:ascii="Times New Roman" w:cs="Times New Roman" w:eastAsia="Times New Roman" w:hAnsi="Times New Roman"/>
          <w:sz w:val="18"/>
          <w:szCs w:val="18"/>
          <w:b w:val="1"/>
          <w:bCs w:val="1"/>
          <w:color w:val="auto"/>
        </w:rPr>
      </w:pPr>
    </w:p>
    <w:p>
      <w:pPr>
        <w:ind w:right="400" w:firstLine="987"/>
        <w:spacing w:after="0" w:line="282" w:lineRule="auto"/>
        <w:tabs>
          <w:tab w:leader="none" w:pos="123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53" w:lineRule="exact"/>
        <w:rPr>
          <w:rFonts w:ascii="Times New Roman" w:cs="Times New Roman" w:eastAsia="Times New Roman" w:hAnsi="Times New Roman"/>
          <w:sz w:val="18"/>
          <w:szCs w:val="18"/>
          <w:b w:val="1"/>
          <w:bCs w:val="1"/>
          <w:color w:val="auto"/>
        </w:rPr>
      </w:pPr>
    </w:p>
    <w:p>
      <w:pPr>
        <w:ind w:right="80" w:firstLine="987"/>
        <w:spacing w:after="0" w:line="258" w:lineRule="auto"/>
        <w:tabs>
          <w:tab w:leader="none" w:pos="125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66" w:right="49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7.07 Reliance on Officer’s Certificate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8" w:lineRule="auto"/>
        <w:tabs>
          <w:tab w:leader="none" w:pos="124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6" w:right="499" w:bottom="1440" w:gutter="0" w:footer="0" w:header="0"/>
        </w:sectPr>
      </w:pPr>
    </w:p>
    <w:bookmarkStart w:id="85" w:name="page86"/>
    <w:bookmarkEnd w:id="8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72" w:lineRule="exact"/>
        <w:rPr>
          <w:sz w:val="20"/>
          <w:szCs w:val="20"/>
          <w:color w:val="auto"/>
        </w:rPr>
      </w:pPr>
    </w:p>
    <w:p>
      <w:pPr>
        <w:ind w:left="1260" w:hanging="273"/>
        <w:spacing w:after="0"/>
        <w:tabs>
          <w:tab w:leader="none" w:pos="12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b w:val="1"/>
          <w:bCs w:val="1"/>
          <w:color w:val="auto"/>
        </w:rPr>
      </w:pPr>
    </w:p>
    <w:p>
      <w:pPr>
        <w:ind w:right="480" w:firstLine="1428"/>
        <w:spacing w:after="0" w:line="282" w:lineRule="auto"/>
        <w:tabs>
          <w:tab w:leader="none" w:pos="1647"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b w:val="1"/>
          <w:bCs w:val="1"/>
          <w:color w:val="auto"/>
        </w:rPr>
      </w:pPr>
    </w:p>
    <w:p>
      <w:pPr>
        <w:ind w:right="520" w:firstLine="1428"/>
        <w:spacing w:after="0" w:line="282" w:lineRule="auto"/>
        <w:tabs>
          <w:tab w:leader="none" w:pos="1697"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b w:val="1"/>
          <w:bCs w:val="1"/>
          <w:color w:val="auto"/>
        </w:rPr>
      </w:pPr>
    </w:p>
    <w:p>
      <w:pPr>
        <w:ind w:right="20" w:firstLine="1428"/>
        <w:spacing w:after="0" w:line="266" w:lineRule="auto"/>
        <w:tabs>
          <w:tab w:leader="none" w:pos="1747"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5" w:lineRule="exact"/>
        <w:rPr>
          <w:sz w:val="20"/>
          <w:szCs w:val="20"/>
          <w:color w:val="auto"/>
        </w:rPr>
      </w:pPr>
    </w:p>
    <w:p>
      <w:pPr>
        <w:ind w:firstLine="987"/>
        <w:spacing w:after="0" w:line="266" w:lineRule="auto"/>
        <w:tabs>
          <w:tab w:leader="none" w:pos="123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67" w:lineRule="exact"/>
        <w:rPr>
          <w:rFonts w:ascii="Times New Roman" w:cs="Times New Roman" w:eastAsia="Times New Roman" w:hAnsi="Times New Roman"/>
          <w:sz w:val="18"/>
          <w:szCs w:val="18"/>
          <w:b w:val="1"/>
          <w:bCs w:val="1"/>
          <w:color w:val="auto"/>
        </w:rPr>
      </w:pPr>
    </w:p>
    <w:p>
      <w:pPr>
        <w:ind w:right="160" w:firstLine="987"/>
        <w:spacing w:after="0" w:line="282" w:lineRule="auto"/>
        <w:tabs>
          <w:tab w:leader="none" w:pos="125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3"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23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 Acceptance of Appointment By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00" w:right="60" w:firstLine="987"/>
        <w:spacing w:after="0" w:line="255" w:lineRule="auto"/>
        <w:tabs>
          <w:tab w:leader="none" w:pos="114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0" w:lineRule="exact"/>
        <w:rPr>
          <w:rFonts w:ascii="Times New Roman" w:cs="Times New Roman" w:eastAsia="Times New Roman" w:hAnsi="Times New Roman"/>
          <w:sz w:val="18"/>
          <w:szCs w:val="18"/>
          <w:b w:val="1"/>
          <w:bCs w:val="1"/>
          <w:color w:val="auto"/>
        </w:rPr>
      </w:pPr>
    </w:p>
    <w:p>
      <w:pPr>
        <w:ind w:left="-100" w:firstLine="987"/>
        <w:spacing w:after="0" w:line="252" w:lineRule="auto"/>
        <w:tabs>
          <w:tab w:leader="none" w:pos="115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2" w:lineRule="exact"/>
        <w:rPr>
          <w:rFonts w:ascii="Times New Roman" w:cs="Times New Roman" w:eastAsia="Times New Roman" w:hAnsi="Times New Roman"/>
          <w:sz w:val="18"/>
          <w:szCs w:val="18"/>
          <w:b w:val="1"/>
          <w:bCs w:val="1"/>
          <w:color w:val="auto"/>
        </w:rPr>
      </w:pPr>
    </w:p>
    <w:p>
      <w:pPr>
        <w:ind w:left="-100" w:right="40" w:firstLine="987"/>
        <w:spacing w:after="0" w:line="282" w:lineRule="auto"/>
        <w:tabs>
          <w:tab w:leader="none" w:pos="113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00"/>
          </w:cols>
          <w:pgMar w:left="540" w:top="266" w:right="559" w:bottom="1440" w:gutter="0" w:footer="0" w:header="0"/>
        </w:sectPr>
      </w:pPr>
    </w:p>
    <w:bookmarkStart w:id="87" w:name="page88"/>
    <w:bookmarkEnd w:id="87"/>
    <w:p>
      <w:pPr>
        <w:ind w:right="320" w:firstLine="987"/>
        <w:spacing w:after="0" w:line="282" w:lineRule="auto"/>
        <w:tabs>
          <w:tab w:leader="none" w:pos="125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53" w:lineRule="exact"/>
        <w:rPr>
          <w:rFonts w:ascii="Times New Roman" w:cs="Times New Roman" w:eastAsia="Times New Roman" w:hAnsi="Times New Roman"/>
          <w:sz w:val="18"/>
          <w:szCs w:val="18"/>
          <w:b w:val="1"/>
          <w:bCs w:val="1"/>
          <w:color w:val="auto"/>
        </w:rPr>
      </w:pPr>
    </w:p>
    <w:p>
      <w:pPr>
        <w:jc w:val="both"/>
        <w:ind w:right="80" w:firstLine="987"/>
        <w:spacing w:after="0" w:line="266" w:lineRule="auto"/>
        <w:tabs>
          <w:tab w:leader="none" w:pos="123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54" w:lineRule="exact"/>
        <w:rPr>
          <w:sz w:val="20"/>
          <w:szCs w:val="20"/>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1260" w:hanging="273"/>
        <w:spacing w:after="0"/>
        <w:tabs>
          <w:tab w:leader="none" w:pos="12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8.03 Who May be Deemed Owners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90" w:name="page91"/>
    <w:bookmarkEnd w:id="9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17"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117"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5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Times New Roman" w:cs="Times New Roman" w:eastAsia="Times New Roman" w:hAnsi="Times New Roman"/>
          <w:sz w:val="18"/>
          <w:szCs w:val="18"/>
          <w:b w:val="1"/>
          <w:bCs w:val="1"/>
          <w:color w:val="auto"/>
        </w:rPr>
      </w:pPr>
    </w:p>
    <w:p>
      <w:pPr>
        <w:ind w:right="360" w:firstLine="987"/>
        <w:spacing w:after="0" w:line="282" w:lineRule="auto"/>
        <w:tabs>
          <w:tab w:leader="none" w:pos="123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17"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73" w:lineRule="exact"/>
        <w:rPr>
          <w:sz w:val="20"/>
          <w:szCs w:val="20"/>
          <w:color w:val="auto"/>
        </w:rPr>
      </w:pPr>
    </w:p>
    <w:p>
      <w:pPr>
        <w:ind w:left="1260" w:hanging="273"/>
        <w:spacing w:after="0"/>
        <w:tabs>
          <w:tab w:leader="none" w:pos="12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117"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20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40" w:top="266" w:right="559" w:bottom="1440" w:gutter="0" w:footer="0" w:header="0"/>
        </w:sectPr>
      </w:pPr>
    </w:p>
    <w:bookmarkStart w:id="91" w:name="page92"/>
    <w:bookmarkEnd w:id="91"/>
    <w:p>
      <w:pPr>
        <w:jc w:val="both"/>
        <w:ind w:right="6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9.05 Execution of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72"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93" w:name="page94"/>
    <w:bookmarkEnd w:id="93"/>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58" w:lineRule="auto"/>
        <w:tabs>
          <w:tab w:leader="none" w:pos="125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5"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2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3" w:lineRule="exact"/>
        <w:rPr>
          <w:rFonts w:ascii="Times New Roman" w:cs="Times New Roman" w:eastAsia="Times New Roman" w:hAnsi="Times New Roman"/>
          <w:sz w:val="18"/>
          <w:szCs w:val="18"/>
          <w:b w:val="1"/>
          <w:bCs w:val="1"/>
          <w:color w:val="auto"/>
        </w:rPr>
      </w:pPr>
    </w:p>
    <w:p>
      <w:pPr>
        <w:ind w:left="4" w:right="80" w:firstLine="987"/>
        <w:spacing w:after="0" w:line="266" w:lineRule="auto"/>
        <w:tabs>
          <w:tab w:leader="none" w:pos="12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3" w:lineRule="exact"/>
        <w:rPr>
          <w:sz w:val="20"/>
          <w:szCs w:val="20"/>
          <w:color w:val="auto"/>
        </w:rPr>
      </w:pPr>
    </w:p>
    <w:p>
      <w:pPr>
        <w:ind w:left="4" w:right="120" w:hanging="4"/>
        <w:spacing w:after="0" w:line="253"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4"/>
          </w:cols>
          <w:pgMar w:left="436" w:top="270" w:right="499" w:bottom="1440" w:gutter="0" w:footer="0" w:header="0"/>
        </w:sectPr>
      </w:pPr>
    </w:p>
    <w:bookmarkStart w:id="94" w:name="page95"/>
    <w:bookmarkEnd w:id="9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70" w:right="51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11.05 Repayment to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12.01 No Recourse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13.04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-306070</wp:posOffset>
            </wp:positionV>
            <wp:extent cx="26568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2656840"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6" w:right="479" w:bottom="1440" w:gutter="0" w:footer="0" w:header="0"/>
        </w:sectPr>
      </w:pPr>
    </w:p>
    <w:bookmarkStart w:id="97" w:name="page98"/>
    <w:bookmarkEnd w:id="9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13.06 Treatment of Securities as Debt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56" w:lineRule="auto"/>
        <w:tabs>
          <w:tab w:leader="none" w:pos="125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9" w:lineRule="exact"/>
        <w:rPr>
          <w:rFonts w:ascii="Times New Roman" w:cs="Times New Roman" w:eastAsia="Times New Roman" w:hAnsi="Times New Roman"/>
          <w:sz w:val="18"/>
          <w:szCs w:val="18"/>
          <w:b w:val="1"/>
          <w:bCs w:val="1"/>
          <w:color w:val="auto"/>
        </w:rPr>
      </w:pPr>
    </w:p>
    <w:p>
      <w:pPr>
        <w:ind w:left="4" w:right="100" w:firstLine="987"/>
        <w:spacing w:after="0" w:line="270" w:lineRule="auto"/>
        <w:tabs>
          <w:tab w:leader="none" w:pos="1260" w:val="left"/>
        </w:tabs>
        <w:numPr>
          <w:ilvl w:val="1"/>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2" w:lineRule="exact"/>
        <w:rPr>
          <w:rFonts w:ascii="Times New Roman" w:cs="Times New Roman" w:eastAsia="Times New Roman" w:hAnsi="Times New Roman"/>
          <w:sz w:val="17"/>
          <w:szCs w:val="17"/>
          <w:b w:val="1"/>
          <w:bCs w:val="1"/>
          <w:color w:val="auto"/>
        </w:rPr>
      </w:pPr>
    </w:p>
    <w:p>
      <w:pPr>
        <w:ind w:left="4" w:right="40" w:hanging="4"/>
        <w:spacing w:after="0" w:line="255" w:lineRule="auto"/>
        <w:tabs>
          <w:tab w:leader="none" w:pos="31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66"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13.09 Conflict with Trust Indenture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13.10 Counterparts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13.11 Separability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13.13 U.S.A Patriot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13.14 Force Majeure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440" w:top="266" w:right="5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caused this Indenture to be duly executed all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AS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p>
    <w:p>
      <w:pPr>
        <w:spacing w:after="0" w:line="1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780"/>
          </w:cols>
          <w:pgMar w:left="880" w:top="266" w:right="1239" w:bottom="1440" w:gutter="0" w:footer="0" w:header="0"/>
        </w:sectPr>
      </w:pPr>
    </w:p>
    <w:bookmarkStart w:id="101" w:name="page102"/>
    <w:bookmarkEnd w:id="10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CROSS-REFERENCE TABLE (1)</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580" w:type="dxa"/>
            <w:vAlign w:val="bottom"/>
          </w:tcPr>
          <w:p>
            <w:pPr>
              <w:spacing w:after="0"/>
              <w:rPr>
                <w:sz w:val="16"/>
                <w:szCs w:val="16"/>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85"/>
        </w:trPr>
        <w:tc>
          <w:tcPr>
            <w:tcW w:w="3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6580" w:type="dxa"/>
            <w:vAlign w:val="bottom"/>
          </w:tcPr>
          <w:p>
            <w:pPr>
              <w:spacing w:after="0"/>
              <w:rPr>
                <w:sz w:val="16"/>
                <w:szCs w:val="16"/>
                <w:color w:val="auto"/>
              </w:rPr>
            </w:pPr>
          </w:p>
        </w:tc>
        <w:tc>
          <w:tcPr>
            <w:tcW w:w="12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840" w:type="dxa"/>
            <w:vAlign w:val="bottom"/>
            <w:gridSpan w:val="2"/>
          </w:tcPr>
          <w:p>
            <w:pPr>
              <w:ind w:left="658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80" w:hanging="424"/>
        <w:spacing w:after="0" w:line="282"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66" w:right="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377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19,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Laura Berezin</w:t>
      </w:r>
    </w:p>
    <w:p>
      <w:pPr>
        <w:spacing w:after="0" w:line="27" w:lineRule="exact"/>
        <w:rPr>
          <w:sz w:val="20"/>
          <w:szCs w:val="20"/>
          <w:color w:val="auto"/>
        </w:rPr>
      </w:pPr>
    </w:p>
    <w:p>
      <w:pPr>
        <w:ind w:left="4" w:right="9460" w:hanging="4"/>
        <w:spacing w:after="0" w:line="290" w:lineRule="auto"/>
        <w:tabs>
          <w:tab w:leader="none" w:pos="2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+1 650 843 5128 lberezin@cooley.com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color w:val="auto"/>
        </w:rPr>
        <w:t>We have acted as counsel to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Registration Statement includes a base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that provides it will be supplemented in the future by one or more prospectus supplements (each, a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Registration Statement, including the Base Prospectus (as supplemented from time to time by one or more Prospectus Supplements) will provide for the registration by the Company of the sale of the following securities:</w:t>
      </w:r>
    </w:p>
    <w:p>
      <w:pPr>
        <w:spacing w:after="0" w:line="88" w:lineRule="exact"/>
        <w:rPr>
          <w:sz w:val="20"/>
          <w:szCs w:val="20"/>
          <w:color w:val="auto"/>
        </w:rPr>
      </w:pPr>
    </w:p>
    <w:p>
      <w:pPr>
        <w:ind w:left="964" w:right="80" w:hanging="424"/>
        <w:spacing w:after="0" w:line="268"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includes the preferred share purchase rights associated with the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as set forth in Rights Agreement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dated as of October 10, 2023, between the Company and Computershare Trust Company, N.A., as rights agent (the “</w:t>
      </w:r>
      <w:r>
        <w:rPr>
          <w:rFonts w:ascii="Times New Roman" w:cs="Times New Roman" w:eastAsia="Times New Roman" w:hAnsi="Times New Roman"/>
          <w:sz w:val="18"/>
          <w:szCs w:val="18"/>
          <w:b w:val="1"/>
          <w:bCs w:val="1"/>
          <w:i w:val="1"/>
          <w:iCs w:val="1"/>
          <w:color w:val="auto"/>
        </w:rPr>
        <w:t>Purchase Rights Agent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$0.01 per share, of the Company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0" w:hanging="424"/>
        <w:spacing w:after="0" w:line="262"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the Company, in the form filed as Exhibit 4.4 to the Registration Statement and one or more indentures supplemental thereto with respect to any particular series of Debt Securities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4" w:right="100" w:hanging="424"/>
        <w:spacing w:after="0" w:line="268"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4" w:right="180" w:hanging="424"/>
        <w:spacing w:after="0" w:line="268"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Common Stock, Preferred Stock, Debt Securities, Warrants and Units (as defined below), which may be issued pursuant to one or more rights agreements, to be dated on or about the date of first issuance of the Rights thereunder, by and between a rights agent to be selected by the Company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jc w:val="both"/>
        <w:ind w:left="964" w:right="40" w:hanging="424"/>
        <w:spacing w:after="0" w:line="268"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comprised of any combination of Common Stock, Preferred Stock, Debt Securities, Warrants and Rights, which may be issued pursuant to one or more unit agreements, to be dated on or about the date of first issuance of the Units thereunder, by and between a unit agent to be selected by the Company (the “</w:t>
      </w:r>
      <w:r>
        <w:rPr>
          <w:rFonts w:ascii="Times New Roman" w:cs="Times New Roman" w:eastAsia="Times New Roman" w:hAnsi="Times New Roman"/>
          <w:sz w:val="18"/>
          <w:szCs w:val="18"/>
          <w:b w:val="1"/>
          <w:bCs w:val="1"/>
          <w:i w:val="1"/>
          <w:iCs w:val="1"/>
          <w:color w:val="auto"/>
        </w:rPr>
        <w:t>Unit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1024"/>
          </w:cols>
          <w:pgMar w:left="436" w:top="117" w:right="439" w:bottom="1440" w:gutter="0" w:footer="0" w:header="0"/>
        </w:sectPr>
      </w:pPr>
    </w:p>
    <w:bookmarkStart w:id="103" w:name="page104"/>
    <w:bookmarkEnd w:id="10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share of Common Stock includes an associated Purchase Right as set forth in the Rights Plan. The Purchase Rights will expire on October 10, 2024 or, if the Company’s stockholders approve the Rights Plan, on October 10, 2026, unless the Purchase Rights are earlier redeemed or exchanged by the Company.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Common Stock, the Preferred Stock, the Debt Securities, the Warrants, the Rights and the Units, plus any additional Common Stock, Preferred Stock, Debt Securities, Warrants, Rights and Units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Securities are being registered for offer and sale from time to time pursuant to Rule 415 under the Securities Act.</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Base Prospectus, (b) the Company’s certificate of incorporation, and bylaws, each as currently in effect, (c) the Rights Plan and (d)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Warrants exercisable for, or Rights to purchase, or Units that may be settled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or Rights to purchase Preferred Stock) will be in an amount that is not less than the par value of the Preferred Stock. We have also assumed that any Debt Securities offered under the Registration Statement, and the related Indenture will be executed in the form filed as an exhibit to the Registration Statement.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upon exercise of any Warrants or Rights or upon settlement of any Units, such convertible Debt Securities, Warrants, Rights or Units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opinion concerning the Purchase Rights:</w:t>
      </w:r>
    </w:p>
    <w:p>
      <w:pPr>
        <w:spacing w:after="0" w:line="117" w:lineRule="exact"/>
        <w:rPr>
          <w:sz w:val="20"/>
          <w:szCs w:val="20"/>
          <w:color w:val="auto"/>
        </w:rPr>
      </w:pPr>
    </w:p>
    <w:p>
      <w:pPr>
        <w:ind w:left="440" w:firstLine="419"/>
        <w:spacing w:after="0" w:line="266" w:lineRule="auto"/>
        <w:tabs>
          <w:tab w:leader="none" w:pos="10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does not address the determination a court of competent jurisdiction may make regarding whether the Board may be required to redeem or terminate, or take other action with respect to, the Purchase Rights or the Rights Plan in the future based on the facts and circumstances then existing.</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assumes that the Rights Plan has been duly authorized, executed and delivered by the Purchase Rights Agent and that members of the Board have acted in a manner consistent with their fiduciary duties as required under applicable law in adopting the Rights Plan. With respect to Purchase Rights associated with Securities to be offered in the future under the Registration Statement, our opinion assumes the Rights Plan has not been terminated by the Company or expired by its terms and the Purchase Rights have not expired or been redeemed or exchanged by the Company, in each case, prior to the issuance of such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1000"/>
          </w:cols>
          <w:pgMar w:left="440" w:top="270" w:right="459" w:bottom="1440" w:gutter="0" w:footer="0" w:header="0"/>
        </w:sectPr>
      </w:pPr>
    </w:p>
    <w:bookmarkStart w:id="104" w:name="page105"/>
    <w:bookmarkEnd w:id="104"/>
    <w:p>
      <w:pPr>
        <w:ind w:left="440" w:right="80" w:firstLine="419"/>
        <w:spacing w:after="0" w:line="266" w:lineRule="auto"/>
        <w:tabs>
          <w:tab w:leader="none" w:pos="11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opinion addresses corporate procedures in connection with the issuance of the Purchase Rights associated with Shares of Common Stock, and not any particular provision of the Purchase Rights or the Rights Plan. It should be understood that it is not settled whether the invalidity of any particular provision of a rights agreement or purchase rights issued thereunder would invalidate such rights in their entirety.</w:t>
      </w:r>
    </w:p>
    <w:p>
      <w:pPr>
        <w:spacing w:after="0" w:line="17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as to the Debt Securities, the Warrants, the Rights and the Units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herein stated, we are of the opinion that:</w:t>
      </w:r>
    </w:p>
    <w:p>
      <w:pPr>
        <w:spacing w:after="0" w:line="117" w:lineRule="exact"/>
        <w:rPr>
          <w:sz w:val="20"/>
          <w:szCs w:val="20"/>
          <w:color w:val="auto"/>
        </w:rPr>
      </w:pPr>
    </w:p>
    <w:p>
      <w:pPr>
        <w:ind w:right="40" w:firstLine="436"/>
        <w:spacing w:after="0" w:line="253" w:lineRule="auto"/>
        <w:tabs>
          <w:tab w:leader="none" w:pos="6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Common Stock and associated Purchase Rights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Common Stock and associated Purchase Rights have been duly authorized by all necessary corporate action on the part of the Company; (c) the issuance and sale of the Common Stock and associated Purchase Rights do not violate any applicable law, are in conformity with the Company’s then operative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Common Stock and associated Purchase Rights have been duly executed by the Company, countersigned by the transfer agent therefor and duly delivered to the purchasers thereof against payment therefor, then the Common Stock and associated Purchase Rights, when issued and sold in accordance with a duly authorized, executed and delivered purchase, underwriting or similar agreement, or upon conversion of any convertible Preferred Stock or convertible Debt Securities in accordance with their terms, or upon exercise of any Warrants, Rights or Units in accordance with their terms, will be validly issued and the Common Stock will be fully paid and nonassessable.</w:t>
      </w:r>
    </w:p>
    <w:p>
      <w:pPr>
        <w:spacing w:after="0" w:line="81"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Rights or Units in accordance with their terms, will be validly issued, fully paid and nonassessable.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0980"/>
          </w:cols>
          <w:pgMar w:left="440" w:top="270" w:right="479" w:bottom="1440" w:gutter="0" w:footer="0" w:header="0"/>
        </w:sectPr>
      </w:pPr>
    </w:p>
    <w:bookmarkStart w:id="105" w:name="page106"/>
    <w:bookmarkEnd w:id="105"/>
    <w:p>
      <w:pPr>
        <w:ind w:right="120" w:firstLine="436"/>
        <w:spacing w:after="0" w:line="252" w:lineRule="auto"/>
        <w:tabs>
          <w:tab w:leader="none" w:pos="6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Rights or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89"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Warrants issued under the Warrant Agreements and offered under the Registration Statement, provided that (a) the</w:t>
      </w:r>
    </w:p>
    <w:p>
      <w:pPr>
        <w:spacing w:after="0" w:line="27" w:lineRule="exact"/>
        <w:rPr>
          <w:rFonts w:ascii="Times New Roman" w:cs="Times New Roman" w:eastAsia="Times New Roman" w:hAnsi="Times New Roman"/>
          <w:sz w:val="18"/>
          <w:szCs w:val="18"/>
          <w:b w:val="1"/>
          <w:bCs w:val="1"/>
          <w:color w:val="auto"/>
        </w:rPr>
      </w:pPr>
    </w:p>
    <w:p>
      <w:pPr>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83" w:lineRule="exact"/>
        <w:rPr>
          <w:rFonts w:ascii="Times New Roman" w:cs="Times New Roman" w:eastAsia="Times New Roman" w:hAnsi="Times New Roman"/>
          <w:sz w:val="18"/>
          <w:szCs w:val="18"/>
          <w:b w:val="1"/>
          <w:bCs w:val="1"/>
          <w:color w:val="auto"/>
        </w:rPr>
      </w:pPr>
    </w:p>
    <w:p>
      <w:pPr>
        <w:ind w:right="20" w:firstLine="436"/>
        <w:spacing w:after="0" w:line="253" w:lineRule="auto"/>
        <w:tabs>
          <w:tab w:leader="none" w:pos="6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Rights issued under a Rights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Rights Agreement has been duly authorized by the Company and the Rights Agent by all necessary corporate action; (iii) the applicable Rights Agreement has been duly executed and delivered by the Company and the Rights Agent; (iv) the issuance and terms of the Rights have been duly authorized by the Company by all necessary corporate action; (v) the terms of the Rights and of their issuance and sale have been duly established in conformity with the applicable Rights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Rights have been duly executed and delivered by the Company and authenticated by the Rights Agent pursuant to the applicable Rights Agreement and delivered against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1000"/>
          </w:cols>
          <w:pgMar w:left="440" w:top="270" w:right="459" w:bottom="1440" w:gutter="0" w:footer="0" w:header="0"/>
        </w:sectPr>
      </w:pPr>
    </w:p>
    <w:bookmarkStart w:id="106" w:name="page107"/>
    <w:bookmarkEnd w:id="10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therefor, then the Rights, when issued and sold in accordance with the applicable Rights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72" w:lineRule="exact"/>
        <w:rPr>
          <w:sz w:val="20"/>
          <w:szCs w:val="20"/>
          <w:color w:val="auto"/>
        </w:rPr>
      </w:pPr>
    </w:p>
    <w:p>
      <w:pPr>
        <w:ind w:right="60" w:firstLine="436"/>
        <w:spacing w:after="0" w:line="252" w:lineRule="auto"/>
        <w:tabs>
          <w:tab w:leader="none" w:pos="6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Units issued under a Unit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Unit Agreement has been duly authorized by the Company and the Unit Agent by all necessary corporate action; (iii) the applicable Unit Agreement has been duly executed and delivered by the Company and the Unit Agent; (iv) the issuance and terms of the Units have been duly authorized by the Company by all necessary corporate action; (v) the terms of the Units and of their issuance and sale have been duly established in conformity with the applicable Unit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Units have been duly executed and delivered by the Company and authenticated by the Unit Agent pursuant to the applicable Unit Agreement and delivered against payment therefor, then the Units, when issued and sold in accordance with the applicable Unit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Laura Berezin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0960"/>
          </w:cols>
          <w:pgMar w:left="440" w:top="270" w:right="4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reference of our firm under the caption “Experts” in the Registration Statement (Form S-3) and related Prospectus of Tempest Therapeutics, Inc. for the registration of its common stock, preferred stock, debt securities, warrants, units and rights to purchase common stock, preferred stock, debt securities or units, and to the incorporation by reference therein of our report dated March 19, 2024, with respect to the consolidated financial statements of Tempest Therapeutics, Inc.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19, 2024</w:t>
      </w:r>
    </w:p>
    <w:p>
      <w:pPr>
        <w:sectPr>
          <w:pgSz w:w="11900" w:h="16838" w:orient="portrait"/>
          <w:cols w:equalWidth="0" w:num="1">
            <w:col w:w="11020"/>
          </w:cols>
          <w:pgMar w:left="440" w:top="117" w:right="439" w:bottom="1440" w:gutter="0" w:footer="0" w:header="0"/>
        </w:sectPr>
      </w:pPr>
    </w:p>
    <w:bookmarkStart w:id="108" w:name="page109"/>
    <w:bookmarkEnd w:id="108"/>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0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 Calculation</w:t>
            </w: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 Maximum</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 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6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 Forward</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to</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80" w:type="dxa"/>
            <w:vAlign w:val="bottom"/>
            <w:tcBorders>
              <w:right w:val="single" w:sz="8" w:color="auto"/>
            </w:tcBorders>
          </w:tcPr>
          <w:p>
            <w:pPr>
              <w:jc w:val="right"/>
              <w:ind w:right="322"/>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 Registration</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be Carried</w:t>
            </w:r>
          </w:p>
        </w:tc>
        <w:tc>
          <w:tcPr>
            <w:tcW w:w="0" w:type="dxa"/>
            <w:vAlign w:val="bottom"/>
          </w:tcPr>
          <w:p>
            <w:pPr>
              <w:spacing w:after="0"/>
              <w:rPr>
                <w:sz w:val="1"/>
                <w:szCs w:val="1"/>
                <w:color w:val="auto"/>
              </w:rPr>
            </w:pPr>
          </w:p>
        </w:tc>
      </w:tr>
      <w:tr>
        <w:trPr>
          <w:trHeight w:val="174"/>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 Registered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color w:val="auto"/>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26"/>
        </w:trPr>
        <w:tc>
          <w:tcPr>
            <w:tcW w:w="118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542"/>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rPr>
              <w:t>Fees to Be</w:t>
            </w: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$0.001</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per</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18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20" w:type="dxa"/>
            <w:vAlign w:val="bottom"/>
            <w:tcBorders>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9"/>
                <w:szCs w:val="29"/>
                <w:color w:val="auto"/>
                <w:w w:val="95"/>
                <w:vertAlign w:val="subscript"/>
              </w:rPr>
              <w:t>share</w:t>
            </w:r>
            <w:r>
              <w:rPr>
                <w:rFonts w:ascii="Times New Roman" w:cs="Times New Roman" w:eastAsia="Times New Roman" w:hAnsi="Times New Roman"/>
                <w:sz w:val="12"/>
                <w:szCs w:val="12"/>
                <w:color w:val="auto"/>
                <w:w w:val="95"/>
              </w:rPr>
              <w:t>(1)(2)</w:t>
            </w:r>
          </w:p>
        </w:tc>
        <w:tc>
          <w:tcPr>
            <w:tcW w:w="72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Preferred</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$0.001</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5"/>
              </w:rPr>
              <w:t>per share</w:t>
            </w:r>
            <w:r>
              <w:rPr>
                <w:rFonts w:ascii="Times New Roman" w:cs="Times New Roman" w:eastAsia="Times New Roman" w:hAnsi="Times New Roman"/>
                <w:sz w:val="25"/>
                <w:szCs w:val="25"/>
                <w:color w:val="auto"/>
                <w:w w:val="95"/>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Debt</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4"/>
              </w:rPr>
              <w:t>Securities</w:t>
            </w:r>
            <w:r>
              <w:rPr>
                <w:rFonts w:ascii="Times New Roman" w:cs="Times New Roman" w:eastAsia="Times New Roman" w:hAnsi="Times New Roman"/>
                <w:sz w:val="25"/>
                <w:szCs w:val="25"/>
                <w:color w:val="auto"/>
                <w:w w:val="94"/>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7"/>
                <w:szCs w:val="17"/>
                <w:color w:val="auto"/>
                <w:w w:val="92"/>
              </w:rPr>
              <w:t>Warrants</w:t>
            </w:r>
            <w:r>
              <w:rPr>
                <w:rFonts w:ascii="Times New Roman" w:cs="Times New Roman" w:eastAsia="Times New Roman" w:hAnsi="Times New Roman"/>
                <w:sz w:val="25"/>
                <w:szCs w:val="25"/>
                <w:color w:val="auto"/>
                <w:w w:val="92"/>
                <w:vertAlign w:val="superscript"/>
              </w:rPr>
              <w:t>(1)</w:t>
            </w:r>
          </w:p>
        </w:tc>
        <w:tc>
          <w:tcPr>
            <w:tcW w:w="7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7"/>
                <w:szCs w:val="17"/>
                <w:color w:val="auto"/>
                <w:w w:val="92"/>
              </w:rPr>
              <w:t>Units</w:t>
            </w:r>
            <w:r>
              <w:rPr>
                <w:rFonts w:ascii="Times New Roman" w:cs="Times New Roman" w:eastAsia="Times New Roman" w:hAnsi="Times New Roman"/>
                <w:sz w:val="25"/>
                <w:szCs w:val="25"/>
                <w:color w:val="auto"/>
                <w:w w:val="92"/>
                <w:vertAlign w:val="superscript"/>
              </w:rPr>
              <w:t>(1)</w:t>
            </w:r>
          </w:p>
        </w:tc>
        <w:tc>
          <w:tcPr>
            <w:tcW w:w="7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Rights to</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purchase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stock,</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preferred</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debt</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securities or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1"/>
              </w:rPr>
              <w:t>units</w:t>
            </w:r>
            <w:r>
              <w:rPr>
                <w:rFonts w:ascii="Times New Roman" w:cs="Times New Roman" w:eastAsia="Times New Roman" w:hAnsi="Times New Roman"/>
                <w:sz w:val="25"/>
                <w:szCs w:val="25"/>
                <w:color w:val="auto"/>
                <w:w w:val="91"/>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Unallocated</w:t>
            </w:r>
          </w:p>
        </w:tc>
        <w:tc>
          <w:tcPr>
            <w:tcW w:w="9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9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$98,930,815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$0.00014760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$14,602.19</w:t>
            </w: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80" w:type="dxa"/>
            <w:vAlign w:val="bottom"/>
            <w:tcBorders>
              <w:left w:val="single" w:sz="8" w:color="auto"/>
              <w:right w:val="single" w:sz="8" w:color="auto"/>
            </w:tcBorders>
          </w:tcPr>
          <w:p>
            <w:pPr>
              <w:jc w:val="center"/>
              <w:ind w:left="55"/>
              <w:spacing w:after="0" w:line="194" w:lineRule="exact"/>
              <w:rPr>
                <w:sz w:val="20"/>
                <w:szCs w:val="20"/>
                <w:color w:val="auto"/>
              </w:rPr>
            </w:pPr>
            <w:r>
              <w:rPr>
                <w:rFonts w:ascii="Times New Roman" w:cs="Times New Roman" w:eastAsia="Times New Roman" w:hAnsi="Times New Roman"/>
                <w:sz w:val="17"/>
                <w:szCs w:val="17"/>
                <w:color w:val="auto"/>
              </w:rPr>
              <w:t>Fees</w:t>
            </w: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8"/>
              </w:rPr>
              <w:t>Previously</w:t>
            </w: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8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9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auto"/>
              <w:right w:val="single" w:sz="8" w:color="auto"/>
            </w:tcBorders>
          </w:tcPr>
          <w:p>
            <w:pPr>
              <w:jc w:val="right"/>
              <w:ind w:right="322"/>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18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702"/>
              <w:spacing w:after="0"/>
              <w:rPr>
                <w:sz w:val="20"/>
                <w:szCs w:val="20"/>
                <w:color w:val="auto"/>
              </w:rPr>
            </w:pPr>
            <w:r>
              <w:rPr>
                <w:rFonts w:ascii="Times New Roman" w:cs="Times New Roman" w:eastAsia="Times New Roman" w:hAnsi="Times New Roman"/>
                <w:sz w:val="17"/>
                <w:szCs w:val="17"/>
                <w:color w:val="auto"/>
              </w:rPr>
              <w:t>Carryforward Securities</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$0.001</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rPr>
              <w:t>Forward</w:t>
            </w: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per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July 23,</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8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20" w:type="dxa"/>
            <w:vAlign w:val="bottom"/>
            <w:tcBorders>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9"/>
                <w:szCs w:val="29"/>
                <w:color w:val="auto"/>
                <w:w w:val="95"/>
                <w:vertAlign w:val="subscript"/>
              </w:rPr>
              <w:t>share</w:t>
            </w:r>
            <w:r>
              <w:rPr>
                <w:rFonts w:ascii="Times New Roman" w:cs="Times New Roman" w:eastAsia="Times New Roman" w:hAnsi="Times New Roman"/>
                <w:sz w:val="12"/>
                <w:szCs w:val="12"/>
                <w:color w:val="auto"/>
                <w:w w:val="95"/>
              </w:rPr>
              <w:t>(1)(2)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$198,740,507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0.00010910</w:t>
            </w:r>
          </w:p>
        </w:tc>
        <w:tc>
          <w:tcPr>
            <w:tcW w:w="8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S-3</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333-257990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$21,682.59</w:t>
            </w: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Preferred</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$0.001</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5"/>
              </w:rPr>
              <w:t>per share</w:t>
            </w:r>
            <w:r>
              <w:rPr>
                <w:rFonts w:ascii="Times New Roman" w:cs="Times New Roman" w:eastAsia="Times New Roman" w:hAnsi="Times New Roman"/>
                <w:sz w:val="25"/>
                <w:szCs w:val="25"/>
                <w:color w:val="auto"/>
                <w:w w:val="95"/>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Debt</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4"/>
              </w:rPr>
              <w:t>Securities</w:t>
            </w:r>
            <w:r>
              <w:rPr>
                <w:rFonts w:ascii="Times New Roman" w:cs="Times New Roman" w:eastAsia="Times New Roman" w:hAnsi="Times New Roman"/>
                <w:sz w:val="25"/>
                <w:szCs w:val="25"/>
                <w:color w:val="auto"/>
                <w:w w:val="94"/>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7"/>
                <w:szCs w:val="17"/>
                <w:color w:val="auto"/>
                <w:w w:val="92"/>
              </w:rPr>
              <w:t>Warrants</w:t>
            </w:r>
            <w:r>
              <w:rPr>
                <w:rFonts w:ascii="Times New Roman" w:cs="Times New Roman" w:eastAsia="Times New Roman" w:hAnsi="Times New Roman"/>
                <w:sz w:val="25"/>
                <w:szCs w:val="25"/>
                <w:color w:val="auto"/>
                <w:w w:val="92"/>
                <w:vertAlign w:val="superscript"/>
              </w:rPr>
              <w:t>(1)</w:t>
            </w:r>
          </w:p>
        </w:tc>
        <w:tc>
          <w:tcPr>
            <w:tcW w:w="7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7"/>
                <w:szCs w:val="17"/>
                <w:color w:val="auto"/>
                <w:w w:val="92"/>
              </w:rPr>
              <w:t>Units</w:t>
            </w:r>
            <w:r>
              <w:rPr>
                <w:rFonts w:ascii="Times New Roman" w:cs="Times New Roman" w:eastAsia="Times New Roman" w:hAnsi="Times New Roman"/>
                <w:sz w:val="25"/>
                <w:szCs w:val="25"/>
                <w:color w:val="auto"/>
                <w:w w:val="92"/>
                <w:vertAlign w:val="superscript"/>
              </w:rPr>
              <w:t>(1)</w:t>
            </w:r>
          </w:p>
        </w:tc>
        <w:tc>
          <w:tcPr>
            <w:tcW w:w="7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Rights to</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purchase</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stock,</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preferred</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debt</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securities or</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7"/>
                <w:szCs w:val="17"/>
                <w:color w:val="auto"/>
                <w:w w:val="91"/>
              </w:rPr>
              <w:t>units</w:t>
            </w:r>
            <w:r>
              <w:rPr>
                <w:rFonts w:ascii="Times New Roman" w:cs="Times New Roman" w:eastAsia="Times New Roman" w:hAnsi="Times New Roman"/>
                <w:sz w:val="25"/>
                <w:szCs w:val="25"/>
                <w:color w:val="auto"/>
                <w:w w:val="91"/>
                <w:vertAlign w:val="superscript"/>
              </w:rPr>
              <w:t>(1)</w:t>
            </w: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Unallocated</w:t>
            </w: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Unallocated</w:t>
            </w: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7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July 23,</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$2,328,678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0.00010910</w:t>
            </w:r>
          </w:p>
        </w:tc>
        <w:tc>
          <w:tcPr>
            <w:tcW w:w="8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S-3</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333-257990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$254.06</w:t>
            </w:r>
          </w:p>
        </w:tc>
        <w:tc>
          <w:tcPr>
            <w:tcW w:w="0" w:type="dxa"/>
            <w:vAlign w:val="bottom"/>
          </w:tcPr>
          <w:p>
            <w:pPr>
              <w:spacing w:after="0"/>
              <w:rPr>
                <w:sz w:val="1"/>
                <w:szCs w:val="1"/>
                <w:color w:val="auto"/>
              </w:rPr>
            </w:pPr>
          </w:p>
        </w:tc>
      </w:tr>
      <w:tr>
        <w:trPr>
          <w:trHeight w:val="226"/>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ind w:left="880"/>
              <w:spacing w:after="0"/>
              <w:rPr>
                <w:sz w:val="20"/>
                <w:szCs w:val="20"/>
                <w:color w:val="auto"/>
              </w:rPr>
            </w:pPr>
            <w:r>
              <w:rPr>
                <w:rFonts w:ascii="Times New Roman" w:cs="Times New Roman" w:eastAsia="Times New Roman" w:hAnsi="Times New Roman"/>
                <w:sz w:val="17"/>
                <w:szCs w:val="17"/>
                <w:color w:val="auto"/>
                <w:w w:val="98"/>
              </w:rPr>
              <w:t>Total Offering Amounts </w:t>
            </w: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$300,000,000</w:t>
            </w: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$14,602.19</w:t>
            </w: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6920230</wp:posOffset>
            </wp:positionH>
            <wp:positionV relativeFrom="paragraph">
              <wp:posOffset>-7620</wp:posOffset>
            </wp:positionV>
            <wp:extent cx="82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-7620</wp:posOffset>
            </wp:positionV>
            <wp:extent cx="82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-7620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-7620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-7620</wp:posOffset>
            </wp:positionV>
            <wp:extent cx="82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-7620</wp:posOffset>
            </wp:positionV>
            <wp:extent cx="8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-7620</wp:posOffset>
            </wp:positionV>
            <wp:extent cx="82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-7620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-7620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-7620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-7620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64" w:orient="portrait"/>
          <w:cols w:equalWidth="0" w:num="1">
            <w:col w:w="10960"/>
          </w:cols>
          <w:pgMar w:left="500" w:top="117" w:right="439" w:bottom="0" w:gutter="0" w:footer="0" w:header="0"/>
        </w:sectPr>
      </w:pPr>
    </w:p>
    <w:bookmarkStart w:id="109" w:name="page110"/>
    <w:bookmarkEnd w:id="109"/>
    <w:tbl>
      <w:tblPr>
        <w:tblLayout w:type="fixed"/>
        <w:tblInd w:w="74" w:type="dxa"/>
        <w:tblCellMar>
          <w:top w:w="0" w:type="dxa"/>
          <w:left w:w="0" w:type="dxa"/>
          <w:bottom w:w="0" w:type="dxa"/>
          <w:right w:w="0" w:type="dxa"/>
        </w:tblCellMar>
      </w:tblPr>
      <w:tr>
        <w:trPr>
          <w:trHeight w:val="216"/>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Total Fees Previously Paid </w:t>
            </w:r>
          </w:p>
        </w:tc>
        <w:tc>
          <w:tcPr>
            <w:tcW w:w="6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19"/>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23"/>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Net Fee Due </w:t>
            </w: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$14,602.19</w:t>
            </w:r>
          </w:p>
        </w:tc>
        <w:tc>
          <w:tcPr>
            <w:tcW w:w="5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bl>
    <w:p>
      <w:pPr>
        <w:spacing w:after="0" w:line="225" w:lineRule="exact"/>
        <w:rPr>
          <w:sz w:val="20"/>
          <w:szCs w:val="20"/>
          <w:color w:val="auto"/>
        </w:rPr>
      </w:pPr>
    </w:p>
    <w:p>
      <w:pPr>
        <w:ind w:left="424" w:right="340" w:hanging="424"/>
        <w:spacing w:after="0" w:line="261"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consideration may or may not be received for securities that are issuable upon the conversion or exercise of, or in exchange for, other securities offered hereby.</w:t>
      </w:r>
    </w:p>
    <w:p>
      <w:pPr>
        <w:ind w:left="424" w:right="200" w:hanging="424"/>
        <w:spacing w:after="0" w:line="250"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registered hereunder includes an associated right (the “Rights”) as set forth in the Rights Agreement, dated as of October 10, 2023, between the registrant and Computershare Trust Company, N.A., as rights agent. Rights are attached to the shares of common stock, will not be offered separately, and are not exercisable until the occurrence of certain events specified in the Rights Agreement. The value attributable to the Rights, if any, is reflected in the value of the common stock.</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registering hereunder such indeterminate number of shares of common stock and preferred stock, such indeterminate principal amount of debt securities, such indeterminate number of warrants to purchase common stock, preferred stock and/or debt securities, such indeterminate amount of units and such indeterminate amount of rights to purchase common stock, preferred stock and/or debt securities to be sold by the registrant from time to time at unspecified prices which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registered for sale also include such indeterminate number of shares of common stock and preferred stock as may be issued upon conversion of debt securities, such indeterminate number of shares of common stock that may be issued upon conversion of preferred stock and such indeterminate number of shares of common stock, preferred stock and warrants and principal amount of debt securities that may be issued upon exercise of warrants or rights.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4"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1" w:lineRule="exact"/>
        <w:rPr>
          <w:rFonts w:ascii="Times New Roman" w:cs="Times New Roman" w:eastAsia="Times New Roman" w:hAnsi="Times New Roman"/>
          <w:sz w:val="18"/>
          <w:szCs w:val="18"/>
          <w:color w:val="auto"/>
        </w:rPr>
      </w:pPr>
    </w:p>
    <w:p>
      <w:pPr>
        <w:ind w:left="424" w:right="20" w:hanging="424"/>
        <w:spacing w:after="0" w:line="251"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415(a)(6) under the Securities Act, the securities registered pursuant to this registration statement include $201,069,185 of unsold securities (the “Unsold Securities”) previously registered pursuant to the Registration Statement on Form S-3 (File No. 333-257990), which was declared effective on July 23, 2021 (the “Prior Registration Statement”), which includes $198,740,507 of unsold common stock pursuant to the sales agreement prospectus included in the Prior Registration Statement. In connection with the filing of the Prior Registration Statement, the registrant paid a filing fee of $21,936,65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$98,930,815 (the “New Securities”), which aggregate offering price is not specified as to each class of securities. A filing fee of $14,602.19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sectPr>
      <w:pgSz w:w="11900" w:h="16838" w:orient="portrait"/>
      <w:cols w:equalWidth="0" w:num="1">
        <w:col w:w="11024"/>
      </w:cols>
      <w:pgMar w:left="436" w:top="1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4"/>
    </w:lvl>
  </w:abstractNum>
  <w:abstractNum w:abstractNumId="36">
    <w:nsid w:val="1381823A"/>
    <w:multiLevelType w:val="hybridMultilevel"/>
    <w:lvl w:ilvl="0">
      <w:lvlJc w:val="left"/>
      <w:lvlText w:val=" "/>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1)"/>
      <w:numFmt w:val="decimal"/>
      <w:start w:val="1"/>
    </w:lvl>
    <w:lvl w:ilvl="1">
      <w:lvlJc w:val="left"/>
      <w:lvlText w:val="(%2)"/>
      <w:numFmt w:val="lowerRoman"/>
      <w:start w:val="1"/>
    </w:lvl>
  </w:abstractNum>
  <w:abstractNum w:abstractNumId="39">
    <w:nsid w:val="6590700B"/>
    <w:multiLevelType w:val="hybridMultilevel"/>
    <w:lvl w:ilvl="0">
      <w:lvlJc w:val="left"/>
      <w:lvlText w:val="(%1)"/>
      <w:numFmt w:val="decimal"/>
      <w:start w:val="2"/>
    </w:lvl>
  </w:abstractNum>
  <w:abstractNum w:abstractNumId="40">
    <w:nsid w:val="15014ACB"/>
    <w:multiLevelType w:val="hybridMultilevel"/>
    <w:lvl w:ilvl="0">
      <w:lvlJc w:val="left"/>
      <w:lvlText w:val="(%1)"/>
      <w:numFmt w:val="decimal"/>
      <w:start w:val="3"/>
    </w:lvl>
    <w:lvl w:ilvl="1">
      <w:lvlJc w:val="left"/>
      <w:lvlText w:val="(%2)"/>
      <w:numFmt w:val="lowerRoman"/>
      <w:start w:val="1"/>
    </w:lvl>
  </w:abstractNum>
  <w:abstractNum w:abstractNumId="41">
    <w:nsid w:val="5F5E7FD0"/>
    <w:multiLevelType w:val="hybridMultilevel"/>
    <w:lvl w:ilvl="0">
      <w:lvlJc w:val="left"/>
      <w:lvlText w:val="(%1)"/>
      <w:numFmt w:val="lowerLetter"/>
      <w:start w:val="1"/>
    </w:lvl>
    <w:lvl w:ilvl="1">
      <w:lvlJc w:val="left"/>
      <w:lvlText w:val="(%2)"/>
      <w:numFmt w:val="decimal"/>
      <w:start w:val="1"/>
    </w:lvl>
  </w:abstractNum>
  <w:abstractNum w:abstractNumId="42">
    <w:nsid w:val="98A3148"/>
    <w:multiLevelType w:val="hybridMultilevel"/>
    <w:lvl w:ilvl="0">
      <w:lvlJc w:val="left"/>
      <w:lvlText w:val="(%1)"/>
      <w:numFmt w:val="decimal"/>
      <w:start w:val="3"/>
    </w:lvl>
  </w:abstractNum>
  <w:abstractNum w:abstractNumId="43">
    <w:nsid w:val="799D0247"/>
    <w:multiLevelType w:val="hybridMultilevel"/>
    <w:lvl w:ilvl="0">
      <w:lvlJc w:val="left"/>
      <w:lvlText w:val="(%1)"/>
      <w:numFmt w:val="decimal"/>
      <w:start w:val="15"/>
    </w:lvl>
  </w:abstractNum>
  <w:abstractNum w:abstractNumId="44">
    <w:nsid w:val="6B94764"/>
    <w:multiLevelType w:val="hybridMultilevel"/>
    <w:lvl w:ilvl="0">
      <w:lvlJc w:val="left"/>
      <w:lvlText w:val="(%1)"/>
      <w:numFmt w:val="decimal"/>
      <w:start w:val="26"/>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3"/>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3"/>
    </w:lvl>
  </w:abstractNum>
  <w:abstractNum w:abstractNumId="50">
    <w:nsid w:val="540A471C"/>
    <w:multiLevelType w:val="hybridMultilevel"/>
    <w:lvl w:ilvl="0">
      <w:lvlJc w:val="left"/>
      <w:lvlText w:val="(%1)"/>
      <w:numFmt w:val="lowerLetter"/>
      <w:start w:val="1"/>
    </w:lvl>
  </w:abstractNum>
  <w:abstractNum w:abstractNumId="51">
    <w:nsid w:val="7BD3EE7B"/>
    <w:multiLevelType w:val="hybridMultilevel"/>
    <w:lvl w:ilvl="0">
      <w:lvlJc w:val="left"/>
      <w:lvlText w:val="(%1)"/>
      <w:numFmt w:val="lowerLetter"/>
      <w:start w:val="2"/>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1"/>
    </w:lvl>
    <w:lvl w:ilvl="1">
      <w:lvlJc w:val="left"/>
      <w:lvlText w:val="(%2)"/>
      <w:numFmt w:val="decimal"/>
      <w:start w:val="1"/>
    </w:lvl>
  </w:abstractNum>
  <w:abstractNum w:abstractNumId="54">
    <w:nsid w:val="BF72B14"/>
    <w:multiLevelType w:val="hybridMultilevel"/>
    <w:lvl w:ilvl="0">
      <w:lvlJc w:val="left"/>
      <w:lvlText w:val="%1"/>
      <w:numFmt w:val="lowerLetter"/>
      <w:start w:val="1"/>
    </w:lvl>
    <w:lvl w:ilvl="1">
      <w:lvlJc w:val="left"/>
      <w:lvlText w:val="(%2)"/>
      <w:numFmt w:val="decimal"/>
      <w:start w:val="4"/>
    </w:lvl>
  </w:abstractNum>
  <w:abstractNum w:abstractNumId="55">
    <w:nsid w:val="11447B73"/>
    <w:multiLevelType w:val="hybridMultilevel"/>
    <w:lvl w:ilvl="0">
      <w:lvlJc w:val="left"/>
      <w:lvlText w:val="(%1)"/>
      <w:numFmt w:val="lowerLetter"/>
      <w:start w:val="2"/>
    </w:lvl>
    <w:lvl w:ilvl="1">
      <w:lvlJc w:val="left"/>
      <w:lvlText w:val="%2"/>
      <w:numFmt w:val="decimal"/>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lvl w:ilvl="1">
      <w:lvlJc w:val="left"/>
      <w:lvlText w:val="(%2)"/>
      <w:numFmt w:val="decimal"/>
      <w:start w:val="1"/>
    </w:lvl>
  </w:abstractNum>
  <w:abstractNum w:abstractNumId="60">
    <w:nsid w:val="3B0FD3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1">
    <w:nsid w:val="68EB2F6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2">
    <w:nsid w:val="4962813B"/>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63">
    <w:nsid w:val="60B6DF70"/>
    <w:multiLevelType w:val="hybridMultilevel"/>
    <w:lvl w:ilvl="0">
      <w:lvlJc w:val="left"/>
      <w:lvlText w:val="(%1)"/>
      <w:numFmt w:val="lowerLetter"/>
      <w:start w:val="4"/>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4"/>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Roman"/>
      <w:start w:val="1"/>
    </w:lvl>
    <w:lvl w:ilvl="1">
      <w:lvlJc w:val="left"/>
      <w:lvlText w:val="(%2)"/>
      <w:numFmt w:val="upperLetter"/>
      <w:start w:val="1"/>
    </w:lvl>
  </w:abstractNum>
  <w:abstractNum w:abstractNumId="70">
    <w:nsid w:val="7FB7E0AA"/>
    <w:multiLevelType w:val="hybridMultilevel"/>
    <w:lvl w:ilvl="0">
      <w:lvlJc w:val="left"/>
      <w:lvlText w:val="(%1)"/>
      <w:numFmt w:val="lowerRoman"/>
      <w:start w:val="2"/>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lowerLetter"/>
      <w:start w:val="4"/>
    </w:lvl>
  </w:abstractNum>
  <w:abstractNum w:abstractNumId="73">
    <w:nsid w:val="94211F2"/>
    <w:multiLevelType w:val="hybridMultilevel"/>
    <w:lvl w:ilvl="0">
      <w:lvlJc w:val="left"/>
      <w:lvlText w:val="(%1)"/>
      <w:numFmt w:val="lowerLetter"/>
      <w:start w:val="10"/>
    </w:lvl>
  </w:abstractNum>
  <w:abstractNum w:abstractNumId="74">
    <w:nsid w:val="885E1B"/>
    <w:multiLevelType w:val="hybridMultilevel"/>
    <w:lvl w:ilvl="0">
      <w:lvlJc w:val="left"/>
      <w:lvlText w:val="(%1)"/>
      <w:numFmt w:val="lowerLetter"/>
      <w:start w:val="1"/>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lowerLetter"/>
      <w:start w:val="2"/>
    </w:lvl>
    <w:lvl w:ilvl="1">
      <w:lvlJc w:val="left"/>
      <w:lvlText w:val="(%2)"/>
      <w:numFmt w:val="lowerRoman"/>
      <w:start w:val="1"/>
    </w:lvl>
  </w:abstractNum>
  <w:abstractNum w:abstractNumId="78">
    <w:nsid w:val="14E17E33"/>
    <w:multiLevelType w:val="hybridMultilevel"/>
    <w:lvl w:ilvl="0">
      <w:lvlJc w:val="left"/>
      <w:lvlText w:val="(%1)"/>
      <w:numFmt w:val="lowerLetter"/>
      <w:start w:val="3"/>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Letter"/>
      <w:start w:val="4"/>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2"/>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8"/>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2"/>
    </w:lvl>
  </w:abstractNum>
  <w:abstractNum w:abstractNumId="87">
    <w:nsid w:val="CC1016F"/>
    <w:multiLevelType w:val="hybridMultilevel"/>
    <w:lvl w:ilvl="0">
      <w:lvlJc w:val="left"/>
      <w:lvlText w:val="%1"/>
      <w:numFmt w:val="lowerLetter"/>
      <w:start w:val="1"/>
    </w:lvl>
    <w:lvl w:ilvl="1">
      <w:lvlJc w:val="left"/>
      <w:lvlText w:val="(%2)"/>
      <w:numFmt w:val="lowerLetter"/>
      <w:start w:val="1"/>
    </w:lvl>
  </w:abstractNum>
  <w:abstractNum w:abstractNumId="88">
    <w:nsid w:val="43F18422"/>
    <w:multiLevelType w:val="hybridMultilevel"/>
    <w:lvl w:ilvl="0">
      <w:lvlJc w:val="left"/>
      <w:lvlText w:val="(%1)"/>
      <w:numFmt w:val="lowerLetter"/>
      <w:start w:val="61"/>
    </w:lvl>
    <w:lvl w:ilvl="1">
      <w:lvlJc w:val="left"/>
      <w:lvlText w:val="%2"/>
      <w:numFmt w:val="lowerLetter"/>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upperLetter"/>
      <w:start w:val="20"/>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lowerRoman"/>
      <w:start w:val="1"/>
    </w:lvl>
  </w:abstractNum>
  <w:abstractNum w:abstractNumId="93">
    <w:nsid w:val="7055A5F5"/>
    <w:multiLevelType w:val="hybridMultilevel"/>
    <w:lvl w:ilvl="0">
      <w:lvlJc w:val="left"/>
      <w:lvlText w:val="(%1)"/>
      <w:numFmt w:val="lowerRoman"/>
      <w:start w:val="3"/>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3"/>
    </w:lvl>
  </w:abstractNum>
  <w:abstractNum w:abstractNumId="96">
    <w:nsid w:val="488AC1A"/>
    <w:multiLevelType w:val="hybridMultilevel"/>
    <w:lvl w:ilvl="0">
      <w:lvlJc w:val="left"/>
      <w:lvlText w:val="%1."/>
      <w:numFmt w:val="decimal"/>
      <w:start w:val="6"/>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jpe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66" Type="http://schemas.openxmlformats.org/officeDocument/2006/relationships/hyperlink" Target="http://www.sec.gov/ix?doc=/Archives/edgar/data/1544227/000095017024033555/tpst-20231231.htm" TargetMode="External"/><Relationship Id="rId67" Type="http://schemas.openxmlformats.org/officeDocument/2006/relationships/hyperlink" Target="http://www.sec.gov/Archives/edgar/data/1544227/000119312524106959/d240250ddef14a.htm" TargetMode="External"/><Relationship Id="rId69" Type="http://schemas.openxmlformats.org/officeDocument/2006/relationships/hyperlink" Target="http://www.sec.gov/ix?doc=/Archives/edgar/data/1544227/000095017024057072/tpst-20240331.htm" TargetMode="External"/><Relationship Id="rId70" Type="http://schemas.openxmlformats.org/officeDocument/2006/relationships/hyperlink" Target="http://www.sec.gov/ix?doc=/Archives/edgar/data/1544227/000119312524161685/d853541d8k.htm" TargetMode="External"/><Relationship Id="rId71" Type="http://schemas.openxmlformats.org/officeDocument/2006/relationships/hyperlink" Target="http://www.sec.gov/ix?doc=/Archives/edgar/data/1544227/000119312524164015/d857887d8k.htm" TargetMode="External"/><Relationship Id="rId72" Type="http://schemas.openxmlformats.org/officeDocument/2006/relationships/hyperlink" Target="http://www.sec.gov/Archives/edgar/data/0001544227/000110465913033085/a13-9660_28a12b.htm" TargetMode="External"/><Relationship Id="rId73" Type="http://schemas.openxmlformats.org/officeDocument/2006/relationships/hyperlink" Target="http://www.sec.gov/Archives/edgar/data/1544227/000095017024033555/tpst-ex4_1.htm" TargetMode="External"/><Relationship Id="rId83" Type="http://schemas.openxmlformats.org/officeDocument/2006/relationships/hyperlink" Target="http://www.sec.gov/Archives/edgar/data/1544227/000119312524164015/d857887dex11.htm" TargetMode="External"/><Relationship Id="rId84" Type="http://schemas.openxmlformats.org/officeDocument/2006/relationships/hyperlink" Target="http://www.sec.gov/Archives/edgar/data/1544227/000110465921042768/tm2111026d1_ex2-1.htm" TargetMode="External"/><Relationship Id="rId85" Type="http://schemas.openxmlformats.org/officeDocument/2006/relationships/hyperlink" Target="http://www.sec.gov/Archives/edgar/data/1544227/000155837019005038/mlnd-20190331ex31b53fa83.htm" TargetMode="External"/><Relationship Id="rId86" Type="http://schemas.openxmlformats.org/officeDocument/2006/relationships/hyperlink" Target="http://www.sec.gov/Archives/edgar/data/0001544227/000119312521201157/d196630dex31.htm" TargetMode="External"/><Relationship Id="rId87" Type="http://schemas.openxmlformats.org/officeDocument/2006/relationships/hyperlink" Target="http://www.sec.gov/Archives/edgar/data/0001544227/000119312521201157/d196630dex32.htm" TargetMode="External"/><Relationship Id="rId88" Type="http://schemas.openxmlformats.org/officeDocument/2006/relationships/hyperlink" Target="http://www.sec.gov/Archives/edgar/data/1544227/000119312523253882/d547808dex31.htm" TargetMode="External"/><Relationship Id="rId89" Type="http://schemas.openxmlformats.org/officeDocument/2006/relationships/hyperlink" Target="http://www.sec.gov/Archives/edgar/data/1544227/000119312521281694/d222030dex31.htm" TargetMode="External"/><Relationship Id="rId90" Type="http://schemas.openxmlformats.org/officeDocument/2006/relationships/hyperlink" Target="http://www.sec.gov/Archives/edgar/data/0001544227/000119312521148605/d150774dex42.htm" TargetMode="External"/><Relationship Id="rId91" Type="http://schemas.openxmlformats.org/officeDocument/2006/relationships/hyperlink" Target="http://www.sec.gov/Archives/edgar/data/1544227/000119312522135401/d212050dex102.htm" TargetMode="External"/><Relationship Id="rId92" Type="http://schemas.openxmlformats.org/officeDocument/2006/relationships/hyperlink" Target="http://www.sec.gov/Archives/edgar/data/1544227/000119312523253882/d547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2024-07-19T15:45:33Z</dcterms:created>
  <dcterms:modified xsi:type="dcterms:W3CDTF">2024-07-19T15:45:33Z</dcterms:modified>
</cp:coreProperties>
</file>