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44" w:type="dxa"/>
        <w:tblCellMar>
          <w:top w:w="0" w:type="dxa"/>
          <w:left w:w="0" w:type="dxa"/>
          <w:bottom w:w="0" w:type="dxa"/>
          <w:right w:w="0" w:type="dxa"/>
        </w:tblCellMar>
      </w:tblPr>
      <w:tr>
        <w:trPr>
          <w:trHeight w:val="214"/>
        </w:trPr>
        <w:tc>
          <w:tcPr>
            <w:tcW w:w="3820" w:type="dxa"/>
            <w:vAlign w:val="bottom"/>
          </w:tcPr>
          <w:p>
            <w:pPr>
              <w:jc w:val="center"/>
              <w:ind w:right="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001-35890</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45-1472564</w:t>
            </w:r>
          </w:p>
        </w:tc>
      </w:tr>
      <w:tr>
        <w:trPr>
          <w:trHeight w:val="148"/>
        </w:trPr>
        <w:tc>
          <w:tcPr>
            <w:tcW w:w="3820" w:type="dxa"/>
            <w:vAlign w:val="bottom"/>
          </w:tcPr>
          <w:p>
            <w:pPr>
              <w:jc w:val="center"/>
              <w:ind w:right="8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00" w:type="dxa"/>
            <w:vAlign w:val="bottom"/>
          </w:tcPr>
          <w:p>
            <w:pPr>
              <w:ind w:left="9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w w:val="99"/>
              </w:rPr>
              <w:t>2000 Sierra Point Parkway, Suite 400</w:t>
            </w:r>
          </w:p>
        </w:tc>
        <w:tc>
          <w:tcPr>
            <w:tcW w:w="3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Brisbane, California</w:t>
            </w:r>
          </w:p>
        </w:tc>
        <w:tc>
          <w:tcPr>
            <w:tcW w:w="3100" w:type="dxa"/>
            <w:vAlign w:val="bottom"/>
          </w:tcPr>
          <w:p>
            <w:pPr>
              <w:spacing w:after="0"/>
              <w:rPr>
                <w:sz w:val="18"/>
                <w:szCs w:val="18"/>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190"/>
        </w:trPr>
        <w:tc>
          <w:tcPr>
            <w:tcW w:w="382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798-8589</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TPST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2025, Tempest Therapeutics, Inc., a Delaware corporation (the “Company”), received a formal notification from The Nasdaq Stock Market LLC (“Nasdaq”) confirming that the Company has regained compliance with Nasdaq Listing Rule 5550(a)(2), which requires listed companies maintain a minimum bid price of at least $1.00 per share.</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TEMPEST THERAPEUTICS,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Brady</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Brady</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2025-04-28T08:54:46Z</dcterms:created>
  <dcterms:modified xsi:type="dcterms:W3CDTF">2025-04-28T08:54:46Z</dcterms:modified>
</cp:coreProperties>
</file>