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9738-8k_tempest.htm"/>
      <w:bookmarkStart w:id="1" w:name="ksea03097388k_tempest"/>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1026__20"/>
      <w:bookmarkEnd w:id="2"/>
      <w:r>
        <w:rPr>
          <w:rFonts w:ascii="Times New Roman;Times;Serif" w:hAnsi="Times New Roman;Times;Serif"/>
          <w:b/>
          <w:i w:val="false"/>
          <w:caps w:val="false"/>
          <w:smallCaps w:val="false"/>
          <w:sz w:val="20"/>
        </w:rPr>
        <w:t xml:space="preserve">8-K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 xml:space="preserve">October 26,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E_edei--EntityRegistrantName_c2026"/>
      <w:bookmarkEnd w:id="4"/>
      <w:r>
        <w:rPr>
          <w:rFonts w:ascii="Times New Roman;Times;Serif" w:hAnsi="Times New Roman;Times;Serif"/>
          <w:b/>
          <w:i w:val="false"/>
          <w:caps w:val="false"/>
          <w:smallCaps w:val="false"/>
          <w:sz w:val="20"/>
        </w:rPr>
        <w:t xml:space="preserve">Tempest Therapeutics,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405"/>
        <w:gridCol w:w="60"/>
        <w:gridCol w:w="2300"/>
        <w:gridCol w:w="60"/>
        <w:gridCol w:w="1565"/>
      </w:tblGrid>
      <w:tr>
        <w:trPr/>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61026"/>
            <w:bookmarkEnd w:id="6"/>
            <w:r>
              <w:rPr>
                <w:rFonts w:ascii="Times New Roman;Times;Serif" w:hAnsi="Times New Roman;Times;Serif"/>
                <w:b/>
                <w:sz w:val="20"/>
              </w:rPr>
              <w:t>001-35890</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45-1472564</w:t>
            </w:r>
          </w:p>
        </w:tc>
      </w:tr>
      <w:tr>
        <w:trPr/>
        <w:tc>
          <w:tcPr>
            <w:tcW w:w="240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sz w:val="20"/>
              </w:rPr>
            </w:pPr>
            <w:bookmarkStart w:id="8" w:name="xdx_905_edei--EntityAddressAddressLine1_"/>
            <w:bookmarkEnd w:id="8"/>
            <w:r>
              <w:rPr>
                <w:rFonts w:ascii="Times New Roman;Times;Serif" w:hAnsi="Times New Roman;Times;Serif"/>
                <w:b/>
                <w:sz w:val="20"/>
              </w:rPr>
              <w:t xml:space="preserve">2000 Sierra Point Parkway, </w:t>
            </w:r>
            <w:bookmarkStart w:id="9" w:name="xdx_90C_edei--EntityAddressAddressLine2_"/>
            <w:bookmarkEnd w:id="9"/>
            <w:r>
              <w:rPr>
                <w:rFonts w:ascii="Times New Roman;Times;Serif" w:hAnsi="Times New Roman;Times;Serif"/>
                <w:b/>
                <w:sz w:val="20"/>
              </w:rPr>
              <w:t>Suite 400</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0" w:name="xdx_90D_edei--EntityAddressCityOrTown_c2"/>
            <w:bookmarkEnd w:id="10"/>
            <w:r>
              <w:rPr>
                <w:rFonts w:ascii="Times New Roman;Times;Serif" w:hAnsi="Times New Roman;Times;Serif"/>
                <w:b/>
                <w:sz w:val="20"/>
              </w:rPr>
              <w:t xml:space="preserve">Brisbane, </w:t>
            </w:r>
            <w:bookmarkStart w:id="11" w:name="xdx_909_edei--EntityAddressStateOrProvin"/>
            <w:bookmarkEnd w:id="11"/>
            <w:r>
              <w:rPr>
                <w:rFonts w:ascii="Times New Roman;Times;Serif" w:hAnsi="Times New Roman;Times;Serif"/>
                <w:b/>
                <w:sz w:val="20"/>
              </w:rPr>
              <w:t>California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2" w:name="xdx_905_edei--EntityAddressPostalZipCode"/>
            <w:bookmarkEnd w:id="12"/>
            <w:r>
              <w:rPr>
                <w:rFonts w:ascii="Times New Roman;Times;Serif" w:hAnsi="Times New Roman;Times;Serif"/>
                <w:b/>
                <w:sz w:val="20"/>
              </w:rPr>
              <w:t>94005</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9_edei--CityAreaCode_c20261026__20"/>
      <w:bookmarkEnd w:id="13"/>
      <w:r>
        <w:rPr>
          <w:rFonts w:ascii="Times New Roman;Times;Serif" w:hAnsi="Times New Roman;Times;Serif"/>
          <w:b/>
          <w:i w:val="false"/>
          <w:caps w:val="false"/>
          <w:smallCaps w:val="false"/>
          <w:sz w:val="20"/>
        </w:rPr>
        <w:t xml:space="preserve">415) </w:t>
      </w:r>
      <w:bookmarkStart w:id="14" w:name="xdx_90C_edei--LocalPhoneNumber_c20261026"/>
      <w:bookmarkEnd w:id="14"/>
      <w:r>
        <w:rPr>
          <w:rFonts w:ascii="Times New Roman;Times;Serif" w:hAnsi="Times New Roman;Times;Serif"/>
          <w:b/>
          <w:i w:val="false"/>
          <w:caps w:val="false"/>
          <w:smallCaps w:val="false"/>
          <w:sz w:val="20"/>
        </w:rPr>
        <w:t>798-8589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489" w:right="0" w:hanging="49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489" w:right="0" w:hanging="49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D_edei--SolicitingMaterial_c202610"/>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489" w:right="0" w:hanging="49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489" w:right="0" w:hanging="49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4460"/>
        <w:gridCol w:w="60"/>
        <w:gridCol w:w="1700"/>
        <w:gridCol w:w="60"/>
        <w:gridCol w:w="2555"/>
      </w:tblGrid>
      <w:tr>
        <w:trPr/>
        <w:tc>
          <w:tcPr>
            <w:tcW w:w="446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br/>
              <w:t>Title of each class</w:t>
            </w: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Trading Symbol(s)</w:t>
            </w: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Name of each exchange on</w:t>
              <w:br/>
              <w:t>which registered</w:t>
            </w:r>
            <w:r>
              <w:rPr>
                <w:rFonts w:ascii="Times New Roman;Times;Serif" w:hAnsi="Times New Roman;Times;Serif"/>
                <w:sz w:val="20"/>
              </w:rPr>
              <w:t xml:space="preserve">  </w:t>
            </w:r>
          </w:p>
        </w:tc>
      </w:tr>
      <w:tr>
        <w:trPr/>
        <w:tc>
          <w:tcPr>
            <w:tcW w:w="44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9_edei--Security12bTitle_c20261026"/>
            <w:bookmarkEnd w:id="19"/>
            <w:r>
              <w:rPr>
                <w:rFonts w:ascii="Times New Roman;Times;Serif" w:hAnsi="Times New Roman;Times;Serif"/>
                <w:sz w:val="20"/>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TradingSymbol_c20261026__2"/>
            <w:bookmarkEnd w:id="20"/>
            <w:r>
              <w:rPr>
                <w:rFonts w:ascii="Times New Roman;Times;Serif" w:hAnsi="Times New Roman;Times;Serif"/>
                <w:sz w:val="20"/>
              </w:rPr>
              <w:t>TPST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1_edei--SecurityExchangeName_c2026"/>
            <w:bookmarkEnd w:id="21"/>
            <w:r>
              <w:rPr>
                <w:rFonts w:ascii="Times New Roman;Times;Serif" w:hAnsi="Times New Roman;Times;Serif"/>
                <w:sz w:val="20"/>
              </w:rPr>
              <w:t>Nasdaq Stock Market LLC</w:t>
            </w:r>
          </w:p>
        </w:tc>
      </w:tr>
      <w:tr>
        <w:trPr/>
        <w:tc>
          <w:tcPr>
            <w:tcW w:w="4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7_edei--Security12bTitle_c20261026"/>
            <w:bookmarkEnd w:id="22"/>
            <w:r>
              <w:rPr>
                <w:rFonts w:ascii="Times New Roman;Times;Serif" w:hAnsi="Times New Roman;Times;Serif"/>
                <w:sz w:val="20"/>
              </w:rPr>
              <w:t>Series A Junior Participating Preferred Purchase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3" w:name="xdx_904_edei--SecurityExchangeName_c2026"/>
            <w:bookmarkEnd w:id="23"/>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Chief Financial Officer and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2026, Ms. Constance Ames confirmed to Tempest Therapeutics, Inc. (the “Company”) that she would be resigning from her position as Chief Financial Officer of the Company and from any and all other positions she holds with the Company for personal considerations unrelated to the Company,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 and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2026, the Board of Directors of the Company (the “Board”) appointed Ms. Stephanie Horn-Warnock as Chief Financial Officer, Principal Financial and Accounting Officer, Treasurer, and Corporate Secretary of the Company,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Horn-Warnock, 37, is an experienced financial executive with more than 14 years of experience in accounting, financial reporting, auditing and financial management across the healthcare, pharmaceutical, medical technology, behavioral health and renewable energy industries. Since March 2026, she has served in financial leadership and consulting roles through Stout Risius Ross, LLC, including as Controller of Diasome Pharmaceuticals, Inc. and Assistant Controller of Aspargo Labs, Inc., and as an accounting and financial reporting consultant to Lomond Therapeutics Holdings, Inc. From January 2024 to September 2026, Ms. Horn-Warnock was the Vice President of Finance at ROM Technologies Inc., where she led the company’s accounting and finance functions, including financial planning and analysis, treasury, financial reporting and regulatory compliance. She also oversaw the company’s annual audits, internal controls and equity reporting. From 2022 to 2024, she served as Senior Manager of Accounting and Assistant Controller at Palmetto Solar, LLC. From 2021 to 2022, she was Accounting Manager at Dascena, Inc. From 2018 to 2021, Ms. Horn-Warnock held various controller positions at Sequel Youth and Family Services, LLC, including Divisional Controller for its Child Welfare Division. She started her career in public accounting at BDO USA, P.C., where she advanced to Assurance Manager and led audits of public and private companies. Ms. Horn-Warnock received a B.B.A. in Accounting from Emory University’s Goizueta Business School. She is a Certified Public Accountant and a member of the American Institute of Certified Public Accountants and the Tennessee Society of Certified Public Accountants.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Horn-Warnock will provide her services to the Company as a consultant pursuant to an engagement letter, dated October 28, 2026, under which the Company will pay for Ms. Horn-Warnock’s services at a rate of $450 per hour, plus expenses and an indirect cost allocation of 5.0% of total professional fees. Ms. Horn-Warnock will enter into the Company’s standard form of indemnification agreement, the form of which was previously filed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Ms. Horn-Warnock and any of the Company’s directors or executive officers, and there are no arrangements or understandings between Ms. Horn-Warnock and any other person pursuant to which she was appointed as an officer of the Company and designated as its Principal Financial and Accounting Officer. There are no transactions involving Ms. Horn-Warnock requiring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1925"/>
        <w:gridCol w:w="590"/>
        <w:gridCol w:w="3095"/>
      </w:tblGrid>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TEMPEST THERAPEUTICS, INC.</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30,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Matthew Angel  </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Angel</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882</Words>
  <Characters>5052</Characters>
  <CharactersWithSpaces>5957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