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41112.htm"/>
      <w:bookmarkStart w:id="1" w:name="kstpst202411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909" w:type="dxa"/>
        <w:jc w:val="left"/>
        <w:tblInd w:w="0" w:type="dxa"/>
        <w:tblLayout w:type="fixed"/>
        <w:tblCellMar>
          <w:top w:w="28" w:type="dxa"/>
          <w:left w:w="28" w:type="dxa"/>
          <w:bottom w:w="28" w:type="dxa"/>
          <w:right w:w="28" w:type="dxa"/>
        </w:tblCellMar>
      </w:tblPr>
      <w:tblGrid>
        <w:gridCol w:w="5909"/>
      </w:tblGrid>
      <w:tr>
        <w:trPr/>
        <w:tc>
          <w:tcPr>
            <w:tcW w:w="5909" w:type="dxa"/>
            <w:tcBorders/>
            <w:vAlign w:val="center"/>
          </w:tcPr>
          <w:p>
            <w:pPr>
              <w:pStyle w:val="TableContents"/>
              <w:bidi w:val="0"/>
              <w:spacing w:before="0" w:after="283"/>
              <w:jc w:val="left"/>
              <w:rPr>
                <w:sz w:val="4"/>
                <w:szCs w:val="4"/>
              </w:rPr>
            </w:pPr>
            <w:r>
              <w:rPr>
                <w:sz w:val="4"/>
                <w:szCs w:val="4"/>
              </w:rPr>
            </w:r>
          </w:p>
        </w:tc>
      </w:tr>
      <w:tr>
        <w:trPr/>
        <w:tc>
          <w:tcPr>
            <w:tcW w:w="59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November 12,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12, 2024, Tempest Therapeutics, Inc. (the “Company”) issued a press release announcing its financial results for the quarter ended September 30, 2024 and other business highlights. A copy of the Company’s press release dated November 12, 2024, titled “Tempest Reports Third Quarter 2024 Financial Results and Provides Business Update”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November 12, 2024</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49" w:type="dxa"/>
        <w:jc w:val="left"/>
        <w:tblInd w:w="0" w:type="dxa"/>
        <w:tblLayout w:type="fixed"/>
        <w:tblCellMar>
          <w:top w:w="28" w:type="dxa"/>
          <w:left w:w="28" w:type="dxa"/>
          <w:bottom w:w="28" w:type="dxa"/>
          <w:right w:w="28" w:type="dxa"/>
        </w:tblCellMar>
      </w:tblPr>
      <w:tblGrid>
        <w:gridCol w:w="556"/>
        <w:gridCol w:w="1711"/>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12,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29527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0" cy="7524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8"/>
        </w:rPr>
      </w:pPr>
      <w:r>
        <w:rPr>
          <w:rFonts w:ascii="Arial" w:hAnsi="Arial"/>
          <w:b/>
          <w:color w:val="000000"/>
          <w:sz w:val="28"/>
        </w:rPr>
        <w:t>Tempest Reports Third Quarter 2024 Financial Results and</w:t>
      </w:r>
    </w:p>
    <w:p>
      <w:pPr>
        <w:pStyle w:val="TextBody"/>
        <w:bidi w:val="0"/>
        <w:spacing w:before="0" w:after="120"/>
        <w:jc w:val="center"/>
        <w:rPr>
          <w:rFonts w:ascii="Arial" w:hAnsi="Arial"/>
          <w:b/>
          <w:color w:val="000000"/>
          <w:sz w:val="28"/>
        </w:rPr>
      </w:pPr>
      <w:r>
        <w:rPr>
          <w:rFonts w:ascii="Arial" w:hAnsi="Arial"/>
          <w:b/>
          <w:color w:val="000000"/>
          <w:sz w:val="28"/>
        </w:rPr>
        <w:t>Provides Business Update</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Building upon a successful end-of-Phase 2 meeting, received FDA “Study May Proceed” letter for pivotal Phase 3 trial of amezalpat (TPST-1120) combination therapy to treat first-line HCC</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Announced agreement with Roche to support advancement of amezalpat into first-line HCC pivotal Phase 3 trial</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Received final funding approval from NCI to move TPST-1495 into a Phase 2 trial in FAP</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 xml:space="preserve">Expanded leadership team to strengthen global clinical expertise </w:t>
      </w:r>
    </w:p>
    <w:p>
      <w:pPr>
        <w:pStyle w:val="TextBody"/>
        <w:bidi w:val="0"/>
        <w:spacing w:before="0" w:after="120"/>
        <w:jc w:val="left"/>
        <w:rPr/>
      </w:pPr>
      <w:r>
        <w:rPr/>
        <w:t> </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November 12, 2024 </w:t>
      </w:r>
      <w:r>
        <w:rPr>
          <w:rFonts w:ascii="Times New Roman" w:hAnsi="Times New Roman"/>
          <w:color w:val="000000"/>
          <w:sz w:val="20"/>
        </w:rPr>
        <w:t xml:space="preserve">– </w:t>
      </w:r>
      <w:r>
        <w:rPr>
          <w:rFonts w:ascii="Arial" w:hAnsi="Arial"/>
          <w:color w:val="000000"/>
          <w:sz w:val="24"/>
        </w:rPr>
        <w:t>Tempest Therapeutics, Inc. (Nasdaq: TPST), a clinical-stage biotechnology company developing first-in-class</w:t>
      </w:r>
      <w:r>
        <w:rPr>
          <w:rFonts w:ascii="Arial" w:hAnsi="Arial"/>
          <w:color w:val="000000"/>
          <w:sz w:val="16"/>
        </w:rPr>
        <w:t>i</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quarter ended September 30, 2024, and provided a corporate update.</w:t>
      </w:r>
    </w:p>
    <w:p>
      <w:pPr>
        <w:pStyle w:val="TextBody"/>
        <w:bidi w:val="0"/>
        <w:spacing w:before="240" w:after="160"/>
        <w:jc w:val="both"/>
        <w:rPr>
          <w:color w:val="000000"/>
        </w:rPr>
      </w:pPr>
      <w:r>
        <w:rPr>
          <w:color w:val="000000"/>
        </w:rPr>
        <w:t>“</w:t>
      </w:r>
      <w:r>
        <w:rPr>
          <w:rFonts w:ascii="Arial" w:hAnsi="Arial"/>
          <w:color w:val="000000"/>
          <w:sz w:val="24"/>
        </w:rPr>
        <w:t>During the third quarter, the team continued to move amezalpat successfully towards the pivotal study, achieving important milestones on both the regulatory and business fronts,” said Stephen Brady, president and chief executive officer of Tempest. “Based on the positive randomized Phase 2 data and a Phase 3 plan we believe is designed for success, we were thrilled to receive broad agreement with the FDA. Coupled with Roche’s support for the Phase 3 study, the third quarter further solidified the foundation of a pivotal study that we hope will result in a new and meaningful therapy for first-line HCC patients.”</w:t>
      </w:r>
    </w:p>
    <w:p>
      <w:pPr>
        <w:pStyle w:val="TextBody"/>
        <w:bidi w:val="0"/>
        <w:spacing w:before="240" w:after="240"/>
        <w:jc w:val="left"/>
        <w:rPr>
          <w:rFonts w:ascii="Arial" w:hAnsi="Arial"/>
          <w:b/>
          <w:color w:val="000000"/>
          <w:sz w:val="24"/>
        </w:rPr>
      </w:pPr>
      <w:r>
        <w:rPr>
          <w:rFonts w:ascii="Arial" w:hAnsi="Arial"/>
          <w:b/>
          <w:color w:val="000000"/>
          <w:sz w:val="24"/>
        </w:rPr>
        <w:t>Recent Highlights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Amezalpat (TPST-1120) </w:t>
      </w:r>
      <w:r>
        <w:rPr>
          <w:rFonts w:ascii="Arial" w:hAnsi="Arial"/>
          <w:color w:val="000000"/>
          <w:sz w:val="24"/>
        </w:rPr>
        <w:t xml:space="preserve">(clinical PPARα antagonist):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 xml:space="preserve">Received a “Study May Proceed” letter from the U.S. Food and Drug Administration (FDA) to evaluate amezalpat in combination with atezolizumab (Tecentriq®) and bevacizumab (Avastin®), the current standard of care for unresectable or metastatic hepatocellular carcinoma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Arial" w:hAnsi="Arial"/>
          <w:color w:val="000000"/>
          <w:sz w:val="24"/>
        </w:rPr>
      </w:pPr>
      <w:r>
        <w:rPr>
          <w:rFonts w:ascii="Arial" w:hAnsi="Arial"/>
          <w:color w:val="000000"/>
          <w:sz w:val="24"/>
        </w:rPr>
        <w:t>(HCC), in a pivotal Phase 3 trial for the first-line treatment of unresectable or metastatic hepatocellular carcinoma.</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Announced an agreement with F. Hoffmann-La Roche Ltd. (Roche) to advance the evaluation of amezalpat in combination with atezolizumab and bevacizumab into a pivotal Phase 3 trial for the first-line treatment of unresectable or metastatic HCC, a form of liver cancer with high unmet need.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Under the agreement, Roche will supply atezolizumab globally and Tempest will sponsor and lead the pivotal study. The agreement builds on a clinical collaboration between the companies pursuant to which amezalpat was combined with atezolizumab and bevacizumab in first-line HCC patients and compared to atezolizumab and bevacizumab alone in a randomized Phase 1b/2 study. Tempest retains all development and commercial rights to amezalpat.</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Announced positive feedback from the end-of-Phase 2 meeting with the FDA for amezalpat in combination with atezolizumab and bevacizumab to treat first-line unresectable or metastatic HCC. Key outcomes included: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Agreement on Phase 3 study design, including the standard-of-care control arm and the primary and secondary study endpoints.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Agreement on appropriateness of the current amezalpat dose and schedule for the Phase 3 study.</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 xml:space="preserve">Agreement on the Phase 3 statistical plan, including a pre-specified early efficacy analysis that the company currently estimates could shorten the time to primary analysis by up to 8 months.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color w:val="000000"/>
          <w:sz w:val="24"/>
        </w:rPr>
      </w:pPr>
      <w:r>
        <w:rPr>
          <w:rFonts w:ascii="Arial" w:hAnsi="Arial"/>
          <w:b/>
          <w:color w:val="000000"/>
          <w:sz w:val="24"/>
        </w:rPr>
        <w:t>Corporate:</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Expanded leadership team to strengthen global clinical expertise with the appointments of Troy M. Wagner as Vice President of Quality Assurance and Sheldon Mullins as Vice President of Regulatory Affairs.</w:t>
      </w:r>
    </w:p>
    <w:p>
      <w:pPr>
        <w:pStyle w:val="TextBody"/>
        <w:bidi w:val="0"/>
        <w:spacing w:before="0" w:after="120"/>
        <w:jc w:val="both"/>
        <w:rPr>
          <w:rFonts w:ascii="Times New Roman" w:hAnsi="Times New Roman"/>
          <w:sz w:val="20"/>
        </w:rPr>
      </w:pPr>
      <w:r>
        <w:rPr>
          <w:rFonts w:ascii="Arial" w:hAnsi="Arial"/>
          <w:b/>
          <w:color w:val="000000"/>
          <w:sz w:val="24"/>
        </w:rPr>
        <w:t>Other Potential Future Milestones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Plan to advance TPST-1495 into a Phase 2 study in patients with Familial Adenomatous Polyposis (FAP) in 2024 or early 2025 under the auspices of the Cancer Prevention Clinical Trials Network and funded by the National Cancer Institute (NCI) Division of Cancer Prevention.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Expect to disclose data from the TPST-1495 Phase 1 combination arm in patients with advanced endometrial cancer in 2025. </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u w:val="single"/>
        </w:rPr>
      </w:pPr>
      <w:r>
        <w:rPr>
          <w:rFonts w:ascii="Arial" w:hAnsi="Arial"/>
          <w:i/>
          <w:color w:val="000000"/>
          <w:sz w:val="24"/>
          <w:u w:val="single"/>
        </w:rPr>
        <w:t>Third Quarter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Tempest ended the quarter with $22.1 million in cash and cash equivalents, compared to $39.2 million on December 31, 2023. Subsequent to September 30, 2024, Tempest raised an additional $19.9 million in net proceeds through the sale of 17 million shares of common stock under the Company’s at-the-market (ATM) program.</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quarter ended September 30, 2024, were $10.6 million and $0.41, respectively, compared to $6.8 million and $0.48,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quarter were $7.6 million compared to $4.2 million for the same period in 2023. The $3.4 million increase was primarily due to an increase in costs incurred from contract research and manufacturing organizations.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quarter were $3.0 million compared to $2.4 million for the same period in 2023. The $0.6 million increase was primarily due to an increase in stock-based compensation, and consulting and professional services.</w:t>
      </w:r>
    </w:p>
    <w:p>
      <w:pPr>
        <w:pStyle w:val="TextBody"/>
        <w:bidi w:val="0"/>
        <w:spacing w:before="0" w:after="120"/>
        <w:jc w:val="both"/>
        <w:rPr>
          <w:rFonts w:ascii="Times New Roman" w:hAnsi="Times New Roman"/>
          <w:sz w:val="20"/>
        </w:rPr>
      </w:pPr>
      <w:r>
        <w:rPr>
          <w:rFonts w:ascii="Arial" w:hAnsi="Arial"/>
          <w:i/>
          <w:color w:val="000000"/>
          <w:sz w:val="24"/>
          <w:u w:val="single"/>
        </w:rPr>
        <w:t>Year-to-Date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Cash used in operating activities for the nine months ended September 30, 2024 was $22.9 million.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nine months ended September 30, 2024 were $28.0 million and $1.19, respectively, compared to $22.0 million and $1.57,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Research and development expenses for the nine months ended September 30, 2024 were $17.7 million compared to $13.3 million for the same period in 2023. The $4.4 million increase was primarily due to an increase in costs incurred from contract research and manufacturing organizations, as well as an increase in stock-based compensation.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nine months ended September 30, 2024 were $10.4 million compared to $8.3 million for the same period in 2023. The $2.1 million increase was primarily due to an increase in stock-based compensation as well as legal and consulting services.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Roche’s future supply of</w:t>
      </w:r>
      <w:r>
        <w:rPr>
          <w:rFonts w:ascii="Times New Roman" w:hAnsi="Times New Roman"/>
          <w:color w:val="000000"/>
          <w:sz w:val="20"/>
        </w:rPr>
        <w:t xml:space="preserve"> </w:t>
      </w:r>
      <w:r>
        <w:rPr>
          <w:rFonts w:ascii="Arial" w:hAnsi="Arial"/>
          <w:color w:val="000000"/>
          <w:sz w:val="24"/>
        </w:rPr>
        <w:t>atezolizumab for use in the Company’s pivotal Phase 3 trial; anticipated therapeutic benefit and regulatory development of the Company’s product candidates;</w:t>
      </w:r>
      <w:r>
        <w:rPr>
          <w:rFonts w:ascii="Times New Roman" w:hAnsi="Times New Roman"/>
          <w:color w:val="000000"/>
          <w:sz w:val="20"/>
        </w:rPr>
        <w:t xml:space="preserve"> </w:t>
      </w:r>
      <w:r>
        <w:rPr>
          <w:rFonts w:ascii="Arial" w:hAnsi="Arial"/>
          <w:color w:val="000000"/>
          <w:sz w:val="24"/>
        </w:rPr>
        <w:t>the Company’s anticipated cash runway; the Company’s</w:t>
      </w:r>
      <w:r>
        <w:rPr>
          <w:rFonts w:ascii="Times New Roman" w:hAnsi="Times New Roman"/>
          <w:color w:val="000000"/>
          <w:sz w:val="20"/>
        </w:rPr>
        <w:t xml:space="preserve"> </w:t>
      </w:r>
      <w:r>
        <w:rPr>
          <w:rFonts w:ascii="Arial" w:hAnsi="Arial"/>
          <w:color w:val="000000"/>
          <w:sz w:val="24"/>
        </w:rPr>
        <w:t>ability to deliver on potential value-creating milestones; the Company’s ability to advance into a late-stage clinical company; and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September 30, 2024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4"/>
        </w:rPr>
        <w:t>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4"/>
        <w:gridCol w:w="398"/>
        <w:gridCol w:w="1739"/>
        <w:gridCol w:w="181"/>
        <w:gridCol w:w="146"/>
        <w:gridCol w:w="384"/>
        <w:gridCol w:w="1679"/>
        <w:gridCol w:w="894"/>
      </w:tblGrid>
      <w:tr>
        <w:trPr/>
        <w:tc>
          <w:tcPr>
            <w:tcW w:w="478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9311"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4" w:type="dxa"/>
            <w:tcBorders/>
            <w:shd w:fill="FFFFFF" w:val="clear"/>
            <w:vAlign w:val="center"/>
          </w:tcPr>
          <w:p>
            <w:pPr>
              <w:pStyle w:val="TableContents"/>
              <w:bidi w:val="0"/>
              <w:spacing w:before="0" w:after="283"/>
              <w:jc w:val="center"/>
              <w:rPr/>
            </w:pPr>
            <w:r>
              <w:rPr/>
              <w:t> </w:t>
            </w:r>
          </w:p>
        </w:tc>
      </w:tr>
      <w:tr>
        <w:trPr/>
        <w:tc>
          <w:tcPr>
            <w:tcW w:w="9311"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4" w:type="dxa"/>
            <w:tcBorders/>
            <w:shd w:fill="FFFFFF" w:val="clear"/>
            <w:vAlign w:val="center"/>
          </w:tcPr>
          <w:p>
            <w:pPr>
              <w:pStyle w:val="TableContents"/>
              <w:bidi w:val="0"/>
              <w:spacing w:before="0" w:after="283"/>
              <w:jc w:val="center"/>
              <w:rPr/>
            </w:pPr>
            <w:r>
              <w:rPr/>
              <w:t> </w:t>
            </w:r>
          </w:p>
        </w:tc>
      </w:tr>
      <w:tr>
        <w:trPr/>
        <w:tc>
          <w:tcPr>
            <w:tcW w:w="9311"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4" w:type="dxa"/>
            <w:tcBorders/>
            <w:shd w:fill="FFFFFF" w:val="clear"/>
            <w:vAlign w:val="center"/>
          </w:tcPr>
          <w:p>
            <w:pPr>
              <w:pStyle w:val="TableContents"/>
              <w:bidi w:val="0"/>
              <w:spacing w:before="0" w:after="283"/>
              <w:jc w:val="center"/>
              <w:rPr/>
            </w:pPr>
            <w:r>
              <w:rPr/>
              <w:t> </w:t>
            </w:r>
          </w:p>
        </w:tc>
      </w:tr>
      <w:tr>
        <w:trPr/>
        <w:tc>
          <w:tcPr>
            <w:tcW w:w="4784" w:type="dxa"/>
            <w:tcBorders/>
            <w:shd w:fill="FFFFFF" w:val="clear"/>
            <w:vAlign w:val="center"/>
          </w:tcPr>
          <w:p>
            <w:pPr>
              <w:pStyle w:val="TableContents"/>
              <w:bidi w:val="0"/>
              <w:spacing w:before="0" w:after="283"/>
              <w:jc w:val="center"/>
              <w:rPr/>
            </w:pPr>
            <w:r>
              <w:rPr/>
              <w:t> </w:t>
            </w:r>
          </w:p>
        </w:tc>
        <w:tc>
          <w:tcPr>
            <w:tcW w:w="2137"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3" w:type="dxa"/>
            <w:gridSpan w:val="2"/>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r>
      <w:tr>
        <w:trPr/>
        <w:tc>
          <w:tcPr>
            <w:tcW w:w="4784" w:type="dxa"/>
            <w:tcBorders/>
            <w:shd w:fill="FFFFFF" w:val="clear"/>
            <w:vAlign w:val="center"/>
          </w:tcPr>
          <w:p>
            <w:pPr>
              <w:pStyle w:val="TableContents"/>
              <w:bidi w:val="0"/>
              <w:spacing w:before="0" w:after="283"/>
              <w:jc w:val="left"/>
              <w:rPr/>
            </w:pPr>
            <w:r>
              <w:rPr/>
              <w:t> </w:t>
            </w:r>
          </w:p>
        </w:tc>
        <w:tc>
          <w:tcPr>
            <w:tcW w:w="2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September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Cash and cash equivalents</w:t>
            </w:r>
          </w:p>
        </w:tc>
        <w:tc>
          <w:tcPr>
            <w:tcW w:w="398"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22,116</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39,230</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Prepaid expenses and other current assets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1,436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assets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23,552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40,363</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784" w:type="dxa"/>
            <w:tcBorders/>
            <w:shd w:fill="FFFFFF" w:val="clear"/>
            <w:vAlign w:val="center"/>
          </w:tcPr>
          <w:p>
            <w:pPr>
              <w:pStyle w:val="TableContents"/>
              <w:bidi w:val="0"/>
              <w:spacing w:before="0" w:after="283"/>
              <w:ind w:left="0" w:right="0" w:firstLine="700"/>
              <w:jc w:val="left"/>
              <w:rPr/>
            </w:pPr>
            <w:r>
              <w:rPr/>
              <w:t> </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932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840</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8,904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9,952</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pPr>
            <w:r>
              <w:rPr/>
              <w:t> </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ind w:left="0" w:right="0" w:firstLine="420"/>
              <w:jc w:val="left"/>
              <w:rPr/>
            </w:pPr>
            <w:r>
              <w:rPr/>
              <w:t> </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assets</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pPr>
            <w:r>
              <w:rPr/>
              <w:t> </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Accounts payable</w:t>
            </w:r>
          </w:p>
        </w:tc>
        <w:tc>
          <w:tcPr>
            <w:tcW w:w="398"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1,697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845</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expenses</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1,459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1,673</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loan payable, net</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8,504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4,285</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Current operating lease liabilities</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828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952</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Accrued compensation</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1,402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1,543</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payable</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current liabilities</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13,973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9,411</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pPr>
            <w:r>
              <w:rPr/>
              <w:t> </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Loan payable, net</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6,264</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8,406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9,160</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22,379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24,835</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pPr>
            <w:r>
              <w:rPr/>
              <w:t> </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left"/>
              <w:rPr/>
            </w:pPr>
            <w:r>
              <w:rPr/>
              <w:t> </w:t>
            </w:r>
          </w:p>
        </w:tc>
      </w:tr>
      <w:tr>
        <w:trPr/>
        <w:tc>
          <w:tcPr>
            <w:tcW w:w="47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2137"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3" w:type="dxa"/>
            <w:gridSpan w:val="2"/>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Common stock</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Additional paid-in capital</w:t>
            </w:r>
          </w:p>
        </w:tc>
        <w:tc>
          <w:tcPr>
            <w:tcW w:w="398" w:type="dxa"/>
            <w:tcBorders/>
            <w:shd w:fill="FFFFFF" w:val="clear"/>
            <w:vAlign w:val="center"/>
          </w:tcPr>
          <w:p>
            <w:pPr>
              <w:pStyle w:val="TableContents"/>
              <w:bidi w:val="0"/>
              <w:spacing w:before="0" w:after="283"/>
              <w:jc w:val="left"/>
              <w:rPr/>
            </w:pPr>
            <w:r>
              <w:rPr/>
              <w:t> </w:t>
            </w:r>
          </w:p>
        </w:tc>
        <w:tc>
          <w:tcPr>
            <w:tcW w:w="173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204,723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192,009</w:t>
            </w:r>
          </w:p>
        </w:tc>
        <w:tc>
          <w:tcPr>
            <w:tcW w:w="894" w:type="dxa"/>
            <w:tcBorders/>
            <w:shd w:fill="FFFFFF" w:val="clear"/>
            <w:vAlign w:val="center"/>
          </w:tcPr>
          <w:p>
            <w:pPr>
              <w:pStyle w:val="TableContents"/>
              <w:bidi w:val="0"/>
              <w:spacing w:before="0" w:after="283"/>
              <w:ind w:left="0" w:right="0" w:firstLine="140"/>
              <w:jc w:val="left"/>
              <w:rPr/>
            </w:pPr>
            <w:r>
              <w:rPr/>
              <w:t> </w:t>
            </w:r>
          </w:p>
        </w:tc>
      </w:tr>
      <w:tr>
        <w:trPr/>
        <w:tc>
          <w:tcPr>
            <w:tcW w:w="4784"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Accumulated deficit</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(193,293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(165,263</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stockholders' 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11,457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26,768</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784" w:type="dxa"/>
            <w:tcBorders/>
            <w:shd w:fill="FFFFFF" w:val="cle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Total liabilities and stockholders' equity</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6"/>
        <w:gridCol w:w="385"/>
        <w:gridCol w:w="1256"/>
        <w:gridCol w:w="181"/>
        <w:gridCol w:w="146"/>
        <w:gridCol w:w="491"/>
        <w:gridCol w:w="1149"/>
        <w:gridCol w:w="181"/>
        <w:gridCol w:w="146"/>
        <w:gridCol w:w="375"/>
        <w:gridCol w:w="1219"/>
        <w:gridCol w:w="181"/>
        <w:gridCol w:w="146"/>
        <w:gridCol w:w="375"/>
        <w:gridCol w:w="1219"/>
        <w:gridCol w:w="369"/>
      </w:tblGrid>
      <w:tr>
        <w:trPr/>
        <w:tc>
          <w:tcPr>
            <w:tcW w:w="2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9836" w:type="dxa"/>
            <w:gridSpan w:val="15"/>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69" w:type="dxa"/>
            <w:tcBorders/>
            <w:shd w:fill="FFFFFF" w:val="clear"/>
            <w:vAlign w:val="center"/>
          </w:tcPr>
          <w:p>
            <w:pPr>
              <w:pStyle w:val="TableContents"/>
              <w:bidi w:val="0"/>
              <w:spacing w:before="0" w:after="283"/>
              <w:jc w:val="center"/>
              <w:rPr/>
            </w:pPr>
            <w:r>
              <w:rPr/>
              <w:t> </w:t>
            </w:r>
          </w:p>
        </w:tc>
      </w:tr>
      <w:tr>
        <w:trPr/>
        <w:tc>
          <w:tcPr>
            <w:tcW w:w="9836" w:type="dxa"/>
            <w:gridSpan w:val="15"/>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69" w:type="dxa"/>
            <w:tcBorders/>
            <w:shd w:fill="FFFFFF" w:val="clear"/>
            <w:vAlign w:val="center"/>
          </w:tcPr>
          <w:p>
            <w:pPr>
              <w:pStyle w:val="TableContents"/>
              <w:bidi w:val="0"/>
              <w:spacing w:before="0" w:after="283"/>
              <w:jc w:val="center"/>
              <w:rPr/>
            </w:pPr>
            <w:r>
              <w:rPr/>
              <w:t> </w:t>
            </w:r>
          </w:p>
        </w:tc>
      </w:tr>
      <w:tr>
        <w:trPr/>
        <w:tc>
          <w:tcPr>
            <w:tcW w:w="9836" w:type="dxa"/>
            <w:gridSpan w:val="15"/>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69"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center"/>
              <w:rPr/>
            </w:pPr>
            <w:r>
              <w:rPr/>
              <w:t> </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641"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Nine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Nine months ended</w:t>
            </w:r>
          </w:p>
        </w:tc>
        <w:tc>
          <w:tcPr>
            <w:tcW w:w="369" w:type="dxa"/>
            <w:tcBorders/>
            <w:shd w:fill="FFFFFF" w:val="cle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September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September 30, 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September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September 30, 2023</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ind w:left="0" w:right="0" w:firstLine="140"/>
              <w:jc w:val="left"/>
              <w:rPr/>
            </w:pPr>
            <w:r>
              <w:rPr/>
              <w:t> </w:t>
            </w:r>
          </w:p>
        </w:tc>
      </w:tr>
      <w:tr>
        <w:trPr/>
        <w:tc>
          <w:tcPr>
            <w:tcW w:w="238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Research and development</w:t>
            </w:r>
          </w:p>
        </w:tc>
        <w:tc>
          <w:tcPr>
            <w:tcW w:w="385"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5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7,557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4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4,221</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17,734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13,315</w:t>
            </w:r>
          </w:p>
        </w:tc>
        <w:tc>
          <w:tcPr>
            <w:tcW w:w="369" w:type="dxa"/>
            <w:tcBorders/>
            <w:shd w:fill="FFFFFF" w:val="clear"/>
            <w:vAlign w:val="center"/>
          </w:tcPr>
          <w:p>
            <w:pPr>
              <w:pStyle w:val="TableContents"/>
              <w:bidi w:val="0"/>
              <w:spacing w:before="0" w:after="283"/>
              <w:ind w:left="0" w:right="0" w:firstLine="140"/>
              <w:jc w:val="left"/>
              <w:rPr/>
            </w:pPr>
            <w:r>
              <w:rPr/>
              <w:t> </w:t>
            </w:r>
          </w:p>
        </w:tc>
      </w:tr>
      <w:tr>
        <w:trPr/>
        <w:tc>
          <w:tcPr>
            <w:tcW w:w="238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General and administrative</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10,374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8,328</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386" w:type="dxa"/>
            <w:tcBorders/>
            <w:shd w:fill="FFFFFF" w:val="clear"/>
            <w:vAlign w:val="center"/>
          </w:tcPr>
          <w:p>
            <w:pPr>
              <w:pStyle w:val="TableContents"/>
              <w:bidi w:val="0"/>
              <w:spacing w:before="0" w:after="283"/>
              <w:ind w:left="0" w:right="0" w:firstLine="140"/>
              <w:jc w:val="left"/>
              <w:rPr/>
            </w:pPr>
            <w:r>
              <w:rPr/>
              <w:t> </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(10,551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(6,592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(28,108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(21,643</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386" w:type="dxa"/>
            <w:tcBorders/>
            <w:shd w:fill="FFFFFF" w:val="clear"/>
            <w:vAlign w:val="center"/>
          </w:tcPr>
          <w:p>
            <w:pPr>
              <w:pStyle w:val="TableContents"/>
              <w:bidi w:val="0"/>
              <w:spacing w:before="0" w:after="283"/>
              <w:ind w:left="0" w:right="0" w:firstLine="140"/>
              <w:jc w:val="left"/>
              <w:rPr/>
            </w:pPr>
            <w:r>
              <w:rPr/>
              <w:t> </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ind w:left="0" w:right="0" w:firstLine="140"/>
              <w:jc w:val="left"/>
              <w:rPr/>
            </w:pPr>
            <w:r>
              <w:rPr/>
              <w:t> </w:t>
            </w:r>
          </w:p>
        </w:tc>
      </w:tr>
      <w:tr>
        <w:trPr/>
        <w:tc>
          <w:tcPr>
            <w:tcW w:w="238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expense</w:t>
            </w:r>
          </w:p>
        </w:tc>
        <w:tc>
          <w:tcPr>
            <w:tcW w:w="38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(329</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114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(373</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(1,069</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(1,072</w:t>
            </w:r>
          </w:p>
        </w:tc>
        <w:tc>
          <w:tcPr>
            <w:tcW w:w="369"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38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Interest and other income, net</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1,147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712</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pPr>
            <w:r>
              <w:rPr/>
              <w:t> </w:t>
            </w:r>
          </w:p>
        </w:tc>
        <w:tc>
          <w:tcPr>
            <w:tcW w:w="1641"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r>
      <w:tr>
        <w:trPr/>
        <w:tc>
          <w:tcPr>
            <w:tcW w:w="238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(10,556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(6,786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(28,030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(22,003</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238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(0.48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(1.57</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3"/>
              </w:rPr>
              <w:t>i</w:t>
            </w:r>
            <w:r>
              <w:rPr>
                <w:rFonts w:ascii="Times New Roman" w:hAnsi="Times New Roman"/>
                <w:color w:val="000000"/>
                <w:sz w:val="20"/>
              </w:rPr>
              <w:t> </w:t>
            </w:r>
            <w:r>
              <w:rPr>
                <w:rFonts w:ascii="Calibri;sans-serif" w:hAnsi="Calibri;sans-serif"/>
                <w:color w:val="000000"/>
                <w:sz w:val="20"/>
              </w:rPr>
              <w:t>If approved by the FDA</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2269</Words>
  <Characters>12919</Characters>
  <CharactersWithSpaces>15296</CharactersWithSpaces>
  <Paragraphs>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