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U.S. Securities and Exchange Commission on November 17, 2023</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333-265718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333-264943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333-255261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333-249993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2080"/>
        <w:spacing w:after="0"/>
        <w:rPr>
          <w:sz w:val="20"/>
          <w:szCs w:val="20"/>
          <w:color w:val="auto"/>
        </w:rPr>
      </w:pPr>
      <w:r>
        <w:rPr>
          <w:rFonts w:ascii="Arial" w:cs="Arial" w:eastAsia="Arial" w:hAnsi="Arial"/>
          <w:sz w:val="22"/>
          <w:szCs w:val="22"/>
          <w:b w:val="1"/>
          <w:bCs w:val="1"/>
          <w:color w:val="auto"/>
        </w:rPr>
        <w:t>Post-Effective Amendment No. 1 to Form S-8 Registration No. 333-265718</w:t>
      </w:r>
    </w:p>
    <w:p>
      <w:pPr>
        <w:spacing w:after="0" w:line="4" w:lineRule="exact"/>
        <w:rPr>
          <w:sz w:val="24"/>
          <w:szCs w:val="24"/>
          <w:color w:val="auto"/>
        </w:rPr>
      </w:pPr>
    </w:p>
    <w:p>
      <w:pPr>
        <w:ind w:left="2080"/>
        <w:spacing w:after="0"/>
        <w:rPr>
          <w:sz w:val="20"/>
          <w:szCs w:val="20"/>
          <w:color w:val="auto"/>
        </w:rPr>
      </w:pPr>
      <w:r>
        <w:rPr>
          <w:rFonts w:ascii="Arial" w:cs="Arial" w:eastAsia="Arial" w:hAnsi="Arial"/>
          <w:sz w:val="22"/>
          <w:szCs w:val="22"/>
          <w:b w:val="1"/>
          <w:bCs w:val="1"/>
          <w:color w:val="auto"/>
        </w:rPr>
        <w:t>Post-Effective Amendment No. 1 to Form S-8 Registration No. 333-264943</w:t>
      </w:r>
    </w:p>
    <w:p>
      <w:pPr>
        <w:ind w:left="2100"/>
        <w:spacing w:after="0" w:line="230" w:lineRule="auto"/>
        <w:rPr>
          <w:sz w:val="20"/>
          <w:szCs w:val="20"/>
          <w:color w:val="auto"/>
        </w:rPr>
      </w:pPr>
      <w:r>
        <w:rPr>
          <w:rFonts w:ascii="Arial" w:cs="Arial" w:eastAsia="Arial" w:hAnsi="Arial"/>
          <w:sz w:val="22"/>
          <w:szCs w:val="22"/>
          <w:b w:val="1"/>
          <w:bCs w:val="1"/>
          <w:color w:val="auto"/>
        </w:rPr>
        <w:t>Post-Effective Amendment No. 1 to Form S-8 Registration No. 333-255261</w:t>
      </w:r>
    </w:p>
    <w:p>
      <w:pPr>
        <w:ind w:left="2080"/>
        <w:spacing w:after="0" w:line="231" w:lineRule="auto"/>
        <w:rPr>
          <w:sz w:val="20"/>
          <w:szCs w:val="20"/>
          <w:color w:val="auto"/>
        </w:rPr>
      </w:pPr>
      <w:r>
        <w:rPr>
          <w:rFonts w:ascii="Arial" w:cs="Arial" w:eastAsia="Arial" w:hAnsi="Arial"/>
          <w:sz w:val="22"/>
          <w:szCs w:val="22"/>
          <w:b w:val="1"/>
          <w:bCs w:val="1"/>
          <w:color w:val="auto"/>
        </w:rPr>
        <w:t>Post-Effective Amendment No. 1 to Form S-8 Registration No. 333-249993</w:t>
      </w:r>
    </w:p>
    <w:p>
      <w:pPr>
        <w:ind w:left="2080"/>
        <w:spacing w:after="0"/>
        <w:rPr>
          <w:sz w:val="20"/>
          <w:szCs w:val="20"/>
          <w:color w:val="auto"/>
        </w:rPr>
      </w:pPr>
      <w:r>
        <w:rPr>
          <w:rFonts w:ascii="Arial" w:cs="Arial" w:eastAsia="Arial" w:hAnsi="Arial"/>
          <w:sz w:val="22"/>
          <w:szCs w:val="22"/>
          <w:b w:val="1"/>
          <w:bCs w:val="1"/>
          <w:color w:val="auto"/>
        </w:rPr>
        <w:t>Post-Effective Amendment No. 1 to Form S-8 Registration No. 333-235515</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2">
            <w:col w:w="7180" w:space="720"/>
            <w:col w:w="3120"/>
          </w:cols>
          <w:pgMar w:left="440" w:top="229" w:right="439" w:bottom="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9" w:right="439" w:bottom="0"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2000 Sierra Point Parkway, Suite 400</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Brisbane, California 94005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798-8589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type w:val="continuous"/>
        </w:sectPr>
      </w:pPr>
    </w:p>
    <w:p>
      <w:pPr>
        <w:spacing w:after="0" w:line="200" w:lineRule="exact"/>
        <w:rPr>
          <w:sz w:val="24"/>
          <w:szCs w:val="24"/>
          <w:color w:val="auto"/>
        </w:rPr>
      </w:pPr>
    </w:p>
    <w:p>
      <w:pPr>
        <w:spacing w:after="0" w:line="393" w:lineRule="exact"/>
        <w:rPr>
          <w:sz w:val="24"/>
          <w:szCs w:val="24"/>
          <w:color w:val="auto"/>
        </w:rPr>
      </w:pPr>
    </w:p>
    <w:p>
      <w:pPr>
        <w:jc w:val="center"/>
        <w:ind w:left="480" w:right="2440"/>
        <w:spacing w:after="0" w:line="254" w:lineRule="auto"/>
        <w:rPr>
          <w:sz w:val="20"/>
          <w:szCs w:val="20"/>
          <w:color w:val="auto"/>
        </w:rPr>
      </w:pPr>
      <w:r>
        <w:rPr>
          <w:rFonts w:ascii="Arial" w:cs="Arial" w:eastAsia="Arial" w:hAnsi="Arial"/>
          <w:sz w:val="18"/>
          <w:szCs w:val="18"/>
          <w:b w:val="1"/>
          <w:bCs w:val="1"/>
          <w:color w:val="auto"/>
        </w:rPr>
        <w:t>Tempest Therapeutics, Inc. Amended and Restated 2023 Equity Incentive Plan Tempest Amended and Restated 2019 Equity Incentive Plan Millendo 2019 Equity Incentive Plan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titles of the plans)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Stephen Brady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Tempest Therapeutics,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2000 Sierra Point Parkway, Suite 400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Brisbane, California 94005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798-8589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Laura Berezin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Jaime Chase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Julia Stark</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1700 Seventh Avenue, Suite 1900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Seattle, Washington 98101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(206) 452-8756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020"/>
          </w:cols>
          <w:pgMar w:left="440" w:top="229" w:right="439" w:bottom="0" w:gutter="0" w:footer="0" w:header="0"/>
          <w:type w:val="continuous"/>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5"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Tempest Therapeutics, Inc. (the “</w:t>
      </w:r>
      <w:r>
        <w:rPr>
          <w:rFonts w:ascii="Arial" w:cs="Arial" w:eastAsia="Arial" w:hAnsi="Arial"/>
          <w:sz w:val="16"/>
          <w:szCs w:val="16"/>
          <w:b w:val="1"/>
          <w:bCs w:val="1"/>
          <w:color w:val="auto"/>
        </w:rPr>
        <w:t>Registrant</w:t>
      </w:r>
      <w:r>
        <w:rPr>
          <w:rFonts w:ascii="Arial" w:cs="Arial" w:eastAsia="Arial" w:hAnsi="Arial"/>
          <w:sz w:val="16"/>
          <w:szCs w:val="16"/>
          <w:color w:val="auto"/>
        </w:rPr>
        <w:t>”) is filing this Post-Effective Amendment No. 1 to each of the Registrant’s registration statements on Form</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S-8 (File Nos. 333-265718, 333-264943, 333-255261, 333-249993 and 333-235515), as filed with the Securities and Exchange Commission (the</w:t>
      </w:r>
    </w:p>
    <w:p>
      <w:pPr>
        <w:spacing w:after="0" w:line="21"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xml:space="preserve">”) on </w:t>
      </w:r>
      <w:hyperlink r:id="rId19">
        <w:r>
          <w:rPr>
            <w:rFonts w:ascii="Arial" w:cs="Arial" w:eastAsia="Arial" w:hAnsi="Arial"/>
            <w:sz w:val="17"/>
            <w:szCs w:val="17"/>
            <w:u w:val="single" w:color="auto"/>
            <w:color w:val="0000EE"/>
          </w:rPr>
          <w:t>June 21, 2022</w:t>
        </w:r>
      </w:hyperlink>
      <w:r>
        <w:rPr>
          <w:rFonts w:ascii="Arial" w:cs="Arial" w:eastAsia="Arial" w:hAnsi="Arial"/>
          <w:sz w:val="17"/>
          <w:szCs w:val="17"/>
          <w:color w:val="auto"/>
        </w:rPr>
        <w:t xml:space="preserve">, </w:t>
      </w:r>
      <w:hyperlink r:id="rId20">
        <w:r>
          <w:rPr>
            <w:rFonts w:ascii="Arial" w:cs="Arial" w:eastAsia="Arial" w:hAnsi="Arial"/>
            <w:sz w:val="17"/>
            <w:szCs w:val="17"/>
            <w:u w:val="single" w:color="auto"/>
            <w:color w:val="0000EE"/>
          </w:rPr>
          <w:t>May 13, 2022</w:t>
        </w:r>
      </w:hyperlink>
      <w:r>
        <w:rPr>
          <w:rFonts w:ascii="Arial" w:cs="Arial" w:eastAsia="Arial" w:hAnsi="Arial"/>
          <w:sz w:val="17"/>
          <w:szCs w:val="17"/>
          <w:color w:val="auto"/>
        </w:rPr>
        <w:t xml:space="preserve">, </w:t>
      </w:r>
      <w:hyperlink r:id="rId21">
        <w:r>
          <w:rPr>
            <w:rFonts w:ascii="Arial" w:cs="Arial" w:eastAsia="Arial" w:hAnsi="Arial"/>
            <w:sz w:val="17"/>
            <w:szCs w:val="17"/>
            <w:u w:val="single" w:color="auto"/>
            <w:color w:val="0000EE"/>
          </w:rPr>
          <w:t>April 15, 2021</w:t>
        </w:r>
      </w:hyperlink>
      <w:r>
        <w:rPr>
          <w:rFonts w:ascii="Arial" w:cs="Arial" w:eastAsia="Arial" w:hAnsi="Arial"/>
          <w:sz w:val="17"/>
          <w:szCs w:val="17"/>
          <w:color w:val="auto"/>
        </w:rPr>
        <w:t xml:space="preserve">, </w:t>
      </w:r>
      <w:hyperlink r:id="rId22">
        <w:r>
          <w:rPr>
            <w:rFonts w:ascii="Arial" w:cs="Arial" w:eastAsia="Arial" w:hAnsi="Arial"/>
            <w:sz w:val="17"/>
            <w:szCs w:val="17"/>
            <w:u w:val="single" w:color="auto"/>
            <w:color w:val="0000EE"/>
          </w:rPr>
          <w:t>November 10, 2020</w:t>
        </w:r>
      </w:hyperlink>
      <w:r>
        <w:rPr>
          <w:rFonts w:ascii="Arial" w:cs="Arial" w:eastAsia="Arial" w:hAnsi="Arial"/>
          <w:sz w:val="17"/>
          <w:szCs w:val="17"/>
          <w:color w:val="auto"/>
        </w:rPr>
        <w:t xml:space="preserve">, and </w:t>
      </w:r>
      <w:hyperlink r:id="rId23">
        <w:r>
          <w:rPr>
            <w:rFonts w:ascii="Arial" w:cs="Arial" w:eastAsia="Arial" w:hAnsi="Arial"/>
            <w:sz w:val="17"/>
            <w:szCs w:val="17"/>
            <w:u w:val="single" w:color="auto"/>
            <w:color w:val="0000EE"/>
          </w:rPr>
          <w:t>December 16, 2019</w:t>
        </w:r>
      </w:hyperlink>
      <w:r>
        <w:rPr>
          <w:rFonts w:ascii="Arial" w:cs="Arial" w:eastAsia="Arial" w:hAnsi="Arial"/>
          <w:sz w:val="17"/>
          <w:szCs w:val="17"/>
          <w:color w:val="auto"/>
        </w:rPr>
        <w:t>, respectively (such registration statements,</w:t>
      </w:r>
    </w:p>
    <w:p>
      <w:pPr>
        <w:spacing w:after="0" w:line="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color w:val="auto"/>
        </w:rPr>
        <w:t>Prior Registration Statements</w:t>
      </w:r>
      <w:r>
        <w:rPr>
          <w:rFonts w:ascii="Arial" w:cs="Arial" w:eastAsia="Arial" w:hAnsi="Arial"/>
          <w:sz w:val="17"/>
          <w:szCs w:val="17"/>
          <w:color w:val="auto"/>
        </w:rPr>
        <w:t>,” and the post-effective amendment to each of the Prior Registration Statements, collectively, the</w:t>
      </w:r>
    </w:p>
    <w:p>
      <w:pPr>
        <w:spacing w:after="0" w:line="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Post-Effective Amendments</w:t>
      </w:r>
      <w:r>
        <w:rPr>
          <w:rFonts w:ascii="Arial" w:cs="Arial" w:eastAsia="Arial" w:hAnsi="Arial"/>
          <w:sz w:val="16"/>
          <w:szCs w:val="16"/>
          <w:color w:val="auto"/>
        </w:rPr>
        <w:t>”). Pursuant to the Prior Registration Statements, shares of common stock, par value $0.001 per share, of the Registrant</w:t>
      </w:r>
    </w:p>
    <w:p>
      <w:pPr>
        <w:spacing w:after="0" w:line="3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were registered for issuance under, the Registrant’s Amended and Restated 2019 Equity Incentive Plan (the “</w:t>
      </w:r>
      <w:r>
        <w:rPr>
          <w:rFonts w:ascii="Arial" w:cs="Arial" w:eastAsia="Arial" w:hAnsi="Arial"/>
          <w:sz w:val="16"/>
          <w:szCs w:val="16"/>
          <w:b w:val="1"/>
          <w:bCs w:val="1"/>
          <w:color w:val="auto"/>
        </w:rPr>
        <w:t>A&amp;R 2019 Plan</w:t>
      </w:r>
      <w:r>
        <w:rPr>
          <w:rFonts w:ascii="Arial" w:cs="Arial" w:eastAsia="Arial" w:hAnsi="Arial"/>
          <w:sz w:val="16"/>
          <w:szCs w:val="16"/>
          <w:color w:val="auto"/>
        </w:rPr>
        <w:t>”) and</w:t>
      </w:r>
    </w:p>
    <w:p>
      <w:pPr>
        <w:spacing w:after="0" w:line="3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its 2019 Equity Incentive Plan (the “</w:t>
      </w:r>
      <w:r>
        <w:rPr>
          <w:rFonts w:ascii="Arial" w:cs="Arial" w:eastAsia="Arial" w:hAnsi="Arial"/>
          <w:sz w:val="18"/>
          <w:szCs w:val="18"/>
          <w:b w:val="1"/>
          <w:bCs w:val="1"/>
          <w:color w:val="auto"/>
        </w:rPr>
        <w:t>2019 Plan</w:t>
      </w:r>
      <w:r>
        <w:rPr>
          <w:rFonts w:ascii="Arial" w:cs="Arial" w:eastAsia="Arial" w:hAnsi="Arial"/>
          <w:sz w:val="18"/>
          <w:szCs w:val="18"/>
          <w:color w:val="auto"/>
        </w:rPr>
        <w:t>” and, together with the A&amp;R 2019 Plan, the “</w:t>
      </w:r>
      <w:r>
        <w:rPr>
          <w:rFonts w:ascii="Arial" w:cs="Arial" w:eastAsia="Arial" w:hAnsi="Arial"/>
          <w:sz w:val="18"/>
          <w:szCs w:val="18"/>
          <w:b w:val="1"/>
          <w:bCs w:val="1"/>
          <w:color w:val="auto"/>
        </w:rPr>
        <w:t>Prior Plans</w:t>
      </w:r>
      <w:r>
        <w:rPr>
          <w:rFonts w:ascii="Arial" w:cs="Arial" w:eastAsia="Arial" w:hAnsi="Arial"/>
          <w:sz w:val="18"/>
          <w:szCs w:val="18"/>
          <w:color w:val="auto"/>
        </w:rPr>
        <w:t>”).</w:t>
      </w:r>
    </w:p>
    <w:p>
      <w:pPr>
        <w:spacing w:after="0" w:line="207" w:lineRule="exact"/>
        <w:rPr>
          <w:rFonts w:ascii="Arial" w:cs="Arial" w:eastAsia="Arial" w:hAnsi="Arial"/>
          <w:sz w:val="17"/>
          <w:szCs w:val="17"/>
          <w:color w:val="auto"/>
        </w:rPr>
      </w:pPr>
    </w:p>
    <w:p>
      <w:pPr>
        <w:ind w:right="320"/>
        <w:spacing w:after="0" w:line="314" w:lineRule="auto"/>
        <w:rPr>
          <w:sz w:val="20"/>
          <w:szCs w:val="20"/>
          <w:color w:val="auto"/>
        </w:rPr>
      </w:pPr>
      <w:r>
        <w:rPr>
          <w:rFonts w:ascii="Arial" w:cs="Arial" w:eastAsia="Arial" w:hAnsi="Arial"/>
          <w:sz w:val="16"/>
          <w:szCs w:val="16"/>
          <w:color w:val="auto"/>
        </w:rPr>
        <w:t>On April 29, 2019,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Millendo Therapeutics, Inc. (“</w:t>
      </w:r>
      <w:r>
        <w:rPr>
          <w:rFonts w:ascii="Arial" w:cs="Arial" w:eastAsia="Arial" w:hAnsi="Arial"/>
          <w:sz w:val="16"/>
          <w:szCs w:val="16"/>
          <w:b w:val="1"/>
          <w:bCs w:val="1"/>
          <w:color w:val="auto"/>
        </w:rPr>
        <w:t>Millendo</w:t>
      </w:r>
      <w:r>
        <w:rPr>
          <w:rFonts w:ascii="Arial" w:cs="Arial" w:eastAsia="Arial" w:hAnsi="Arial"/>
          <w:sz w:val="16"/>
          <w:szCs w:val="16"/>
          <w:color w:val="auto"/>
        </w:rPr>
        <w:t>”) adopted 2019 Plan, subject to approval by the Company’s stockholders, and became effective with such stockholder approval on June 11, 2019. On June 17, 2022, the Company’s stockholders approved the A&amp;R 2019 Plan, which amended and restated the 2019 Plan and became a successor to, and replacement of, the 2019 Plan.</w:t>
      </w:r>
    </w:p>
    <w:p>
      <w:pPr>
        <w:spacing w:after="0" w:line="142" w:lineRule="exact"/>
        <w:rPr>
          <w:rFonts w:ascii="Arial" w:cs="Arial" w:eastAsia="Arial" w:hAnsi="Arial"/>
          <w:sz w:val="17"/>
          <w:szCs w:val="17"/>
          <w:color w:val="auto"/>
        </w:rPr>
      </w:pPr>
    </w:p>
    <w:p>
      <w:pPr>
        <w:ind w:right="40"/>
        <w:spacing w:after="0" w:line="258" w:lineRule="auto"/>
        <w:rPr>
          <w:sz w:val="20"/>
          <w:szCs w:val="20"/>
          <w:color w:val="auto"/>
        </w:rPr>
      </w:pPr>
      <w:r>
        <w:rPr>
          <w:rFonts w:ascii="Arial" w:cs="Arial" w:eastAsia="Arial" w:hAnsi="Arial"/>
          <w:sz w:val="18"/>
          <w:szCs w:val="18"/>
          <w:color w:val="auto"/>
        </w:rPr>
        <w:t>On April 30, 2023, the Board approved the Registrant’s Amended and Restated 2023 Equity Incentive Plan (the “</w:t>
      </w:r>
      <w:r>
        <w:rPr>
          <w:rFonts w:ascii="Arial" w:cs="Arial" w:eastAsia="Arial" w:hAnsi="Arial"/>
          <w:sz w:val="18"/>
          <w:szCs w:val="18"/>
          <w:b w:val="1"/>
          <w:bCs w:val="1"/>
          <w:color w:val="auto"/>
        </w:rPr>
        <w:t>2023 Plan</w:t>
      </w:r>
      <w:r>
        <w:rPr>
          <w:rFonts w:ascii="Arial" w:cs="Arial" w:eastAsia="Arial" w:hAnsi="Arial"/>
          <w:sz w:val="18"/>
          <w:szCs w:val="18"/>
          <w:color w:val="auto"/>
        </w:rPr>
        <w:t>”), subject to stockholder approval of the 2023 Plan. On June 15, 2023, the Registrant’s stockholders approved the 2023 Plan. The 2023 Plan amended and restated the A&amp;R 2019 Plan became a successor to, and replacement of, the A&amp;R 2019 Plan. Upon effectiveness of the 2023 Plan immediately following the close of business on June 15, 2023 (the “</w:t>
      </w:r>
      <w:r>
        <w:rPr>
          <w:rFonts w:ascii="Arial" w:cs="Arial" w:eastAsia="Arial" w:hAnsi="Arial"/>
          <w:sz w:val="18"/>
          <w:szCs w:val="18"/>
          <w:b w:val="1"/>
          <w:bCs w:val="1"/>
          <w:color w:val="auto"/>
        </w:rPr>
        <w:t>Effective Time</w:t>
      </w:r>
      <w:r>
        <w:rPr>
          <w:rFonts w:ascii="Arial" w:cs="Arial" w:eastAsia="Arial" w:hAnsi="Arial"/>
          <w:sz w:val="18"/>
          <w:szCs w:val="18"/>
          <w:color w:val="auto"/>
        </w:rPr>
        <w:t>”), no new grants could be made under the A&amp;R 2019 Plan, but the terms of such plan continue to govern all outstanding awards granted thereunder.</w:t>
      </w:r>
    </w:p>
    <w:p>
      <w:pPr>
        <w:spacing w:after="0" w:line="187" w:lineRule="exact"/>
        <w:rPr>
          <w:rFonts w:ascii="Arial" w:cs="Arial" w:eastAsia="Arial" w:hAnsi="Arial"/>
          <w:sz w:val="17"/>
          <w:szCs w:val="17"/>
          <w:color w:val="auto"/>
        </w:rPr>
      </w:pPr>
    </w:p>
    <w:p>
      <w:pPr>
        <w:spacing w:after="0" w:line="288" w:lineRule="auto"/>
        <w:rPr>
          <w:sz w:val="20"/>
          <w:szCs w:val="20"/>
          <w:color w:val="auto"/>
        </w:rPr>
      </w:pPr>
      <w:r>
        <w:rPr>
          <w:rFonts w:ascii="Arial" w:cs="Arial" w:eastAsia="Arial" w:hAnsi="Arial"/>
          <w:sz w:val="16"/>
          <w:szCs w:val="16"/>
          <w:color w:val="auto"/>
        </w:rPr>
        <w:t>As provided in the 2023 EIP, from and after the Effective Time, all shares of Common Stock that become Prior Plan’s Returning Shares (as defined below) will be available for grants of new awards under the 2023 Plan. The term “Prior Plan’s Returning Shares” refers to the following shares of the Registrant’s Common Stock that will become available again for issuance under the 2023 EIP: (i) any shares under the 2023 EIP and the Prior Plans subject to a stock award that are not issued because such stock award expires or otherwise terminates without all of the shares covered by such stock award having been issued; (ii) any shares under the 2023 EIP and the Prior Plans subject to a stock award that are not issued because such stock award is settled in cash; (iii) any shares under the 2023 EIP and the Prior Plans issued pursuant to a stock award that are forfeited back to or repurchased by us because of the failure to meet a contingency or condition required for the vesting of such shares; and (iv) any shares under the 2023 EIP and the Prior Plans reacquired by us in satisfaction of tax withholding obligations on a stock award or as consideration for the exercise or purchase price of a stock award. As of the Effective Time, a total of 1,490,125 shares of Common Stock were subject to awards then-outstanding under the A&amp;R 2019 Plan. The Prior Plan’s Returning Shares are collectively referred to herein as the “Transferred Shares.”</w:t>
      </w:r>
    </w:p>
    <w:p>
      <w:pPr>
        <w:spacing w:after="0" w:line="168" w:lineRule="exact"/>
        <w:rPr>
          <w:rFonts w:ascii="Arial" w:cs="Arial" w:eastAsia="Arial" w:hAnsi="Arial"/>
          <w:sz w:val="17"/>
          <w:szCs w:val="17"/>
          <w:color w:val="auto"/>
        </w:rPr>
      </w:pPr>
    </w:p>
    <w:p>
      <w:pPr>
        <w:ind w:right="20"/>
        <w:spacing w:after="0" w:line="275" w:lineRule="auto"/>
        <w:rPr>
          <w:sz w:val="20"/>
          <w:szCs w:val="20"/>
          <w:color w:val="auto"/>
        </w:rPr>
      </w:pPr>
      <w:r>
        <w:rPr>
          <w:rFonts w:ascii="Arial" w:cs="Arial" w:eastAsia="Arial" w:hAnsi="Arial"/>
          <w:sz w:val="17"/>
          <w:szCs w:val="17"/>
          <w:color w:val="auto"/>
        </w:rPr>
        <w:t>The Company is filing the Post-Effective Amendments pursuant to SEC Compliance and Disclosure Interpretation 126.43 to amend the Prior Registration Statements to register the offer of the Transferred Shares under the 2023 EIP (as such Transferred Shares would no longer be issuable under the A&amp;R 2019 Plan as described above). As of the date of the filing of the Post-Effective Amendments, the maximum number of shares of Common Stock initially registered for offer pursuant to the A&amp;R 2019 Plan that may become Transferred Shares available for offer under the 2023 Plan is 202,914 shares. No additional securities are being registered by the Post-Effective Amendments.</w:t>
      </w:r>
    </w:p>
    <w:p>
      <w:pPr>
        <w:spacing w:after="0" w:line="388"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SECTION 10(a) PROSPECTUS</w:t>
      </w:r>
    </w:p>
    <w:p>
      <w:pPr>
        <w:spacing w:after="0" w:line="9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Not required to be filed with this Post-Effective Amendment.</w:t>
      </w:r>
    </w:p>
    <w:p>
      <w:pPr>
        <w:spacing w:after="0" w:line="329" w:lineRule="exact"/>
        <w:rPr>
          <w:rFonts w:ascii="Arial" w:cs="Arial" w:eastAsia="Arial" w:hAnsi="Arial"/>
          <w:sz w:val="17"/>
          <w:szCs w:val="17"/>
          <w:color w:val="auto"/>
        </w:rPr>
      </w:pPr>
    </w:p>
    <w:p>
      <w:pPr>
        <w:ind w:right="5500"/>
        <w:spacing w:after="0" w:line="445" w:lineRule="auto"/>
        <w:rPr>
          <w:sz w:val="20"/>
          <w:szCs w:val="20"/>
          <w:color w:val="auto"/>
        </w:rPr>
      </w:pPr>
      <w:r>
        <w:rPr>
          <w:rFonts w:ascii="Arial" w:cs="Arial" w:eastAsia="Arial" w:hAnsi="Arial"/>
          <w:sz w:val="17"/>
          <w:szCs w:val="17"/>
          <w:b w:val="1"/>
          <w:bCs w:val="1"/>
          <w:color w:val="auto"/>
        </w:rPr>
        <w:t xml:space="preserve">Item 2. Registrant Information and Employee Plan Annual Information </w:t>
      </w:r>
      <w:r>
        <w:rPr>
          <w:rFonts w:ascii="Arial" w:cs="Arial" w:eastAsia="Arial" w:hAnsi="Arial"/>
          <w:sz w:val="17"/>
          <w:szCs w:val="17"/>
          <w:color w:val="auto"/>
        </w:rPr>
        <w:t>Not required to be filed with this Post-Effective Amendment.</w:t>
      </w:r>
    </w:p>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which have been filed with the SEC, are incorporated by reference into this Registration Statement:</w:t>
      </w:r>
    </w:p>
    <w:p>
      <w:pPr>
        <w:spacing w:after="0" w:line="117" w:lineRule="exact"/>
        <w:rPr>
          <w:sz w:val="20"/>
          <w:szCs w:val="20"/>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(a) the contents of the Registrant’s Registration Statements on Form S-8, previously filed with the SEC on </w:t>
      </w:r>
      <w:hyperlink r:id="rId23">
        <w:r>
          <w:rPr>
            <w:rFonts w:ascii="Arial" w:cs="Arial" w:eastAsia="Arial" w:hAnsi="Arial"/>
            <w:sz w:val="18"/>
            <w:szCs w:val="18"/>
            <w:u w:val="single" w:color="auto"/>
            <w:color w:val="0000EE"/>
          </w:rPr>
          <w:t>December 16,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w:t>
      </w:r>
    </w:p>
    <w:p>
      <w:pPr>
        <w:spacing w:after="0" w:line="23" w:lineRule="exact"/>
        <w:rPr>
          <w:sz w:val="20"/>
          <w:szCs w:val="20"/>
          <w:color w:val="auto"/>
        </w:rPr>
      </w:pPr>
    </w:p>
    <w:p>
      <w:pPr>
        <w:ind w:right="520"/>
        <w:spacing w:after="0" w:line="260" w:lineRule="auto"/>
        <w:rPr>
          <w:rFonts w:ascii="Arial" w:cs="Arial" w:eastAsia="Arial" w:hAnsi="Arial"/>
          <w:sz w:val="18"/>
          <w:szCs w:val="18"/>
          <w:color w:val="0000EE"/>
        </w:rPr>
      </w:pPr>
      <w:r>
        <w:rPr>
          <w:rFonts w:ascii="Arial" w:cs="Arial" w:eastAsia="Arial" w:hAnsi="Arial"/>
          <w:sz w:val="18"/>
          <w:szCs w:val="18"/>
          <w:color w:val="auto"/>
        </w:rPr>
        <w:t xml:space="preserve">No. 333-235515), </w:t>
      </w:r>
      <w:hyperlink r:id="rId22">
        <w:r>
          <w:rPr>
            <w:rFonts w:ascii="Arial" w:cs="Arial" w:eastAsia="Arial" w:hAnsi="Arial"/>
            <w:sz w:val="18"/>
            <w:szCs w:val="18"/>
            <w:u w:val="single" w:color="auto"/>
            <w:color w:val="0000EE"/>
          </w:rPr>
          <w:t>November 10,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333-249993), </w:t>
      </w:r>
      <w:hyperlink r:id="rId21">
        <w:r>
          <w:rPr>
            <w:rFonts w:ascii="Arial" w:cs="Arial" w:eastAsia="Arial" w:hAnsi="Arial"/>
            <w:sz w:val="18"/>
            <w:szCs w:val="18"/>
            <w:u w:val="single" w:color="auto"/>
            <w:color w:val="0000EE"/>
          </w:rPr>
          <w:t>April 15,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333-255261), </w:t>
      </w:r>
      <w:hyperlink r:id="rId20">
        <w:r>
          <w:rPr>
            <w:rFonts w:ascii="Arial" w:cs="Arial" w:eastAsia="Arial" w:hAnsi="Arial"/>
            <w:sz w:val="18"/>
            <w:szCs w:val="18"/>
            <w:u w:val="single" w:color="auto"/>
            <w:color w:val="0000EE"/>
          </w:rPr>
          <w:t>May 13,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333-264943) and </w:t>
      </w:r>
      <w:hyperlink r:id="rId19">
        <w:r>
          <w:rPr>
            <w:rFonts w:ascii="Arial" w:cs="Arial" w:eastAsia="Arial" w:hAnsi="Arial"/>
            <w:sz w:val="18"/>
            <w:szCs w:val="18"/>
            <w:u w:val="single" w:color="auto"/>
            <w:color w:val="0000EE"/>
          </w:rPr>
          <w:t>June 21, 2022</w:t>
        </w:r>
        <w:r>
          <w:rPr>
            <w:rFonts w:ascii="Arial" w:cs="Arial" w:eastAsia="Arial" w:hAnsi="Arial"/>
            <w:sz w:val="18"/>
            <w:szCs w:val="18"/>
            <w:color w:val="0000EE"/>
          </w:rPr>
          <w:t xml:space="preserve">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 333-265718);</w:t>
      </w:r>
    </w:p>
    <w:p>
      <w:pPr>
        <w:spacing w:after="0" w:line="185" w:lineRule="exact"/>
        <w:rPr>
          <w:rFonts w:ascii="Arial" w:cs="Arial" w:eastAsia="Arial" w:hAnsi="Arial"/>
          <w:sz w:val="18"/>
          <w:szCs w:val="18"/>
          <w:color w:val="auto"/>
        </w:rPr>
      </w:pPr>
    </w:p>
    <w:p>
      <w:pPr>
        <w:ind w:right="540" w:firstLine="436"/>
        <w:spacing w:after="0" w:line="277"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fiscal year ended December 31, 2022, filed with the SEC on </w:t>
      </w:r>
      <w:hyperlink r:id="rId25">
        <w:r>
          <w:rPr>
            <w:rFonts w:ascii="Arial" w:cs="Arial" w:eastAsia="Arial" w:hAnsi="Arial"/>
            <w:sz w:val="18"/>
            <w:szCs w:val="18"/>
            <w:u w:val="single" w:color="auto"/>
            <w:color w:val="0000EE"/>
          </w:rPr>
          <w:t>March 22,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001-35890);</w:t>
      </w:r>
    </w:p>
    <w:p>
      <w:pPr>
        <w:spacing w:after="0" w:line="170" w:lineRule="exact"/>
        <w:rPr>
          <w:rFonts w:ascii="Arial" w:cs="Arial" w:eastAsia="Arial" w:hAnsi="Arial"/>
          <w:sz w:val="18"/>
          <w:szCs w:val="18"/>
          <w:color w:val="auto"/>
        </w:rPr>
      </w:pPr>
    </w:p>
    <w:p>
      <w:pPr>
        <w:ind w:firstLine="436"/>
        <w:spacing w:after="0" w:line="277" w:lineRule="auto"/>
        <w:tabs>
          <w:tab w:leader="none" w:pos="68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quarters ended March 31, 2023, June 30, 2023 and September 30, 2023, filed with the SEC on </w:t>
      </w:r>
      <w:hyperlink r:id="rId26">
        <w:r>
          <w:rPr>
            <w:rFonts w:ascii="Arial" w:cs="Arial" w:eastAsia="Arial" w:hAnsi="Arial"/>
            <w:sz w:val="18"/>
            <w:szCs w:val="18"/>
            <w:u w:val="single" w:color="auto"/>
            <w:color w:val="0000EE"/>
          </w:rPr>
          <w:t>May 10, 2023</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August 10,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8">
        <w:r>
          <w:rPr>
            <w:rFonts w:ascii="Arial" w:cs="Arial" w:eastAsia="Arial" w:hAnsi="Arial"/>
            <w:sz w:val="18"/>
            <w:szCs w:val="18"/>
            <w:u w:val="single" w:color="auto"/>
            <w:color w:val="0000EE"/>
          </w:rPr>
          <w:t>November 8, 2023</w:t>
        </w:r>
      </w:hyperlink>
      <w:r>
        <w:rPr>
          <w:rFonts w:ascii="Arial" w:cs="Arial" w:eastAsia="Arial" w:hAnsi="Arial"/>
          <w:sz w:val="18"/>
          <w:szCs w:val="18"/>
          <w:color w:val="auto"/>
        </w:rPr>
        <w:t>, respectively (File No. 001-35890);</w:t>
      </w:r>
    </w:p>
    <w:p>
      <w:pPr>
        <w:spacing w:after="0" w:line="170" w:lineRule="exact"/>
        <w:rPr>
          <w:rFonts w:ascii="Arial" w:cs="Arial" w:eastAsia="Arial" w:hAnsi="Arial"/>
          <w:sz w:val="18"/>
          <w:szCs w:val="18"/>
          <w:color w:val="auto"/>
        </w:rPr>
      </w:pPr>
    </w:p>
    <w:p>
      <w:pPr>
        <w:ind w:right="300" w:firstLine="436"/>
        <w:spacing w:after="0" w:line="277" w:lineRule="auto"/>
        <w:tabs>
          <w:tab w:leader="none" w:pos="695"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filed with the SEC on </w:t>
      </w:r>
      <w:hyperlink r:id="rId29">
        <w:r>
          <w:rPr>
            <w:rFonts w:ascii="Arial" w:cs="Arial" w:eastAsia="Arial" w:hAnsi="Arial"/>
            <w:sz w:val="18"/>
            <w:szCs w:val="18"/>
            <w:u w:val="single" w:color="auto"/>
            <w:color w:val="0000EE"/>
          </w:rPr>
          <w:t>March 31, 2023</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EE"/>
          </w:rPr>
          <w:t>April 28, 2023</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June 16, 2023</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September 7, 2023</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September 8,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 xml:space="preserve">October 11, 2023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 xml:space="preserve">October 30, 2023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 001-35890); and</w:t>
      </w:r>
    </w:p>
    <w:p>
      <w:pPr>
        <w:spacing w:after="0" w:line="170" w:lineRule="exact"/>
        <w:rPr>
          <w:rFonts w:ascii="Arial" w:cs="Arial" w:eastAsia="Arial" w:hAnsi="Arial"/>
          <w:sz w:val="18"/>
          <w:szCs w:val="18"/>
          <w:color w:val="0000EE"/>
        </w:rPr>
      </w:pPr>
    </w:p>
    <w:p>
      <w:pPr>
        <w:ind w:right="60" w:firstLine="436"/>
        <w:spacing w:after="0" w:line="286" w:lineRule="auto"/>
        <w:tabs>
          <w:tab w:leader="none" w:pos="685"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the Common Stock set forth in the Registrant’s registration statement on Form 8-A (File No. 001-35890), filed with the Commission on </w:t>
      </w:r>
      <w:hyperlink r:id="rId36">
        <w:r>
          <w:rPr>
            <w:rFonts w:ascii="Arial" w:cs="Arial" w:eastAsia="Arial" w:hAnsi="Arial"/>
            <w:sz w:val="17"/>
            <w:szCs w:val="17"/>
            <w:u w:val="single" w:color="auto"/>
            <w:color w:val="0000EE"/>
          </w:rPr>
          <w:t>April 25, 2013</w:t>
        </w:r>
      </w:hyperlink>
      <w:r>
        <w:rPr>
          <w:rFonts w:ascii="Arial" w:cs="Arial" w:eastAsia="Arial" w:hAnsi="Arial"/>
          <w:sz w:val="17"/>
          <w:szCs w:val="17"/>
          <w:color w:val="auto"/>
        </w:rPr>
        <w:t xml:space="preserve">, including any amendments thereto or reports filed for the purposes of updating this description, including Exhibit 4.1 to the Registrant’s Annual Report on Form 10-K/A for the fiscal year ended December 31, 2021 filed with the SEC on </w:t>
      </w:r>
      <w:hyperlink r:id="rId37">
        <w:r>
          <w:rPr>
            <w:rFonts w:ascii="Arial" w:cs="Arial" w:eastAsia="Arial" w:hAnsi="Arial"/>
            <w:sz w:val="17"/>
            <w:szCs w:val="17"/>
            <w:u w:val="single" w:color="auto"/>
            <w:color w:val="0000EE"/>
          </w:rPr>
          <w:t>April 1, 2022</w:t>
        </w:r>
      </w:hyperlink>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80"/>
        <w:spacing w:after="0" w:line="270" w:lineRule="auto"/>
        <w:rPr>
          <w:sz w:val="20"/>
          <w:szCs w:val="20"/>
          <w:color w:val="auto"/>
        </w:rPr>
      </w:pPr>
      <w:r>
        <w:rPr>
          <w:rFonts w:ascii="Arial" w:cs="Arial" w:eastAsia="Arial" w:hAnsi="Arial"/>
          <w:sz w:val="17"/>
          <w:szCs w:val="17"/>
          <w:color w:val="auto"/>
        </w:rPr>
        <w:t>All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5"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44"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6380" w:type="dxa"/>
            <w:vAlign w:val="bottom"/>
            <w:gridSpan w:val="4"/>
            <w:vMerge w:val="restart"/>
          </w:tcPr>
          <w:p>
            <w:pPr>
              <w:ind w:left="28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Schedule</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File</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vMerge w:val="restart"/>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6380" w:type="dxa"/>
            <w:vAlign w:val="bottom"/>
            <w:tcBorders>
              <w:bottom w:val="single" w:sz="8" w:color="auto"/>
            </w:tcBorders>
            <w:gridSpan w:val="4"/>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Form</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right"/>
              <w:ind w:right="99"/>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3"/>
                <w:szCs w:val="23"/>
                <w:color w:val="auto"/>
              </w:rPr>
            </w:pPr>
          </w:p>
        </w:tc>
        <w:tc>
          <w:tcPr>
            <w:tcW w:w="6600" w:type="dxa"/>
            <w:vAlign w:val="bottom"/>
            <w:gridSpan w:val="5"/>
          </w:tcPr>
          <w:p>
            <w:pPr>
              <w:spacing w:after="0"/>
              <w:rPr>
                <w:rFonts w:ascii="Arial" w:cs="Arial" w:eastAsia="Arial" w:hAnsi="Arial"/>
                <w:sz w:val="18"/>
                <w:szCs w:val="18"/>
                <w:color w:val="0000EE"/>
              </w:rPr>
            </w:pPr>
            <w:hyperlink r:id="rId38">
              <w:r>
                <w:rPr>
                  <w:rFonts w:ascii="Arial" w:cs="Arial" w:eastAsia="Arial" w:hAnsi="Arial"/>
                  <w:sz w:val="18"/>
                  <w:szCs w:val="18"/>
                  <w:color w:val="0000EE"/>
                </w:rPr>
                <w:t>Restated Certificate of Incorporation of the Registrant, as amended</w:t>
              </w:r>
            </w:hyperlink>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10-Q</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001-35890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800" w:type="dxa"/>
            <w:vAlign w:val="bottom"/>
          </w:tcPr>
          <w:p>
            <w:pPr>
              <w:ind w:left="60"/>
              <w:spacing w:after="0"/>
              <w:rPr>
                <w:sz w:val="20"/>
                <w:szCs w:val="20"/>
                <w:color w:val="auto"/>
              </w:rPr>
            </w:pPr>
            <w:r>
              <w:rPr>
                <w:rFonts w:ascii="Arial" w:cs="Arial" w:eastAsia="Arial" w:hAnsi="Arial"/>
                <w:sz w:val="18"/>
                <w:szCs w:val="18"/>
                <w:color w:val="auto"/>
                <w:w w:val="89"/>
              </w:rPr>
              <w:t>5/15/2019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9"/>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6600" w:type="dxa"/>
            <w:vAlign w:val="bottom"/>
            <w:gridSpan w:val="5"/>
          </w:tcPr>
          <w:p>
            <w:pPr>
              <w:spacing w:after="0"/>
              <w:rPr>
                <w:rFonts w:ascii="Arial" w:cs="Arial" w:eastAsia="Arial" w:hAnsi="Arial"/>
                <w:sz w:val="18"/>
                <w:szCs w:val="18"/>
                <w:color w:val="0000EE"/>
                <w:w w:val="96"/>
              </w:rPr>
            </w:pPr>
            <w:hyperlink r:id="rId39">
              <w:r>
                <w:rPr>
                  <w:rFonts w:ascii="Arial" w:cs="Arial" w:eastAsia="Arial" w:hAnsi="Arial"/>
                  <w:sz w:val="18"/>
                  <w:szCs w:val="18"/>
                  <w:color w:val="0000EE"/>
                  <w:w w:val="96"/>
                </w:rPr>
                <w:t>Certificate of Amendment to the Restated Certificate of Incorporation of the Company,</w:t>
              </w:r>
            </w:hyperlink>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as filed with the Secretary of State of the State of Delaware on June 24, 2021</w:t>
              </w:r>
            </w:hyperlink>
          </w:p>
        </w:tc>
        <w:tc>
          <w:tcPr>
            <w:tcW w:w="340" w:type="dxa"/>
            <w:vAlign w:val="bottom"/>
            <w:gridSpan w:val="2"/>
          </w:tcPr>
          <w:p>
            <w:pPr>
              <w:spacing w:after="0"/>
              <w:rPr>
                <w:sz w:val="17"/>
                <w:szCs w:val="17"/>
                <w:color w:val="auto"/>
              </w:rPr>
            </w:pPr>
          </w:p>
        </w:tc>
        <w:tc>
          <w:tcPr>
            <w:tcW w:w="8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8-K</w:t>
            </w:r>
          </w:p>
        </w:tc>
        <w:tc>
          <w:tcPr>
            <w:tcW w:w="11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w w:val="95"/>
              </w:rPr>
              <w:t>001-35890</w:t>
            </w:r>
          </w:p>
        </w:tc>
        <w:tc>
          <w:tcPr>
            <w:tcW w:w="7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3.1</w:t>
            </w:r>
          </w:p>
        </w:tc>
        <w:tc>
          <w:tcPr>
            <w:tcW w:w="800" w:type="dxa"/>
            <w:vAlign w:val="bottom"/>
          </w:tcPr>
          <w:p>
            <w:pPr>
              <w:ind w:left="60"/>
              <w:spacing w:after="0" w:line="196" w:lineRule="exact"/>
              <w:rPr>
                <w:sz w:val="20"/>
                <w:szCs w:val="20"/>
                <w:color w:val="auto"/>
              </w:rPr>
            </w:pPr>
            <w:r>
              <w:rPr>
                <w:rFonts w:ascii="Arial" w:cs="Arial" w:eastAsia="Arial" w:hAnsi="Arial"/>
                <w:sz w:val="18"/>
                <w:szCs w:val="18"/>
                <w:color w:val="auto"/>
                <w:w w:val="89"/>
              </w:rPr>
              <w:t>6/28/2021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60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7300" w:type="dxa"/>
            <w:vAlign w:val="bottom"/>
            <w:gridSpan w:val="11"/>
          </w:tcPr>
          <w:p>
            <w:pPr>
              <w:spacing w:after="0"/>
              <w:rPr>
                <w:rFonts w:ascii="Arial" w:cs="Arial" w:eastAsia="Arial" w:hAnsi="Arial"/>
                <w:sz w:val="18"/>
                <w:szCs w:val="18"/>
                <w:color w:val="0000EE"/>
                <w:w w:val="93"/>
              </w:rPr>
            </w:pPr>
            <w:hyperlink r:id="rId41">
              <w:r>
                <w:rPr>
                  <w:rFonts w:ascii="Arial" w:cs="Arial" w:eastAsia="Arial" w:hAnsi="Arial"/>
                  <w:sz w:val="18"/>
                  <w:szCs w:val="18"/>
                  <w:color w:val="0000EE"/>
                  <w:w w:val="93"/>
                </w:rPr>
                <w:t>Certificate of Amendment to the Restated Certificate of Incorporation of the Company, as filed with</w:t>
              </w:r>
            </w:hyperlink>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the Secretary of State of the State of Delaware on June 25, 2021</w:t>
              </w:r>
            </w:hyperlink>
          </w:p>
        </w:tc>
        <w:tc>
          <w:tcPr>
            <w:tcW w:w="2580" w:type="dxa"/>
            <w:vAlign w:val="bottom"/>
            <w:tcBorders>
              <w:top w:val="single" w:sz="8" w:color="0000EE"/>
            </w:tcBorders>
            <w:gridSpan w:val="5"/>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8-K</w:t>
            </w:r>
          </w:p>
        </w:tc>
        <w:tc>
          <w:tcPr>
            <w:tcW w:w="10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001-35890</w:t>
            </w:r>
          </w:p>
        </w:tc>
        <w:tc>
          <w:tcPr>
            <w:tcW w:w="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3.2</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6/28/2021</w:t>
            </w:r>
          </w:p>
        </w:tc>
      </w:tr>
      <w:tr>
        <w:trPr>
          <w:trHeight w:val="304"/>
        </w:trPr>
        <w:tc>
          <w:tcPr>
            <w:tcW w:w="600" w:type="dxa"/>
            <w:vAlign w:val="bottom"/>
          </w:tcPr>
          <w:p>
            <w:pPr>
              <w:jc w:val="right"/>
              <w:ind w:right="190"/>
              <w:spacing w:after="0"/>
              <w:rPr>
                <w:sz w:val="20"/>
                <w:szCs w:val="20"/>
                <w:color w:val="auto"/>
              </w:rPr>
            </w:pPr>
            <w:r>
              <w:rPr>
                <w:rFonts w:ascii="Arial" w:cs="Arial" w:eastAsia="Arial" w:hAnsi="Arial"/>
                <w:sz w:val="18"/>
                <w:szCs w:val="18"/>
                <w:color w:val="auto"/>
              </w:rPr>
              <w:t>4.4</w:t>
            </w:r>
          </w:p>
        </w:tc>
        <w:tc>
          <w:tcPr>
            <w:tcW w:w="6600" w:type="dxa"/>
            <w:vAlign w:val="bottom"/>
            <w:tcBorders>
              <w:bottom w:val="single" w:sz="8" w:color="0000EE"/>
            </w:tcBorders>
            <w:gridSpan w:val="8"/>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Certificate of Designation of Series A Junior Participating Preferred Stock, as filed with the</w:t>
              </w:r>
            </w:hyperlink>
          </w:p>
        </w:tc>
        <w:tc>
          <w:tcPr>
            <w:tcW w:w="70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4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42">
              <w:r>
                <w:rPr>
                  <w:rFonts w:ascii="Arial" w:cs="Arial" w:eastAsia="Arial" w:hAnsi="Arial"/>
                  <w:sz w:val="18"/>
                  <w:szCs w:val="18"/>
                  <w:color w:val="0000EE"/>
                  <w:w w:val="89"/>
                </w:rPr>
                <w:t>Secretary of State of the State of Delaware on October 10, 2023</w:t>
              </w:r>
            </w:hyperlink>
          </w:p>
        </w:tc>
        <w:tc>
          <w:tcPr>
            <w:tcW w:w="2700" w:type="dxa"/>
            <w:vAlign w:val="bottom"/>
            <w:gridSpan w:val="7"/>
          </w:tcPr>
          <w:p>
            <w:pPr>
              <w:spacing w:after="0"/>
              <w:rPr>
                <w:sz w:val="17"/>
                <w:szCs w:val="17"/>
                <w:color w:val="auto"/>
              </w:rPr>
            </w:pPr>
          </w:p>
        </w:tc>
        <w:tc>
          <w:tcPr>
            <w:tcW w:w="5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8-K</w:t>
            </w:r>
          </w:p>
        </w:tc>
        <w:tc>
          <w:tcPr>
            <w:tcW w:w="10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001-35890</w:t>
            </w:r>
          </w:p>
        </w:tc>
        <w:tc>
          <w:tcPr>
            <w:tcW w:w="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3.1</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9"/>
              </w:rPr>
              <w:t>10/11/2023</w:t>
            </w:r>
          </w:p>
        </w:tc>
      </w:tr>
      <w:tr>
        <w:trPr>
          <w:trHeight w:val="304"/>
        </w:trPr>
        <w:tc>
          <w:tcPr>
            <w:tcW w:w="600" w:type="dxa"/>
            <w:vAlign w:val="bottom"/>
          </w:tcPr>
          <w:p>
            <w:pPr>
              <w:jc w:val="right"/>
              <w:ind w:right="190"/>
              <w:spacing w:after="0"/>
              <w:rPr>
                <w:sz w:val="20"/>
                <w:szCs w:val="20"/>
                <w:color w:val="auto"/>
              </w:rPr>
            </w:pPr>
            <w:r>
              <w:rPr>
                <w:rFonts w:ascii="Arial" w:cs="Arial" w:eastAsia="Arial" w:hAnsi="Arial"/>
                <w:sz w:val="18"/>
                <w:szCs w:val="18"/>
                <w:color w:val="auto"/>
              </w:rPr>
              <w:t>4.5</w:t>
            </w:r>
          </w:p>
        </w:tc>
        <w:tc>
          <w:tcPr>
            <w:tcW w:w="7300" w:type="dxa"/>
            <w:vAlign w:val="bottom"/>
            <w:gridSpan w:val="11"/>
          </w:tcPr>
          <w:p>
            <w:pPr>
              <w:spacing w:after="0"/>
              <w:rPr>
                <w:rFonts w:ascii="Arial" w:cs="Arial" w:eastAsia="Arial" w:hAnsi="Arial"/>
                <w:sz w:val="18"/>
                <w:szCs w:val="18"/>
                <w:color w:val="0000EE"/>
              </w:rPr>
            </w:pPr>
            <w:hyperlink r:id="rId43">
              <w:r>
                <w:rPr>
                  <w:rFonts w:ascii="Arial" w:cs="Arial" w:eastAsia="Arial" w:hAnsi="Arial"/>
                  <w:sz w:val="18"/>
                  <w:szCs w:val="18"/>
                  <w:color w:val="0000EE"/>
                </w:rPr>
                <w:t>Amended and Restated Bylaws of the Registrant</w:t>
              </w:r>
            </w:hyperlink>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8-K</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001-35890</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920" w:type="dxa"/>
            <w:vAlign w:val="bottom"/>
          </w:tcPr>
          <w:p>
            <w:pPr>
              <w:jc w:val="right"/>
              <w:spacing w:after="0"/>
              <w:rPr>
                <w:sz w:val="20"/>
                <w:szCs w:val="20"/>
                <w:color w:val="auto"/>
              </w:rPr>
            </w:pPr>
            <w:r>
              <w:rPr>
                <w:rFonts w:ascii="Arial" w:cs="Arial" w:eastAsia="Arial" w:hAnsi="Arial"/>
                <w:sz w:val="18"/>
                <w:szCs w:val="18"/>
                <w:color w:val="auto"/>
              </w:rPr>
              <w:t>9/24/2021</w:t>
            </w:r>
          </w:p>
        </w:tc>
      </w:tr>
      <w:tr>
        <w:trPr>
          <w:trHeight w:val="304"/>
        </w:trPr>
        <w:tc>
          <w:tcPr>
            <w:tcW w:w="60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7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4"/>
              </w:rPr>
              <w:t>Opinion of Cooley LLP</w:t>
            </w:r>
          </w:p>
        </w:tc>
        <w:tc>
          <w:tcPr>
            <w:tcW w:w="1780" w:type="dxa"/>
            <w:vAlign w:val="bottom"/>
            <w:tcBorders>
              <w:top w:val="single" w:sz="8" w:color="0000EE"/>
            </w:tcBorders>
          </w:tcPr>
          <w:p>
            <w:pPr>
              <w:spacing w:after="0"/>
              <w:rPr>
                <w:sz w:val="24"/>
                <w:szCs w:val="24"/>
                <w:color w:val="auto"/>
              </w:rPr>
            </w:pPr>
          </w:p>
        </w:tc>
        <w:tc>
          <w:tcPr>
            <w:tcW w:w="380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4"/>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90"/>
              </w:rPr>
              <w:t>23.1*</w:t>
            </w:r>
          </w:p>
        </w:tc>
        <w:tc>
          <w:tcPr>
            <w:tcW w:w="35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Consent of Cooley LLP (included in Exhibit 5.1).</w:t>
            </w:r>
          </w:p>
        </w:tc>
        <w:tc>
          <w:tcPr>
            <w:tcW w:w="37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4"/>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90"/>
              </w:rPr>
              <w:t>23.2*</w:t>
            </w:r>
          </w:p>
        </w:tc>
        <w:tc>
          <w:tcPr>
            <w:tcW w:w="57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15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4"/>
        </w:trPr>
        <w:tc>
          <w:tcPr>
            <w:tcW w:w="600" w:type="dxa"/>
            <w:vAlign w:val="bottom"/>
          </w:tcPr>
          <w:p>
            <w:pPr>
              <w:jc w:val="right"/>
              <w:ind w:right="110"/>
              <w:spacing w:after="0"/>
              <w:rPr>
                <w:sz w:val="20"/>
                <w:szCs w:val="20"/>
                <w:color w:val="auto"/>
              </w:rPr>
            </w:pPr>
            <w:r>
              <w:rPr>
                <w:rFonts w:ascii="Arial" w:cs="Arial" w:eastAsia="Arial" w:hAnsi="Arial"/>
                <w:sz w:val="18"/>
                <w:szCs w:val="18"/>
                <w:color w:val="auto"/>
                <w:w w:val="90"/>
              </w:rPr>
              <w:t>24.1*</w:t>
            </w:r>
          </w:p>
        </w:tc>
        <w:tc>
          <w:tcPr>
            <w:tcW w:w="7300" w:type="dxa"/>
            <w:vAlign w:val="bottom"/>
            <w:gridSpan w:val="11"/>
          </w:tcPr>
          <w:p>
            <w:pPr>
              <w:spacing w:after="0"/>
              <w:rPr>
                <w:sz w:val="20"/>
                <w:szCs w:val="20"/>
                <w:color w:val="auto"/>
              </w:rPr>
            </w:pPr>
            <w:r>
              <w:rPr>
                <w:rFonts w:ascii="Arial" w:cs="Arial" w:eastAsia="Arial" w:hAnsi="Arial"/>
                <w:sz w:val="18"/>
                <w:szCs w:val="18"/>
                <w:color w:val="0000EE"/>
              </w:rPr>
              <w:t>Power of Attorney (included on the signature page of this Form S-8).</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4980" w:type="dxa"/>
            <w:vAlign w:val="bottom"/>
            <w:gridSpan w:val="6"/>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99.1</w:t>
            </w:r>
          </w:p>
        </w:tc>
        <w:tc>
          <w:tcPr>
            <w:tcW w:w="5720" w:type="dxa"/>
            <w:vAlign w:val="bottom"/>
            <w:tcBorders>
              <w:bottom w:val="single" w:sz="8" w:color="0000EE"/>
            </w:tcBorders>
            <w:gridSpan w:val="7"/>
          </w:tcPr>
          <w:p>
            <w:pPr>
              <w:spacing w:after="0"/>
              <w:rPr>
                <w:rFonts w:ascii="Arial" w:cs="Arial" w:eastAsia="Arial" w:hAnsi="Arial"/>
                <w:sz w:val="18"/>
                <w:szCs w:val="18"/>
                <w:color w:val="0000EE"/>
                <w:w w:val="89"/>
              </w:rPr>
            </w:pPr>
            <w:hyperlink r:id="rId44">
              <w:r>
                <w:rPr>
                  <w:rFonts w:ascii="Arial" w:cs="Arial" w:eastAsia="Arial" w:hAnsi="Arial"/>
                  <w:sz w:val="18"/>
                  <w:szCs w:val="18"/>
                  <w:color w:val="0000EE"/>
                  <w:w w:val="89"/>
                </w:rPr>
                <w:t>Tempest Therapeutics, Inc. Amended and Restated 2023 Equity Incentive Plan.</w:t>
              </w:r>
            </w:hyperlink>
          </w:p>
        </w:tc>
        <w:tc>
          <w:tcPr>
            <w:tcW w:w="1580" w:type="dxa"/>
            <w:vAlign w:val="bottom"/>
            <w:gridSpan w:val="4"/>
          </w:tcPr>
          <w:p>
            <w:pPr>
              <w:spacing w:after="0"/>
              <w:rPr>
                <w:sz w:val="24"/>
                <w:szCs w:val="24"/>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10-Q   001-35890</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920" w:type="dxa"/>
            <w:vAlign w:val="bottom"/>
          </w:tcPr>
          <w:p>
            <w:pPr>
              <w:jc w:val="right"/>
              <w:spacing w:after="0"/>
              <w:rPr>
                <w:sz w:val="20"/>
                <w:szCs w:val="20"/>
                <w:color w:val="auto"/>
              </w:rPr>
            </w:pPr>
            <w:r>
              <w:rPr>
                <w:rFonts w:ascii="Arial" w:cs="Arial" w:eastAsia="Arial" w:hAnsi="Arial"/>
                <w:sz w:val="18"/>
                <w:szCs w:val="18"/>
                <w:color w:val="auto"/>
              </w:rPr>
              <w:t>8/10/2023</w:t>
            </w:r>
          </w:p>
        </w:tc>
      </w:tr>
      <w:tr>
        <w:trPr>
          <w:trHeight w:val="304"/>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99.2</w:t>
            </w:r>
          </w:p>
        </w:tc>
        <w:tc>
          <w:tcPr>
            <w:tcW w:w="7300" w:type="dxa"/>
            <w:vAlign w:val="bottom"/>
            <w:gridSpan w:val="11"/>
          </w:tcPr>
          <w:p>
            <w:pPr>
              <w:spacing w:after="0"/>
              <w:rPr>
                <w:rFonts w:ascii="Arial" w:cs="Arial" w:eastAsia="Arial" w:hAnsi="Arial"/>
                <w:sz w:val="18"/>
                <w:szCs w:val="18"/>
                <w:color w:val="0000EE"/>
                <w:w w:val="97"/>
              </w:rPr>
            </w:pPr>
            <w:hyperlink r:id="rId45">
              <w:r>
                <w:rPr>
                  <w:rFonts w:ascii="Arial" w:cs="Arial" w:eastAsia="Arial" w:hAnsi="Arial"/>
                  <w:sz w:val="18"/>
                  <w:szCs w:val="18"/>
                  <w:color w:val="0000EE"/>
                  <w:w w:val="97"/>
                </w:rPr>
                <w:t>Form of Stock Option Grant Notice under Amended and Restated 2023 Equity Incentive Plan.</w:t>
              </w:r>
            </w:hyperlink>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10-Q</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001-35890</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920" w:type="dxa"/>
            <w:vAlign w:val="bottom"/>
          </w:tcPr>
          <w:p>
            <w:pPr>
              <w:jc w:val="right"/>
              <w:spacing w:after="0"/>
              <w:rPr>
                <w:sz w:val="20"/>
                <w:szCs w:val="20"/>
                <w:color w:val="auto"/>
              </w:rPr>
            </w:pPr>
            <w:r>
              <w:rPr>
                <w:rFonts w:ascii="Arial" w:cs="Arial" w:eastAsia="Arial" w:hAnsi="Arial"/>
                <w:sz w:val="18"/>
                <w:szCs w:val="18"/>
                <w:color w:val="auto"/>
              </w:rPr>
              <w:t>8/10/2023</w:t>
            </w:r>
          </w:p>
        </w:tc>
      </w:tr>
      <w:tr>
        <w:trPr>
          <w:trHeight w:val="20"/>
        </w:trPr>
        <w:tc>
          <w:tcPr>
            <w:tcW w:w="6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0964"/>
          </w:cols>
          <w:pgMar w:left="436" w:top="257"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Brisbane, State of California, on November 17, 2023.</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Stephen Brady</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Stephen Brady</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Brady and Nicholas Maestas,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440" w:type="dxa"/>
            <w:vAlign w:val="bottom"/>
          </w:tcPr>
          <w:p>
            <w:pPr>
              <w:ind w:left="2400"/>
              <w:spacing w:after="0"/>
              <w:rPr>
                <w:sz w:val="20"/>
                <w:szCs w:val="20"/>
                <w:color w:val="auto"/>
              </w:rPr>
            </w:pPr>
            <w:r>
              <w:rPr>
                <w:rFonts w:ascii="Arial" w:cs="Arial" w:eastAsia="Arial" w:hAnsi="Arial"/>
                <w:sz w:val="14"/>
                <w:szCs w:val="14"/>
                <w:b w:val="1"/>
                <w:bCs w:val="1"/>
                <w:color w:val="auto"/>
              </w:rPr>
              <w:t>Title</w:t>
            </w:r>
          </w:p>
        </w:tc>
        <w:tc>
          <w:tcPr>
            <w:tcW w:w="2080" w:type="dxa"/>
            <w:vAlign w:val="bottom"/>
          </w:tcPr>
          <w:p>
            <w:pPr>
              <w:ind w:left="1380"/>
              <w:spacing w:after="0"/>
              <w:rPr>
                <w:sz w:val="20"/>
                <w:szCs w:val="20"/>
                <w:color w:val="auto"/>
              </w:rPr>
            </w:pPr>
            <w:r>
              <w:rPr>
                <w:rFonts w:ascii="Arial" w:cs="Arial" w:eastAsia="Arial" w:hAnsi="Arial"/>
                <w:sz w:val="14"/>
                <w:szCs w:val="14"/>
                <w:b w:val="1"/>
                <w:bCs w:val="1"/>
                <w:color w:val="auto"/>
              </w:rPr>
              <w:t>Date</w:t>
            </w: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Brady</w:t>
            </w:r>
          </w:p>
        </w:tc>
        <w:tc>
          <w:tcPr>
            <w:tcW w:w="444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Stephen Brady</w:t>
            </w:r>
          </w:p>
        </w:tc>
        <w:tc>
          <w:tcPr>
            <w:tcW w:w="44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Nicholas Maestas</w:t>
            </w:r>
          </w:p>
        </w:tc>
        <w:tc>
          <w:tcPr>
            <w:tcW w:w="4440" w:type="dxa"/>
            <w:vAlign w:val="bottom"/>
          </w:tcPr>
          <w:p>
            <w:pPr>
              <w:ind w:left="120"/>
              <w:spacing w:after="0"/>
              <w:rPr>
                <w:sz w:val="20"/>
                <w:szCs w:val="20"/>
                <w:color w:val="auto"/>
              </w:rPr>
            </w:pPr>
            <w:r>
              <w:rPr>
                <w:rFonts w:ascii="Arial" w:cs="Arial" w:eastAsia="Arial" w:hAnsi="Arial"/>
                <w:sz w:val="18"/>
                <w:szCs w:val="18"/>
                <w:color w:val="auto"/>
              </w:rPr>
              <w:t>Vice President, Strategy and Finance and Secretary</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Nicholas Maestas</w:t>
            </w:r>
          </w:p>
        </w:tc>
        <w:tc>
          <w:tcPr>
            <w:tcW w:w="44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Justin Trojanowski</w:t>
            </w:r>
          </w:p>
        </w:tc>
        <w:tc>
          <w:tcPr>
            <w:tcW w:w="4440" w:type="dxa"/>
            <w:vAlign w:val="bottom"/>
          </w:tcPr>
          <w:p>
            <w:pPr>
              <w:ind w:left="120"/>
              <w:spacing w:after="0"/>
              <w:rPr>
                <w:sz w:val="20"/>
                <w:szCs w:val="20"/>
                <w:color w:val="auto"/>
              </w:rPr>
            </w:pPr>
            <w:r>
              <w:rPr>
                <w:rFonts w:ascii="Arial" w:cs="Arial" w:eastAsia="Arial" w:hAnsi="Arial"/>
                <w:sz w:val="18"/>
                <w:szCs w:val="18"/>
                <w:color w:val="auto"/>
              </w:rPr>
              <w:t>Corporate Controller, Treasurer</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Justin Trojanowski</w:t>
            </w:r>
          </w:p>
        </w:tc>
        <w:tc>
          <w:tcPr>
            <w:tcW w:w="4440" w:type="dxa"/>
            <w:vAlign w:val="bottom"/>
          </w:tcPr>
          <w:p>
            <w:pPr>
              <w:ind w:left="120"/>
              <w:spacing w:after="0"/>
              <w:rPr>
                <w:sz w:val="20"/>
                <w:szCs w:val="20"/>
                <w:color w:val="auto"/>
              </w:rPr>
            </w:pPr>
            <w:r>
              <w:rPr>
                <w:rFonts w:ascii="Arial" w:cs="Arial" w:eastAsia="Arial" w:hAnsi="Arial"/>
                <w:sz w:val="18"/>
                <w:szCs w:val="18"/>
                <w:i w:val="1"/>
                <w:iCs w:val="1"/>
                <w:color w:val="auto"/>
              </w:rPr>
              <w:t>(Principal Accounting Officer)</w:t>
            </w: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Raab</w:t>
            </w:r>
          </w:p>
        </w:tc>
        <w:tc>
          <w:tcPr>
            <w:tcW w:w="444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Michael Raab</w:t>
            </w:r>
          </w:p>
        </w:tc>
        <w:tc>
          <w:tcPr>
            <w:tcW w:w="444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Geoff Nichol, M.B., Ch.B., M.B.A.</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5"/>
              </w:rPr>
              <w:t>Geoff Nichol, M.B., Ch.B., M.B.A.</w:t>
            </w:r>
          </w:p>
        </w:tc>
        <w:tc>
          <w:tcPr>
            <w:tcW w:w="444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Christine Pellizzari</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Christine Pellizzari</w:t>
            </w:r>
          </w:p>
        </w:tc>
        <w:tc>
          <w:tcPr>
            <w:tcW w:w="444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Ronit Simantov</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November 17,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Ronit Simantov</w:t>
            </w:r>
          </w:p>
        </w:tc>
        <w:tc>
          <w:tcPr>
            <w:tcW w:w="444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165860"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extLst>
                    </a:blip>
                    <a:srcRect/>
                    <a:stretch>
                      <a:fillRect/>
                    </a:stretch>
                  </pic:blipFill>
                  <pic:spPr bwMode="auto">
                    <a:xfrm>
                      <a:off x="0" y="0"/>
                      <a:ext cx="11658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17,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Laura Berezin</w:t>
      </w:r>
    </w:p>
    <w:p>
      <w:pPr>
        <w:spacing w:after="0" w:line="23" w:lineRule="exact"/>
        <w:rPr>
          <w:sz w:val="20"/>
          <w:szCs w:val="20"/>
          <w:color w:val="auto"/>
        </w:rPr>
      </w:pPr>
    </w:p>
    <w:p>
      <w:pPr>
        <w:ind w:left="4" w:right="9460" w:hanging="4"/>
        <w:spacing w:after="0" w:line="323" w:lineRule="auto"/>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+1 650 843 5128 lberezin@cooley.com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Tempest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2000 Sierra Point Parkway, Suite 400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Brisbane, California 94005</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We have acted as counsel to Tempest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of a Post-Effective Amendment No. 1 to each of the Company’s registration statements on Form S-8 (File Nos. 333-265718, 333-264943, 333-255261, 333-249993 and 333-235515), as filed with the Commission on June 21, 2022, May 13, 2022, July 7, 2021, April 15, 2021, November 10, 2020, and December 16, 2019, respectively (such registration statements, collectively, the “</w:t>
      </w:r>
      <w:r>
        <w:rPr>
          <w:rFonts w:ascii="Arial" w:cs="Arial" w:eastAsia="Arial" w:hAnsi="Arial"/>
          <w:sz w:val="18"/>
          <w:szCs w:val="18"/>
          <w:b w:val="1"/>
          <w:bCs w:val="1"/>
          <w:i w:val="1"/>
          <w:iCs w:val="1"/>
          <w:color w:val="auto"/>
        </w:rPr>
        <w:t>Prior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Registration Statements</w:t>
      </w:r>
      <w:r>
        <w:rPr>
          <w:rFonts w:ascii="Arial" w:cs="Arial" w:eastAsia="Arial" w:hAnsi="Arial"/>
          <w:sz w:val="18"/>
          <w:szCs w:val="18"/>
          <w:color w:val="auto"/>
        </w:rPr>
        <w:t>,” and the post-effective amendment to each of the Prior Registration Statements, collectively, the “</w:t>
      </w:r>
      <w:r>
        <w:rPr>
          <w:rFonts w:ascii="Arial" w:cs="Arial" w:eastAsia="Arial" w:hAnsi="Arial"/>
          <w:sz w:val="18"/>
          <w:szCs w:val="18"/>
          <w:b w:val="1"/>
          <w:bCs w:val="1"/>
          <w:i w:val="1"/>
          <w:iCs w:val="1"/>
          <w:color w:val="auto"/>
        </w:rPr>
        <w:t>Post-Effective Amendments</w:t>
      </w:r>
      <w:r>
        <w:rPr>
          <w:rFonts w:ascii="Arial" w:cs="Arial" w:eastAsia="Arial" w:hAnsi="Arial"/>
          <w:sz w:val="18"/>
          <w:szCs w:val="18"/>
          <w:color w:val="auto"/>
        </w:rPr>
        <w:t>”).</w:t>
      </w:r>
    </w:p>
    <w:p>
      <w:pPr>
        <w:spacing w:after="0" w:line="192"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The Prior Registration Statements covered the offering of shares of the Company’s common stock, par value $0.001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previously available for issuance under the Company’s 2019 Equity Incentive Plan (including such plan as amended and restated, the “</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For purposes of this opinion,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up to 202,914 shares of Common Stock, which is the number of shares of Common Stock subject to outstanding stock awards granted under the Prior Plans, that from and after June 15, 2023, may become available for grant under the Company’s Amended and Restated 2023 Equity Incentive Plan (the “</w:t>
      </w:r>
      <w:r>
        <w:rPr>
          <w:rFonts w:ascii="Arial" w:cs="Arial" w:eastAsia="Arial" w:hAnsi="Arial"/>
          <w:sz w:val="16"/>
          <w:szCs w:val="16"/>
          <w:b w:val="1"/>
          <w:bCs w:val="1"/>
          <w:i w:val="1"/>
          <w:iCs w:val="1"/>
          <w:color w:val="auto"/>
        </w:rPr>
        <w:t>2023 Plan</w:t>
      </w:r>
      <w:r>
        <w:rPr>
          <w:rFonts w:ascii="Arial" w:cs="Arial" w:eastAsia="Arial" w:hAnsi="Arial"/>
          <w:sz w:val="16"/>
          <w:szCs w:val="16"/>
          <w:color w:val="auto"/>
        </w:rPr>
        <w:t>”) as described in the Post-Effective Amendments. Each share of Common Stock includes a preferred share purchase right (each, a “</w:t>
      </w:r>
      <w:r>
        <w:rPr>
          <w:rFonts w:ascii="Arial" w:cs="Arial" w:eastAsia="Arial" w:hAnsi="Arial"/>
          <w:sz w:val="16"/>
          <w:szCs w:val="16"/>
          <w:b w:val="1"/>
          <w:bCs w:val="1"/>
          <w:i w:val="1"/>
          <w:iCs w:val="1"/>
          <w:color w:val="auto"/>
        </w:rPr>
        <w:t>Right</w:t>
      </w:r>
      <w:r>
        <w:rPr>
          <w:rFonts w:ascii="Arial" w:cs="Arial" w:eastAsia="Arial" w:hAnsi="Arial"/>
          <w:sz w:val="16"/>
          <w:szCs w:val="16"/>
          <w:i w:val="1"/>
          <w:iCs w:val="1"/>
          <w:color w:val="auto"/>
        </w:rPr>
        <w:t>,</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Rights</w:t>
      </w:r>
      <w:r>
        <w:rPr>
          <w:rFonts w:ascii="Arial" w:cs="Arial" w:eastAsia="Arial" w:hAnsi="Arial"/>
          <w:sz w:val="16"/>
          <w:szCs w:val="16"/>
          <w:color w:val="auto"/>
        </w:rPr>
        <w:t>”) as set forth in Rights Agreement (the “</w:t>
      </w:r>
      <w:r>
        <w:rPr>
          <w:rFonts w:ascii="Arial" w:cs="Arial" w:eastAsia="Arial" w:hAnsi="Arial"/>
          <w:sz w:val="16"/>
          <w:szCs w:val="16"/>
          <w:b w:val="1"/>
          <w:bCs w:val="1"/>
          <w:i w:val="1"/>
          <w:iCs w:val="1"/>
          <w:color w:val="auto"/>
        </w:rPr>
        <w:t>Rights Plan</w:t>
      </w:r>
      <w:r>
        <w:rPr>
          <w:rFonts w:ascii="Arial" w:cs="Arial" w:eastAsia="Arial" w:hAnsi="Arial"/>
          <w:sz w:val="16"/>
          <w:szCs w:val="16"/>
          <w:color w:val="auto"/>
        </w:rPr>
        <w:t>”), dated as October 10, 2023, between the Company and Computershare Trust Company, N.A., as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w:t>
      </w:r>
    </w:p>
    <w:p>
      <w:pPr>
        <w:spacing w:after="0" w:line="166"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In connection with this opinion, we have examined and relied upon (a) the Prior Registration Statements, the Post-Effective Amendments and related prospectus, (b) the Company’s certificate of incorporation and bylaws, each as currently in effect, (c) the Prior Plan, (d) the 2023 Plan, (e) the Rights Plan, and (f)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respect to our opinion concerning the Rights:</w:t>
      </w:r>
    </w:p>
    <w:p>
      <w:pPr>
        <w:spacing w:after="0" w:line="117" w:lineRule="exact"/>
        <w:rPr>
          <w:sz w:val="20"/>
          <w:szCs w:val="20"/>
          <w:color w:val="auto"/>
        </w:rPr>
      </w:pPr>
    </w:p>
    <w:p>
      <w:pPr>
        <w:ind w:left="4" w:right="80" w:hanging="4"/>
        <w:spacing w:after="0" w:line="263"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opinion does not address the determination a court of competent jurisdiction may make regarding whether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be required to redeem or terminate, or take other action with respect to, the Rights or Rights Plan in the future based on the facts and circumstances then existing.</w:t>
      </w:r>
    </w:p>
    <w:p>
      <w:pPr>
        <w:spacing w:after="0" w:line="183" w:lineRule="exact"/>
        <w:rPr>
          <w:rFonts w:ascii="Arial" w:cs="Arial" w:eastAsia="Arial" w:hAnsi="Arial"/>
          <w:sz w:val="18"/>
          <w:szCs w:val="18"/>
          <w:color w:val="auto"/>
        </w:rPr>
      </w:pPr>
    </w:p>
    <w:p>
      <w:pPr>
        <w:ind w:left="4" w:right="60" w:hanging="4"/>
        <w:spacing w:after="0" w:line="257" w:lineRule="auto"/>
        <w:tabs>
          <w:tab w:leader="none" w:pos="269"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offered in the future under the Registration Statement, our opinion assumes the Rights Plan has not been terminated by the Company or expired by its terms and the Rights have not expired or been redeemed or exchanged by the Company, in each case, prior to the issuance of such Shares.</w:t>
      </w:r>
    </w:p>
    <w:p>
      <w:pPr>
        <w:spacing w:after="0" w:line="187" w:lineRule="exact"/>
        <w:rPr>
          <w:rFonts w:ascii="Arial" w:cs="Arial" w:eastAsia="Arial" w:hAnsi="Arial"/>
          <w:sz w:val="18"/>
          <w:szCs w:val="18"/>
          <w:color w:val="auto"/>
        </w:rPr>
      </w:pPr>
    </w:p>
    <w:p>
      <w:pPr>
        <w:ind w:left="4" w:right="20" w:hanging="4"/>
        <w:spacing w:after="0" w:line="286" w:lineRule="auto"/>
        <w:tabs>
          <w:tab w:leader="none" w:pos="319"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opinion addresses corporate procedures in connection with the issuance of the Rights associated with shares of Common Stock of the Company, and not any particular provision of the Rights or the Rights Plan. It should be understood that it is not settled whether the invalidity of any particular provision of a rights agreement or purchase rights issued thereunder would invalidate such rights in their entirety.</w:t>
      </w:r>
    </w:p>
    <w:p>
      <w:pPr>
        <w:spacing w:after="0" w:line="16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ectPr>
          <w:pgSz w:w="11900" w:h="16838" w:orient="portrait"/>
          <w:cols w:equalWidth="0" w:num="1">
            <w:col w:w="11024"/>
          </w:cols>
          <w:pgMar w:left="436" w:top="121" w:right="4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basis of the foregoing, and in reliance thereon, and subject to the qualifications herein stated, we are of the opinion that the Shares and associated Rights, when sold and issued in accordance with the 2023 Plan, the Post-Effective Amendments and related prospectus, will be validly issued, fully paid, and nonassessable (except as to shares issued pursuant to deferred payment arrangements which will be fully paid and nonassessable when such deferred payments are made in full).</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undertake no obligation or responsibility to update or supplement this letter to reflect any facts or circumstances that may hereafter come to our attention or any changes in law that may hereafter occur.</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consent to the filing of this opinion as an exhibit to the Post-Effective Amendments. In giving such consent, we do not thereby admit that we are in the category of persons whose consent is required under Section 7 of the Securities Act of 1933, as amended, or the rules and regulations of the Commission.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OOLEY</w:t>
      </w:r>
      <w:r>
        <w:rPr>
          <w:rFonts w:ascii="Arial" w:cs="Arial" w:eastAsia="Arial" w:hAnsi="Arial"/>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Laura Berezin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Laura Berezin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Cooley LLP 1700 Seventh Avenue, Suite 1900 Seattle, WA 98101-1355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 (206) 452-8700 f: (206) 452-8800 cooley.com</w:t>
      </w:r>
    </w:p>
    <w:p>
      <w:pPr>
        <w:sectPr>
          <w:pgSz w:w="11900" w:h="16838" w:orient="portrait"/>
          <w:cols w:equalWidth="0" w:num="1">
            <w:col w:w="10980"/>
          </w:cols>
          <w:pgMar w:left="440" w:top="274" w:right="4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(Post-Effective Amendment No. 1 on Form S-8 Nos. 333-265718, 333-264943, 333-255261, 333-249993, and 333-235515) pertaining to the Tempest Therapeutics, Inc. Amended and Restated 2023 Equity Incentive Plan, Tempest Amended and Restated 2019 Equity Incentive Plan, and Millendo 2019 Equity Incentive Plan of our report dated March 22, 2023, with respect to the consolidated financial statements of Tempest Therapeutics, Inc. included in its Annual Report (Form 10-K) for the year ended December 31, 2022, filed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2"/>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0"/>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40" Type="http://schemas.openxmlformats.org/officeDocument/2006/relationships/image" Target="media/image13.png"/><Relationship Id="rId46" Type="http://schemas.openxmlformats.org/officeDocument/2006/relationships/image" Target="media/image14.png"/><Relationship Id="rId47" Type="http://schemas.openxmlformats.org/officeDocument/2006/relationships/image" Target="media/image15.jpeg"/><Relationship Id="rId48" Type="http://schemas.openxmlformats.org/officeDocument/2006/relationships/image" Target="media/image16.png"/><Relationship Id="rId49" Type="http://schemas.openxmlformats.org/officeDocument/2006/relationships/image" Target="media/image17.png"/><Relationship Id="rId19" Type="http://schemas.openxmlformats.org/officeDocument/2006/relationships/hyperlink" Target="http://www.sec.gov/Archives/edgar/data/1544227/000119312522177081/d307046ds8.htm" TargetMode="External"/><Relationship Id="rId20" Type="http://schemas.openxmlformats.org/officeDocument/2006/relationships/hyperlink" Target="http://www.sec.gov/Archives/edgar/data/1544227/000119312522150094/d312473ds8.htm" TargetMode="External"/><Relationship Id="rId21" Type="http://schemas.openxmlformats.org/officeDocument/2006/relationships/hyperlink" Target="http://www.sec.gov/Archives/edgar/data/1544227/000154422721000021/mlnd-202104xsx8.htm" TargetMode="External"/><Relationship Id="rId22" Type="http://schemas.openxmlformats.org/officeDocument/2006/relationships/hyperlink" Target="http://www.sec.gov/Archives/edgar/data/1544227/000154422720000048/mlnd-202011xsx8.htm" TargetMode="External"/><Relationship Id="rId23" Type="http://schemas.openxmlformats.org/officeDocument/2006/relationships/hyperlink" Target="http://www.sec.gov/Archives/edgar/data/1544227/000110465919072796/a19-25226_1s8.htm" TargetMode="External"/><Relationship Id="rId25" Type="http://schemas.openxmlformats.org/officeDocument/2006/relationships/hyperlink" Target="http://www.sec.gov/ix?doc=/Archives/edgar/data/1544227/000095017023009237/tpst-20221231.htm" TargetMode="External"/><Relationship Id="rId26" Type="http://schemas.openxmlformats.org/officeDocument/2006/relationships/hyperlink" Target="http://www.sec.gov/ix?doc=/Archives/edgar/data/1544227/000095017023020579/tpst-20230331.htm" TargetMode="External"/><Relationship Id="rId27" Type="http://schemas.openxmlformats.org/officeDocument/2006/relationships/hyperlink" Target="http://www.sec.gov/ix?doc=/Archives/edgar/data/1544227/000095017023041429/tpst-20230630.htm" TargetMode="External"/><Relationship Id="rId28" Type="http://schemas.openxmlformats.org/officeDocument/2006/relationships/hyperlink" Target="http://www.sec.gov/ix?doc=/Archives/edgar/data/1544227/000095017023061278/tpst-20230930.htm" TargetMode="External"/><Relationship Id="rId29" Type="http://schemas.openxmlformats.org/officeDocument/2006/relationships/hyperlink" Target="http://www.sec.gov/ix?doc=/Archives/edgar/data/0001544227/000119312523088320/d495297d8k.htm" TargetMode="External"/><Relationship Id="rId30" Type="http://schemas.openxmlformats.org/officeDocument/2006/relationships/hyperlink" Target="http://www.sec.gov/ix?doc=/Archives/edgar/data/0001544227/000119312523124510/d479206d8k.htm" TargetMode="External"/><Relationship Id="rId31" Type="http://schemas.openxmlformats.org/officeDocument/2006/relationships/hyperlink" Target="http://www.sec.gov/ix?doc=/Archives/edgar/data/1544227/000119312523169021/d512429d8k.htm" TargetMode="External"/><Relationship Id="rId32" Type="http://schemas.openxmlformats.org/officeDocument/2006/relationships/hyperlink" Target="http://www.sec.gov/ix?doc=/Archives/edgar/data/1544227/000119312523230659/d532461d8k.htm" TargetMode="External"/><Relationship Id="rId33" Type="http://schemas.openxmlformats.org/officeDocument/2006/relationships/hyperlink" Target="http://www.sec.gov/ix?doc=/Archives/edgar/data/1544227/000119312523231557/d532614d8k.htm" TargetMode="External"/><Relationship Id="rId34" Type="http://schemas.openxmlformats.org/officeDocument/2006/relationships/hyperlink" Target="http://www.sec.gov/ix?doc=/Archives/edgar/data/1544227/000119312523253882/d547808d8k.htm" TargetMode="External"/><Relationship Id="rId35" Type="http://schemas.openxmlformats.org/officeDocument/2006/relationships/hyperlink" Target="http://www.sec.gov/ix?doc=/Archives/edgar/data/1544227/000119312523265621/d559172d8k.htm" TargetMode="External"/><Relationship Id="rId36" Type="http://schemas.openxmlformats.org/officeDocument/2006/relationships/hyperlink" Target="http://www.sec.gov/Archives/edgar/data/1544227/000110465913033085/a13-9660_28a12b.htm" TargetMode="External"/><Relationship Id="rId37" Type="http://schemas.openxmlformats.org/officeDocument/2006/relationships/hyperlink" Target="http://www.sec.gov/Archives/edgar/data/1544227/000119312522092417/d328059dex41.htm" TargetMode="External"/><Relationship Id="rId38" Type="http://schemas.openxmlformats.org/officeDocument/2006/relationships/hyperlink" Target="http://www.sec.gov/Archives/edgar/data/1544227/000155837019005038/mlnd-20190331ex31b53fa83.htm" TargetMode="External"/><Relationship Id="rId39" Type="http://schemas.openxmlformats.org/officeDocument/2006/relationships/hyperlink" Target="http://www.sec.gov/Archives/edgar/data/1544227/000119312521201157/d196630dex31.htm" TargetMode="External"/><Relationship Id="rId41" Type="http://schemas.openxmlformats.org/officeDocument/2006/relationships/hyperlink" Target="http://www.sec.gov/Archives/edgar/data/1544227/000119312521201157/d196630dex32.htm" TargetMode="External"/><Relationship Id="rId42" Type="http://schemas.openxmlformats.org/officeDocument/2006/relationships/hyperlink" Target="http://www.sec.gov/Archives/edgar/data/1544227/000119312523253882/d547808dex31.htm" TargetMode="External"/><Relationship Id="rId43" Type="http://schemas.openxmlformats.org/officeDocument/2006/relationships/hyperlink" Target="http://www.sec.gov/Archives/edgar/data/1544227/000119312521281694/d222030dex31.htm" TargetMode="External"/><Relationship Id="rId44" Type="http://schemas.openxmlformats.org/officeDocument/2006/relationships/hyperlink" Target="http://www.sec.gov/Archives/edgar/data/1544227/000095017023041429/tpst-ex10_1.htm" TargetMode="External"/><Relationship Id="rId45" Type="http://schemas.openxmlformats.org/officeDocument/2006/relationships/hyperlink" Target="http://www.sec.gov/Archives/edgar/data/1544227/000095017023041429/tpst-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2023-11-17T15:52:02Z</dcterms:created>
  <dcterms:modified xsi:type="dcterms:W3CDTF">2023-11-17T15:52:02Z</dcterms:modified>
</cp:coreProperties>
</file>