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6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45-1472564</w:t>
            </w:r>
          </w:p>
        </w:tc>
      </w:tr>
      <w:tr>
        <w:trPr>
          <w:trHeight w:val="149"/>
        </w:trPr>
        <w:tc>
          <w:tcPr>
            <w:tcW w:w="366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2000 Sierra Point Parkway, Suite 400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90"/>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March 20, 2026, Tempest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with</w:t>
      </w:r>
    </w:p>
    <w:p>
      <w:pPr>
        <w:spacing w:after="0" w:line="31" w:lineRule="exact"/>
        <w:rPr>
          <w:sz w:val="20"/>
          <w:szCs w:val="20"/>
          <w:color w:val="auto"/>
        </w:rPr>
      </w:pPr>
    </w:p>
    <w:p>
      <w:pPr>
        <w:ind w:left="4" w:right="20" w:hanging="4"/>
        <w:spacing w:after="0" w:line="251"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institutional investors (the “</w:t>
      </w:r>
      <w:r>
        <w:rPr>
          <w:rFonts w:ascii="Times New Roman" w:cs="Times New Roman" w:eastAsia="Times New Roman" w:hAnsi="Times New Roman"/>
          <w:sz w:val="18"/>
          <w:szCs w:val="18"/>
          <w:b w:val="1"/>
          <w:bCs w:val="1"/>
          <w:i w:val="1"/>
          <w:iCs w:val="1"/>
          <w:color w:val="auto"/>
        </w:rPr>
        <w:t>Institutional Investors</w:t>
      </w:r>
      <w:r>
        <w:rPr>
          <w:rFonts w:ascii="Times New Roman" w:cs="Times New Roman" w:eastAsia="Times New Roman" w:hAnsi="Times New Roman"/>
          <w:sz w:val="18"/>
          <w:szCs w:val="18"/>
          <w:color w:val="auto"/>
        </w:rPr>
        <w:t>”) and (b) Factor Bioscience Inc. (the “</w:t>
      </w:r>
      <w:r>
        <w:rPr>
          <w:rFonts w:ascii="Times New Roman" w:cs="Times New Roman" w:eastAsia="Times New Roman" w:hAnsi="Times New Roman"/>
          <w:sz w:val="18"/>
          <w:szCs w:val="18"/>
          <w:b w:val="1"/>
          <w:bCs w:val="1"/>
          <w:i w:val="1"/>
          <w:iCs w:val="1"/>
          <w:color w:val="auto"/>
        </w:rPr>
        <w:t>Strategic Investor</w:t>
      </w:r>
      <w:r>
        <w:rPr>
          <w:rFonts w:ascii="Times New Roman" w:cs="Times New Roman" w:eastAsia="Times New Roman" w:hAnsi="Times New Roman"/>
          <w:sz w:val="18"/>
          <w:szCs w:val="18"/>
          <w:color w:val="auto"/>
        </w:rPr>
        <w:t>” and, together with the Institutional Investors, each, an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together, the “</w:t>
      </w: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 pursuant to which the Company agreed to issue and sell in a private placement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an aggregate of 462,964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$0.001 par value per share (the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and, in lieu of Common Stock, pre-funded warrants to purchase up to 462,963 shares of Common Stock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in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case accompanied by (i) Series A warrants to purchase up to 925,927 shares of Common Stock (the “</w:t>
      </w:r>
      <w:r>
        <w:rPr>
          <w:rFonts w:ascii="Times New Roman" w:cs="Times New Roman" w:eastAsia="Times New Roman" w:hAnsi="Times New Roman"/>
          <w:sz w:val="18"/>
          <w:szCs w:val="18"/>
          <w:b w:val="1"/>
          <w:bCs w:val="1"/>
          <w:i w:val="1"/>
          <w:iCs w:val="1"/>
          <w:color w:val="auto"/>
        </w:rPr>
        <w:t>Series A Warrants</w:t>
      </w:r>
      <w:r>
        <w:rPr>
          <w:rFonts w:ascii="Times New Roman" w:cs="Times New Roman" w:eastAsia="Times New Roman" w:hAnsi="Times New Roman"/>
          <w:sz w:val="18"/>
          <w:szCs w:val="18"/>
          <w:color w:val="auto"/>
        </w:rPr>
        <w:t>”) and (ii) Series B warrants to purchase up to 925,927 shares of Common Stock (the “</w:t>
      </w:r>
      <w:r>
        <w:rPr>
          <w:rFonts w:ascii="Times New Roman" w:cs="Times New Roman" w:eastAsia="Times New Roman" w:hAnsi="Times New Roman"/>
          <w:sz w:val="18"/>
          <w:szCs w:val="18"/>
          <w:b w:val="1"/>
          <w:bCs w:val="1"/>
          <w:i w:val="1"/>
          <w:iCs w:val="1"/>
          <w:color w:val="auto"/>
        </w:rPr>
        <w:t>Series B Warrants</w:t>
      </w:r>
      <w:r>
        <w:rPr>
          <w:rFonts w:ascii="Times New Roman" w:cs="Times New Roman" w:eastAsia="Times New Roman" w:hAnsi="Times New Roman"/>
          <w:sz w:val="18"/>
          <w:szCs w:val="18"/>
          <w:color w:val="auto"/>
        </w:rPr>
        <w:t>” and, together with the Series A Warrants, the “</w:t>
      </w:r>
      <w:r>
        <w:rPr>
          <w:rFonts w:ascii="Times New Roman" w:cs="Times New Roman" w:eastAsia="Times New Roman" w:hAnsi="Times New Roman"/>
          <w:sz w:val="18"/>
          <w:szCs w:val="18"/>
          <w:b w:val="1"/>
          <w:bCs w:val="1"/>
          <w:i w:val="1"/>
          <w:iCs w:val="1"/>
          <w:color w:val="auto"/>
        </w:rPr>
        <w:t>Common Warrants</w:t>
      </w:r>
      <w:r>
        <w:rPr>
          <w:rFonts w:ascii="Times New Roman" w:cs="Times New Roman" w:eastAsia="Times New Roman" w:hAnsi="Times New Roman"/>
          <w:sz w:val="18"/>
          <w:szCs w:val="18"/>
          <w:color w:val="auto"/>
        </w:rPr>
        <w:t>”). The Shares and the Common Warrants are immediately separable and will be issued separately. The combined purchase price per Share and accompanying Common Warrants is $2.16 and the combined purchase price per Pre-Funded Warrant and accompanying Common Warrants is $2.159. The gross proceeds to the Company from the Private Placement are expected to be approximately $2.0 million (excluding up to approximately $4.0 million of aggregate gross proceeds that may be received in the future upon the cash exercise of the Common Warrants), before deducting placement agent fees and other offering expenses payable by the Company.</w:t>
      </w:r>
    </w:p>
    <w:p>
      <w:pPr>
        <w:spacing w:after="0" w:line="192"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The Private Placement is expected to close on or about March 23, 2026, subject to the satisfaction of customary closing conditions. The Company currently plans to use the net proceeds from the Private Placement primarily for working capital and general corporate purposes.</w:t>
      </w:r>
    </w:p>
    <w:p>
      <w:pPr>
        <w:spacing w:after="0" w:line="162"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the Company agreed to seek approval from its stockholders for the issuance of the shares issuable upon exercise of the Common Warrants within 90 days following the date of the Purchase Agreement (the “</w:t>
      </w:r>
      <w:r>
        <w:rPr>
          <w:rFonts w:ascii="Times New Roman" w:cs="Times New Roman" w:eastAsia="Times New Roman" w:hAnsi="Times New Roman"/>
          <w:sz w:val="18"/>
          <w:szCs w:val="18"/>
          <w:b w:val="1"/>
          <w:bCs w:val="1"/>
          <w:i w:val="1"/>
          <w:iCs w:val="1"/>
          <w:color w:val="auto"/>
        </w:rPr>
        <w:t>Stockholder Approval</w:t>
      </w:r>
      <w:r>
        <w:rPr>
          <w:rFonts w:ascii="Times New Roman" w:cs="Times New Roman" w:eastAsia="Times New Roman" w:hAnsi="Times New Roman"/>
          <w:sz w:val="18"/>
          <w:szCs w:val="18"/>
          <w:color w:val="auto"/>
        </w:rPr>
        <w:t>”). The Series A Warrants will become exercisable on the effective date of the Stockholder Approval (the “</w:t>
      </w:r>
      <w:r>
        <w:rPr>
          <w:rFonts w:ascii="Times New Roman" w:cs="Times New Roman" w:eastAsia="Times New Roman" w:hAnsi="Times New Roman"/>
          <w:sz w:val="18"/>
          <w:szCs w:val="18"/>
          <w:b w:val="1"/>
          <w:bCs w:val="1"/>
          <w:i w:val="1"/>
          <w:iCs w:val="1"/>
          <w:color w:val="auto"/>
        </w:rPr>
        <w:t>Stockholder Approval Date</w:t>
      </w:r>
      <w:r>
        <w:rPr>
          <w:rFonts w:ascii="Times New Roman" w:cs="Times New Roman" w:eastAsia="Times New Roman" w:hAnsi="Times New Roman"/>
          <w:sz w:val="18"/>
          <w:szCs w:val="18"/>
          <w:color w:val="auto"/>
        </w:rPr>
        <w:t>”) and have a term of five years from the later of the Stockholder Approval Date and the Effectiveness Date (as defined below). The Series B Warrants will become exercisable on the Stockholder Approval Date and have a term of twenty-four months from the later of the Stockholder Approval Date and the Effectiveness Date. The Common Warrants have an exercise price of $2.16 per share. The Pre-Funded Warrants are exercisable immediately following the closing date of the private placement have an exercise price of $0.001 per share and may be exercised at any time until exercised in full. In addition, pursuant to the Purchase Agreement, the Company has agreed not to sell any shares of Common Stock or any securities convertible into or exercisable or exchangeable into shares of Common Stock, subject to certain customary exceptions, for a period of thirty (30) days after the Effectiveness Date.</w:t>
      </w:r>
    </w:p>
    <w:p>
      <w:pPr>
        <w:spacing w:after="0" w:line="188"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exercise price and the number of shares issuable upon exercise of the Pre-Funded Warrants and the Common Warrants are subject to customary adjustments in the case of stock dividends, stock splits, pro rata distributions, and similar events in respect of the Common Stock. A holder (together with its affiliates) of the Pre-Funded Warrants or Common Warrants, as the case may be, will not be entitled to exercise any portion of any Pre-Funded Warrant or Common Warrant, which, upon giving effect to such exercise would cause the aggregate number of shares of the Company’s Common Stock beneficially owned by the holder (together with its affiliates) to exceed 4.99% (or, upon election of the holder, 9.99%) of the number of shares of the Common Stock outstanding immediately after giving effect to the exercise, subject to such holder’s rights under the Warrants to increase or decrease such percentage to another percentage not in excess of 9.99% upon notice from such holder to the Company (at least 61 days’ prior notice in the case of an increase).</w:t>
      </w:r>
    </w:p>
    <w:p>
      <w:pPr>
        <w:spacing w:after="0" w:line="192"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customary conditions to closing, indemnification obligations of the Company, including for liabilities arising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other obligations of the parties and termination provisions. The representations, warranties and covenants contained in the Purchase Agreement were made only for the purposes of such agreement and as of the specific dates, were solely for the benefit of the parties to such agreement and may be subject to limitations agreed upon by the contracting parties.</w:t>
      </w:r>
    </w:p>
    <w:p>
      <w:pPr>
        <w:sectPr>
          <w:pgSz w:w="11900" w:h="16838" w:orient="portrait"/>
          <w:cols w:equalWidth="0" w:num="1">
            <w:col w:w="10964"/>
          </w:cols>
          <w:pgMar w:left="436" w:top="293" w:right="499" w:bottom="1440" w:gutter="0" w:footer="0" w:header="0"/>
        </w:sectPr>
      </w:pPr>
    </w:p>
    <w:bookmarkStart w:id="2" w:name="page3"/>
    <w:bookmarkEnd w:id="2"/>
    <w:p>
      <w:pPr>
        <w:ind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H.C. Wainwright &amp; Co., LLC (the “</w:t>
      </w:r>
      <w:r>
        <w:rPr>
          <w:rFonts w:ascii="Times New Roman" w:cs="Times New Roman" w:eastAsia="Times New Roman" w:hAnsi="Times New Roman"/>
          <w:sz w:val="18"/>
          <w:szCs w:val="18"/>
          <w:b w:val="1"/>
          <w:bCs w:val="1"/>
          <w:i w:val="1"/>
          <w:iCs w:val="1"/>
          <w:color w:val="auto"/>
        </w:rPr>
        <w:t>Placement Agent</w:t>
      </w:r>
      <w:r>
        <w:rPr>
          <w:rFonts w:ascii="Times New Roman" w:cs="Times New Roman" w:eastAsia="Times New Roman" w:hAnsi="Times New Roman"/>
          <w:sz w:val="18"/>
          <w:szCs w:val="18"/>
          <w:color w:val="auto"/>
        </w:rPr>
        <w:t>”) is serving as the exclusive placement agent for the Company in connection with the Private Placement pursuant to an engagement letter between the Company and the Placement Agent, pursuant to which the Placement Agent agreed to serve on a reasonable best efforts basis in connection with the Private Placement. The Company has agreed to pay the Placement Agent an aggregate cash fee equal to 6.0% of the gross proceeds received in the Private Placement in connection with the aggregate gross proceeds raised by the Institutional Investors and an aggregate cash fee equal to 3.0% of the gross proceeds raised by the Strategic Investor, and for certain expenses incurred by the Placement Agent in connection with the Private Placement.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On March 20, 2026, the Company also entered into a registration rights agreement with the Investors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pursuant to which the Company agreed to file registration statements under the Securities Act,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covering the resale of the Shares to be issued in the Private Placement and the shares of Common Stock underlying the Common Warrants</w:t>
      </w:r>
    </w:p>
    <w:p>
      <w:pPr>
        <w:ind w:right="140"/>
        <w:spacing w:after="0" w:line="255" w:lineRule="auto"/>
        <w:rPr>
          <w:sz w:val="20"/>
          <w:szCs w:val="20"/>
          <w:color w:val="auto"/>
        </w:rPr>
      </w:pPr>
      <w:r>
        <w:rPr>
          <w:rFonts w:ascii="Times New Roman" w:cs="Times New Roman" w:eastAsia="Times New Roman" w:hAnsi="Times New Roman"/>
          <w:sz w:val="18"/>
          <w:szCs w:val="18"/>
          <w:color w:val="auto"/>
        </w:rPr>
        <w:t>and Pre-Funded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 (the “</w:t>
      </w:r>
      <w:r>
        <w:rPr>
          <w:rFonts w:ascii="Times New Roman" w:cs="Times New Roman" w:eastAsia="Times New Roman" w:hAnsi="Times New Roman"/>
          <w:sz w:val="18"/>
          <w:szCs w:val="18"/>
          <w:b w:val="1"/>
          <w:bCs w:val="1"/>
          <w:i w:val="1"/>
          <w:iCs w:val="1"/>
          <w:color w:val="auto"/>
        </w:rPr>
        <w:t>Effectiveness Date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terms and conditions of the Purchase Agreement, Registration Rights Agreement, Pre-Funded Warrants and Common Warrants do not purport to be complete and are each qualified in their entirety by the full text of the form of Purchase Agreement, form of Registration Rights Agreement, form of Pre-Funded Warrants and form of Common Warrant, copies of which are attached hereto as Exhibits 10.1, 10.2 , 4.1 and 4.2 respectively, and incorporated by reference 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Securities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information contained above in Item 1.01 relating to the Private Placement is hereby incorporated by reference into this Item 3.02. Based in part upon the representations of the Investors in the Purchase Agreement, the securities described above are being offered and sold in a private placement under Section 4(a)(2) of the Securities Act and Regulation D promulgated thereunder, and have not been registered under the Securities Act, or applicable state securities laws. Accordingly, such securities may not be offered or sold in the United States except pursuant to an effective registration statement or an applicable exemption from the registration requirement of the Securities Act and such applicable state securities laws.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shares of Common Stock or other securities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7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9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Form of Common Warrant</w:t>
            </w:r>
          </w:p>
        </w:tc>
        <w:tc>
          <w:tcPr>
            <w:tcW w:w="160" w:type="dxa"/>
            <w:vAlign w:val="bottom"/>
            <w:tcBorders>
              <w:top w:val="single" w:sz="8" w:color="0000EE"/>
            </w:tcBorders>
          </w:tcPr>
          <w:p>
            <w:pPr>
              <w:spacing w:after="0"/>
              <w:rPr>
                <w:sz w:val="24"/>
                <w:szCs w:val="24"/>
                <w:color w:val="auto"/>
              </w:rPr>
            </w:pPr>
          </w:p>
        </w:tc>
        <w:tc>
          <w:tcPr>
            <w:tcW w:w="3700" w:type="dxa"/>
            <w:vAlign w:val="bottom"/>
            <w:gridSpan w:val="3"/>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Form of Securities Purchase Agreement</w:t>
            </w:r>
          </w:p>
        </w:tc>
        <w:tc>
          <w:tcPr>
            <w:tcW w:w="2900" w:type="dxa"/>
            <w:vAlign w:val="bottom"/>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7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Form of Registration Rights Agreement</w:t>
            </w:r>
          </w:p>
        </w:tc>
      </w:tr>
      <w:tr>
        <w:trPr>
          <w:trHeight w:val="20"/>
        </w:trPr>
        <w:tc>
          <w:tcPr>
            <w:tcW w:w="146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940"/>
          </w:cols>
          <w:pgMar w:left="440" w:top="293" w:right="51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spacing w:after="0"/>
        <w:tabs>
          <w:tab w:leader="none" w:pos="5600" w:val="left"/>
          <w:tab w:leader="none" w:pos="6220" w:val="left"/>
        </w:tabs>
        <w:rPr>
          <w:sz w:val="20"/>
          <w:szCs w:val="20"/>
          <w:color w:val="auto"/>
        </w:rPr>
      </w:pPr>
      <w:r>
        <w:rPr>
          <w:rFonts w:ascii="Times New Roman" w:cs="Times New Roman" w:eastAsia="Times New Roman" w:hAnsi="Times New Roman"/>
          <w:sz w:val="18"/>
          <w:szCs w:val="18"/>
          <w:color w:val="auto"/>
        </w:rPr>
        <w:t>Date: March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17145</wp:posOffset>
            </wp:positionV>
            <wp:extent cx="30346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 and Head of Corporate Strategy</w:t>
      </w:r>
    </w:p>
    <w:p>
      <w:pPr>
        <w:sectPr>
          <w:pgSz w:w="11900" w:h="16838" w:orient="portrait"/>
          <w:cols w:equalWidth="0" w:num="1">
            <w:col w:w="10260"/>
          </w:cols>
          <w:pgMar w:left="440" w:top="293" w:right="1199" w:bottom="1440" w:gutter="0" w:footer="0" w:header="0"/>
        </w:sectPr>
      </w:pPr>
    </w:p>
    <w:bookmarkStart w:id="4" w:name="page5"/>
    <w:bookmarkEnd w:id="4"/>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March 23, 2026</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w:t>
      </w:r>
    </w:p>
    <w:p>
      <w:pPr>
        <w:spacing w:after="0" w:line="2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its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7"/>
          <w:szCs w:val="17"/>
          <w:u w:val="single" w:color="auto"/>
          <w:color w:val="auto"/>
        </w:rPr>
        <w:t>Original Issuance Date</w:t>
      </w:r>
      <w:r>
        <w:rPr>
          <w:rFonts w:ascii="Times New Roman" w:cs="Times New Roman" w:eastAsia="Times New Roman" w:hAnsi="Times New Roman"/>
          <w:sz w:val="17"/>
          <w:szCs w:val="17"/>
          <w:color w:val="auto"/>
        </w:rPr>
        <w:t>”) and until this Warrant is exercised in full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Tempest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 hereunder, the</w:t>
      </w:r>
    </w:p>
    <w:p>
      <w:pPr>
        <w:ind w:right="60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 Stock.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March 20, 2026, among the Company and the purchasers signatory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40" w:firstLine="419"/>
        <w:spacing w:after="0" w:line="257" w:lineRule="auto"/>
        <w:tabs>
          <w:tab w:leader="none" w:pos="10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w:t>
      </w:r>
      <w:r>
        <w:rPr>
          <w:rFonts w:ascii="Times New Roman" w:cs="Times New Roman" w:eastAsia="Times New Roman" w:hAnsi="Times New Roman"/>
          <w:sz w:val="18"/>
          <w:szCs w:val="18"/>
          <w:u w:val="single" w:color="auto"/>
          <w:color w:val="auto"/>
        </w:rPr>
        <w:t>Original Issuance</w:t>
      </w:r>
      <w:r>
        <w:rPr>
          <w:rFonts w:ascii="Times New Roman" w:cs="Times New Roman" w:eastAsia="Times New Roman" w:hAnsi="Times New Roman"/>
          <w:sz w:val="18"/>
          <w:szCs w:val="18"/>
          <w:color w:val="auto"/>
        </w:rPr>
        <w:t xml:space="preserv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w:t>
      </w:r>
    </w:p>
    <w:p>
      <w:pPr>
        <w:spacing w:after="0" w:line="1" w:lineRule="exact"/>
        <w:rPr>
          <w:rFonts w:ascii="Times New Roman" w:cs="Times New Roman" w:eastAsia="Times New Roman" w:hAnsi="Times New Roman"/>
          <w:sz w:val="18"/>
          <w:szCs w:val="18"/>
          <w:color w:val="auto"/>
        </w:rPr>
      </w:pPr>
    </w:p>
    <w:p>
      <w:pPr>
        <w:ind w:left="44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and (ii) the number of Trading Days comprising the Standard Settlement Period (as defined in Section 2(d)(i) herein) following the date of exercise as aforesaid, the Holder shall deliver the aggregate Exercise Price for the Warrant Shares</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5" w:name="page6"/>
    <w:bookmarkEnd w:id="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9" w:lineRule="exact"/>
        <w:rPr>
          <w:sz w:val="20"/>
          <w:szCs w:val="20"/>
          <w:color w:val="auto"/>
        </w:rPr>
      </w:pPr>
    </w:p>
    <w:p>
      <w:pPr>
        <w:ind w:right="160" w:firstLine="419"/>
        <w:spacing w:after="0" w:line="256" w:lineRule="auto"/>
        <w:tabs>
          <w:tab w:leader="none" w:pos="6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aggregate exercise price of this Warrant, except for a nominal exercise price of $0.001 per Warrant Share, was pre-funded to the Company on or prior to the </w:t>
      </w:r>
      <w:r>
        <w:rPr>
          <w:rFonts w:ascii="Times New Roman" w:cs="Times New Roman" w:eastAsia="Times New Roman" w:hAnsi="Times New Roman"/>
          <w:sz w:val="18"/>
          <w:szCs w:val="18"/>
          <w:u w:val="single" w:color="auto"/>
          <w:color w:val="auto"/>
        </w:rPr>
        <w:t>Original Issuance</w:t>
      </w:r>
      <w:r>
        <w:rPr>
          <w:rFonts w:ascii="Times New Roman" w:cs="Times New Roman" w:eastAsia="Times New Roman" w:hAnsi="Times New Roman"/>
          <w:sz w:val="18"/>
          <w:szCs w:val="18"/>
          <w:color w:val="auto"/>
        </w:rPr>
        <w:t xml:space="preserv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180" w:firstLine="419"/>
        <w:spacing w:after="0" w:line="282" w:lineRule="auto"/>
        <w:tabs>
          <w:tab w:leader="none" w:pos="6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67" w:lineRule="exact"/>
        <w:rPr>
          <w:rFonts w:ascii="Times New Roman" w:cs="Times New Roman" w:eastAsia="Times New Roman" w:hAnsi="Times New Roman"/>
          <w:sz w:val="18"/>
          <w:szCs w:val="18"/>
          <w:color w:val="auto"/>
        </w:rPr>
      </w:pPr>
    </w:p>
    <w:p>
      <w:pPr>
        <w:ind w:left="960" w:hanging="504"/>
        <w:spacing w:after="0" w:line="256" w:lineRule="auto"/>
        <w:tabs>
          <w:tab w:leader="none" w:pos="75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20"/>
          </w:cols>
          <w:pgMar w:left="880" w:top="270" w:right="499" w:bottom="1440" w:gutter="0" w:footer="0" w:header="0"/>
        </w:sectPr>
      </w:pPr>
    </w:p>
    <w:bookmarkStart w:id="6" w:name="page7"/>
    <w:bookmarkEnd w:id="6"/>
    <w:p>
      <w:pPr>
        <w:ind w:left="960"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pacing w:after="0" w:line="117" w:lineRule="exact"/>
        <w:rPr>
          <w:sz w:val="20"/>
          <w:szCs w:val="20"/>
          <w:color w:val="auto"/>
        </w:rPr>
      </w:pPr>
    </w:p>
    <w:p>
      <w:pPr>
        <w:ind w:left="960" w:right="240" w:hanging="504"/>
        <w:spacing w:after="0" w:line="282" w:lineRule="auto"/>
        <w:tabs>
          <w:tab w:leader="none" w:pos="7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right="6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7" w:name="page8"/>
    <w:bookmarkEnd w:id="7"/>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Warrant Shares are issued in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68" w:lineRule="exact"/>
        <w:rPr>
          <w:sz w:val="20"/>
          <w:szCs w:val="20"/>
          <w:color w:val="auto"/>
        </w:rPr>
      </w:pPr>
    </w:p>
    <w:p>
      <w:pPr>
        <w:ind w:left="620" w:hanging="201"/>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20" w:hanging="149"/>
        <w:spacing w:after="0"/>
        <w:tabs>
          <w:tab w:leader="none" w:pos="15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98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after the Warrant Share Delivery Date) for each Trading Day after such Warrant Share Delivery Date until such Warrant Shares are delivered or Holder rescinds such exercise. The Company agrees to</w:t>
      </w:r>
    </w:p>
    <w:p>
      <w:pPr>
        <w:spacing w:after="0" w:line="14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8" w:name="page9"/>
    <w:bookmarkEnd w:id="8"/>
    <w:p>
      <w:pPr>
        <w:ind w:left="420"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maintain a transfer agent that is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w:t>
      </w:r>
    </w:p>
    <w:p>
      <w:pPr>
        <w:spacing w:after="0" w:line="50" w:lineRule="exact"/>
        <w:rPr>
          <w:sz w:val="20"/>
          <w:szCs w:val="20"/>
          <w:color w:val="auto"/>
        </w:rPr>
      </w:pPr>
    </w:p>
    <w:p>
      <w:pPr>
        <w:ind w:left="420" w:firstLine="391"/>
        <w:spacing w:after="0" w:line="261" w:lineRule="auto"/>
        <w:tabs>
          <w:tab w:leader="none" w:pos="9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ind w:left="420" w:firstLine="391"/>
        <w:spacing w:after="0" w:line="282" w:lineRule="auto"/>
        <w:tabs>
          <w:tab w:leader="none" w:pos="10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420" w:right="40" w:firstLine="391"/>
        <w:spacing w:after="0" w:line="252" w:lineRule="auto"/>
        <w:tabs>
          <w:tab w:leader="none" w:pos="10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w:t>
      </w:r>
    </w:p>
    <w:p>
      <w:pPr>
        <w:spacing w:after="0" w:line="1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40" w:top="270" w:right="459" w:bottom="1440" w:gutter="0" w:footer="0" w:header="0"/>
        </w:sectPr>
      </w:pPr>
    </w:p>
    <w:bookmarkStart w:id="9" w:name="page10"/>
    <w:bookmarkEnd w:id="9"/>
    <w:p>
      <w:pPr>
        <w:ind w:left="9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75" w:lineRule="exact"/>
        <w:rPr>
          <w:sz w:val="20"/>
          <w:szCs w:val="20"/>
          <w:color w:val="auto"/>
        </w:rPr>
      </w:pPr>
    </w:p>
    <w:p>
      <w:pPr>
        <w:ind w:left="980" w:firstLine="383"/>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980" w:right="20" w:firstLine="391"/>
        <w:spacing w:after="0" w:line="254" w:lineRule="auto"/>
        <w:tabs>
          <w:tab w:leader="none" w:pos="15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980" w:right="200" w:firstLine="391"/>
        <w:spacing w:after="0" w:line="282" w:lineRule="auto"/>
        <w:tabs>
          <w:tab w:leader="none" w:pos="164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firstLine="419"/>
        <w:spacing w:after="0" w:line="256" w:lineRule="auto"/>
        <w:tabs>
          <w:tab w:leader="none" w:pos="6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Common Stock would or could be aggregated with the Holder’s for the purposes of Section 13(d) of the Exchange Act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0" w:name="page11"/>
    <w:bookmarkEnd w:id="10"/>
    <w:p>
      <w:pPr>
        <w:ind w:left="4"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spacing w:after="0" w:line="3" w:lineRule="exact"/>
        <w:rPr>
          <w:sz w:val="20"/>
          <w:szCs w:val="20"/>
          <w:color w:val="auto"/>
        </w:rPr>
      </w:pPr>
    </w:p>
    <w:p>
      <w:pPr>
        <w:ind w:left="4" w:hanging="4"/>
        <w:spacing w:after="0" w:line="250" w:lineRule="auto"/>
        <w:tabs>
          <w:tab w:leader="none" w:pos="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w:t>
      </w:r>
    </w:p>
    <w:p>
      <w:pPr>
        <w:spacing w:after="0" w:line="14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4"/>
          </w:cols>
          <w:pgMar w:left="876" w:top="270" w:right="479" w:bottom="1440" w:gutter="0" w:footer="0" w:header="0"/>
        </w:sectPr>
      </w:pPr>
    </w:p>
    <w:bookmarkStart w:id="11" w:name="page12"/>
    <w:bookmarkEnd w:id="11"/>
    <w:p>
      <w:pPr>
        <w:spacing w:after="0" w:line="24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 Limitation</w:t>
      </w:r>
      <w:r>
        <w:rPr>
          <w:rFonts w:ascii="Times New Roman" w:cs="Times New Roman" w:eastAsia="Times New Roman" w:hAnsi="Times New Roman"/>
          <w:sz w:val="18"/>
          <w:szCs w:val="18"/>
          <w:color w:val="auto"/>
        </w:rPr>
        <w:t>” shall be [9.99%/4.99%]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Except as otherwise set forth herein, if the Warrant is unexercisable as a result of the Beneficial Ownership Limitation, no alternate consideration is owing to the Holder.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9" w:lineRule="auto"/>
        <w:tabs>
          <w:tab w:leader="none" w:pos="6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3" w:lineRule="exact"/>
        <w:rPr>
          <w:rFonts w:ascii="Times New Roman" w:cs="Times New Roman" w:eastAsia="Times New Roman" w:hAnsi="Times New Roman"/>
          <w:sz w:val="17"/>
          <w:szCs w:val="17"/>
          <w:color w:val="auto"/>
        </w:rPr>
      </w:pPr>
    </w:p>
    <w:p>
      <w:pPr>
        <w:jc w:val="both"/>
        <w:ind w:right="100" w:firstLine="419"/>
        <w:spacing w:after="0" w:line="261" w:lineRule="auto"/>
        <w:tabs>
          <w:tab w:leader="none" w:pos="6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84" w:lineRule="exact"/>
        <w:rPr>
          <w:sz w:val="20"/>
          <w:szCs w:val="20"/>
          <w:color w:val="auto"/>
        </w:rPr>
      </w:pPr>
    </w:p>
    <w:p>
      <w:pPr>
        <w:ind w:firstLine="419"/>
        <w:spacing w:after="0" w:line="253" w:lineRule="auto"/>
        <w:tabs>
          <w:tab w:leader="none" w:pos="6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and except as covered by Section 3(d)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79" w:lineRule="exact"/>
        <w:rPr>
          <w:rFonts w:ascii="Times New Roman" w:cs="Times New Roman" w:eastAsia="Times New Roman" w:hAnsi="Times New Roman"/>
          <w:sz w:val="18"/>
          <w:szCs w:val="18"/>
          <w:color w:val="auto"/>
        </w:rPr>
      </w:pPr>
    </w:p>
    <w:p>
      <w:pPr>
        <w:ind w:right="40" w:firstLine="419"/>
        <w:spacing w:after="0" w:line="255" w:lineRule="auto"/>
        <w:tabs>
          <w:tab w:leader="none" w:pos="6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13" w:name="page14"/>
    <w:bookmarkEnd w:id="1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securities, cash or property and has been accepted by the holders of greater than 50% of the outstanding Common Stock or greater than 50% of the voting power of the common equity of the Company, (iv)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above,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(except for any such transaction in which the stockholders of the Company immediately prior to such transaction maintain, in substantially the same proportions, the voting power of such Person immediately after the transaction),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w:t>
      </w:r>
      <w:r>
        <w:rPr>
          <w:rFonts w:ascii="Times New Roman" w:cs="Times New Roman" w:eastAsia="Times New Roman" w:hAnsi="Times New Roman"/>
          <w:sz w:val="18"/>
          <w:szCs w:val="18"/>
          <w:u w:val="single" w:color="auto"/>
          <w:color w:val="auto"/>
        </w:rPr>
        <w:t>Original Issuance</w:t>
      </w:r>
      <w:r>
        <w:rPr>
          <w:rFonts w:ascii="Times New Roman" w:cs="Times New Roman" w:eastAsia="Times New Roman" w:hAnsi="Times New Roman"/>
          <w:sz w:val="18"/>
          <w:szCs w:val="18"/>
          <w:color w:val="auto"/>
        </w:rPr>
        <w:t xml:space="preserve"> Date.</w:t>
      </w:r>
    </w:p>
    <w:p>
      <w:pPr>
        <w:spacing w:after="0" w:line="79" w:lineRule="exact"/>
        <w:rPr>
          <w:sz w:val="20"/>
          <w:szCs w:val="20"/>
          <w:color w:val="auto"/>
        </w:rPr>
      </w:pPr>
    </w:p>
    <w:p>
      <w:pPr>
        <w:ind w:right="60" w:firstLine="419"/>
        <w:spacing w:after="0" w:line="266" w:lineRule="auto"/>
        <w:tabs>
          <w:tab w:leader="none" w:pos="6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66" w:lineRule="auto"/>
        <w:tabs>
          <w:tab w:leader="none" w:pos="10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67" w:lineRule="exact"/>
        <w:rPr>
          <w:rFonts w:ascii="Times New Roman" w:cs="Times New Roman" w:eastAsia="Times New Roman" w:hAnsi="Times New Roman"/>
          <w:sz w:val="18"/>
          <w:szCs w:val="18"/>
          <w:color w:val="auto"/>
        </w:rPr>
      </w:pPr>
    </w:p>
    <w:p>
      <w:pPr>
        <w:ind w:left="540" w:right="20" w:firstLine="408"/>
        <w:spacing w:after="0" w:line="258" w:lineRule="auto"/>
        <w:tabs>
          <w:tab w:leader="none" w:pos="11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5" w:name="page16"/>
    <w:bookmarkEnd w:id="15"/>
    <w:p>
      <w:pPr>
        <w:ind w:left="54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6" w:name="page17"/>
    <w:bookmarkEnd w:id="16"/>
    <w:p>
      <w:pPr>
        <w:ind w:right="20" w:firstLine="419"/>
        <w:spacing w:after="0" w:line="256" w:lineRule="auto"/>
        <w:tabs>
          <w:tab w:leader="none" w:pos="6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firstLine="419"/>
        <w:spacing w:after="0" w:line="261" w:lineRule="auto"/>
        <w:tabs>
          <w:tab w:leader="none" w:pos="6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71" w:lineRule="exact"/>
        <w:rPr>
          <w:rFonts w:ascii="Times New Roman" w:cs="Times New Roman" w:eastAsia="Times New Roman" w:hAnsi="Times New Roman"/>
          <w:sz w:val="18"/>
          <w:szCs w:val="18"/>
          <w:color w:val="auto"/>
        </w:rPr>
      </w:pPr>
    </w:p>
    <w:p>
      <w:pPr>
        <w:ind w:right="60" w:firstLine="419"/>
        <w:spacing w:after="0" w:line="258" w:lineRule="auto"/>
        <w:tabs>
          <w:tab w:leader="none" w:pos="6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75" w:lineRule="exact"/>
        <w:rPr>
          <w:rFonts w:ascii="Times New Roman" w:cs="Times New Roman" w:eastAsia="Times New Roman" w:hAnsi="Times New Roman"/>
          <w:sz w:val="18"/>
          <w:szCs w:val="18"/>
          <w:color w:val="auto"/>
        </w:rPr>
      </w:pPr>
    </w:p>
    <w:p>
      <w:pPr>
        <w:ind w:right="120" w:firstLine="419"/>
        <w:spacing w:after="0" w:line="261" w:lineRule="auto"/>
        <w:tabs>
          <w:tab w:leader="none" w:pos="6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58" w:lineRule="auto"/>
        <w:tabs>
          <w:tab w:leader="none" w:pos="6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70" w:right="479" w:bottom="1440" w:gutter="0" w:footer="0" w:header="0"/>
        </w:sectPr>
      </w:pPr>
    </w:p>
    <w:bookmarkStart w:id="17" w:name="page18"/>
    <w:bookmarkEnd w:id="17"/>
    <w:p>
      <w:pPr>
        <w:ind w:right="160" w:firstLine="419"/>
        <w:spacing w:after="0" w:line="258" w:lineRule="auto"/>
        <w:tabs>
          <w:tab w:leader="none" w:pos="6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340" w:firstLine="419"/>
        <w:spacing w:after="0" w:line="312" w:lineRule="auto"/>
        <w:tabs>
          <w:tab w:leader="none" w:pos="60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firstLine="401"/>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540" w:firstLine="401"/>
        <w:spacing w:after="0" w:line="256"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18" w:name="page19"/>
    <w:bookmarkEnd w:id="18"/>
    <w:p>
      <w:pPr>
        <w:ind w:left="540" w:right="1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w:t>
      </w:r>
    </w:p>
    <w:p>
      <w:pPr>
        <w:spacing w:after="0" w:line="3" w:lineRule="exact"/>
        <w:rPr>
          <w:sz w:val="20"/>
          <w:szCs w:val="20"/>
          <w:color w:val="auto"/>
        </w:rPr>
      </w:pPr>
    </w:p>
    <w:p>
      <w:pPr>
        <w:ind w:left="540" w:right="60" w:firstLine="7"/>
        <w:spacing w:after="0" w:line="260" w:lineRule="auto"/>
        <w:tabs>
          <w:tab w:leader="none" w:pos="8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obtain all such authorizations, exemptions or consents from any public regulatory body having jurisdiction thereof, as may be, necessary to enable the Company to perform its obligations under this Warrant.</w:t>
      </w:r>
    </w:p>
    <w:p>
      <w:pPr>
        <w:spacing w:after="0" w:line="73" w:lineRule="exact"/>
        <w:rPr>
          <w:sz w:val="20"/>
          <w:szCs w:val="20"/>
          <w:color w:val="auto"/>
        </w:rPr>
      </w:pPr>
    </w:p>
    <w:p>
      <w:pPr>
        <w:jc w:val="both"/>
        <w:ind w:left="540" w:right="4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340" w:firstLine="419"/>
        <w:spacing w:after="0" w:line="282" w:lineRule="auto"/>
        <w:tabs>
          <w:tab w:leader="none" w:pos="6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right="480" w:firstLine="419"/>
        <w:spacing w:after="0" w:line="282" w:lineRule="auto"/>
        <w:tabs>
          <w:tab w:leader="none" w:pos="5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firstLine="419"/>
        <w:spacing w:after="0" w:line="256" w:lineRule="auto"/>
        <w:tabs>
          <w:tab w:leader="none" w:pos="6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79" w:lineRule="exact"/>
        <w:rPr>
          <w:rFonts w:ascii="Times New Roman" w:cs="Times New Roman" w:eastAsia="Times New Roman" w:hAnsi="Times New Roman"/>
          <w:sz w:val="18"/>
          <w:szCs w:val="18"/>
          <w:color w:val="auto"/>
        </w:rPr>
      </w:pPr>
    </w:p>
    <w:p>
      <w:pPr>
        <w:ind w:right="380" w:firstLine="419"/>
        <w:spacing w:after="0" w:line="282" w:lineRule="auto"/>
        <w:tabs>
          <w:tab w:leader="none" w:pos="6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9" w:name="page20"/>
    <w:bookmarkEnd w:id="19"/>
    <w:p>
      <w:pPr>
        <w:ind w:firstLine="419"/>
        <w:spacing w:after="0" w:line="261" w:lineRule="auto"/>
        <w:tabs>
          <w:tab w:leader="none" w:pos="5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right="80" w:firstLine="419"/>
        <w:spacing w:after="0" w:line="282" w:lineRule="auto"/>
        <w:tabs>
          <w:tab w:leader="none" w:pos="5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0" w:name="page21"/>
    <w:bookmarkEnd w:id="2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TEMPEST THERAPEUTICS, INC.</w:t>
      </w:r>
    </w:p>
    <w:p>
      <w:pPr>
        <w:spacing w:after="0" w:line="121" w:lineRule="exact"/>
        <w:rPr>
          <w:sz w:val="20"/>
          <w:szCs w:val="20"/>
          <w:color w:val="auto"/>
        </w:rPr>
      </w:pPr>
    </w:p>
    <w:p>
      <w:pPr>
        <w:ind w:right="260" w:firstLine="987"/>
        <w:spacing w:after="0" w:line="282"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00" w:type="dxa"/>
            <w:vAlign w:val="bottom"/>
          </w:tcPr>
          <w:p>
            <w:pPr>
              <w:spacing w:after="0"/>
              <w:rPr>
                <w:sz w:val="20"/>
                <w:szCs w:val="20"/>
                <w:color w:val="auto"/>
              </w:rPr>
            </w:pPr>
          </w:p>
        </w:tc>
        <w:tc>
          <w:tcPr>
            <w:tcW w:w="892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in lawful money of the United States; or</w:t>
            </w:r>
          </w:p>
        </w:tc>
      </w:tr>
      <w:tr>
        <w:trPr>
          <w:trHeight w:val="306"/>
        </w:trPr>
        <w:tc>
          <w:tcPr>
            <w:tcW w:w="14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00" w:type="dxa"/>
            <w:vAlign w:val="bottom"/>
          </w:tcPr>
          <w:p>
            <w:pPr>
              <w:spacing w:after="0"/>
              <w:rPr>
                <w:sz w:val="24"/>
                <w:szCs w:val="24"/>
                <w:color w:val="auto"/>
              </w:rPr>
            </w:pPr>
          </w:p>
        </w:tc>
        <w:tc>
          <w:tcPr>
            <w:tcW w:w="892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w w:val="99"/>
              </w:rPr>
              <w:t>] if permitted the cancellation of such number of Warrant Shares as is necessary, in accordance with the formula set forth in</w:t>
            </w:r>
          </w:p>
        </w:tc>
      </w:tr>
      <w:tr>
        <w:trPr>
          <w:trHeight w:val="216"/>
        </w:trPr>
        <w:tc>
          <w:tcPr>
            <w:tcW w:w="1420" w:type="dxa"/>
            <w:vAlign w:val="bottom"/>
          </w:tcPr>
          <w:p>
            <w:pPr>
              <w:spacing w:after="0"/>
              <w:rPr>
                <w:sz w:val="18"/>
                <w:szCs w:val="18"/>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subsection 2(c), to exercise this Warrant with respect to the maximum number of Warrant Shares purchasable pursuant to the</w:t>
            </w:r>
          </w:p>
        </w:tc>
      </w:tr>
      <w:tr>
        <w:trPr>
          <w:trHeight w:val="234"/>
        </w:trPr>
        <w:tc>
          <w:tcPr>
            <w:tcW w:w="1420" w:type="dxa"/>
            <w:vAlign w:val="bottom"/>
          </w:tcPr>
          <w:p>
            <w:pPr>
              <w:spacing w:after="0"/>
              <w:rPr>
                <w:sz w:val="20"/>
                <w:szCs w:val="20"/>
                <w:color w:val="auto"/>
              </w:rPr>
            </w:pP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cashless exercise procedure set forth in subsection 2(c).</w:t>
            </w:r>
          </w:p>
        </w:tc>
      </w:tr>
      <w:tr>
        <w:trPr>
          <w:trHeight w:val="414"/>
        </w:trPr>
        <w:tc>
          <w:tcPr>
            <w:tcW w:w="10600" w:type="dxa"/>
            <w:vAlign w:val="bottom"/>
            <w:gridSpan w:val="11"/>
          </w:tcPr>
          <w:p>
            <w:pPr>
              <w:ind w:left="980"/>
              <w:spacing w:after="0"/>
              <w:rPr>
                <w:sz w:val="20"/>
                <w:szCs w:val="20"/>
                <w:color w:val="auto"/>
              </w:rPr>
            </w:pPr>
            <w:r>
              <w:rPr>
                <w:rFonts w:ascii="Times New Roman" w:cs="Times New Roman" w:eastAsia="Times New Roman" w:hAnsi="Times New Roman"/>
                <w:sz w:val="18"/>
                <w:szCs w:val="18"/>
                <w:color w:val="auto"/>
              </w:rPr>
              <w:t>(3) Please issue said Warrant Shares in the name of the undersigned or in such other name as is specified below:</w:t>
            </w:r>
          </w:p>
        </w:tc>
      </w:tr>
      <w:tr>
        <w:trPr>
          <w:trHeight w:val="194"/>
        </w:trPr>
        <w:tc>
          <w:tcPr>
            <w:tcW w:w="1420" w:type="dxa"/>
            <w:vAlign w:val="bottom"/>
          </w:tcPr>
          <w:p>
            <w:pPr>
              <w:spacing w:after="0"/>
              <w:rPr>
                <w:sz w:val="16"/>
                <w:szCs w:val="16"/>
                <w:color w:val="auto"/>
              </w:rPr>
            </w:pPr>
          </w:p>
        </w:tc>
        <w:tc>
          <w:tcPr>
            <w:tcW w:w="1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7200" w:type="dxa"/>
            <w:vAlign w:val="bottom"/>
          </w:tcPr>
          <w:p>
            <w:pPr>
              <w:spacing w:after="0"/>
              <w:rPr>
                <w:sz w:val="16"/>
                <w:szCs w:val="16"/>
                <w:color w:val="auto"/>
              </w:rPr>
            </w:pPr>
          </w:p>
        </w:tc>
      </w:tr>
      <w:tr>
        <w:trPr>
          <w:trHeight w:val="434"/>
        </w:trPr>
        <w:tc>
          <w:tcPr>
            <w:tcW w:w="106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tc>
      </w:tr>
      <w:tr>
        <w:trPr>
          <w:trHeight w:val="194"/>
        </w:trPr>
        <w:tc>
          <w:tcPr>
            <w:tcW w:w="1420" w:type="dxa"/>
            <w:vAlign w:val="bottom"/>
          </w:tcPr>
          <w:p>
            <w:pPr>
              <w:spacing w:after="0"/>
              <w:rPr>
                <w:sz w:val="16"/>
                <w:szCs w:val="16"/>
                <w:color w:val="auto"/>
              </w:rPr>
            </w:pPr>
          </w:p>
        </w:tc>
        <w:tc>
          <w:tcPr>
            <w:tcW w:w="1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w w:val="88"/>
              </w:rPr>
              <w:t> </w:t>
            </w:r>
          </w:p>
        </w:tc>
        <w:tc>
          <w:tcPr>
            <w:tcW w:w="7200" w:type="dxa"/>
            <w:vAlign w:val="bottom"/>
          </w:tcPr>
          <w:p>
            <w:pPr>
              <w:spacing w:after="0"/>
              <w:rPr>
                <w:sz w:val="16"/>
                <w:szCs w:val="16"/>
                <w:color w:val="auto"/>
              </w:rPr>
            </w:pPr>
          </w:p>
        </w:tc>
      </w:tr>
      <w:tr>
        <w:trPr>
          <w:trHeight w:val="425"/>
        </w:trPr>
        <w:tc>
          <w:tcPr>
            <w:tcW w:w="142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7200" w:type="dxa"/>
            <w:vAlign w:val="bottom"/>
          </w:tcPr>
          <w:p>
            <w:pPr>
              <w:spacing w:after="0"/>
              <w:rPr>
                <w:sz w:val="24"/>
                <w:szCs w:val="24"/>
                <w:color w:val="auto"/>
              </w:rPr>
            </w:pPr>
          </w:p>
        </w:tc>
      </w:tr>
      <w:tr>
        <w:trPr>
          <w:trHeight w:val="426"/>
        </w:trPr>
        <w:tc>
          <w:tcPr>
            <w:tcW w:w="142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7200" w:type="dxa"/>
            <w:vAlign w:val="bottom"/>
          </w:tcPr>
          <w:p>
            <w:pPr>
              <w:spacing w:after="0"/>
              <w:rPr>
                <w:sz w:val="24"/>
                <w:szCs w:val="24"/>
                <w:color w:val="auto"/>
              </w:rPr>
            </w:pPr>
          </w:p>
        </w:tc>
      </w:tr>
    </w:tbl>
    <w:p>
      <w:pPr>
        <w:spacing w:after="0" w:line="225" w:lineRule="exact"/>
        <w:rPr>
          <w:sz w:val="20"/>
          <w:szCs w:val="20"/>
          <w:color w:val="auto"/>
        </w:rPr>
      </w:pPr>
    </w:p>
    <w:p>
      <w:pPr>
        <w:ind w:firstLine="987"/>
        <w:spacing w:after="0" w:line="266"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18415</wp:posOffset>
            </wp:positionV>
            <wp:extent cx="34201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115"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-7620</wp:posOffset>
            </wp:positionV>
            <wp:extent cx="11430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-7620</wp:posOffset>
            </wp:positionV>
            <wp:extent cx="11995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99515" cy="8890"/>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23" w:name="page24"/>
    <w:bookmarkEnd w:id="23"/>
    <w:p>
      <w:pPr>
        <w:ind w:left="1018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[B] COMMON STOCK PURCHASE WARRANT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March 23, 2026</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SERIES [A] [B]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w:t>
      </w:r>
    </w:p>
    <w:p>
      <w:pPr>
        <w:spacing w:after="0" w:line="2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Stockholder Approval Date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the date that is the [five (5) year] / [twenty-four (24) month] anniversary of the date that is the later of the (i) Stockholder Approval Date and (ii) the Effectiveness Date (the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but not thereafter, to subscribe for and purchase from Tempest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 Stock.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March 20, 2026, among the Company and the purchasers signatory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8" w:lineRule="auto"/>
        <w:tabs>
          <w:tab w:leader="none" w:pos="10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24" w:name="page25"/>
    <w:bookmarkEnd w:id="24"/>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9" w:lineRule="exact"/>
        <w:rPr>
          <w:sz w:val="20"/>
          <w:szCs w:val="20"/>
          <w:color w:val="auto"/>
        </w:rPr>
      </w:pPr>
    </w:p>
    <w:p>
      <w:pPr>
        <w:ind w:right="320" w:firstLine="419"/>
        <w:spacing w:after="0" w:line="282" w:lineRule="auto"/>
        <w:tabs>
          <w:tab w:leader="none" w:pos="6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$2.16,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right="140" w:firstLine="419"/>
        <w:spacing w:after="0" w:line="261" w:lineRule="auto"/>
        <w:tabs>
          <w:tab w:leader="none" w:pos="6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85" w:lineRule="exact"/>
        <w:rPr>
          <w:rFonts w:ascii="Times New Roman" w:cs="Times New Roman" w:eastAsia="Times New Roman" w:hAnsi="Times New Roman"/>
          <w:sz w:val="18"/>
          <w:szCs w:val="18"/>
          <w:color w:val="auto"/>
        </w:rPr>
      </w:pPr>
    </w:p>
    <w:p>
      <w:pPr>
        <w:ind w:left="980" w:hanging="439"/>
        <w:spacing w:after="0" w:line="254"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80" w:top="270" w:right="439" w:bottom="1440" w:gutter="0" w:footer="0" w:header="0"/>
        </w:sectPr>
      </w:pPr>
    </w:p>
    <w:bookmarkStart w:id="25" w:name="page26"/>
    <w:bookmarkEnd w:id="25"/>
    <w:p>
      <w:pPr>
        <w:jc w:val="both"/>
        <w:ind w:left="980"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81" w:lineRule="exact"/>
        <w:rPr>
          <w:sz w:val="20"/>
          <w:szCs w:val="20"/>
          <w:color w:val="auto"/>
        </w:rPr>
      </w:pPr>
    </w:p>
    <w:p>
      <w:pPr>
        <w:ind w:left="980" w:hanging="439"/>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131" w:lineRule="exact"/>
        <w:rPr>
          <w:sz w:val="20"/>
          <w:szCs w:val="20"/>
          <w:color w:val="auto"/>
        </w:rPr>
      </w:pPr>
    </w:p>
    <w:p>
      <w:pPr>
        <w:ind w:left="980" w:right="80" w:hanging="439"/>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ind w:right="6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26" w:name="page27"/>
    <w:bookmarkEnd w:id="26"/>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Warrant Shares are issued in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68" w:lineRule="exact"/>
        <w:rPr>
          <w:sz w:val="20"/>
          <w:szCs w:val="20"/>
          <w:color w:val="auto"/>
        </w:rPr>
      </w:pPr>
    </w:p>
    <w:p>
      <w:pPr>
        <w:ind w:left="620" w:hanging="201"/>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46" w:lineRule="auto"/>
        <w:tabs>
          <w:tab w:leader="none" w:pos="108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27" w:name="page28"/>
    <w:bookmarkEnd w:id="27"/>
    <w:p>
      <w:pPr>
        <w:ind w:left="-20" w:right="60" w:firstLine="408"/>
        <w:spacing w:after="0" w:line="261" w:lineRule="auto"/>
        <w:tabs>
          <w:tab w:leader="none" w:pos="5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ind w:left="-20" w:right="400" w:firstLine="408"/>
        <w:spacing w:after="0" w:line="282" w:lineRule="auto"/>
        <w:tabs>
          <w:tab w:leader="none" w:pos="62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20" w:firstLine="408"/>
        <w:spacing w:after="0" w:line="252" w:lineRule="auto"/>
        <w:tabs>
          <w:tab w:leader="none" w:pos="5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980"/>
          </w:cols>
          <w:pgMar w:left="1440" w:top="270" w:right="479" w:bottom="1440" w:gutter="0" w:footer="0" w:header="0"/>
        </w:sectPr>
      </w:pPr>
    </w:p>
    <w:bookmarkStart w:id="28" w:name="page29"/>
    <w:bookmarkEnd w:id="28"/>
    <w:p>
      <w:pPr>
        <w:ind w:left="540" w:right="40" w:firstLine="40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540" w:right="20" w:firstLine="408"/>
        <w:spacing w:after="0" w:line="272" w:lineRule="auto"/>
        <w:tabs>
          <w:tab w:leader="none" w:pos="117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63" w:lineRule="exact"/>
        <w:rPr>
          <w:rFonts w:ascii="Times New Roman" w:cs="Times New Roman" w:eastAsia="Times New Roman" w:hAnsi="Times New Roman"/>
          <w:sz w:val="17"/>
          <w:szCs w:val="17"/>
          <w:color w:val="auto"/>
        </w:rPr>
      </w:pPr>
    </w:p>
    <w:p>
      <w:pPr>
        <w:ind w:left="540" w:right="620" w:firstLine="408"/>
        <w:spacing w:after="0" w:line="282" w:lineRule="auto"/>
        <w:tabs>
          <w:tab w:leader="none" w:pos="12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6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Common Stock would or could be aggregated with the Holder’s for the purposes of Section 13(d) of the Exchange Act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29" w:name="page30"/>
    <w:bookmarkEnd w:id="2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30" w:name="page31"/>
    <w:bookmarkEnd w:id="30"/>
    <w:p>
      <w:pPr>
        <w:ind w:right="6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Except as otherwise set forth herein, if the Warrant is unexercisable as a result of the Beneficial Ownership Limitation, no alternate consideration is owing to the Holder.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9" w:lineRule="auto"/>
        <w:tabs>
          <w:tab w:leader="none" w:pos="60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3" w:lineRule="exact"/>
        <w:rPr>
          <w:rFonts w:ascii="Times New Roman" w:cs="Times New Roman" w:eastAsia="Times New Roman" w:hAnsi="Times New Roman"/>
          <w:sz w:val="17"/>
          <w:szCs w:val="17"/>
          <w:color w:val="auto"/>
        </w:rPr>
      </w:pPr>
    </w:p>
    <w:p>
      <w:pPr>
        <w:ind w:right="100" w:firstLine="419"/>
        <w:spacing w:after="0" w:line="255" w:lineRule="auto"/>
        <w:tabs>
          <w:tab w:leader="none" w:pos="6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31" w:name="page32"/>
    <w:bookmarkEnd w:id="3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79" w:lineRule="exact"/>
        <w:rPr>
          <w:sz w:val="20"/>
          <w:szCs w:val="20"/>
          <w:color w:val="auto"/>
        </w:rPr>
      </w:pPr>
    </w:p>
    <w:p>
      <w:pPr>
        <w:ind w:left="600" w:hanging="181"/>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51" w:lineRule="auto"/>
        <w:tabs>
          <w:tab w:leader="none" w:pos="6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above,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(except for any such transaction in which the stockholders of the Company immediately prior to such transaction maintain, in substantially the same proportions, the voting power of such Person immediately after the transaction),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w:t>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32" w:name="page33"/>
    <w:bookmarkEnd w:id="32"/>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(other than</w:t>
      </w:r>
    </w:p>
    <w:p>
      <w:pPr>
        <w:spacing w:after="0" w:line="2" w:lineRule="exact"/>
        <w:rPr>
          <w:sz w:val="20"/>
          <w:szCs w:val="20"/>
          <w:color w:val="auto"/>
        </w:rPr>
      </w:pPr>
    </w:p>
    <w:p>
      <w:pPr>
        <w:ind w:left="264" w:hanging="264"/>
        <w:spacing w:after="0"/>
        <w:tabs>
          <w:tab w:leader="none" w:pos="2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split or reverse stock split, (y) any transaction effected solely for the purpose of changing the jurisdiction of incorporation of the</w:t>
      </w:r>
    </w:p>
    <w:p>
      <w:pPr>
        <w:spacing w:after="0" w:line="9"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(z) any holding company reorganization or parent-subsidiary merger not requiring stockholder approval pursuant to Sections 251(g) or 253 of the General Corporation Law of the State of Delaware (or any successor provisions thereof)),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volatility for the remaining exercised period as obtained from the HVT function on Bloomberg (determined utilizing a 252 day annualization factor) as of the Trading Day immediately following the consummation of the applicable contemplated Fundamental Transaction, (C) the underlying price per share used in such calculation shall be the</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70" w:right="459" w:bottom="1440" w:gutter="0" w:footer="0" w:header="0"/>
        </w:sectPr>
      </w:pPr>
    </w:p>
    <w:bookmarkStart w:id="33" w:name="page34"/>
    <w:bookmarkEnd w:id="33"/>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VWAP for the 30 days prior to the Trading Day immediately preceding the consummation of the applicable contemplated Fundamental Transaction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290" w:lineRule="exact"/>
        <w:rPr>
          <w:sz w:val="20"/>
          <w:szCs w:val="20"/>
          <w:color w:val="auto"/>
        </w:rPr>
      </w:pPr>
    </w:p>
    <w:p>
      <w:pPr>
        <w:ind w:right="20" w:firstLine="419"/>
        <w:spacing w:after="0" w:line="266" w:lineRule="auto"/>
        <w:tabs>
          <w:tab w:leader="none" w:pos="6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34" w:name="page35"/>
    <w:bookmarkEnd w:id="34"/>
    <w:p>
      <w:pPr>
        <w:ind w:left="161" w:hanging="161"/>
        <w:spacing w:after="0"/>
        <w:tabs>
          <w:tab w:leader="none" w:pos="1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right="20" w:firstLine="408"/>
        <w:spacing w:after="0" w:line="266" w:lineRule="auto"/>
        <w:tabs>
          <w:tab w:leader="none" w:pos="66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67" w:lineRule="exact"/>
        <w:rPr>
          <w:rFonts w:ascii="Times New Roman" w:cs="Times New Roman" w:eastAsia="Times New Roman" w:hAnsi="Times New Roman"/>
          <w:sz w:val="18"/>
          <w:szCs w:val="18"/>
          <w:color w:val="auto"/>
        </w:rPr>
      </w:pPr>
    </w:p>
    <w:p>
      <w:pPr>
        <w:ind w:left="121" w:firstLine="408"/>
        <w:spacing w:after="0" w:line="252" w:lineRule="auto"/>
        <w:tabs>
          <w:tab w:leader="none" w:pos="71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22"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161"/>
          </w:cols>
          <w:pgMar w:left="1299" w:top="270"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81" w:lineRule="exact"/>
        <w:rPr>
          <w:rFonts w:ascii="Times New Roman" w:cs="Times New Roman" w:eastAsia="Times New Roman" w:hAnsi="Times New Roman"/>
          <w:sz w:val="18"/>
          <w:szCs w:val="18"/>
          <w:color w:val="auto"/>
        </w:rPr>
      </w:pPr>
    </w:p>
    <w:p>
      <w:pPr>
        <w:ind w:right="40" w:firstLine="419"/>
        <w:spacing w:after="0" w:line="256" w:lineRule="auto"/>
        <w:tabs>
          <w:tab w:leader="none" w:pos="6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right="20" w:firstLine="419"/>
        <w:spacing w:after="0" w:line="261" w:lineRule="auto"/>
        <w:tabs>
          <w:tab w:leader="none" w:pos="6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71" w:lineRule="exact"/>
        <w:rPr>
          <w:rFonts w:ascii="Times New Roman" w:cs="Times New Roman" w:eastAsia="Times New Roman" w:hAnsi="Times New Roman"/>
          <w:sz w:val="18"/>
          <w:szCs w:val="18"/>
          <w:color w:val="auto"/>
        </w:rPr>
      </w:pPr>
    </w:p>
    <w:p>
      <w:pPr>
        <w:ind w:firstLine="419"/>
        <w:spacing w:after="0" w:line="256" w:lineRule="auto"/>
        <w:tabs>
          <w:tab w:leader="none" w:pos="6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in form and substance reasonably satisfactory to the Company to the effect that the transfer of this Warrant does not require registration under the Securities Act.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36" w:name="page37"/>
    <w:bookmarkEnd w:id="36"/>
    <w:p>
      <w:pPr>
        <w:ind w:right="120" w:firstLine="419"/>
        <w:spacing w:after="0" w:line="261" w:lineRule="auto"/>
        <w:tabs>
          <w:tab w:leader="none" w:pos="6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58" w:lineRule="auto"/>
        <w:tabs>
          <w:tab w:leader="none" w:pos="6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75" w:lineRule="exact"/>
        <w:rPr>
          <w:rFonts w:ascii="Times New Roman" w:cs="Times New Roman" w:eastAsia="Times New Roman" w:hAnsi="Times New Roman"/>
          <w:sz w:val="18"/>
          <w:szCs w:val="18"/>
          <w:color w:val="auto"/>
        </w:rPr>
      </w:pPr>
    </w:p>
    <w:p>
      <w:pPr>
        <w:ind w:right="160" w:firstLine="419"/>
        <w:spacing w:after="0" w:line="258" w:lineRule="auto"/>
        <w:tabs>
          <w:tab w:leader="none" w:pos="6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380" w:firstLine="419"/>
        <w:spacing w:after="0" w:line="312" w:lineRule="auto"/>
        <w:tabs>
          <w:tab w:leader="none" w:pos="60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firstLine="401"/>
        <w:spacing w:after="0" w:line="256"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37" w:name="page38"/>
    <w:bookmarkEnd w:id="37"/>
    <w:p>
      <w:pPr>
        <w:ind w:left="5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75" w:lineRule="exact"/>
        <w:rPr>
          <w:sz w:val="20"/>
          <w:szCs w:val="20"/>
          <w:color w:val="auto"/>
        </w:rPr>
      </w:pPr>
    </w:p>
    <w:p>
      <w:pPr>
        <w:ind w:left="540" w:right="20" w:firstLine="401"/>
        <w:spacing w:after="0" w:line="269"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74" w:lineRule="exact"/>
        <w:rPr>
          <w:sz w:val="20"/>
          <w:szCs w:val="20"/>
          <w:color w:val="auto"/>
        </w:rPr>
      </w:pPr>
    </w:p>
    <w:p>
      <w:pPr>
        <w:jc w:val="both"/>
        <w:ind w:left="540" w:right="4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340" w:firstLine="419"/>
        <w:spacing w:after="0" w:line="282" w:lineRule="auto"/>
        <w:tabs>
          <w:tab w:leader="none" w:pos="6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right="480" w:firstLine="419"/>
        <w:spacing w:after="0" w:line="282" w:lineRule="auto"/>
        <w:tabs>
          <w:tab w:leader="none" w:pos="5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38" w:name="page39"/>
    <w:bookmarkEnd w:id="38"/>
    <w:p>
      <w:pPr>
        <w:ind w:right="20" w:firstLine="419"/>
        <w:spacing w:after="0" w:line="255" w:lineRule="auto"/>
        <w:tabs>
          <w:tab w:leader="none" w:pos="6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0" w:lineRule="exact"/>
        <w:rPr>
          <w:rFonts w:ascii="Times New Roman" w:cs="Times New Roman" w:eastAsia="Times New Roman" w:hAnsi="Times New Roman"/>
          <w:sz w:val="18"/>
          <w:szCs w:val="18"/>
          <w:color w:val="auto"/>
        </w:rPr>
      </w:pPr>
    </w:p>
    <w:p>
      <w:pPr>
        <w:ind w:right="380" w:firstLine="419"/>
        <w:spacing w:after="0" w:line="282" w:lineRule="auto"/>
        <w:tabs>
          <w:tab w:leader="none" w:pos="6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right="80" w:firstLine="419"/>
        <w:spacing w:after="0" w:line="282" w:lineRule="auto"/>
        <w:tabs>
          <w:tab w:leader="none" w:pos="5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39" w:name="page40"/>
    <w:bookmarkEnd w:id="3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40" w:top="270" w:right="55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TEMPEST THERAPEUTICS, INC.</w:t>
      </w:r>
    </w:p>
    <w:p>
      <w:pPr>
        <w:spacing w:after="0" w:line="121" w:lineRule="exact"/>
        <w:rPr>
          <w:sz w:val="20"/>
          <w:szCs w:val="20"/>
          <w:color w:val="auto"/>
        </w:rPr>
      </w:pPr>
    </w:p>
    <w:p>
      <w:pPr>
        <w:ind w:right="260" w:firstLine="987"/>
        <w:spacing w:after="0" w:line="282"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ectPr>
          <w:pgSz w:w="11900" w:h="16838" w:orient="portrait"/>
          <w:cols w:equalWidth="0" w:num="1">
            <w:col w:w="10960"/>
          </w:cols>
          <w:pgMar w:left="440" w:top="266" w:right="499" w:bottom="1440" w:gutter="0" w:footer="0" w:header="0"/>
        </w:sectPr>
      </w:pP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 lawful money of the United States; or</w:t>
      </w:r>
    </w:p>
    <w:p>
      <w:pPr>
        <w:spacing w:after="0" w:line="129" w:lineRule="exact"/>
        <w:rPr>
          <w:sz w:val="20"/>
          <w:szCs w:val="20"/>
          <w:color w:val="auto"/>
        </w:rPr>
      </w:pPr>
    </w:p>
    <w:p>
      <w:pPr>
        <w:sectPr>
          <w:pgSz w:w="11900" w:h="16838" w:orient="portrait"/>
          <w:cols w:equalWidth="0" w:num="2">
            <w:col w:w="1540" w:space="180"/>
            <w:col w:w="9240"/>
          </w:cols>
          <w:pgMar w:left="440" w:top="266" w:right="499" w:bottom="1440" w:gutter="0" w:footer="0" w:header="0"/>
          <w:type w:val="continuous"/>
        </w:sectPr>
      </w:pPr>
    </w:p>
    <w:p>
      <w:pPr>
        <w:ind w:left="1420"/>
        <w:spacing w:after="0"/>
        <w:tabs>
          <w:tab w:leader="none" w:pos="17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 if permitted the cancellation of such number of Warrant Shares as is necessary, in accordance with the formula set forth in</w:t>
      </w:r>
    </w:p>
    <w:p>
      <w:pPr>
        <w:sectPr>
          <w:pgSz w:w="11900" w:h="16838" w:orient="portrait"/>
          <w:cols w:equalWidth="0" w:num="1">
            <w:col w:w="10960"/>
          </w:cols>
          <w:pgMar w:left="440" w:top="266" w:right="499" w:bottom="1440" w:gutter="0" w:footer="0" w:header="0"/>
          <w:type w:val="continuous"/>
        </w:sectPr>
      </w:pPr>
    </w:p>
    <w:p>
      <w:pPr>
        <w:spacing w:after="0" w:line="27" w:lineRule="exact"/>
        <w:rPr>
          <w:sz w:val="20"/>
          <w:szCs w:val="20"/>
          <w:color w:val="auto"/>
        </w:rPr>
      </w:pPr>
    </w:p>
    <w:p>
      <w:pPr>
        <w:ind w:left="1420" w:right="560"/>
        <w:spacing w:after="0" w:line="260" w:lineRule="auto"/>
        <w:rPr>
          <w:sz w:val="20"/>
          <w:szCs w:val="20"/>
          <w:color w:val="auto"/>
        </w:rPr>
      </w:pPr>
      <w:r>
        <w:rPr>
          <w:rFonts w:ascii="Times New Roman" w:cs="Times New Roman" w:eastAsia="Times New Roman" w:hAnsi="Times New Roman"/>
          <w:sz w:val="18"/>
          <w:szCs w:val="18"/>
          <w:color w:val="auto"/>
        </w:rPr>
        <w:t>subsection 2(c), 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Please issue said Warrant Shares in the name of the undersigned or in such other name as is specified below:</w:t>
      </w:r>
    </w:p>
    <w:p>
      <w:pPr>
        <w:spacing w:after="0" w:line="2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-7620</wp:posOffset>
            </wp:positionV>
            <wp:extent cx="177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710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-7620</wp:posOffset>
            </wp:positionV>
            <wp:extent cx="177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71015" cy="8255"/>
                    </a:xfrm>
                    <a:prstGeom prst="rect">
                      <a:avLst/>
                    </a:prstGeom>
                    <a:noFill/>
                  </pic:spPr>
                </pic:pic>
              </a:graphicData>
            </a:graphic>
          </wp:anchor>
        </w:drawing>
      </w:r>
    </w:p>
    <w:p>
      <w:pPr>
        <w:spacing w:after="0" w:line="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-7620</wp:posOffset>
            </wp:positionV>
            <wp:extent cx="1771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71015" cy="8255"/>
                    </a:xfrm>
                    <a:prstGeom prst="rect">
                      <a:avLst/>
                    </a:prstGeom>
                    <a:noFill/>
                  </pic:spPr>
                </pic:pic>
              </a:graphicData>
            </a:graphic>
          </wp:anchor>
        </w:drawing>
      </w:r>
    </w:p>
    <w:p>
      <w:pPr>
        <w:spacing w:after="0" w:line="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-7620</wp:posOffset>
            </wp:positionV>
            <wp:extent cx="1771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71015" cy="8890"/>
                    </a:xfrm>
                    <a:prstGeom prst="rect">
                      <a:avLst/>
                    </a:prstGeom>
                    <a:noFill/>
                  </pic:spPr>
                </pic:pic>
              </a:graphicData>
            </a:graphic>
          </wp:anchor>
        </w:drawing>
      </w:r>
    </w:p>
    <w:p>
      <w:pPr>
        <w:spacing w:after="0" w:line="205" w:lineRule="exact"/>
        <w:rPr>
          <w:sz w:val="20"/>
          <w:szCs w:val="20"/>
          <w:color w:val="auto"/>
        </w:rPr>
      </w:pPr>
    </w:p>
    <w:p>
      <w:pPr>
        <w:ind w:firstLine="987"/>
        <w:spacing w:after="0" w:line="266"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ectPr>
          <w:pgSz w:w="11900" w:h="16838" w:orient="portrait"/>
          <w:cols w:equalWidth="0" w:num="1">
            <w:col w:w="10960"/>
          </w:cols>
          <w:pgMar w:left="440" w:top="266" w:right="49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115"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(Please Print)</w:t>
            </w:r>
          </w:p>
        </w:tc>
        <w:tc>
          <w:tcPr>
            <w:tcW w:w="0" w:type="dxa"/>
            <w:vAlign w:val="bottom"/>
          </w:tcPr>
          <w:p>
            <w:pPr>
              <w:spacing w:after="0"/>
              <w:rPr>
                <w:sz w:val="1"/>
                <w:szCs w:val="1"/>
                <w:color w:val="auto"/>
              </w:rPr>
            </w:pPr>
          </w:p>
        </w:tc>
      </w:tr>
      <w:tr>
        <w:trPr>
          <w:trHeight w:val="4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5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20" w:type="dxa"/>
            <w:vAlign w:val="bottom"/>
            <w:vMerge w:val="continue"/>
          </w:tcPr>
          <w:p>
            <w:pPr>
              <w:spacing w:after="0"/>
              <w:rPr>
                <w:sz w:val="19"/>
                <w:szCs w:val="19"/>
                <w:color w:val="auto"/>
              </w:rPr>
            </w:pPr>
          </w:p>
        </w:tc>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(Please Print)</w:t>
            </w:r>
          </w:p>
        </w:tc>
        <w:tc>
          <w:tcPr>
            <w:tcW w:w="0" w:type="dxa"/>
            <w:vAlign w:val="bottom"/>
          </w:tcPr>
          <w:p>
            <w:pPr>
              <w:spacing w:after="0"/>
              <w:rPr>
                <w:sz w:val="1"/>
                <w:szCs w:val="1"/>
                <w:color w:val="auto"/>
              </w:rPr>
            </w:pPr>
          </w:p>
        </w:tc>
      </w:tr>
      <w:tr>
        <w:trPr>
          <w:trHeight w:val="42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5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Signature:_______________</w:t>
            </w:r>
          </w:p>
        </w:tc>
        <w:tc>
          <w:tcPr>
            <w:tcW w:w="5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Address:_______________</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March 20, 2026, between Tempest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(as defined below), and/or Rule 506 of Regulation D promulgated thereunder,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440" w:right="3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Purchase Agreement</w:t>
      </w:r>
      <w:r>
        <w:rPr>
          <w:rFonts w:ascii="Times New Roman" w:cs="Times New Roman" w:eastAsia="Times New Roman" w:hAnsi="Times New Roman"/>
          <w:sz w:val="18"/>
          <w:szCs w:val="18"/>
          <w:color w:val="auto"/>
        </w:rPr>
        <w:t>” means that certain Asset Purchase Agreement by and among the Company, Erigen LLC, Factor Bioscience Inc., dated November 19, 2025.</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440" w:right="1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75" w:lineRule="exact"/>
        <w:rPr>
          <w:sz w:val="20"/>
          <w:szCs w:val="20"/>
          <w:color w:val="auto"/>
        </w:rPr>
      </w:pPr>
    </w:p>
    <w:p>
      <w:pPr>
        <w:ind w:left="440" w:right="6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the Pre-Funded Warrants and the Common Warrants pursuant to Section 2.1.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3" w:name="page44"/>
    <w:bookmarkEnd w:id="43"/>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54"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means, collectively, the Series A Warrants and the Series B Warrants.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 Shares</w:t>
      </w:r>
      <w:r>
        <w:rPr>
          <w:rFonts w:ascii="Times New Roman" w:cs="Times New Roman" w:eastAsia="Times New Roman" w:hAnsi="Times New Roman"/>
          <w:sz w:val="18"/>
          <w:szCs w:val="18"/>
          <w:color w:val="auto"/>
        </w:rPr>
        <w:t>” means the shares of Common Stock issuable upon exercise of the Series A Warrants and the Series B Warrants.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Cooley LLP, with offices located at 1700 Seventh Avenue, Suite 1900, Seattle, Washington 98101.</w:t>
      </w:r>
    </w:p>
    <w:p>
      <w:pPr>
        <w:spacing w:after="0" w:line="117"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75" w:lineRule="exact"/>
        <w:rPr>
          <w:sz w:val="20"/>
          <w:szCs w:val="20"/>
          <w:color w:val="auto"/>
        </w:rPr>
      </w:pPr>
    </w:p>
    <w:p>
      <w:pPr>
        <w:ind w:right="40" w:firstLine="423"/>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means the earliest of the date that (a) the initial Registration Statement registering for resale all Shares and Warrant Shares has been declared effective by the Commission, (b) all of the Shares and Warrant Shares have been sold pursuant to such effective Registration Statement or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or Warrant Shares is not an Affiliate of the Company, or (d) all of the Shares and Warrant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and Warrant Shares pursuant to such exemption which opinion shall be in form and substance reasonably acceptable to such holders.</w:t>
      </w:r>
    </w:p>
    <w:p>
      <w:pPr>
        <w:spacing w:after="0" w:line="10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0"/>
          </w:cols>
          <w:pgMar w:left="880" w:top="270" w:right="519" w:bottom="1440" w:gutter="0" w:footer="0" w:header="0"/>
        </w:sectPr>
      </w:pPr>
    </w:p>
    <w:bookmarkStart w:id="44" w:name="page45"/>
    <w:bookmarkEnd w:id="4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or employee stock purchase plan duly adopted for such purpose, by a majority of the non-employee members of the Board of Directors or a majority of the members of a committee of non-employee directors established for such purpose for services rendered to the Company, (b) warrants to the Placement Agent in connection with the transactions pursuant to this Agreement and any shares of Common Stock upon exercise of the warrants to the Placement Agent, if applicable, and/or shares of Common Stock upon the exercise or exchange of or conversion of any Securities issued hereunder and/or other securities exercisable or exchangeable for or convertible into shares of Common Stock issued and outstanding on the date of this Agreement (including, for the avoidance of doubt, those under clause (a) or any distribution under a rights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stock dividends or other similar transactions)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3.1(kk).</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3.1(kk).</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shall have the meaning ascribed to such term in Section 3.1(rr).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3.1(bb).</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00"/>
          </w:cols>
          <w:pgMar w:left="880" w:top="270" w:right="519" w:bottom="1440" w:gutter="0" w:footer="0" w:header="0"/>
        </w:sectPr>
      </w:pPr>
    </w:p>
    <w:bookmarkStart w:id="45" w:name="page46"/>
    <w:bookmarkEnd w:id="45"/>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$2.16, subject to adjustment for reverse and forward stock splits, stock dividends, stock combinations and other similar transactions of the Common Stock that occur after the date of this Agreement and prior to the Closing Date, provided that the purchase price per Pre-Funded Warrant shall be the Per Share Purchase Price minus $0.001.</w:t>
      </w:r>
    </w:p>
    <w:p>
      <w:pPr>
        <w:spacing w:after="0" w:line="68"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117" w:lineRule="exact"/>
        <w:rPr>
          <w:sz w:val="20"/>
          <w:szCs w:val="20"/>
          <w:color w:val="auto"/>
        </w:rPr>
      </w:pPr>
    </w:p>
    <w:p>
      <w:pPr>
        <w:jc w:val="both"/>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will expire when exercised in full,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117" w:lineRule="exact"/>
        <w:rPr>
          <w:sz w:val="20"/>
          <w:szCs w:val="20"/>
          <w:color w:val="auto"/>
        </w:rPr>
      </w:pPr>
    </w:p>
    <w:p>
      <w:pPr>
        <w:ind w:right="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pending or, to the Company’s knowledge, threatened in writing against the Company, any Subsidiary or any of their respective properties before or by any court, arbitrator, governmental or administrative agency or regulatory authority (federal, state, county, local or foreign).</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shall have the meaning ascribed to such term in Section 4.2(b).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shall have the meaning ascribed to such term in Section 4.2(b).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46" w:name="page47"/>
    <w:bookmarkEnd w:id="46"/>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ind w:right="5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Shares and the Warrant Shares.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117"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right="1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Warrants</w:t>
      </w:r>
      <w:r>
        <w:rPr>
          <w:rFonts w:ascii="Times New Roman" w:cs="Times New Roman" w:eastAsia="Times New Roman" w:hAnsi="Times New Roman"/>
          <w:sz w:val="18"/>
          <w:szCs w:val="18"/>
          <w:color w:val="auto"/>
        </w:rPr>
        <w:t xml:space="preserve">” means the Series A Common Stock Purchase Warrants to purchase shares of Common Stock delivered to the Purchasers at the Closing in accordance with Section 2.2(a) hereof, which such Series A Warrants shall be exercisable on and after the Stockholder Approval Date and have a term of exercise equal to five (5) years following the date that is the later of the (i) Stockholder Approval Date and the (ii) Effectiveness Date,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Warrant Shares</w:t>
      </w:r>
      <w:r>
        <w:rPr>
          <w:rFonts w:ascii="Times New Roman" w:cs="Times New Roman" w:eastAsia="Times New Roman" w:hAnsi="Times New Roman"/>
          <w:sz w:val="18"/>
          <w:szCs w:val="18"/>
          <w:color w:val="auto"/>
        </w:rPr>
        <w:t>” means the shares of Common Stock issuable upon exercise of the Series A Warrants.</w:t>
      </w:r>
    </w:p>
    <w:p>
      <w:pPr>
        <w:spacing w:after="0" w:line="117"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Warrants</w:t>
      </w:r>
      <w:r>
        <w:rPr>
          <w:rFonts w:ascii="Times New Roman" w:cs="Times New Roman" w:eastAsia="Times New Roman" w:hAnsi="Times New Roman"/>
          <w:sz w:val="18"/>
          <w:szCs w:val="18"/>
          <w:color w:val="auto"/>
        </w:rPr>
        <w:t xml:space="preserve">” means the Series B Common Stock Purchase Warrants to purchase shares of Common Stock delivered to the Purchasers at the Closing in accordance with Section 2.2(a) hereof, which such Series B Warrants shall be exercisable on and after the Stockholder Approval Date and have a term of exercise equal to twenty-four (24) months following the date that is the later of the (i) Stockholder Approval Date and the (ii) Effectiveness Date,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attached hereto.</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Warrant Shares</w:t>
      </w:r>
      <w:r>
        <w:rPr>
          <w:rFonts w:ascii="Times New Roman" w:cs="Times New Roman" w:eastAsia="Times New Roman" w:hAnsi="Times New Roman"/>
          <w:sz w:val="18"/>
          <w:szCs w:val="18"/>
          <w:color w:val="auto"/>
        </w:rPr>
        <w:t>” means the shares of Common Stock issuable upon exercise of the Series B Warrants.</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47" w:name="page48"/>
    <w:bookmarkEnd w:id="47"/>
    <w:p>
      <w:pPr>
        <w:ind w:right="28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 but excluding the Warrant Shares.</w:t>
      </w:r>
    </w:p>
    <w:p>
      <w:pPr>
        <w:spacing w:after="0" w:line="54" w:lineRule="exact"/>
        <w:rPr>
          <w:sz w:val="20"/>
          <w:szCs w:val="20"/>
          <w:color w:val="auto"/>
        </w:rPr>
      </w:pPr>
    </w:p>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54" w:lineRule="exact"/>
        <w:rPr>
          <w:sz w:val="20"/>
          <w:szCs w:val="20"/>
          <w:color w:val="auto"/>
        </w:rPr>
      </w:pPr>
    </w:p>
    <w:p>
      <w:pPr>
        <w:ind w:right="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such approval as may be required by the applicable rules and regulations of the Nasdaq Capital Market (or any successor entity) from the stockholders of the Company with respect to the issuance of all of the Common Warrants and the Common Warrant Shares upon the exercise thereof.</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 Date</w:t>
      </w:r>
      <w:r>
        <w:rPr>
          <w:rFonts w:ascii="Times New Roman" w:cs="Times New Roman" w:eastAsia="Times New Roman" w:hAnsi="Times New Roman"/>
          <w:sz w:val="18"/>
          <w:szCs w:val="18"/>
          <w:color w:val="auto"/>
        </w:rPr>
        <w:t>” means the date on which Stockholder Approval is received and deemed effective under Delaware law.</w:t>
      </w:r>
    </w:p>
    <w:p>
      <w:pPr>
        <w:spacing w:after="0" w:line="117" w:lineRule="exact"/>
        <w:rPr>
          <w:sz w:val="20"/>
          <w:szCs w:val="20"/>
          <w:color w:val="auto"/>
        </w:rPr>
      </w:pPr>
    </w:p>
    <w:p>
      <w:pPr>
        <w:ind w:right="1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Pre-Funded Warrants (if applicable) and Common Warrants purchased hereunder as specified below such Purchaser’s name on the signature page of this Agreement and next to the heading “Subscription Amount,” in United States dollars and in immediately available funds (excluding for the avoidance of doubt, if applicable, a Purchaser’s aggregate exercise price of the Pre-Funded Warrants, which amounts shall be paid as and when such Pre-Funded Warrants are exercised for cash).</w:t>
      </w:r>
    </w:p>
    <w:p>
      <w:pPr>
        <w:spacing w:after="0" w:line="75" w:lineRule="exact"/>
        <w:rPr>
          <w:sz w:val="20"/>
          <w:szCs w:val="20"/>
          <w:color w:val="auto"/>
        </w:rPr>
      </w:pPr>
    </w:p>
    <w:p>
      <w:pPr>
        <w:ind w:right="2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68" w:lineRule="exact"/>
        <w:rPr>
          <w:sz w:val="20"/>
          <w:szCs w:val="20"/>
          <w:color w:val="auto"/>
        </w:rPr>
      </w:pPr>
    </w:p>
    <w:p>
      <w:pPr>
        <w:ind w:right="2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the Registration Rights Agreement, all exhibits and schedules thereto and hereto and any other documents or agreements executed in connection with the transactions contemplated hereunder.</w:t>
      </w:r>
    </w:p>
    <w:p>
      <w:pPr>
        <w:spacing w:after="0" w:line="54" w:lineRule="exact"/>
        <w:rPr>
          <w:sz w:val="20"/>
          <w:szCs w:val="20"/>
          <w:color w:val="auto"/>
        </w:rPr>
      </w:pPr>
    </w:p>
    <w:p>
      <w:pPr>
        <w:ind w:right="3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N.A., the current transfer agent of the Company, with a mailing address of 150 Royall Street, Canton, Massachusetts 02021, and any successor transfer agent of the Company.</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48" w:name="page49"/>
    <w:bookmarkEnd w:id="48"/>
    <w:p>
      <w:pPr>
        <w:ind w:left="440" w:firstLine="423"/>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w:t>
      </w:r>
      <w:r>
        <w:rPr>
          <w:rFonts w:ascii="Times New Roman" w:cs="Times New Roman" w:eastAsia="Times New Roman" w:hAnsi="Times New Roman"/>
          <w:sz w:val="17"/>
          <w:szCs w:val="17"/>
          <w:u w:val="single" w:color="auto"/>
          <w:color w:val="auto"/>
        </w:rPr>
        <w:t>OTCQB</w:t>
      </w:r>
      <w:r>
        <w:rPr>
          <w:rFonts w:ascii="Times New Roman" w:cs="Times New Roman" w:eastAsia="Times New Roman" w:hAnsi="Times New Roman"/>
          <w:sz w:val="17"/>
          <w:szCs w:val="17"/>
          <w:color w:val="auto"/>
        </w:rPr>
        <w:t>”) or the OTCQX Best Market (“</w:t>
      </w:r>
      <w:r>
        <w:rPr>
          <w:rFonts w:ascii="Times New Roman" w:cs="Times New Roman" w:eastAsia="Times New Roman" w:hAnsi="Times New Roman"/>
          <w:sz w:val="17"/>
          <w:szCs w:val="17"/>
          <w:u w:val="single" w:color="auto"/>
          <w:color w:val="auto"/>
        </w:rPr>
        <w:t>OTCQX</w:t>
      </w:r>
      <w:r>
        <w:rPr>
          <w:rFonts w:ascii="Times New Roman" w:cs="Times New Roman" w:eastAsia="Times New Roman" w:hAnsi="Times New Roman"/>
          <w:sz w:val="17"/>
          <w:szCs w:val="17"/>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7"/>
          <w:szCs w:val="17"/>
          <w:u w:val="single" w:color="auto"/>
          <w:color w:val="auto"/>
        </w:rPr>
        <w:t>Pink Market</w:t>
      </w:r>
      <w:r>
        <w:rPr>
          <w:rFonts w:ascii="Times New Roman" w:cs="Times New Roman" w:eastAsia="Times New Roman" w:hAnsi="Times New Roman"/>
          <w:sz w:val="17"/>
          <w:szCs w:val="17"/>
          <w:color w:val="auto"/>
        </w:rPr>
        <w:t>”) operated by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Common Warrants and the Pre-Funded Warrants.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collectively, the Common Warrant Shares and the Pre-Funded Warrant Shares.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an aggregate of approximately $2 million of Shares and Warrants at a price per Share and accompanying Warrants equal to the Per Share Purchase Price; provided, however,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by so indicating such election prior to their issuance, to purchase Pre-Funded Warrants in lieu of Shares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with respect to each Purchaser, at the election of such Purchaser at Closing, 9.99%) of the number of shares of the Common Stock outstanding immediately after giving effect to the issuance of the Shares on the Closing Date. In each case, the election to receive Pre-Funded Warrants is solely at the option of the Purchaser. Each Purchaser shall deliver to the Company, via wire transfer, immediately available funds equal to such Purchaser’s Subscription Amount as set forth on the signature page hereto executed by such Purchaser. The Company shall deliver to each Purchaser its respective Shares, Pre-Funded Warrants (if any) and Common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Company Counsel or such other location (including remotely by electronic transmission).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9" w:name="page50"/>
    <w:bookmarkEnd w:id="4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4" w:hanging="244"/>
        <w:spacing w:after="0"/>
        <w:tabs>
          <w:tab w:leader="none" w:pos="2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117" w:lineRule="exact"/>
        <w:rPr>
          <w:rFonts w:ascii="Times New Roman" w:cs="Times New Roman" w:eastAsia="Times New Roman" w:hAnsi="Times New Roman"/>
          <w:sz w:val="18"/>
          <w:szCs w:val="18"/>
          <w:color w:val="auto"/>
        </w:rPr>
      </w:pPr>
    </w:p>
    <w:p>
      <w:pPr>
        <w:ind w:left="4" w:firstLine="419"/>
        <w:spacing w:after="0" w:line="282" w:lineRule="auto"/>
        <w:tabs>
          <w:tab w:leader="none" w:pos="6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opinions of Company Counsel, directed to the Placement Agent and the Purchasers, in form and substance reasonably acceptable to the Placement Agent and the Purchasers, as applicable;</w:t>
      </w:r>
    </w:p>
    <w:p>
      <w:pPr>
        <w:spacing w:after="0" w:line="53" w:lineRule="exact"/>
        <w:rPr>
          <w:rFonts w:ascii="Times New Roman" w:cs="Times New Roman" w:eastAsia="Times New Roman" w:hAnsi="Times New Roman"/>
          <w:sz w:val="18"/>
          <w:szCs w:val="18"/>
          <w:color w:val="auto"/>
        </w:rPr>
      </w:pPr>
    </w:p>
    <w:p>
      <w:pPr>
        <w:ind w:left="744" w:hanging="321"/>
        <w:spacing w:after="0"/>
        <w:tabs>
          <w:tab w:leader="none" w:pos="7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each Purchaser with its wire instructions;</w:t>
      </w:r>
    </w:p>
    <w:p>
      <w:pPr>
        <w:spacing w:after="0" w:line="117" w:lineRule="exact"/>
        <w:rPr>
          <w:rFonts w:ascii="Times New Roman" w:cs="Times New Roman" w:eastAsia="Times New Roman" w:hAnsi="Times New Roman"/>
          <w:sz w:val="18"/>
          <w:szCs w:val="18"/>
          <w:color w:val="auto"/>
        </w:rPr>
      </w:pPr>
    </w:p>
    <w:p>
      <w:pPr>
        <w:jc w:val="both"/>
        <w:ind w:left="4" w:right="100" w:firstLine="419"/>
        <w:spacing w:after="0" w:line="261" w:lineRule="auto"/>
        <w:tabs>
          <w:tab w:leader="none" w:pos="7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on an expedited basis Shares equal to such Purchaser’s Subscription Amount divided by the Per Share Purchase Price, registered in the name of such Purchaser, or, at the election of such Purchaser, evidence of the issuance of such Purchaser’s Shares hereunder as held in DRS book-entry form by the Transfer Agent and registered in the name of such Purchaser, which evidence shall be reasonably satisfactory to such Purchaser;</w:t>
      </w:r>
    </w:p>
    <w:p>
      <w:pPr>
        <w:spacing w:after="0" w:line="71"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8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for each Purchaser of Pre-Funded Warrants pursuant to Section 2.1, a Pre-Funded Warrant registered in the name of such Purchaser to purchase up to a number of shares of Common Stock equal to the portion of such Purchaser’s Subscription Amount applicable to Pre-Funded Warrants divided by the Per Share Purchase Price minus $0.001, with an exercise price equal to $0.001 per share of Common Stock, subject to adjustment therein;</w:t>
      </w:r>
    </w:p>
    <w:p>
      <w:pPr>
        <w:spacing w:after="0" w:line="71"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7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A Warrant registered in the name of such Purchaser to purchase up to a number of shares of Common Stock equal to 100% of the sum of such Purchaser’s Shares and Pre-Funded Warrant Shares, with an exercise price equal to $2.16 per share of Common Stock, subject to adjustment therein;</w:t>
      </w:r>
    </w:p>
    <w:p>
      <w:pPr>
        <w:spacing w:after="0" w:line="67" w:lineRule="exact"/>
        <w:rPr>
          <w:rFonts w:ascii="Times New Roman" w:cs="Times New Roman" w:eastAsia="Times New Roman" w:hAnsi="Times New Roman"/>
          <w:sz w:val="18"/>
          <w:szCs w:val="18"/>
          <w:color w:val="auto"/>
        </w:rPr>
      </w:pPr>
    </w:p>
    <w:p>
      <w:pPr>
        <w:jc w:val="both"/>
        <w:ind w:left="4" w:right="100" w:firstLine="419"/>
        <w:spacing w:after="0" w:line="266" w:lineRule="auto"/>
        <w:tabs>
          <w:tab w:leader="none" w:pos="78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B Warrant registered in the name of such Purchaser to purchase up to a number of shares of Common Stock equal to 100% of the sum of such Purchaser’s Shares and Pre-Funded Warrant Shares, with an exercise price equal to $2.16 per share of Common Stock, subject to adjustment therein; and</w:t>
      </w:r>
    </w:p>
    <w:p>
      <w:pPr>
        <w:spacing w:after="0" w:line="67" w:lineRule="exact"/>
        <w:rPr>
          <w:rFonts w:ascii="Times New Roman" w:cs="Times New Roman" w:eastAsia="Times New Roman" w:hAnsi="Times New Roman"/>
          <w:sz w:val="18"/>
          <w:szCs w:val="18"/>
          <w:color w:val="auto"/>
        </w:rPr>
      </w:pPr>
    </w:p>
    <w:p>
      <w:pPr>
        <w:ind w:left="824" w:hanging="401"/>
        <w:spacing w:after="0"/>
        <w:tabs>
          <w:tab w:leader="none" w:pos="8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by wire transfer to the account specified in writing by the Company; and</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50" w:name="page51"/>
    <w:bookmarkEnd w:id="50"/>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 the Registration Rights Agreement duly executed by such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540" w:right="220" w:firstLine="408"/>
        <w:spacing w:after="0" w:line="261" w:lineRule="auto"/>
        <w:tabs>
          <w:tab w:leader="none" w:pos="115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71" w:lineRule="exact"/>
        <w:rPr>
          <w:rFonts w:ascii="Times New Roman" w:cs="Times New Roman" w:eastAsia="Times New Roman" w:hAnsi="Times New Roman"/>
          <w:sz w:val="18"/>
          <w:szCs w:val="18"/>
          <w:color w:val="auto"/>
        </w:rPr>
      </w:pPr>
    </w:p>
    <w:p>
      <w:pPr>
        <w:ind w:left="540" w:right="200" w:firstLine="408"/>
        <w:spacing w:after="0" w:line="282" w:lineRule="auto"/>
        <w:tabs>
          <w:tab w:leader="none" w:pos="120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5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77" w:lineRule="exact"/>
        <w:rPr>
          <w:rFonts w:ascii="Times New Roman" w:cs="Times New Roman" w:eastAsia="Times New Roman" w:hAnsi="Times New Roman"/>
          <w:sz w:val="18"/>
          <w:szCs w:val="18"/>
          <w:color w:val="auto"/>
        </w:rPr>
      </w:pPr>
    </w:p>
    <w:p>
      <w:pPr>
        <w:ind w:left="540" w:right="320" w:firstLine="408"/>
        <w:spacing w:after="0" w:line="282" w:lineRule="auto"/>
        <w:tabs>
          <w:tab w:leader="none" w:pos="120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117" w:lineRule="exact"/>
        <w:rPr>
          <w:rFonts w:ascii="Times New Roman" w:cs="Times New Roman" w:eastAsia="Times New Roman" w:hAnsi="Times New Roman"/>
          <w:sz w:val="18"/>
          <w:szCs w:val="18"/>
          <w:color w:val="auto"/>
        </w:rPr>
      </w:pPr>
    </w:p>
    <w:p>
      <w:pPr>
        <w:jc w:val="both"/>
        <w:ind w:left="540" w:right="100" w:firstLine="408"/>
        <w:spacing w:after="0" w:line="266" w:lineRule="auto"/>
        <w:tabs>
          <w:tab w:leader="none" w:pos="11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51" w:name="page52"/>
    <w:bookmarkEnd w:id="51"/>
    <w:p>
      <w:pPr>
        <w:jc w:val="both"/>
        <w:ind w:left="980"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54" w:lineRule="exact"/>
        <w:rPr>
          <w:sz w:val="20"/>
          <w:szCs w:val="20"/>
          <w:color w:val="auto"/>
        </w:rPr>
      </w:pPr>
    </w:p>
    <w:p>
      <w:pPr>
        <w:ind w:left="440" w:right="40" w:firstLine="419"/>
        <w:spacing w:after="0" w:line="258" w:lineRule="auto"/>
        <w:tabs>
          <w:tab w:leader="none" w:pos="11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75"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provided that a change in the market price or trading volume in the Common Stock alone shall not be deemed, in and of itself, to constitute a Material Adverse Effect. No Proceeding has been instituted in any such jurisdiction revoking, limiting or curtailing or seeking to revoke, limit or curtail such power and authority or qualification.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52" w:name="page53"/>
    <w:bookmarkEnd w:id="52"/>
    <w:p>
      <w:pPr>
        <w:ind w:left="4" w:firstLine="419"/>
        <w:spacing w:after="0" w:line="253" w:lineRule="auto"/>
        <w:tabs>
          <w:tab w:leader="none" w:pos="6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including, without limitation, the approval of the Board of Directors (or a committee thereof) in accordance with Section 144(a)(1) of the DGCL.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1" w:lineRule="exact"/>
        <w:rPr>
          <w:rFonts w:ascii="Times New Roman" w:cs="Times New Roman" w:eastAsia="Times New Roman" w:hAnsi="Times New Roman"/>
          <w:sz w:val="18"/>
          <w:szCs w:val="18"/>
          <w:color w:val="auto"/>
        </w:rPr>
      </w:pPr>
    </w:p>
    <w:p>
      <w:pPr>
        <w:ind w:left="4" w:firstLine="419"/>
        <w:spacing w:after="0" w:line="268" w:lineRule="auto"/>
        <w:tabs>
          <w:tab w:leader="none" w:pos="68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w:t>
      </w:r>
    </w:p>
    <w:p>
      <w:pPr>
        <w:jc w:val="both"/>
        <w:ind w:left="4" w:right="20" w:hanging="4"/>
        <w:spacing w:after="0" w:line="265" w:lineRule="auto"/>
        <w:tabs>
          <w:tab w:leader="none" w:pos="31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w:t>
      </w:r>
    </w:p>
    <w:p>
      <w:pPr>
        <w:ind w:left="264" w:hanging="264"/>
        <w:spacing w:after="0"/>
        <w:tabs>
          <w:tab w:leader="none" w:pos="2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such as could not, individually or in the aggregate, have or reasonably be expected to result in a Material Adverse Effect.</w:t>
      </w:r>
    </w:p>
    <w:p>
      <w:pPr>
        <w:spacing w:after="0" w:line="98" w:lineRule="exact"/>
        <w:rPr>
          <w:rFonts w:ascii="Times New Roman" w:cs="Times New Roman" w:eastAsia="Times New Roman" w:hAnsi="Times New Roman"/>
          <w:sz w:val="18"/>
          <w:szCs w:val="18"/>
          <w:color w:val="auto"/>
        </w:rPr>
      </w:pPr>
    </w:p>
    <w:p>
      <w:pPr>
        <w:ind w:left="4" w:right="160" w:firstLine="419"/>
        <w:spacing w:after="0" w:line="289" w:lineRule="auto"/>
        <w:tabs>
          <w:tab w:leader="none" w:pos="67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Filings, Consents and Approvals</w:t>
      </w:r>
      <w:r>
        <w:rPr>
          <w:rFonts w:ascii="Times New Roman" w:cs="Times New Roman" w:eastAsia="Times New Roman" w:hAnsi="Times New Roman"/>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w:t>
      </w:r>
    </w:p>
    <w:p>
      <w:pPr>
        <w:spacing w:after="0" w:line="9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4"/>
          </w:cols>
          <w:pgMar w:left="876" w:top="270" w:right="459" w:bottom="1440" w:gutter="0" w:footer="0" w:header="0"/>
        </w:sectPr>
      </w:pPr>
    </w:p>
    <w:bookmarkStart w:id="53" w:name="page54"/>
    <w:bookmarkEnd w:id="53"/>
    <w:p>
      <w:pPr>
        <w:ind w:left="4" w:right="3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4.4 of this Agreement, (ii) the filing with the Commission pursuant to the Registration Rights Agreement, (iii) the notice and/or application(s) to each applicable Trading Market for the issuance and sale of the Securities and the listing of the Shares and Warrant Shares for trading thereon in the time and manner required thereby, (iv) the filing of Form D with the Commission, (v) the Stockholder Approval, and</w:t>
      </w:r>
    </w:p>
    <w:p>
      <w:pPr>
        <w:spacing w:after="0" w:line="1" w:lineRule="exact"/>
        <w:rPr>
          <w:sz w:val="20"/>
          <w:szCs w:val="20"/>
          <w:color w:val="auto"/>
        </w:rPr>
      </w:pPr>
    </w:p>
    <w:p>
      <w:pPr>
        <w:ind w:left="304" w:hanging="304"/>
        <w:spacing w:after="0"/>
        <w:tabs>
          <w:tab w:leader="none" w:pos="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4" w:firstLine="419"/>
        <w:spacing w:after="0" w:line="256" w:lineRule="auto"/>
        <w:tabs>
          <w:tab w:leader="none" w:pos="65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Warrants,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Warrants.</w:t>
      </w:r>
    </w:p>
    <w:p>
      <w:pPr>
        <w:spacing w:after="0" w:line="79" w:lineRule="exact"/>
        <w:rPr>
          <w:rFonts w:ascii="Times New Roman" w:cs="Times New Roman" w:eastAsia="Times New Roman" w:hAnsi="Times New Roman"/>
          <w:sz w:val="18"/>
          <w:szCs w:val="18"/>
          <w:color w:val="auto"/>
        </w:rPr>
      </w:pPr>
    </w:p>
    <w:p>
      <w:pPr>
        <w:ind w:left="4" w:right="20" w:firstLine="419"/>
        <w:spacing w:after="0" w:line="252" w:lineRule="auto"/>
        <w:tabs>
          <w:tab w:leader="none" w:pos="68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the date hereof is as set forth in the SEC Reports. Except as set forth in the SEC Reports, the Company has not issued any capital stock since its most recently filed periodic or current report under the Exchange Act, other than pursuant to the exercise of employee stock options under the Company’s equity incentive plans, the issuance of shares of Common Stock to employees pursuant to the Company’s employee stock purchase plans and pursuant to the conversion and/or exercise of Common Stock Equivalents (i) outstanding as of the date of the most recently filed periodic report under the Exchange Act or (ii) that were issued following the most recently filed periodic report under the Exchange Act and disclosed in a current report under the Exchange Act. No Person has any right of first refusal, preemptive right, right of participation, or any similar right to participate in the transactions contemplated by the Transaction Documents.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w:t>
      </w:r>
    </w:p>
    <w:p>
      <w:pPr>
        <w:spacing w:after="0" w:line="12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4"/>
          </w:cols>
          <w:pgMar w:left="876" w:top="270" w:right="439" w:bottom="1440" w:gutter="0" w:footer="0" w:header="0"/>
        </w:sectPr>
      </w:pPr>
    </w:p>
    <w:bookmarkStart w:id="54" w:name="page55"/>
    <w:bookmarkEnd w:id="54"/>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other than the Stockholder Approval.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81" w:lineRule="exact"/>
        <w:rPr>
          <w:sz w:val="20"/>
          <w:szCs w:val="20"/>
          <w:color w:val="auto"/>
        </w:rPr>
      </w:pPr>
    </w:p>
    <w:p>
      <w:pPr>
        <w:ind w:left="4" w:right="40" w:firstLine="419"/>
        <w:spacing w:after="0" w:line="252" w:lineRule="auto"/>
        <w:tabs>
          <w:tab w:leader="none" w:pos="68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86" w:lineRule="exact"/>
        <w:rPr>
          <w:rFonts w:ascii="Times New Roman" w:cs="Times New Roman" w:eastAsia="Times New Roman" w:hAnsi="Times New Roman"/>
          <w:sz w:val="18"/>
          <w:szCs w:val="18"/>
          <w:color w:val="auto"/>
        </w:rPr>
      </w:pPr>
    </w:p>
    <w:p>
      <w:pPr>
        <w:ind w:left="4" w:firstLine="419"/>
        <w:spacing w:after="0" w:line="272" w:lineRule="auto"/>
        <w:tabs>
          <w:tab w:leader="none" w:pos="64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w:t>
      </w:r>
    </w:p>
    <w:p>
      <w:pPr>
        <w:spacing w:after="0" w:line="1" w:lineRule="exact"/>
        <w:rPr>
          <w:rFonts w:ascii="Times New Roman" w:cs="Times New Roman" w:eastAsia="Times New Roman" w:hAnsi="Times New Roman"/>
          <w:sz w:val="17"/>
          <w:szCs w:val="17"/>
          <w:color w:val="auto"/>
        </w:rPr>
      </w:pPr>
    </w:p>
    <w:p>
      <w:pPr>
        <w:ind w:left="4" w:right="60" w:hanging="4"/>
        <w:spacing w:after="0" w:line="260" w:lineRule="auto"/>
        <w:tabs>
          <w:tab w:leader="none" w:pos="29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payables and accrued expenses incurred in the ordinary course of business consistent with past practice and (B) liabilities not required to be reflected in the Company’s financial statements pursuant to GAAP or disclosed in filings</w:t>
      </w:r>
    </w:p>
    <w:p>
      <w:pPr>
        <w:spacing w:after="0" w:line="11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4"/>
          </w:cols>
          <w:pgMar w:left="876" w:top="270" w:right="439" w:bottom="1440" w:gutter="0" w:footer="0" w:header="0"/>
        </w:sectPr>
      </w:pPr>
    </w:p>
    <w:bookmarkStart w:id="55" w:name="page56"/>
    <w:bookmarkEnd w:id="55"/>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incentive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w:t>
      </w:r>
    </w:p>
    <w:p>
      <w:pPr>
        <w:ind w:left="244" w:hanging="244"/>
        <w:spacing w:after="0"/>
        <w:tabs>
          <w:tab w:leader="none" w:pos="2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prior to the date that this representation is made.</w:t>
      </w:r>
    </w:p>
    <w:p>
      <w:pPr>
        <w:spacing w:after="0" w:line="98"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4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“Action”).No Action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86" w:lineRule="exact"/>
        <w:rPr>
          <w:rFonts w:ascii="Times New Roman" w:cs="Times New Roman" w:eastAsia="Times New Roman" w:hAnsi="Times New Roman"/>
          <w:sz w:val="18"/>
          <w:szCs w:val="18"/>
          <w:color w:val="auto"/>
        </w:rPr>
      </w:pPr>
    </w:p>
    <w:p>
      <w:pPr>
        <w:ind w:left="4" w:right="100" w:firstLine="419"/>
        <w:spacing w:after="0" w:line="253" w:lineRule="auto"/>
        <w:tabs>
          <w:tab w:leader="none" w:pos="68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4"/>
          </w:cols>
          <w:pgMar w:left="876" w:top="270" w:right="479" w:bottom="1440" w:gutter="0" w:footer="0" w:header="0"/>
        </w:sectPr>
      </w:pPr>
    </w:p>
    <w:bookmarkStart w:id="56" w:name="page57"/>
    <w:bookmarkEnd w:id="56"/>
    <w:p>
      <w:pPr>
        <w:ind w:firstLine="419"/>
        <w:spacing w:after="0" w:line="254" w:lineRule="auto"/>
        <w:tabs>
          <w:tab w:leader="none" w:pos="6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86"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57" w:name="page58"/>
    <w:bookmarkEnd w:id="57"/>
    <w:p>
      <w:pPr>
        <w:ind w:right="120" w:firstLine="419"/>
        <w:spacing w:after="0" w:line="255" w:lineRule="auto"/>
        <w:tabs>
          <w:tab w:leader="none" w:pos="6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81"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75" w:lineRule="exact"/>
        <w:rPr>
          <w:rFonts w:ascii="Times New Roman" w:cs="Times New Roman" w:eastAsia="Times New Roman" w:hAnsi="Times New Roman"/>
          <w:sz w:val="18"/>
          <w:szCs w:val="18"/>
          <w:color w:val="auto"/>
        </w:rPr>
      </w:pPr>
    </w:p>
    <w:p>
      <w:pPr>
        <w:ind w:right="120" w:firstLine="419"/>
        <w:spacing w:after="0" w:line="258" w:lineRule="auto"/>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or as contemplated by this Agreement,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58" w:name="page59"/>
    <w:bookmarkEnd w:id="5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75" w:lineRule="exact"/>
        <w:rPr>
          <w:sz w:val="20"/>
          <w:szCs w:val="20"/>
          <w:color w:val="auto"/>
        </w:rPr>
      </w:pPr>
    </w:p>
    <w:p>
      <w:pPr>
        <w:ind w:firstLine="419"/>
        <w:spacing w:after="0" w:line="268" w:lineRule="auto"/>
        <w:tabs>
          <w:tab w:leader="none" w:pos="65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Sarbanes-Oxley; Internal Accounting Controls</w:t>
      </w:r>
      <w:r>
        <w:rPr>
          <w:rFonts w:ascii="Times New Roman" w:cs="Times New Roman" w:eastAsia="Times New Roman" w:hAnsi="Times New Roman"/>
          <w:sz w:val="17"/>
          <w:szCs w:val="17"/>
          <w:color w:val="auto"/>
        </w:rPr>
        <w:t>. The Company and the Subsidiaries are in compliance with any and all applicable 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7"/>
          <w:szCs w:val="17"/>
          <w:u w:val="single" w:color="auto"/>
          <w:color w:val="auto"/>
        </w:rPr>
        <w:t>Evaluation Date</w:t>
      </w:r>
      <w:r>
        <w:rPr>
          <w:rFonts w:ascii="Times New Roman" w:cs="Times New Roman" w:eastAsia="Times New Roman" w:hAnsi="Times New Roman"/>
          <w:sz w:val="17"/>
          <w:szCs w:val="17"/>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69" w:lineRule="exact"/>
        <w:rPr>
          <w:rFonts w:ascii="Times New Roman" w:cs="Times New Roman" w:eastAsia="Times New Roman" w:hAnsi="Times New Roman"/>
          <w:sz w:val="17"/>
          <w:szCs w:val="17"/>
          <w:color w:val="auto"/>
        </w:rPr>
      </w:pPr>
    </w:p>
    <w:p>
      <w:pPr>
        <w:ind w:firstLine="419"/>
        <w:spacing w:after="0" w:line="258" w:lineRule="auto"/>
        <w:tabs>
          <w:tab w:leader="none" w:pos="6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compensation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59" w:name="page60"/>
    <w:bookmarkEnd w:id="59"/>
    <w:p>
      <w:pPr>
        <w:ind w:firstLine="419"/>
        <w:spacing w:after="0" w:line="266" w:lineRule="auto"/>
        <w:tabs>
          <w:tab w:leader="none" w:pos="6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67"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6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disclosed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86" w:lineRule="exact"/>
        <w:rPr>
          <w:rFonts w:ascii="Times New Roman" w:cs="Times New Roman" w:eastAsia="Times New Roman" w:hAnsi="Times New Roman"/>
          <w:sz w:val="18"/>
          <w:szCs w:val="18"/>
          <w:color w:val="auto"/>
        </w:rPr>
      </w:pPr>
    </w:p>
    <w:p>
      <w:pPr>
        <w:ind w:right="60" w:firstLine="419"/>
        <w:spacing w:after="0" w:line="256" w:lineRule="auto"/>
        <w:tabs>
          <w:tab w:leader="none" w:pos="6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79" w:lineRule="exact"/>
        <w:rPr>
          <w:rFonts w:ascii="Times New Roman" w:cs="Times New Roman" w:eastAsia="Times New Roman" w:hAnsi="Times New Roman"/>
          <w:sz w:val="18"/>
          <w:szCs w:val="18"/>
          <w:color w:val="auto"/>
        </w:rPr>
      </w:pPr>
    </w:p>
    <w:p>
      <w:pPr>
        <w:ind w:right="60" w:firstLine="419"/>
        <w:spacing w:after="0" w:line="261" w:lineRule="auto"/>
        <w:tabs>
          <w:tab w:leader="none" w:pos="6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70" w:right="459" w:bottom="1440" w:gutter="0" w:footer="0" w:header="0"/>
        </w:sectPr>
      </w:pPr>
    </w:p>
    <w:bookmarkStart w:id="60" w:name="page61"/>
    <w:bookmarkEnd w:id="60"/>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84" w:lineRule="exact"/>
        <w:rPr>
          <w:sz w:val="20"/>
          <w:szCs w:val="20"/>
          <w:color w:val="auto"/>
        </w:rPr>
      </w:pPr>
    </w:p>
    <w:p>
      <w:pPr>
        <w:ind w:left="4" w:right="20" w:firstLine="419"/>
        <w:spacing w:after="0" w:line="270" w:lineRule="auto"/>
        <w:tabs>
          <w:tab w:leader="none" w:pos="75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Integrated Offering</w:t>
      </w:r>
      <w:r>
        <w:rPr>
          <w:rFonts w:ascii="Times New Roman" w:cs="Times New Roman" w:eastAsia="Times New Roman" w:hAnsi="Times New Roman"/>
          <w:sz w:val="17"/>
          <w:szCs w:val="17"/>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shareholder approval provisions of any Trading Market on which any of the securities of the Company are listed or designated.</w:t>
      </w:r>
    </w:p>
    <w:p>
      <w:pPr>
        <w:spacing w:after="0" w:line="98" w:lineRule="exact"/>
        <w:rPr>
          <w:rFonts w:ascii="Times New Roman" w:cs="Times New Roman" w:eastAsia="Times New Roman" w:hAnsi="Times New Roman"/>
          <w:sz w:val="18"/>
          <w:szCs w:val="18"/>
          <w:color w:val="auto"/>
        </w:rPr>
      </w:pPr>
    </w:p>
    <w:p>
      <w:pPr>
        <w:ind w:left="4" w:firstLine="419"/>
        <w:spacing w:after="0" w:line="252" w:lineRule="auto"/>
        <w:tabs>
          <w:tab w:leader="none" w:pos="7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and (ii)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cs="Times New Roman" w:eastAsia="Times New Roman" w:hAnsi="Times New Roman"/>
          <w:sz w:val="18"/>
          <w:szCs w:val="18"/>
          <w:u w:val="single" w:color="auto"/>
          <w:color w:val="auto"/>
        </w:rPr>
        <w:t>The SEC Reports</w:t>
      </w:r>
      <w:r>
        <w:rPr>
          <w:rFonts w:ascii="Times New Roman" w:cs="Times New Roman" w:eastAsia="Times New Roman" w:hAnsi="Times New Roman"/>
          <w:sz w:val="18"/>
          <w:szCs w:val="18"/>
          <w:color w:val="auto"/>
        </w:rPr>
        <w:t xml:space="preserve">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61" w:name="page62"/>
    <w:bookmarkEnd w:id="61"/>
    <w:p>
      <w:pPr>
        <w:ind w:left="4" w:right="200" w:firstLine="419"/>
        <w:spacing w:after="0" w:line="270" w:lineRule="auto"/>
        <w:tabs>
          <w:tab w:leader="none" w:pos="75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Status</w:t>
      </w:r>
      <w:r>
        <w:rPr>
          <w:rFonts w:ascii="Times New Roman" w:cs="Times New Roman" w:eastAsia="Times New Roman" w:hAnsi="Times New Roman"/>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7"/>
          <w:szCs w:val="17"/>
          <w:color w:val="auto"/>
        </w:rPr>
      </w:pPr>
    </w:p>
    <w:p>
      <w:pPr>
        <w:ind w:left="4" w:right="180" w:hanging="4"/>
        <w:spacing w:after="0" w:line="255" w:lineRule="auto"/>
        <w:tabs>
          <w:tab w:leader="none" w:pos="3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77" w:lineRule="exact"/>
        <w:rPr>
          <w:rFonts w:ascii="Times New Roman" w:cs="Times New Roman" w:eastAsia="Times New Roman" w:hAnsi="Times New Roman"/>
          <w:sz w:val="18"/>
          <w:szCs w:val="18"/>
          <w:color w:val="auto"/>
        </w:rPr>
      </w:pPr>
    </w:p>
    <w:p>
      <w:pPr>
        <w:jc w:val="both"/>
        <w:ind w:left="4" w:firstLine="419"/>
        <w:spacing w:after="0" w:line="266" w:lineRule="auto"/>
        <w:tabs>
          <w:tab w:leader="none" w:pos="7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67" w:lineRule="exact"/>
        <w:rPr>
          <w:rFonts w:ascii="Times New Roman" w:cs="Times New Roman" w:eastAsia="Times New Roman" w:hAnsi="Times New Roman"/>
          <w:sz w:val="18"/>
          <w:szCs w:val="18"/>
          <w:color w:val="auto"/>
        </w:rPr>
      </w:pPr>
    </w:p>
    <w:p>
      <w:pPr>
        <w:ind w:left="4" w:firstLine="419"/>
        <w:spacing w:after="0" w:line="256" w:lineRule="auto"/>
        <w:tabs>
          <w:tab w:leader="none" w:pos="75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79" w:lineRule="exact"/>
        <w:rPr>
          <w:rFonts w:ascii="Times New Roman" w:cs="Times New Roman" w:eastAsia="Times New Roman" w:hAnsi="Times New Roman"/>
          <w:sz w:val="18"/>
          <w:szCs w:val="18"/>
          <w:color w:val="auto"/>
        </w:rPr>
      </w:pPr>
    </w:p>
    <w:p>
      <w:pPr>
        <w:ind w:left="4" w:firstLine="419"/>
        <w:spacing w:after="0" w:line="266" w:lineRule="auto"/>
        <w:tabs>
          <w:tab w:leader="none" w:pos="7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2025.</w:t>
      </w:r>
    </w:p>
    <w:p>
      <w:pPr>
        <w:spacing w:after="0" w:line="6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7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4"/>
          </w:cols>
          <w:pgMar w:left="876" w:top="270" w:right="459" w:bottom="1440" w:gutter="0" w:footer="0" w:header="0"/>
        </w:sectPr>
      </w:pPr>
    </w:p>
    <w:bookmarkStart w:id="62" w:name="page63"/>
    <w:bookmarkEnd w:id="62"/>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75" w:lineRule="exact"/>
        <w:rPr>
          <w:sz w:val="20"/>
          <w:szCs w:val="20"/>
          <w:color w:val="auto"/>
        </w:rPr>
      </w:pPr>
    </w:p>
    <w:p>
      <w:pPr>
        <w:ind w:right="60" w:firstLine="419"/>
        <w:spacing w:after="0" w:line="252" w:lineRule="auto"/>
        <w:tabs>
          <w:tab w:leader="none" w:pos="6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89" w:lineRule="exact"/>
        <w:rPr>
          <w:rFonts w:ascii="Times New Roman" w:cs="Times New Roman" w:eastAsia="Times New Roman" w:hAnsi="Times New Roman"/>
          <w:sz w:val="18"/>
          <w:szCs w:val="18"/>
          <w:color w:val="auto"/>
        </w:rPr>
      </w:pPr>
    </w:p>
    <w:p>
      <w:pPr>
        <w:ind w:firstLine="419"/>
        <w:spacing w:after="0" w:line="258" w:lineRule="auto"/>
        <w:tabs>
          <w:tab w:leader="none" w:pos="6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75" w:lineRule="exact"/>
        <w:rPr>
          <w:rFonts w:ascii="Times New Roman" w:cs="Times New Roman" w:eastAsia="Times New Roman" w:hAnsi="Times New Roman"/>
          <w:sz w:val="18"/>
          <w:szCs w:val="18"/>
          <w:color w:val="auto"/>
        </w:rPr>
      </w:pPr>
    </w:p>
    <w:p>
      <w:pPr>
        <w:ind w:right="40" w:firstLine="419"/>
        <w:spacing w:after="0" w:line="266" w:lineRule="auto"/>
        <w:tabs>
          <w:tab w:leader="none" w:pos="7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40"/>
          </w:cols>
          <w:pgMar w:left="880" w:top="270" w:right="479" w:bottom="1440" w:gutter="0" w:footer="0" w:header="0"/>
        </w:sectPr>
      </w:pPr>
    </w:p>
    <w:bookmarkStart w:id="63" w:name="page64"/>
    <w:bookmarkEnd w:id="63"/>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w:t>
      </w:r>
    </w:p>
    <w:p>
      <w:pPr>
        <w:spacing w:after="0" w:line="2" w:lineRule="exact"/>
        <w:rPr>
          <w:sz w:val="20"/>
          <w:szCs w:val="20"/>
          <w:color w:val="auto"/>
        </w:rPr>
      </w:pPr>
    </w:p>
    <w:p>
      <w:pPr>
        <w:ind w:left="4" w:right="100" w:hanging="4"/>
        <w:spacing w:after="0" w:line="252" w:lineRule="auto"/>
        <w:tabs>
          <w:tab w:leader="none" w:pos="3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81"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80" w:firstLine="419"/>
        <w:spacing w:after="0" w:line="256" w:lineRule="auto"/>
        <w:tabs>
          <w:tab w:leader="none" w:pos="87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70" w:right="459" w:bottom="1440" w:gutter="0" w:footer="0" w:header="0"/>
        </w:sectPr>
      </w:pPr>
    </w:p>
    <w:bookmarkStart w:id="64" w:name="page65"/>
    <w:bookmarkEnd w:id="64"/>
    <w:p>
      <w:pPr>
        <w:ind w:left="4" w:right="40" w:firstLine="419"/>
        <w:spacing w:after="0" w:line="272" w:lineRule="auto"/>
        <w:tabs>
          <w:tab w:leader="none" w:pos="77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Cybersecurity</w:t>
      </w:r>
      <w:r>
        <w:rPr>
          <w:rFonts w:ascii="Times New Roman" w:cs="Times New Roman" w:eastAsia="Times New Roman" w:hAnsi="Times New Roman"/>
          <w:sz w:val="17"/>
          <w:szCs w:val="17"/>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7"/>
          <w:szCs w:val="17"/>
          <w:u w:val="single" w:color="auto"/>
          <w:color w:val="auto"/>
        </w:rPr>
        <w:t>IT Systems and Data</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85" w:lineRule="exact"/>
        <w:rPr>
          <w:rFonts w:ascii="Times New Roman" w:cs="Times New Roman" w:eastAsia="Times New Roman" w:hAnsi="Times New Roman"/>
          <w:sz w:val="18"/>
          <w:szCs w:val="18"/>
          <w:color w:val="auto"/>
        </w:rPr>
      </w:pPr>
    </w:p>
    <w:p>
      <w:pPr>
        <w:ind w:left="4" w:right="60" w:firstLine="419"/>
        <w:spacing w:after="0" w:line="252" w:lineRule="auto"/>
        <w:tabs>
          <w:tab w:leader="none" w:pos="77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70" w:right="459" w:bottom="1440" w:gutter="0" w:footer="0" w:header="0"/>
        </w:sectPr>
      </w:pPr>
    </w:p>
    <w:bookmarkStart w:id="65" w:name="page66"/>
    <w:bookmarkEnd w:id="65"/>
    <w:p>
      <w:pPr>
        <w:jc w:val="both"/>
        <w:ind w:right="320" w:firstLine="419"/>
        <w:spacing w:after="0" w:line="266" w:lineRule="auto"/>
        <w:tabs>
          <w:tab w:leader="none" w:pos="7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220" w:firstLine="419"/>
        <w:spacing w:after="0" w:line="282" w:lineRule="auto"/>
        <w:tabs>
          <w:tab w:leader="none" w:pos="7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53" w:lineRule="exact"/>
        <w:rPr>
          <w:rFonts w:ascii="Times New Roman" w:cs="Times New Roman" w:eastAsia="Times New Roman" w:hAnsi="Times New Roman"/>
          <w:sz w:val="18"/>
          <w:szCs w:val="18"/>
          <w:color w:val="auto"/>
        </w:rPr>
      </w:pPr>
    </w:p>
    <w:p>
      <w:pPr>
        <w:ind w:right="40" w:firstLine="419"/>
        <w:spacing w:after="0" w:line="256" w:lineRule="auto"/>
        <w:tabs>
          <w:tab w:leader="none" w:pos="70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79" w:lineRule="exact"/>
        <w:rPr>
          <w:rFonts w:ascii="Times New Roman" w:cs="Times New Roman" w:eastAsia="Times New Roman" w:hAnsi="Times New Roman"/>
          <w:sz w:val="18"/>
          <w:szCs w:val="18"/>
          <w:color w:val="auto"/>
        </w:rPr>
      </w:pPr>
    </w:p>
    <w:p>
      <w:pPr>
        <w:ind w:firstLine="419"/>
        <w:spacing w:after="0" w:line="258" w:lineRule="auto"/>
        <w:tabs>
          <w:tab w:leader="none" w:pos="7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75" w:lineRule="exact"/>
        <w:rPr>
          <w:rFonts w:ascii="Times New Roman" w:cs="Times New Roman" w:eastAsia="Times New Roman" w:hAnsi="Times New Roman"/>
          <w:sz w:val="18"/>
          <w:szCs w:val="18"/>
          <w:color w:val="auto"/>
        </w:rPr>
      </w:pPr>
    </w:p>
    <w:p>
      <w:pPr>
        <w:ind w:right="40" w:firstLine="419"/>
        <w:spacing w:after="0" w:line="254" w:lineRule="auto"/>
        <w:tabs>
          <w:tab w:leader="none" w:pos="6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66" w:name="page67"/>
    <w:bookmarkEnd w:id="66"/>
    <w:p>
      <w:pPr>
        <w:ind w:left="440" w:right="480" w:firstLine="419"/>
        <w:spacing w:after="0" w:line="266" w:lineRule="auto"/>
        <w:tabs>
          <w:tab w:leader="none" w:pos="12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2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68" w:lineRule="exact"/>
        <w:rPr>
          <w:sz w:val="20"/>
          <w:szCs w:val="20"/>
          <w:color w:val="auto"/>
        </w:rPr>
      </w:pPr>
    </w:p>
    <w:p>
      <w:pPr>
        <w:ind w:left="440" w:firstLine="419"/>
        <w:spacing w:after="0" w:line="253" w:lineRule="auto"/>
        <w:tabs>
          <w:tab w:leader="none" w:pos="11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understands that the Securities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67" w:name="page68"/>
    <w:bookmarkEnd w:id="67"/>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understandings with any other persons to distribute or regarding the distribution of such Securities in violation of the Securities Act or any applicable state securities law (this representation and warranty not limiting such Purchaser’s right to sell such Securities pursuant to the Registration Statement or otherwise in compliance with applicable federal and state securities laws). Such Purchaser is acquiring the Securities hereunder in the ordinary course of its business.</w:t>
      </w:r>
    </w:p>
    <w:p>
      <w:pPr>
        <w:spacing w:after="0" w:line="72" w:lineRule="exact"/>
        <w:rPr>
          <w:sz w:val="20"/>
          <w:szCs w:val="20"/>
          <w:color w:val="auto"/>
        </w:rPr>
      </w:pPr>
    </w:p>
    <w:p>
      <w:pPr>
        <w:jc w:val="both"/>
        <w:ind w:right="60" w:firstLine="419"/>
        <w:spacing w:after="0" w:line="266" w:lineRule="auto"/>
        <w:tabs>
          <w:tab w:leader="none" w:pos="6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spacing w:after="0" w:line="67" w:lineRule="exact"/>
        <w:rPr>
          <w:rFonts w:ascii="Times New Roman" w:cs="Times New Roman" w:eastAsia="Times New Roman" w:hAnsi="Times New Roman"/>
          <w:sz w:val="18"/>
          <w:szCs w:val="18"/>
          <w:color w:val="auto"/>
        </w:rPr>
      </w:pPr>
    </w:p>
    <w:p>
      <w:pPr>
        <w:jc w:val="both"/>
        <w:ind w:right="100" w:firstLine="419"/>
        <w:spacing w:after="0" w:line="261"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71" w:lineRule="exact"/>
        <w:rPr>
          <w:rFonts w:ascii="Times New Roman" w:cs="Times New Roman" w:eastAsia="Times New Roman" w:hAnsi="Times New Roman"/>
          <w:sz w:val="18"/>
          <w:szCs w:val="18"/>
          <w:color w:val="auto"/>
        </w:rPr>
      </w:pPr>
    </w:p>
    <w:p>
      <w:pPr>
        <w:ind w:firstLine="419"/>
        <w:spacing w:after="0" w:line="253" w:lineRule="auto"/>
        <w:tabs>
          <w:tab w:leader="none" w:pos="6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81" w:lineRule="exact"/>
        <w:rPr>
          <w:rFonts w:ascii="Times New Roman" w:cs="Times New Roman" w:eastAsia="Times New Roman" w:hAnsi="Times New Roman"/>
          <w:sz w:val="18"/>
          <w:szCs w:val="18"/>
          <w:color w:val="auto"/>
        </w:rPr>
      </w:pPr>
    </w:p>
    <w:p>
      <w:pPr>
        <w:ind w:firstLine="419"/>
        <w:spacing w:after="0" w:line="258"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40"/>
          </w:cols>
          <w:pgMar w:left="880" w:top="270" w:right="479" w:bottom="1440" w:gutter="0" w:footer="0" w:header="0"/>
        </w:sectPr>
      </w:pPr>
    </w:p>
    <w:bookmarkStart w:id="68" w:name="page69"/>
    <w:bookmarkEnd w:id="68"/>
    <w:p>
      <w:pPr>
        <w:ind w:left="44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80" w:lineRule="exact"/>
        <w:rPr>
          <w:sz w:val="20"/>
          <w:szCs w:val="20"/>
          <w:color w:val="auto"/>
        </w:rPr>
      </w:pPr>
    </w:p>
    <w:p>
      <w:pPr>
        <w:ind w:left="440" w:right="20" w:firstLine="419"/>
        <w:spacing w:after="0" w:line="266" w:lineRule="auto"/>
        <w:tabs>
          <w:tab w:leader="none" w:pos="11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5" w:lineRule="auto"/>
        <w:tabs>
          <w:tab w:leader="none" w:pos="11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only be disposed of in compliance with state and federal securities laws. In connection with any transfer of the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69" w:name="page70"/>
    <w:bookmarkEnd w:id="69"/>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Purchasers agree to the imprinting, so long as is required by this Section 4.1, of a legend on any of the Securities in the following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form:</w:t>
      </w:r>
    </w:p>
    <w:p>
      <w:pPr>
        <w:spacing w:after="0" w:line="9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86" w:lineRule="exact"/>
        <w:rPr>
          <w:sz w:val="20"/>
          <w:szCs w:val="20"/>
          <w:color w:val="auto"/>
        </w:rPr>
      </w:pPr>
    </w:p>
    <w:p>
      <w:pPr>
        <w:ind w:left="4" w:right="20" w:firstLine="423"/>
        <w:spacing w:after="0" w:line="268" w:lineRule="auto"/>
        <w:rPr>
          <w:sz w:val="20"/>
          <w:szCs w:val="20"/>
          <w:color w:val="auto"/>
        </w:rPr>
      </w:pPr>
      <w:r>
        <w:rPr>
          <w:rFonts w:ascii="Times New Roman" w:cs="Times New Roman" w:eastAsia="Times New Roman" w:hAnsi="Times New Roman"/>
          <w:sz w:val="17"/>
          <w:szCs w:val="17"/>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w:t>
      </w:r>
    </w:p>
    <w:p>
      <w:pPr>
        <w:ind w:left="4" w:right="80" w:hanging="4"/>
        <w:spacing w:after="0" w:line="260" w:lineRule="auto"/>
        <w:tabs>
          <w:tab w:leader="none" w:pos="2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or other applicable provision of the Securities Act to appropriately amend the list of Selling Stockholders (as defined in the Registration Rights Agreement) thereunder.</w:t>
      </w:r>
    </w:p>
    <w:p>
      <w:pPr>
        <w:spacing w:after="0" w:line="73" w:lineRule="exact"/>
        <w:rPr>
          <w:rFonts w:ascii="Times New Roman" w:cs="Times New Roman" w:eastAsia="Times New Roman" w:hAnsi="Times New Roman"/>
          <w:sz w:val="18"/>
          <w:szCs w:val="18"/>
          <w:color w:val="auto"/>
        </w:rPr>
      </w:pPr>
    </w:p>
    <w:p>
      <w:pPr>
        <w:ind w:left="4" w:right="60" w:firstLine="419"/>
        <w:spacing w:after="0" w:line="258" w:lineRule="auto"/>
        <w:tabs>
          <w:tab w:leader="none" w:pos="67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Shares and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Warrant Shares pursuant to Rule 144 (assuming cashless exercise of the Warrants), (iii) if such Shares or Warrant Shares are eligible for sale under Rule 144 (assuming cashless exercise of the Warrants), without the requirement for the Company to be in compliance</w:t>
      </w:r>
    </w:p>
    <w:p>
      <w:pPr>
        <w:spacing w:after="0" w:line="116"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24"/>
          </w:cols>
          <w:pgMar w:left="876" w:top="270" w:right="499" w:bottom="1440" w:gutter="0" w:footer="0" w:header="0"/>
        </w:sectPr>
      </w:pPr>
    </w:p>
    <w:bookmarkStart w:id="70" w:name="page71"/>
    <w:bookmarkEnd w:id="7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current public information required under Rule 144 as to such Shares and Warrant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(assuming cashless exercise of the Warrants),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longer required under this Section 4.1(c), it will, no later than the earlier of (i) one (1) Trading Day and (ii) the number of Trading Days comprising the Standard Settlement Period (as defined below) following the delivery by a Purchaser to the Company or the Transfer Agent of a certificate representing Shares or Warrant Shares, as the case may be,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Shares or Warrant Shares, as the case may be, issued with a restrictive legend.</w:t>
      </w:r>
    </w:p>
    <w:p>
      <w:pPr>
        <w:spacing w:after="0" w:line="81" w:lineRule="exact"/>
        <w:rPr>
          <w:sz w:val="20"/>
          <w:szCs w:val="20"/>
          <w:color w:val="auto"/>
        </w:rPr>
      </w:pPr>
    </w:p>
    <w:p>
      <w:pPr>
        <w:ind w:firstLine="419"/>
        <w:spacing w:after="0" w:line="254" w:lineRule="auto"/>
        <w:tabs>
          <w:tab w:leader="none" w:pos="67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w:t>
      </w:r>
    </w:p>
    <w:p>
      <w:pPr>
        <w:spacing w:after="0" w:line="1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00"/>
          </w:cols>
          <w:pgMar w:left="880" w:top="270" w:right="519" w:bottom="1440" w:gutter="0" w:footer="0" w:header="0"/>
        </w:sectPr>
      </w:pPr>
    </w:p>
    <w:bookmarkStart w:id="71" w:name="page72"/>
    <w:bookmarkEnd w:id="71"/>
    <w:p>
      <w:pPr>
        <w:ind w:left="42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Shares 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or Warrant Shares (as the case may be) and ending on the date of such delivery and payment under this Section 4(d).</w:t>
      </w:r>
    </w:p>
    <w:p>
      <w:pPr>
        <w:spacing w:after="0" w:line="81" w:lineRule="exact"/>
        <w:rPr>
          <w:sz w:val="20"/>
          <w:szCs w:val="20"/>
          <w:color w:val="auto"/>
        </w:rPr>
      </w:pPr>
    </w:p>
    <w:p>
      <w:pPr>
        <w:ind w:left="420" w:right="40" w:firstLine="419"/>
        <w:spacing w:after="0" w:line="258" w:lineRule="auto"/>
        <w:tabs>
          <w:tab w:leader="none" w:pos="108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436"/>
        <w:spacing w:after="0" w:line="261" w:lineRule="auto"/>
        <w:tabs>
          <w:tab w:leader="none" w:pos="6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or (ii) the Warrants have expired, the Company covenants to take reasonable steps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w:t>
      </w:r>
    </w:p>
    <w:p>
      <w:pPr>
        <w:spacing w:after="0" w:line="179" w:lineRule="exact"/>
        <w:rPr>
          <w:rFonts w:ascii="Times New Roman" w:cs="Times New Roman" w:eastAsia="Times New Roman" w:hAnsi="Times New Roman"/>
          <w:sz w:val="18"/>
          <w:szCs w:val="18"/>
          <w:color w:val="auto"/>
        </w:rPr>
      </w:pPr>
    </w:p>
    <w:p>
      <w:pPr>
        <w:ind w:left="-20" w:firstLine="436"/>
        <w:spacing w:after="0" w:line="242" w:lineRule="auto"/>
        <w:tabs>
          <w:tab w:leader="none" w:pos="6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Securities, an amount in cash equal to two percent (2.0%) of the Subscription Amount of such Purchaser’s Securities on the day of a Public Information Failure and on every thirtieth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Shares and Warrant Shares pursuant to Rule 144.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 the last day of</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60" w:top="270" w:right="459" w:bottom="1440" w:gutter="0" w:footer="0" w:header="0"/>
        </w:sectPr>
      </w:pPr>
    </w:p>
    <w:bookmarkStart w:id="72" w:name="page73"/>
    <w:bookmarkEnd w:id="72"/>
    <w:p>
      <w:pPr>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calendar month during which such Public Information Failure Payments are incurred and (ii)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the Purchaser shall not be in possession of any material, non-public information received from the Company or any of its representatives or agents, other than such Purchasers who have expressly consented to the receipt of material non-public information other than in respect of the Agreement and the transactions contemplated thereby or otherwise received such information in such Purchaser’s capacity as an officer, director or employee of the Company or an Affiliate thereof (any such Purchasers, the “</w:t>
      </w:r>
      <w:r>
        <w:rPr>
          <w:rFonts w:ascii="Times New Roman" w:cs="Times New Roman" w:eastAsia="Times New Roman" w:hAnsi="Times New Roman"/>
          <w:sz w:val="18"/>
          <w:szCs w:val="18"/>
          <w:b w:val="1"/>
          <w:bCs w:val="1"/>
          <w:i w:val="1"/>
          <w:iCs w:val="1"/>
          <w:color w:val="auto"/>
        </w:rPr>
        <w:t>MNPI Accepting Purchasers</w:t>
      </w:r>
      <w:r>
        <w:rPr>
          <w:rFonts w:ascii="Times New Roman" w:cs="Times New Roman" w:eastAsia="Times New Roman" w:hAnsi="Times New Roman"/>
          <w:sz w:val="18"/>
          <w:szCs w:val="18"/>
          <w:color w:val="auto"/>
        </w:rPr>
        <w:t>”). In addition, effective upon the issuance of such press release, the Company acknowledges and agrees no Purchaser other than the MNPI Accepting Purchasers shall have (unless expressly agreed to by such Purchaser after the date hereof in a written definitive and binding agreement executed by the Company and such Purchaser or by reason of such Purchaser’s status as a Person subject to the Company’s insider trading policies or an Affiliate of such Person) any duty of trust or confidence with respect to, or any duty not to trade in any securities while aware of, any material non-public or any other information regarding the Company or any of its securities.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73" w:name="page74"/>
    <w:bookmarkEnd w:id="7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(except any MNPI Accepting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74" w:name="page75"/>
    <w:bookmarkEnd w:id="74"/>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xml:space="preserve">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Warrant Shares issued and issuable upon exercise of the Warrants,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75" w:name="page76"/>
    <w:bookmarkEnd w:id="75"/>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87"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ind w:left="4" w:right="60" w:firstLine="440"/>
        <w:spacing w:after="0" w:line="267" w:lineRule="auto"/>
        <w:rPr>
          <w:sz w:val="20"/>
          <w:szCs w:val="20"/>
          <w:color w:val="auto"/>
        </w:rPr>
      </w:pPr>
      <w:r>
        <w:rPr>
          <w:rFonts w:ascii="Times New Roman" w:cs="Times New Roman" w:eastAsia="Times New Roman" w:hAnsi="Times New Roman"/>
          <w:sz w:val="17"/>
          <w:szCs w:val="17"/>
          <w:color w:val="auto"/>
        </w:rPr>
        <w:t xml:space="preserve">4.10 </w:t>
      </w:r>
      <w:r>
        <w:rPr>
          <w:rFonts w:ascii="Times New Roman" w:cs="Times New Roman" w:eastAsia="Times New Roman" w:hAnsi="Times New Roman"/>
          <w:sz w:val="17"/>
          <w:szCs w:val="17"/>
          <w:u w:val="single" w:color="auto"/>
          <w:color w:val="auto"/>
        </w:rPr>
        <w:t>Listing of Common Stock</w:t>
      </w:r>
      <w:r>
        <w:rPr>
          <w:rFonts w:ascii="Times New Roman" w:cs="Times New Roman" w:eastAsia="Times New Roman" w:hAnsi="Times New Roman"/>
          <w:sz w:val="17"/>
          <w:szCs w:val="17"/>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seek Stockholder Approval no later than ninety (90) days following the date of this Agreement at its next annual or special meeting of stockholders, with the recommendation of the Company’s Board of Directors that such proposal is approved, and the Company shall either (i) obtain a written consent in lieu of a meeting from its stockholders or</w:t>
      </w:r>
    </w:p>
    <w:p>
      <w:pPr>
        <w:spacing w:after="0" w:line="1" w:lineRule="exact"/>
        <w:rPr>
          <w:sz w:val="20"/>
          <w:szCs w:val="20"/>
          <w:color w:val="auto"/>
        </w:rPr>
      </w:pPr>
    </w:p>
    <w:p>
      <w:pPr>
        <w:ind w:left="4" w:right="20" w:hanging="4"/>
        <w:spacing w:after="0" w:line="252" w:lineRule="auto"/>
        <w:tabs>
          <w:tab w:leader="none" w:pos="26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proxies from its stockholders in connection therewith in the same manner as all other management proposals in such proxy statement and all management appointed proxyholders shall vote their proxies in favor of such proposals. In the case of an annual or special meeting of stockholders, if the Company does not obtain Stockholder Approval at the first annual or special meeting, the Company shall call a meeting every ninety (90) days thereafter to seek Stockholder Approval until the earlier of the date on which Stockholder Approval is obtained or the Common Warrants are no longer outstanding. Each Purchaser covenants that if such Purchaser holds any Shares or Pre-Funded Warrant Shares as of the record date of such meeting, such Purchaser shall not vote such Shares or Pre-Funded Warrant Shares on the proposal for Stockholder Approval at such meeting.</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70" w:right="439" w:bottom="1440" w:gutter="0" w:footer="0" w:header="0"/>
        </w:sectPr>
      </w:pPr>
    </w:p>
    <w:bookmarkStart w:id="76" w:name="page77"/>
    <w:bookmarkEnd w:id="76"/>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date hereof until thirty (30) days following the Effective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as contemplated pursuant to the Registration Rights Agreement or filing a registration statement on Form S-8 in connection with any employee compensation plan; provided, however, that this Section 4.11(a) shall not apply to (i) any issuance or sale of equity securities pursuant to that certain funding commitment letter, dated November 19, 2025, by and between the Company and Factor Bioscience Inc., (ii) any registration statements contemplated by the Asset Purchase Agreement, and (iii) the registration of warrants described in the Company’s Current Report on Form 8-K filed with the Commission on February 6, 2026.</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77" w:name="page78"/>
    <w:bookmarkEnd w:id="77"/>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4.14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Exercise Procedures</w:t>
      </w:r>
      <w:r>
        <w:rPr>
          <w:rFonts w:ascii="Times New Roman" w:cs="Times New Roman" w:eastAsia="Times New Roman" w:hAnsi="Times New Roman"/>
          <w:sz w:val="17"/>
          <w:szCs w:val="17"/>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68" w:lineRule="exact"/>
        <w:rPr>
          <w:sz w:val="20"/>
          <w:szCs w:val="20"/>
          <w:color w:val="auto"/>
        </w:rPr>
      </w:pPr>
    </w:p>
    <w:p>
      <w:pPr>
        <w:ind w:right="4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If required,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80" w:firstLine="440"/>
        <w:spacing w:after="0" w:line="23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9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78" w:name="page79"/>
    <w:bookmarkEnd w:id="78"/>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ind w:firstLine="440"/>
        <w:spacing w:after="0" w:line="24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9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the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79" w:name="page80"/>
    <w:bookmarkEnd w:id="79"/>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80" w:name="page81"/>
    <w:bookmarkEnd w:id="80"/>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spacing w:after="0" w:line="18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81" w:name="page82"/>
    <w:bookmarkEnd w:id="81"/>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82" w:name="page83"/>
    <w:bookmarkEnd w:id="82"/>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5.21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IN ANY ACTION, SUIT, OR PROCEEDING IN ANY JURISDICTION BROUGHT BY ANY PARTY</w:t>
      </w:r>
    </w:p>
    <w:p>
      <w:pPr>
        <w:spacing w:after="0" w:line="4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440" w:top="270" w:right="519" w:bottom="1440" w:gutter="0" w:footer="0" w:header="0"/>
        </w:sectPr>
      </w:pPr>
    </w:p>
    <w:bookmarkStart w:id="83" w:name="page84"/>
    <w:bookmarkEnd w:id="8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c>
          <w:tcPr>
            <w:tcW w:w="2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45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1420" w:type="dxa"/>
            <w:vAlign w:val="bottom"/>
            <w:tcBorders>
              <w:top w:val="single" w:sz="8" w:color="auto"/>
            </w:tcBorders>
          </w:tcPr>
          <w:p>
            <w:pPr>
              <w:spacing w:after="0"/>
              <w:rPr>
                <w:sz w:val="24"/>
                <w:szCs w:val="24"/>
                <w:color w:val="auto"/>
              </w:rPr>
            </w:pPr>
          </w:p>
        </w:tc>
      </w:tr>
      <w:tr>
        <w:trPr>
          <w:trHeight w:val="191"/>
        </w:trPr>
        <w:tc>
          <w:tcPr>
            <w:tcW w:w="320" w:type="dxa"/>
            <w:vAlign w:val="bottom"/>
          </w:tcPr>
          <w:p>
            <w:pPr>
              <w:spacing w:after="0"/>
              <w:rPr>
                <w:sz w:val="16"/>
                <w:szCs w:val="16"/>
                <w:color w:val="auto"/>
              </w:rPr>
            </w:pPr>
          </w:p>
        </w:tc>
        <w:tc>
          <w:tcPr>
            <w:tcW w:w="50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100" w:type="dxa"/>
            <w:vAlign w:val="bottom"/>
            <w:gridSpan w:val="2"/>
          </w:tcPr>
          <w:p>
            <w:pPr>
              <w:ind w:left="680"/>
              <w:spacing w:after="0" w:line="191" w:lineRule="exact"/>
              <w:rPr>
                <w:sz w:val="20"/>
                <w:szCs w:val="20"/>
                <w:color w:val="auto"/>
              </w:rPr>
            </w:pPr>
            <w:r>
              <w:rPr>
                <w:rFonts w:ascii="Times New Roman" w:cs="Times New Roman" w:eastAsia="Times New Roman" w:hAnsi="Times New Roman"/>
                <w:sz w:val="18"/>
                <w:szCs w:val="18"/>
                <w:color w:val="auto"/>
              </w:rPr>
              <w:t>E-Mail:</w:t>
            </w:r>
          </w:p>
        </w:tc>
      </w:tr>
      <w:tr>
        <w:trPr>
          <w:trHeight w:val="234"/>
        </w:trPr>
        <w:tc>
          <w:tcPr>
            <w:tcW w:w="320" w:type="dxa"/>
            <w:vAlign w:val="bottom"/>
          </w:tcPr>
          <w:p>
            <w:pPr>
              <w:spacing w:after="0"/>
              <w:rPr>
                <w:sz w:val="20"/>
                <w:szCs w:val="20"/>
                <w:color w:val="auto"/>
              </w:rPr>
            </w:pPr>
          </w:p>
        </w:tc>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98"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380"/>
          </w:cols>
          <w:pgMar w:left="440" w:top="270" w:right="1079" w:bottom="1440" w:gutter="0" w:footer="0" w:header="0"/>
        </w:sectPr>
      </w:pPr>
    </w:p>
    <w:bookmarkStart w:id="84" w:name="page85"/>
    <w:bookmarkEnd w:id="84"/>
    <w:p>
      <w:pPr>
        <w:jc w:val="center"/>
        <w:ind w:right="-2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SIGNATURE PAGES TO TPST SECURITIES PURCHASE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Warrants: 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Series A Warrants: 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Series B Warrants: 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720"/>
          </w:cols>
          <w:pgMar w:left="440" w:top="270" w:right="739" w:bottom="1440" w:gutter="0" w:footer="0" w:header="0"/>
        </w:sectPr>
      </w:pPr>
    </w:p>
    <w:bookmarkStart w:id="85" w:name="page86"/>
    <w:bookmarkEnd w:id="85"/>
    <w:p>
      <w:pPr>
        <w:ind w:left="1008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March 20, 2026, by and between Tempest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each Purchaser hereby agree as follows:</w:t>
      </w:r>
    </w:p>
    <w:p>
      <w:pPr>
        <w:spacing w:after="0" w:line="117" w:lineRule="exact"/>
        <w:rPr>
          <w:sz w:val="20"/>
          <w:szCs w:val="20"/>
          <w:color w:val="auto"/>
        </w:rPr>
      </w:pPr>
    </w:p>
    <w:p>
      <w:pPr>
        <w:ind w:left="620" w:hanging="184"/>
        <w:spacing w:after="0"/>
        <w:tabs>
          <w:tab w:leader="none" w:pos="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6(d).</w:t>
      </w:r>
    </w:p>
    <w:p>
      <w:pPr>
        <w:spacing w:after="0" w:line="117" w:lineRule="exact"/>
        <w:rPr>
          <w:sz w:val="20"/>
          <w:szCs w:val="20"/>
          <w:color w:val="auto"/>
        </w:rPr>
      </w:pPr>
    </w:p>
    <w:p>
      <w:pPr>
        <w:ind w:left="440" w:right="20" w:firstLine="423"/>
        <w:spacing w:after="0" w:line="21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Initial Registration Statement required to be filed hereunder,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hereof (or, in the event of a “full review” by the Commission,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hereof) and with respect to any additional Registration Statements which may be required pursuant to Section 2(c) or Section 3(c),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on which an additional Registration Statement is required to be filed hereunder (or, in the event of a “full review” by the Commission,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date such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in writing if such date precedes the dates otherwise required above, provided, further, if such Effectiveness Date falls on a day that is not a Trading Day, then the Effectiveness Date shall be the next succeeding Trading Day. Notwithstanding anything to the contrary set forth herein, if the U.S. federal government is “shutdown” due to a budget impasse on any day following the filing of the Initial Registration Statement or any additional Registration Statement, the “Effectiveness Date” deadlines set forth herein shall be automatically extended for each day of such “shutdown” after such filing.</w:t>
      </w:r>
    </w:p>
    <w:p>
      <w:pPr>
        <w:sectPr>
          <w:pgSz w:w="11900" w:h="16838" w:orient="portrait"/>
          <w:cols w:equalWidth="0" w:num="1">
            <w:col w:w="11020"/>
          </w:cols>
          <w:pgMar w:left="440" w:top="117" w:right="439" w:bottom="1440" w:gutter="0" w:footer="0" w:header="0"/>
        </w:sectPr>
      </w:pPr>
    </w:p>
    <w:bookmarkStart w:id="86" w:name="page87"/>
    <w:bookmarkEnd w:id="8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117" w:lineRule="exact"/>
        <w:rPr>
          <w:sz w:val="20"/>
          <w:szCs w:val="20"/>
          <w:color w:val="auto"/>
        </w:rPr>
      </w:pPr>
    </w:p>
    <w:p>
      <w:pPr>
        <w:ind w:firstLine="423"/>
        <w:spacing w:after="0" w:line="23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Filing Date</w:t>
      </w:r>
      <w:r>
        <w:rPr>
          <w:rFonts w:ascii="Times New Roman" w:cs="Times New Roman" w:eastAsia="Times New Roman" w:hAnsi="Times New Roman"/>
          <w:sz w:val="17"/>
          <w:szCs w:val="17"/>
          <w:color w:val="auto"/>
        </w:rPr>
        <w:t>” means, with respect to the Initial Registration Statement required hereunder,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calendar day following the date hereof and, with respect to any additional Registration Statements which may be required pursuant to Section 2(c) or Section 3(c), the earliest practicable date on which the Company is permitted by SEC Guidance to file such additional Registration Statement related to the Registrable Securities.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117" w:lineRule="exact"/>
        <w:rPr>
          <w:sz w:val="20"/>
          <w:szCs w:val="20"/>
          <w:color w:val="auto"/>
        </w:rPr>
      </w:pPr>
    </w:p>
    <w:p>
      <w:pPr>
        <w:ind w:right="16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79"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as of any date of determination, (a) all Shares, (b) all Warrant Shares then issued and issuable upon exercise of the Warrants (assuming on such date the Warrants are exercised in full without regard to any exercise limitations therein), (c) any additional shares of Common Stock issued and issuable in connection with any anti-dilution provisions in the Warrants (without giving effect to any limitations on exercise set forth in the Warrants) and (d) any securities issued or then issuable upon any stock split, dividend or other distribution, recapitalization or similar event with respect to the</w:t>
      </w:r>
    </w:p>
    <w:p>
      <w:pPr>
        <w:spacing w:after="0" w:line="1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20"/>
          </w:cols>
          <w:pgMar w:left="880" w:top="270" w:right="499" w:bottom="1440" w:gutter="0" w:footer="0" w:header="0"/>
        </w:sectPr>
      </w:pPr>
    </w:p>
    <w:bookmarkStart w:id="87" w:name="page88"/>
    <w:bookmarkEnd w:id="8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pursuant to such effective Registration Statement in accordance with Rule 144, or (iii)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86" w:lineRule="exact"/>
        <w:rPr>
          <w:sz w:val="20"/>
          <w:szCs w:val="20"/>
          <w:color w:val="auto"/>
        </w:rPr>
      </w:pPr>
    </w:p>
    <w:p>
      <w:pPr>
        <w:ind w:right="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72" w:lineRule="exact"/>
        <w:rPr>
          <w:sz w:val="20"/>
          <w:szCs w:val="20"/>
          <w:color w:val="auto"/>
        </w:rPr>
      </w:pPr>
    </w:p>
    <w:p>
      <w:pPr>
        <w:ind w:right="40" w:firstLine="423"/>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means Rule 144 promulgated by the Commission pursuant to the 1933 Act, as such Rule may be amended or interpreted from time to time, or any similar rule or regulation hereafter adopted by the Commission having substantially the same purpose and effect as such Rule.</w:t>
      </w:r>
    </w:p>
    <w:p>
      <w:pPr>
        <w:spacing w:after="0" w:line="32" w:lineRule="exact"/>
        <w:rPr>
          <w:sz w:val="20"/>
          <w:szCs w:val="20"/>
          <w:color w:val="auto"/>
        </w:rPr>
      </w:pPr>
    </w:p>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right="40" w:firstLine="423"/>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461</w:t>
      </w:r>
      <w:r>
        <w:rPr>
          <w:rFonts w:ascii="Times New Roman" w:cs="Times New Roman" w:eastAsia="Times New Roman" w:hAnsi="Times New Roman"/>
          <w:sz w:val="17"/>
          <w:szCs w:val="17"/>
          <w:color w:val="auto"/>
        </w:rPr>
        <w:t>” means Rule 461 promulgated by the Commission pursuant to the 1933 Act, as such Rule may be amended or interpreted from time to time, or any similar rule or regulation hereafter adopted by the Commission having substantially the same purpose and effect as such Rule.</w:t>
      </w:r>
    </w:p>
    <w:p>
      <w:pPr>
        <w:spacing w:after="0" w:line="7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80" w:top="270" w:right="439" w:bottom="1440" w:gutter="0" w:footer="0" w:header="0"/>
        </w:sectPr>
      </w:pPr>
    </w:p>
    <w:bookmarkStart w:id="88" w:name="page89"/>
    <w:bookmarkEnd w:id="88"/>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117" w:lineRule="exact"/>
        <w:rPr>
          <w:sz w:val="20"/>
          <w:szCs w:val="20"/>
          <w:color w:val="auto"/>
        </w:rPr>
      </w:pPr>
    </w:p>
    <w:p>
      <w:pPr>
        <w:ind w:left="4" w:right="4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 available written or oral guidance of the Commission staff, or any comments, requirements or requests of the Commission staff and (ii) the Securities Act.</w:t>
      </w:r>
    </w:p>
    <w:p>
      <w:pPr>
        <w:spacing w:after="0" w:line="162" w:lineRule="exact"/>
        <w:rPr>
          <w:sz w:val="20"/>
          <w:szCs w:val="20"/>
          <w:color w:val="auto"/>
        </w:rPr>
      </w:pPr>
    </w:p>
    <w:p>
      <w:pPr>
        <w:ind w:left="184" w:hanging="184"/>
        <w:spacing w:after="0"/>
        <w:tabs>
          <w:tab w:leader="none" w:pos="18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2" w:lineRule="auto"/>
        <w:tabs>
          <w:tab w:leader="none" w:pos="67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at least 85% in interest of the Holders) substantially the “</w:t>
      </w:r>
      <w:r>
        <w:rPr>
          <w:rFonts w:ascii="Times New Roman" w:cs="Times New Roman" w:eastAsia="Times New Roman" w:hAnsi="Times New Roman"/>
          <w:sz w:val="18"/>
          <w:szCs w:val="18"/>
          <w:u w:val="single" w:color="auto"/>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earlier of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in each case, including pursuant to a cashless exercise of the Pre-Funded Warrants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request effectiveness of a Registration Statement as of 5:00 p.m. (New York City time) on a Trading Day. The Company shall immediately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4"/>
          </w:cols>
          <w:pgMar w:left="876" w:top="270" w:right="479" w:bottom="1440" w:gutter="0" w:footer="0" w:header="0"/>
        </w:sectPr>
      </w:pPr>
    </w:p>
    <w:bookmarkStart w:id="89" w:name="page90"/>
    <w:bookmarkEnd w:id="89"/>
    <w:p>
      <w:pPr>
        <w:ind w:right="40" w:firstLine="419"/>
        <w:spacing w:after="0" w:line="254" w:lineRule="auto"/>
        <w:tabs>
          <w:tab w:leader="none" w:pos="67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80" w:lineRule="exact"/>
        <w:rPr>
          <w:rFonts w:ascii="Times New Roman" w:cs="Times New Roman" w:eastAsia="Times New Roman" w:hAnsi="Times New Roman"/>
          <w:sz w:val="18"/>
          <w:szCs w:val="18"/>
          <w:color w:val="auto"/>
        </w:rPr>
      </w:pPr>
    </w:p>
    <w:p>
      <w:pPr>
        <w:ind w:right="20" w:firstLine="419"/>
        <w:spacing w:after="0" w:line="258" w:lineRule="auto"/>
        <w:tabs>
          <w:tab w:leader="none" w:pos="6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88" w:lineRule="exact"/>
        <w:rPr>
          <w:rFonts w:ascii="Times New Roman" w:cs="Times New Roman" w:eastAsia="Times New Roman" w:hAnsi="Times New Roman"/>
          <w:sz w:val="18"/>
          <w:szCs w:val="18"/>
          <w:color w:val="auto"/>
        </w:rPr>
      </w:pPr>
    </w:p>
    <w:p>
      <w:pPr>
        <w:ind w:left="980" w:hanging="439"/>
        <w:spacing w:after="0"/>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w:t>
      </w:r>
    </w:p>
    <w:p>
      <w:pPr>
        <w:spacing w:after="0" w:line="130" w:lineRule="exact"/>
        <w:rPr>
          <w:rFonts w:ascii="Times New Roman" w:cs="Times New Roman" w:eastAsia="Times New Roman" w:hAnsi="Times New Roman"/>
          <w:sz w:val="18"/>
          <w:szCs w:val="18"/>
          <w:color w:val="auto"/>
        </w:rPr>
      </w:pPr>
    </w:p>
    <w:p>
      <w:pPr>
        <w:jc w:val="both"/>
        <w:ind w:left="980" w:right="200" w:hanging="439"/>
        <w:spacing w:after="0" w:line="266" w:lineRule="auto"/>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Company shall reduce Registrable Securities represented by Common Warrant Shares (applied, in the case that some Common Warrant Shares may be registered, to the Holders on a pro rata basis based on the total number of unregistered Common Warrant Shares held by such Holders); and</w:t>
      </w:r>
    </w:p>
    <w:p>
      <w:pPr>
        <w:spacing w:after="0" w:line="81" w:lineRule="exact"/>
        <w:rPr>
          <w:rFonts w:ascii="Times New Roman" w:cs="Times New Roman" w:eastAsia="Times New Roman" w:hAnsi="Times New Roman"/>
          <w:sz w:val="18"/>
          <w:szCs w:val="18"/>
          <w:color w:val="auto"/>
        </w:rPr>
      </w:pPr>
    </w:p>
    <w:p>
      <w:pPr>
        <w:ind w:left="980" w:right="260" w:hanging="439"/>
        <w:spacing w:after="0" w:line="266" w:lineRule="auto"/>
        <w:tabs>
          <w:tab w:leader="none" w:pos="9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Company shall reduce Registrable Securities represented by Shares and Pre-Funded Warrants (applied, in the case that some Shares and Pre-Funded Warrants may be registered, to the Holders on a pro rata basis based on the total number of unregistered Shares and Pre-Funded Warrant Shares held by such Holders).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reasonable best efforts to file with the Commission, as promptly as allowed by the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0"/>
          </w:cols>
          <w:pgMar w:left="880" w:top="270" w:right="499" w:bottom="1440" w:gutter="0" w:footer="0" w:header="0"/>
        </w:sectPr>
      </w:pPr>
    </w:p>
    <w:bookmarkStart w:id="90" w:name="page91"/>
    <w:bookmarkEnd w:id="90"/>
    <w:p>
      <w:pPr>
        <w:ind w:left="540" w:right="40" w:hanging="532"/>
        <w:spacing w:after="0" w:line="266" w:lineRule="auto"/>
        <w:tabs>
          <w:tab w:leader="none" w:pos="5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 the Initial Registration Statement is not filed on or prior to its Filing Date, or (ii) the Company fails to file with the Commission a request for acceleration of a Registration Statement in accordance with Rule 461 promulgated by the Commission pursuant to the Securities Act, within five (5) Trading Days of the date that the Company is notified (in writing)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17"/>
          <w:szCs w:val="17"/>
          <w:u w:val="single" w:color="auto"/>
          <w:color w:val="auto"/>
        </w:rPr>
        <w:t>Event</w:t>
      </w:r>
      <w:r>
        <w:rPr>
          <w:rFonts w:ascii="Times New Roman" w:cs="Times New Roman" w:eastAsia="Times New Roman" w:hAnsi="Times New Roman"/>
          <w:sz w:val="17"/>
          <w:szCs w:val="17"/>
          <w:color w:val="auto"/>
        </w:rPr>
        <w:t>”, and for purposes of clauses (i) and (iv), the date on which such Event occurs, and for purpose of clause (ii) the date on which such five (5) Trading Day period is exceeded, and for purpose of clause (iii) the date which such ten</w:t>
      </w:r>
    </w:p>
    <w:p>
      <w:pPr>
        <w:spacing w:after="0" w:line="9" w:lineRule="exact"/>
        <w:rPr>
          <w:rFonts w:ascii="Times New Roman" w:cs="Times New Roman" w:eastAsia="Times New Roman" w:hAnsi="Times New Roman"/>
          <w:sz w:val="17"/>
          <w:szCs w:val="17"/>
          <w:color w:val="auto"/>
        </w:rPr>
      </w:pPr>
    </w:p>
    <w:p>
      <w:pPr>
        <w:ind w:left="5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 calendar day period is exceeded, and for purpose of clause (v) the date on which such ten (10) or fifteen (15) calendar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(A) 1.0% multiplied by (B) the quotient of (I) the number and type of each Holders’ Registrable Securities that are not then covered by a Registration Statement that is then effective and available for use by the Holders divided by (II) the total number and type of the Holders’ Registrable Securities initially purchased multiplied by (2) the aggregate allocated Subscription Amount paid by such Holder pursuant to the Purchase Agreement for such Registrable Securities that are not so covered by a Registration Statement. The parties agree that the maximum aggregate liquidated damages payable to a Holder under this Agreement shall be 6.0% of the aggregate Subscription Amount paid by such Holder pursuant to the Purchase Agreement. If the Company fails to pay any partial liquidated damages pursuant to this Section in full within seven days after the date payable, the Company will pay interest thereon at a rate of 10% per</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60" w:top="270" w:right="459" w:bottom="1440" w:gutter="0" w:footer="0" w:header="0"/>
        </w:sectPr>
      </w:pPr>
    </w:p>
    <w:bookmarkStart w:id="91" w:name="page92"/>
    <w:bookmarkEnd w:id="91"/>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68" w:lineRule="exact"/>
        <w:rPr>
          <w:sz w:val="20"/>
          <w:szCs w:val="20"/>
          <w:color w:val="auto"/>
        </w:rPr>
      </w:pPr>
    </w:p>
    <w:p>
      <w:pPr>
        <w:ind w:left="20" w:right="40" w:firstLine="419"/>
        <w:spacing w:after="0" w:line="261" w:lineRule="auto"/>
        <w:tabs>
          <w:tab w:leader="none" w:pos="68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71" w:lineRule="exact"/>
        <w:rPr>
          <w:rFonts w:ascii="Times New Roman" w:cs="Times New Roman" w:eastAsia="Times New Roman" w:hAnsi="Times New Roman"/>
          <w:sz w:val="18"/>
          <w:szCs w:val="18"/>
          <w:color w:val="auto"/>
        </w:rPr>
      </w:pPr>
    </w:p>
    <w:p>
      <w:pPr>
        <w:ind w:left="20" w:firstLine="419"/>
        <w:spacing w:after="0" w:line="282" w:lineRule="auto"/>
        <w:tabs>
          <w:tab w:leader="none" w:pos="6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62" w:lineRule="exact"/>
        <w:rPr>
          <w:sz w:val="20"/>
          <w:szCs w:val="20"/>
          <w:color w:val="auto"/>
        </w:rPr>
      </w:pPr>
    </w:p>
    <w:p>
      <w:pPr>
        <w:ind w:left="200" w:hanging="184"/>
        <w:spacing w:after="0"/>
        <w:tabs>
          <w:tab w:leader="none" w:pos="2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117" w:lineRule="exact"/>
        <w:rPr>
          <w:sz w:val="20"/>
          <w:szCs w:val="20"/>
          <w:color w:val="auto"/>
        </w:rPr>
      </w:pPr>
    </w:p>
    <w:p>
      <w:pPr>
        <w:ind w:left="20" w:right="200" w:firstLine="419"/>
        <w:spacing w:after="0" w:line="253" w:lineRule="auto"/>
        <w:tabs>
          <w:tab w:leader="none" w:pos="68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 (2) Trading Days after the Holders have been so furnished copies of a Registration Statement or one (1) Trading Day after the Holders have been so furnished copies of any related Prospectus or amendments or supplements thereto. On or prior to the Closing Date,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60" w:top="270" w:right="479" w:bottom="1440" w:gutter="0" w:footer="0" w:header="0"/>
        </w:sectPr>
      </w:pPr>
    </w:p>
    <w:bookmarkStart w:id="92" w:name="page93"/>
    <w:bookmarkEnd w:id="92"/>
    <w:p>
      <w:pPr>
        <w:ind w:right="60" w:firstLine="419"/>
        <w:spacing w:after="0" w:line="253" w:lineRule="auto"/>
        <w:tabs>
          <w:tab w:leader="none" w:pos="6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upon request of the Holders,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79" w:lineRule="exact"/>
        <w:rPr>
          <w:rFonts w:ascii="Times New Roman" w:cs="Times New Roman" w:eastAsia="Times New Roman" w:hAnsi="Times New Roman"/>
          <w:sz w:val="18"/>
          <w:szCs w:val="18"/>
          <w:color w:val="auto"/>
        </w:rPr>
      </w:pPr>
    </w:p>
    <w:p>
      <w:pPr>
        <w:ind w:right="140" w:firstLine="419"/>
        <w:spacing w:after="0" w:line="261" w:lineRule="auto"/>
        <w:tabs>
          <w:tab w:leader="none" w:pos="6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71"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20"/>
          </w:cols>
          <w:pgMar w:left="880" w:top="270" w:right="499" w:bottom="1440" w:gutter="0" w:footer="0" w:header="0"/>
        </w:sectPr>
      </w:pPr>
    </w:p>
    <w:bookmarkStart w:id="93" w:name="page94"/>
    <w:bookmarkEnd w:id="9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89" w:lineRule="exact"/>
        <w:rPr>
          <w:sz w:val="20"/>
          <w:szCs w:val="20"/>
          <w:color w:val="auto"/>
        </w:rPr>
      </w:pPr>
    </w:p>
    <w:p>
      <w:pPr>
        <w:jc w:val="both"/>
        <w:ind w:right="260" w:firstLine="419"/>
        <w:spacing w:after="0" w:line="266" w:lineRule="auto"/>
        <w:tabs>
          <w:tab w:leader="none" w:pos="6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67" w:lineRule="exact"/>
        <w:rPr>
          <w:rFonts w:ascii="Times New Roman" w:cs="Times New Roman" w:eastAsia="Times New Roman" w:hAnsi="Times New Roman"/>
          <w:sz w:val="18"/>
          <w:szCs w:val="18"/>
          <w:color w:val="auto"/>
        </w:rPr>
      </w:pPr>
    </w:p>
    <w:p>
      <w:pPr>
        <w:ind w:right="200" w:firstLine="419"/>
        <w:spacing w:after="0" w:line="258" w:lineRule="auto"/>
        <w:tabs>
          <w:tab w:leader="none" w:pos="64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furnish to each Holder, without charge, an electronic copy of the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w:t>
      </w:r>
    </w:p>
    <w:p>
      <w:pPr>
        <w:spacing w:after="0" w:line="75"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94" w:name="page95"/>
    <w:bookmarkEnd w:id="94"/>
    <w:p>
      <w:pPr>
        <w:ind w:right="20" w:firstLine="419"/>
        <w:spacing w:after="0" w:line="254" w:lineRule="auto"/>
        <w:tabs>
          <w:tab w:leader="none" w:pos="6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83"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71" w:lineRule="exact"/>
        <w:rPr>
          <w:rFonts w:ascii="Times New Roman" w:cs="Times New Roman" w:eastAsia="Times New Roman" w:hAnsi="Times New Roman"/>
          <w:sz w:val="18"/>
          <w:szCs w:val="18"/>
          <w:color w:val="auto"/>
        </w:rPr>
      </w:pPr>
    </w:p>
    <w:p>
      <w:pPr>
        <w:ind w:right="20" w:firstLine="419"/>
        <w:spacing w:after="0" w:line="253" w:lineRule="auto"/>
        <w:tabs>
          <w:tab w:leader="none" w:pos="6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spacing w:after="0" w:line="1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20"/>
          </w:cols>
          <w:pgMar w:left="880" w:top="270" w:right="499" w:bottom="1440" w:gutter="0" w:footer="0" w:header="0"/>
        </w:sectPr>
      </w:pPr>
    </w:p>
    <w:bookmarkStart w:id="95" w:name="page96"/>
    <w:bookmarkEnd w:id="95"/>
    <w:p>
      <w:pPr>
        <w:ind w:left="444" w:firstLine="419"/>
        <w:spacing w:after="0" w:line="256" w:lineRule="auto"/>
        <w:tabs>
          <w:tab w:leader="none" w:pos="1122"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79" w:lineRule="exact"/>
        <w:rPr>
          <w:rFonts w:ascii="Times New Roman" w:cs="Times New Roman" w:eastAsia="Times New Roman" w:hAnsi="Times New Roman"/>
          <w:sz w:val="18"/>
          <w:szCs w:val="18"/>
          <w:color w:val="auto"/>
        </w:rPr>
      </w:pPr>
    </w:p>
    <w:p>
      <w:pPr>
        <w:ind w:left="444" w:right="480" w:firstLine="419"/>
        <w:spacing w:after="0" w:line="282" w:lineRule="auto"/>
        <w:tabs>
          <w:tab w:leader="none" w:pos="1082"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maintain eligibility for use of Form S-3 (or any successor form thereto) for the registration of the resale of Registrable Securities.</w:t>
      </w:r>
    </w:p>
    <w:p>
      <w:pPr>
        <w:spacing w:after="0" w:line="53" w:lineRule="exact"/>
        <w:rPr>
          <w:rFonts w:ascii="Times New Roman" w:cs="Times New Roman" w:eastAsia="Times New Roman" w:hAnsi="Times New Roman"/>
          <w:sz w:val="18"/>
          <w:szCs w:val="18"/>
          <w:color w:val="auto"/>
        </w:rPr>
      </w:pPr>
    </w:p>
    <w:p>
      <w:pPr>
        <w:ind w:left="444" w:right="40" w:firstLine="419"/>
        <w:spacing w:after="0" w:line="256" w:lineRule="auto"/>
        <w:tabs>
          <w:tab w:leader="none" w:pos="1172"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7" w:lineRule="exact"/>
        <w:rPr>
          <w:rFonts w:ascii="Times New Roman" w:cs="Times New Roman" w:eastAsia="Times New Roman" w:hAnsi="Times New Roman"/>
          <w:sz w:val="18"/>
          <w:szCs w:val="18"/>
          <w:color w:val="auto"/>
        </w:rPr>
      </w:pPr>
    </w:p>
    <w:p>
      <w:pPr>
        <w:ind w:left="4" w:firstLine="436"/>
        <w:spacing w:after="0" w:line="268" w:lineRule="auto"/>
        <w:tabs>
          <w:tab w:leader="none" w:pos="62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Expenses</w:t>
      </w:r>
      <w:r>
        <w:rPr>
          <w:rFonts w:ascii="Times New Roman" w:cs="Times New Roman" w:eastAsia="Times New Roman" w:hAnsi="Times New Roman"/>
          <w:sz w:val="17"/>
          <w:szCs w:val="17"/>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w:t>
      </w:r>
    </w:p>
    <w:p>
      <w:pPr>
        <w:ind w:left="264" w:hanging="264"/>
        <w:spacing w:after="0"/>
        <w:tabs>
          <w:tab w:leader="none" w:pos="2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liability insurance, if the Company so desires such</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96" w:name="page97"/>
    <w:bookmarkEnd w:id="9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87" w:lineRule="exact"/>
        <w:rPr>
          <w:sz w:val="20"/>
          <w:szCs w:val="20"/>
          <w:color w:val="auto"/>
        </w:rPr>
      </w:pPr>
    </w:p>
    <w:p>
      <w:pPr>
        <w:ind w:left="620" w:hanging="184"/>
        <w:spacing w:after="0"/>
        <w:tabs>
          <w:tab w:leader="none" w:pos="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2" w:lineRule="auto"/>
        <w:tabs>
          <w:tab w:leader="none" w:pos="110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of each of them, each Person who controls any such Holder (within the meaning of Section 15 of the Securities Act or Section 20 of the Exchange Act) and the officers, directors, members, stockholders, partners, agents and employees of each such controlling Person, to the fullest extent permitted by applicable law, from and against any and all losses, claims, damages, liabilities, costs (including, without limitation, reasonable and documented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arising out of or based solely upon (1) any untrue or alleged untrue statement of a material fact contained in a Registration Statement, any Prospectus or any form of prospectus or in any amendment or supplement thereto,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6(d).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97" w:name="page98"/>
    <w:bookmarkEnd w:id="97"/>
    <w:p>
      <w:pPr>
        <w:ind w:right="20" w:firstLine="419"/>
        <w:spacing w:after="0" w:line="252" w:lineRule="auto"/>
        <w:tabs>
          <w:tab w:leader="none" w:pos="67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by Holders</w:t>
      </w:r>
      <w:r>
        <w:rPr>
          <w:rFonts w:ascii="Times New Roman" w:cs="Times New Roman" w:eastAsia="Times New Roman" w:hAnsi="Times New Roman"/>
          <w:sz w:val="18"/>
          <w:szCs w:val="18"/>
          <w:color w:val="auto"/>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86" w:lineRule="exact"/>
        <w:rPr>
          <w:rFonts w:ascii="Times New Roman" w:cs="Times New Roman" w:eastAsia="Times New Roman" w:hAnsi="Times New Roman"/>
          <w:sz w:val="18"/>
          <w:szCs w:val="18"/>
          <w:color w:val="auto"/>
        </w:rPr>
      </w:pPr>
    </w:p>
    <w:p>
      <w:pPr>
        <w:ind w:firstLine="419"/>
        <w:spacing w:after="0" w:line="255" w:lineRule="auto"/>
        <w:tabs>
          <w:tab w:leader="none" w:pos="66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reasonable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20"/>
          </w:cols>
          <w:pgMar w:left="880" w:top="270" w:right="499" w:bottom="1440" w:gutter="0" w:footer="0" w:header="0"/>
        </w:sectPr>
      </w:pPr>
    </w:p>
    <w:bookmarkStart w:id="98" w:name="page99"/>
    <w:bookmarkEnd w:id="98"/>
    <w:p>
      <w:pPr>
        <w:ind w:firstLine="423"/>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Notwithstanding anything in this Section 5,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or consent to the entry of any judgment with respect to of any pending Proceeding in respect of which any Indemnified Party is or could have been a party or could have been a party and indemnity could have been sought hereunder by such Indemnified Party, unless such settlement or judgment (i) imposes no liability or obligation on the Indemnified Party, (ii) includes an unconditional release from the party bringing such indemnified claims of such Indemnified Party from all liability in respect of or arising out of on such claims or Proceedings or claims or Proceedings that are the subject matter of such Proceeding and (iii) does not include any admission of fault, culpability, wrongdoing or malfeasance by or on behalf of the Indemnified Party.</w:t>
      </w:r>
    </w:p>
    <w:p>
      <w:pPr>
        <w:spacing w:after="0" w:line="85"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and documented fees and expenses of the Indemnified Party (including reasonable and documented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99" w:name="page100"/>
    <w:bookmarkEnd w:id="99"/>
    <w:p>
      <w:pPr>
        <w:ind w:left="940" w:hanging="532"/>
        <w:spacing w:after="0" w:line="253" w:lineRule="auto"/>
        <w:tabs>
          <w:tab w:leader="none" w:pos="9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Contribution</w:t>
      </w:r>
      <w:r>
        <w:rPr>
          <w:rFonts w:ascii="Times New Roman" w:cs="Times New Roman" w:eastAsia="Times New Roman" w:hAnsi="Times New Roman"/>
          <w:sz w:val="18"/>
          <w:szCs w:val="18"/>
          <w:color w:val="auto"/>
        </w:rPr>
        <w:t xml:space="preserve">.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guilty of fraudulent misrepresentation (within the meaning of Section 11(f) of the 1933 Act) will be entitled to contribution from any Person who was not guilty of such fraudulent misrepresentation.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79" w:lineRule="exact"/>
        <w:rPr>
          <w:sz w:val="20"/>
          <w:szCs w:val="20"/>
          <w:color w:val="auto"/>
        </w:rPr>
      </w:pPr>
    </w:p>
    <w:p>
      <w:pPr>
        <w:ind w:left="420" w:right="260" w:firstLine="423"/>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79" w:lineRule="exact"/>
        <w:rPr>
          <w:sz w:val="20"/>
          <w:szCs w:val="20"/>
          <w:color w:val="auto"/>
        </w:rPr>
      </w:pPr>
    </w:p>
    <w:p>
      <w:pPr>
        <w:ind w:left="420" w:right="120" w:firstLine="423"/>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600" w:hanging="184"/>
        <w:spacing w:after="0"/>
        <w:tabs>
          <w:tab w:leader="none" w:pos="6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60" w:firstLine="436"/>
        <w:spacing w:after="0" w:line="256" w:lineRule="auto"/>
        <w:tabs>
          <w:tab w:leader="none" w:pos="6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70" w:right="459" w:bottom="1440" w:gutter="0" w:footer="0" w:header="0"/>
        </w:sectPr>
      </w:pPr>
    </w:p>
    <w:bookmarkStart w:id="100" w:name="page101"/>
    <w:bookmarkEnd w:id="100"/>
    <w:p>
      <w:pPr>
        <w:ind w:left="-20" w:right="100" w:firstLine="436"/>
        <w:spacing w:after="0" w:line="258" w:lineRule="auto"/>
        <w:tabs>
          <w:tab w:leader="none" w:pos="67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Piggyback on Registrations; Prohibition on Filing Other Registration Statements</w:t>
      </w:r>
      <w:r>
        <w:rPr>
          <w:rFonts w:ascii="Times New Roman" w:cs="Times New Roman" w:eastAsia="Times New Roman" w:hAnsi="Times New Roman"/>
          <w:sz w:val="18"/>
          <w:szCs w:val="18"/>
          <w:color w:val="auto"/>
        </w:rPr>
        <w:t>. Except for the shares of Common Stock issuable upon exercise of the warrants issued to the Placement Agent in the transactions contemplated by the Purchase Agreement (if any), shares issued pursuant to the Asset Purchase Agreement, and shares issued pursuant to that certain funding commitment letter, dated November 19, 2025, by and between the Company and Factor Bioscience Inc, neither the Company nor any of its security holders (other than the Holders in such capacity pursuant hereto) may include securities of the Company in any Registration Statements other than the Registrable Securities.</w:t>
      </w:r>
    </w:p>
    <w:p>
      <w:pPr>
        <w:spacing w:after="0" w:line="183"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firstLine="436"/>
        <w:spacing w:after="0" w:line="256" w:lineRule="auto"/>
        <w:tabs>
          <w:tab w:leader="none" w:pos="67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87" w:lineRule="exact"/>
        <w:rPr>
          <w:rFonts w:ascii="Times New Roman" w:cs="Times New Roman" w:eastAsia="Times New Roman" w:hAnsi="Times New Roman"/>
          <w:sz w:val="18"/>
          <w:szCs w:val="18"/>
          <w:color w:val="auto"/>
        </w:rPr>
      </w:pPr>
    </w:p>
    <w:p>
      <w:pPr>
        <w:ind w:left="-20" w:firstLine="436"/>
        <w:spacing w:after="0" w:line="253" w:lineRule="auto"/>
        <w:tabs>
          <w:tab w:leader="none" w:pos="66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6(e). No consideration shall be offered or paid to any Person to amend or consent to a waiver or modification of any provision of this Agreement unless the same consideration also is offered to all of the parties to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70" w:right="479" w:bottom="1440" w:gutter="0" w:footer="0" w:header="0"/>
        </w:sectPr>
      </w:pPr>
    </w:p>
    <w:bookmarkStart w:id="101" w:name="page102"/>
    <w:bookmarkEnd w:id="101"/>
    <w:p>
      <w:pPr>
        <w:ind w:left="-40" w:right="300" w:firstLine="436"/>
        <w:spacing w:after="0" w:line="282" w:lineRule="auto"/>
        <w:tabs>
          <w:tab w:leader="none" w:pos="62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ind w:left="-40" w:firstLine="436"/>
        <w:spacing w:after="0" w:line="261"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79" w:lineRule="exact"/>
        <w:rPr>
          <w:rFonts w:ascii="Times New Roman" w:cs="Times New Roman" w:eastAsia="Times New Roman" w:hAnsi="Times New Roman"/>
          <w:sz w:val="18"/>
          <w:szCs w:val="18"/>
          <w:color w:val="auto"/>
        </w:rPr>
      </w:pPr>
    </w:p>
    <w:p>
      <w:pPr>
        <w:ind w:left="-40" w:right="20" w:firstLine="436"/>
        <w:spacing w:after="0" w:line="258"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in the Asset Purchase Agreement, neither the Company nor any of its Subsidiaries has previously entered into any agreement granting any registration rights with respect to any of its securities to any Person that have not been satisfied in full.</w:t>
      </w:r>
    </w:p>
    <w:p>
      <w:pPr>
        <w:spacing w:after="0" w:line="183" w:lineRule="exact"/>
        <w:rPr>
          <w:rFonts w:ascii="Times New Roman" w:cs="Times New Roman" w:eastAsia="Times New Roman" w:hAnsi="Times New Roman"/>
          <w:sz w:val="18"/>
          <w:szCs w:val="18"/>
          <w:color w:val="auto"/>
        </w:rPr>
      </w:pPr>
    </w:p>
    <w:p>
      <w:pPr>
        <w:ind w:left="-40" w:firstLine="436"/>
        <w:spacing w:after="0" w:line="256" w:lineRule="auto"/>
        <w:tabs>
          <w:tab w:leader="none" w:pos="6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87" w:lineRule="exact"/>
        <w:rPr>
          <w:rFonts w:ascii="Times New Roman" w:cs="Times New Roman" w:eastAsia="Times New Roman" w:hAnsi="Times New Roman"/>
          <w:sz w:val="18"/>
          <w:szCs w:val="18"/>
          <w:color w:val="auto"/>
        </w:rPr>
      </w:pPr>
    </w:p>
    <w:p>
      <w:pPr>
        <w:ind w:left="-40" w:right="160" w:firstLine="436"/>
        <w:spacing w:after="0" w:line="282" w:lineRule="auto"/>
        <w:tabs>
          <w:tab w:leader="none" w:pos="6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80" w:top="270" w:right="499" w:bottom="1440" w:gutter="0" w:footer="0" w:header="0"/>
        </w:sectPr>
      </w:pPr>
    </w:p>
    <w:bookmarkStart w:id="102" w:name="page103"/>
    <w:bookmarkEnd w:id="102"/>
    <w:p>
      <w:pPr>
        <w:ind w:left="-20" w:right="40" w:firstLine="436"/>
        <w:spacing w:after="0" w:line="256" w:lineRule="auto"/>
        <w:tabs>
          <w:tab w:leader="none" w:pos="6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left="-20" w:right="340" w:firstLine="436"/>
        <w:spacing w:after="0" w:line="282" w:lineRule="auto"/>
        <w:tabs>
          <w:tab w:leader="none" w:pos="72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60" w:top="270"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Registration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TEMPEST THERAPEUTICS, INC.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[SIGNATURE PAGE OF HOLDERS FOLLOWS]</w:t>
      </w:r>
    </w:p>
    <w:p>
      <w:pPr>
        <w:sectPr>
          <w:pgSz w:w="11900" w:h="16838" w:orient="portrait"/>
          <w:cols w:equalWidth="0" w:num="1">
            <w:col w:w="9579"/>
          </w:cols>
          <w:pgMar w:left="880" w:top="270" w:right="1440" w:bottom="1440" w:gutter="0" w:footer="0" w:header="0"/>
        </w:sectPr>
      </w:pPr>
    </w:p>
    <w:bookmarkStart w:id="104" w:name="page105"/>
    <w:bookmarkEnd w:id="104"/>
    <w:p>
      <w:pPr>
        <w:ind w:right="2159" w:firstLine="3150"/>
        <w:spacing w:after="0" w:line="42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[SIGNATURE PAGE OF HOLDERS TO TPST RRA] </w:t>
      </w:r>
      <w:r>
        <w:rPr>
          <w:rFonts w:ascii="Times New Roman" w:cs="Times New Roman" w:eastAsia="Times New Roman" w:hAnsi="Times New Roman"/>
          <w:sz w:val="17"/>
          <w:szCs w:val="17"/>
          <w:color w:val="auto"/>
        </w:rPr>
        <w:t>Name of Holder: __________________________</w:t>
      </w: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200" w:lineRule="exact"/>
        <w:rPr>
          <w:sz w:val="20"/>
          <w:szCs w:val="20"/>
          <w:color w:val="auto"/>
        </w:rPr>
      </w:pPr>
    </w:p>
    <w:p>
      <w:pPr>
        <w:spacing w:after="0" w:line="20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[SIGNATURE PAGES CONTINUE]</w:t>
      </w:r>
    </w:p>
    <w:p>
      <w:pPr>
        <w:sectPr>
          <w:pgSz w:w="11900" w:h="16838" w:orient="portrait"/>
          <w:cols w:equalWidth="0" w:num="1">
            <w:col w:w="10019"/>
          </w:cols>
          <w:pgMar w:left="440" w:top="261"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960" w:hanging="424"/>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ectPr>
          <w:pgSz w:w="11900" w:h="16838" w:orient="portrait"/>
          <w:cols w:equalWidth="0" w:num="1">
            <w:col w:w="11020"/>
          </w:cols>
          <w:pgMar w:left="440" w:top="266" w:right="439" w:bottom="1440" w:gutter="0" w:footer="0" w:header="0"/>
        </w:sectPr>
      </w:pPr>
    </w:p>
    <w:bookmarkStart w:id="106" w:name="page107"/>
    <w:bookmarkEnd w:id="106"/>
    <w:p>
      <w:pPr>
        <w:jc w:val="both"/>
        <w:ind w:right="10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3"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The selling stockholders also may transfer the shares of common stock in other circumstances, in which case the transferees, pledgees or other successors in interest may become the selling stockholders for purposes of this prospectus.</w:t>
      </w:r>
    </w:p>
    <w:p>
      <w:pPr>
        <w:spacing w:after="0" w:line="18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nominal exercise price of the pre-funded warrants.</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07" w:name="page108"/>
    <w:bookmarkEnd w:id="107"/>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to become effective and to remain continuously effective until such time as the selling stockholder no longer owns any Warrants or Warrant Shares.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beneficial owner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Tempest Therapeutics, Inc., a Delaware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is annexed. A copy of the Registration Rights Agreement is available from the Company upon request at the address set forth below.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otherwise defined herein shall have the meanings ascribed thereto in the Registration Rights Agreement.</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ectPr>
          <w:pgSz w:w="11900" w:h="16838" w:orient="portrait"/>
          <w:cols w:equalWidth="0" w:num="1">
            <w:col w:w="11020"/>
          </w:cols>
          <w:pgMar w:left="440" w:top="266" w:right="439" w:bottom="1440" w:gutter="0" w:footer="0" w:header="0"/>
        </w:sectPr>
      </w:pPr>
    </w:p>
    <w:bookmarkStart w:id="109" w:name="page110"/>
    <w:bookmarkEnd w:id="10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hereby provides the following information to the Company and represents and warrants that such information is accurate:</w:t>
      </w:r>
    </w:p>
    <w:p>
      <w:pPr>
        <w:spacing w:after="0" w:line="200" w:lineRule="exact"/>
        <w:rPr>
          <w:sz w:val="20"/>
          <w:szCs w:val="20"/>
          <w:color w:val="auto"/>
        </w:rPr>
      </w:pPr>
    </w:p>
    <w:p>
      <w:pPr>
        <w:spacing w:after="0" w:line="23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Name.</w:t>
      </w:r>
    </w:p>
    <w:p>
      <w:pPr>
        <w:spacing w:after="0" w:line="135" w:lineRule="exact"/>
        <w:rPr>
          <w:sz w:val="20"/>
          <w:szCs w:val="20"/>
          <w:color w:val="auto"/>
        </w:rPr>
      </w:pPr>
    </w:p>
    <w:p>
      <w:pPr>
        <w:ind w:left="344" w:hanging="344"/>
        <w:spacing w:after="0"/>
        <w:tabs>
          <w:tab w:leader="none" w:pos="34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 Legal Name of Selling Stockholder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664" w:hanging="327"/>
        <w:spacing w:after="0"/>
        <w:tabs>
          <w:tab w:leader="none" w:pos="66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664" w:hanging="327"/>
        <w:spacing w:after="0" w:line="282" w:lineRule="auto"/>
        <w:tabs>
          <w:tab w:leader="none" w:pos="66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312" w:lineRule="exact"/>
        <w:rPr>
          <w:rFonts w:ascii="Times New Roman" w:cs="Times New Roman" w:eastAsia="Times New Roman" w:hAnsi="Times New Roman"/>
          <w:sz w:val="18"/>
          <w:szCs w:val="18"/>
          <w:color w:val="auto"/>
        </w:rPr>
      </w:pPr>
    </w:p>
    <w:p>
      <w:pPr>
        <w:ind w:left="664" w:right="740" w:hanging="327"/>
        <w:spacing w:after="0" w:line="282" w:lineRule="auto"/>
        <w:tabs>
          <w:tab w:leader="none" w:pos="66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Footnote for Selling Stockholders table in Registration Statement (leave blank if you would like counsel to draft based on the above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-1445260</wp:posOffset>
            </wp:positionV>
            <wp:extent cx="65747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-1016635</wp:posOffset>
            </wp:positionV>
            <wp:extent cx="65747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-450850</wp:posOffset>
            </wp:positionV>
            <wp:extent cx="65747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114300</wp:posOffset>
            </wp:positionV>
            <wp:extent cx="65747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465455</wp:posOffset>
            </wp:positionV>
            <wp:extent cx="6995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619760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wp:posOffset>
            </wp:positionV>
            <wp:extent cx="60775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wp:posOffset>
            </wp:positionV>
            <wp:extent cx="60775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wp:posOffset>
            </wp:positionV>
            <wp:extent cx="60775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336" w:lineRule="exact"/>
        <w:rPr>
          <w:sz w:val="20"/>
          <w:szCs w:val="20"/>
          <w:color w:val="auto"/>
        </w:rPr>
      </w:pPr>
    </w:p>
    <w:p>
      <w:pPr>
        <w:ind w:left="184" w:hanging="184"/>
        <w:spacing w:after="0"/>
        <w:tabs>
          <w:tab w:leader="none" w:pos="18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76" w:lineRule="exact"/>
        <w:rPr>
          <w:sz w:val="20"/>
          <w:szCs w:val="20"/>
          <w:color w:val="auto"/>
        </w:rPr>
      </w:pPr>
    </w:p>
    <w:p>
      <w:pPr>
        <w:jc w:val="center"/>
        <w:ind w:right="-10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70" w:right="559" w:bottom="1440" w:gutter="0" w:footer="0" w:header="0"/>
        </w:sectPr>
      </w:pPr>
    </w:p>
    <w:bookmarkStart w:id="110" w:name="page111"/>
    <w:bookmarkEnd w:id="110"/>
    <w:p>
      <w:pPr>
        <w:ind w:left="4724" w:right="340" w:hanging="4292"/>
        <w:spacing w:after="0" w:line="293" w:lineRule="exact"/>
        <w:tabs>
          <w:tab w:leader="none" w:pos="97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“yes” to Section 3(a), did you receive your Registrable Securities as compensation for investment banking services to the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7"/>
          <w:szCs w:val="17"/>
          <w:color w:val="auto"/>
        </w:rPr>
        <w:t>If “yes” to Section 3(b), the Commission’s staff has indicated that you should be identified as an underwriter in the Registration Statement.</w:t>
      </w:r>
    </w:p>
    <w:p>
      <w:pPr>
        <w:spacing w:after="0" w:line="131" w:lineRule="exact"/>
        <w:rPr>
          <w:sz w:val="20"/>
          <w:szCs w:val="20"/>
          <w:color w:val="auto"/>
        </w:rPr>
      </w:pPr>
    </w:p>
    <w:p>
      <w:pPr>
        <w:ind w:left="964" w:hanging="532"/>
        <w:spacing w:after="0"/>
        <w:tabs>
          <w:tab w:leader="none" w:pos="96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76"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964" w:hanging="532"/>
        <w:spacing w:after="0" w:line="266" w:lineRule="auto"/>
        <w:tabs>
          <w:tab w:leader="none" w:pos="96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27"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7"/>
          <w:szCs w:val="17"/>
          <w:color w:val="auto"/>
        </w:rPr>
        <w:t>If “no” to Section 3(d), the Commission’s staff has indicated that you should be identified as an underwriter in the Registration Statement.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Selling Stockholder.</w:t>
      </w:r>
    </w:p>
    <w:p>
      <w:pPr>
        <w:spacing w:after="0" w:line="119" w:lineRule="exact"/>
        <w:rPr>
          <w:sz w:val="20"/>
          <w:szCs w:val="20"/>
          <w:color w:val="auto"/>
        </w:rPr>
      </w:pPr>
    </w:p>
    <w:p>
      <w:pPr>
        <w:ind w:left="444" w:right="1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66" w:lineRule="exact"/>
        <w:rPr>
          <w:sz w:val="20"/>
          <w:szCs w:val="20"/>
          <w:color w:val="auto"/>
        </w:rPr>
      </w:pPr>
    </w:p>
    <w:p>
      <w:pPr>
        <w:ind w:left="964" w:hanging="532"/>
        <w:spacing w:after="0"/>
        <w:tabs>
          <w:tab w:leader="none" w:pos="96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5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17145</wp:posOffset>
            </wp:positionV>
            <wp:extent cx="63607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171450</wp:posOffset>
            </wp:positionV>
            <wp:extent cx="63607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Relationships with the Company:</w:t>
      </w:r>
    </w:p>
    <w:p>
      <w:pPr>
        <w:spacing w:after="0" w:line="119" w:lineRule="exact"/>
        <w:rPr>
          <w:sz w:val="20"/>
          <w:szCs w:val="20"/>
          <w:color w:val="auto"/>
        </w:rPr>
      </w:pPr>
    </w:p>
    <w:p>
      <w:pPr>
        <w:ind w:left="440" w:right="2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17145</wp:posOffset>
            </wp:positionV>
            <wp:extent cx="67119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171450</wp:posOffset>
            </wp:positionV>
            <wp:extent cx="67119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Plan of Distribution:</w:t>
      </w:r>
    </w:p>
    <w:p>
      <w:pPr>
        <w:spacing w:after="0" w:line="119" w:lineRule="exact"/>
        <w:rPr>
          <w:sz w:val="20"/>
          <w:szCs w:val="20"/>
          <w:color w:val="auto"/>
        </w:rPr>
      </w:pPr>
    </w:p>
    <w:p>
      <w:pPr>
        <w:ind w:left="440"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undersigned has reviewed the form of Plan of Distribution to be included in the Prospectus, a copy of which is attached as Annex A to the Registration Rights Agreement, and hereby confirms that, except as set forth below, the information contained therein regarding the undersigned and its plan of distribution is correct and complete.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17145</wp:posOffset>
            </wp:positionV>
            <wp:extent cx="67119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171450</wp:posOffset>
            </wp:positionV>
            <wp:extent cx="67119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89" w:lineRule="exact"/>
        <w:rPr>
          <w:sz w:val="20"/>
          <w:szCs w:val="20"/>
          <w:color w:val="auto"/>
        </w:rPr>
      </w:pPr>
    </w:p>
    <w:p>
      <w:pPr>
        <w:spacing w:after="0"/>
        <w:tabs>
          <w:tab w:leader="none" w:pos="4840" w:val="left"/>
          <w:tab w:leader="none" w:pos="5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66351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6" w:right="519" w:bottom="1440" w:gutter="0" w:footer="0" w:header="0"/>
        </w:sectPr>
      </w:pPr>
    </w:p>
    <w:bookmarkStart w:id="112" w:name="page113"/>
    <w:bookmarkEnd w:id="112"/>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NOTICE AND QUESTIONNAIRE TO: ANDREW LEONARD (ALEONARD@COOLEY.COM)</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1)"/>
      <w:numFmt w:val="lowerLetter"/>
      <w:start w:val="1"/>
    </w:lvl>
  </w:abstractNum>
  <w:abstractNum w:abstractNumId="2">
    <w:nsid w:val="70C6A529"/>
    <w:multiLevelType w:val="hybridMultilevel"/>
    <w:lvl w:ilvl="0">
      <w:lvlJc w:val="left"/>
      <w:lvlText w:val="%1)"/>
      <w:numFmt w:val="lowerLetter"/>
      <w:start w:val="1"/>
    </w:lvl>
  </w:abstractNum>
  <w:abstractNum w:abstractNumId="3">
    <w:nsid w:val="520EEDD1"/>
    <w:multiLevelType w:val="hybridMultilevel"/>
    <w:lvl w:ilvl="0">
      <w:lvlJc w:val="left"/>
      <w:lvlText w:val="%1)"/>
      <w:numFmt w:val="lowerLetter"/>
      <w:start w:val="2"/>
    </w:lvl>
    <w:lvl w:ilvl="1">
      <w:lvlJc w:val="left"/>
      <w:lvlText w:val="(%2)"/>
      <w:numFmt w:val="upperLetter"/>
      <w:start w:val="1"/>
    </w:lvl>
  </w:abstractNum>
  <w:abstractNum w:abstractNumId="4">
    <w:nsid w:val="374A3FE6"/>
    <w:multiLevelType w:val="hybridMultilevel"/>
    <w:lvl w:ilvl="0">
      <w:lvlJc w:val="left"/>
      <w:lvlText w:val="(%1)"/>
      <w:numFmt w:val="upperLetter"/>
      <w:start w:val="24"/>
    </w:lvl>
  </w:abstractNum>
  <w:abstractNum w:abstractNumId="5">
    <w:nsid w:val="4F4EF005"/>
    <w:multiLevelType w:val="hybridMultilevel"/>
    <w:lvl w:ilvl="0">
      <w:lvlJc w:val="left"/>
      <w:lvlText w:val="%1)"/>
      <w:numFmt w:val="lowerLetter"/>
      <w:start w:val="4"/>
    </w:lvl>
    <w:lvl w:ilvl="1">
      <w:lvlJc w:val="left"/>
      <w:lvlText w:val="%2."/>
      <w:numFmt w:val="lowerRoman"/>
      <w:start w:val="1"/>
    </w:lvl>
  </w:abstractNum>
  <w:abstractNum w:abstractNumId="6">
    <w:nsid w:val="23F9C13C"/>
    <w:multiLevelType w:val="hybridMultilevel"/>
    <w:lvl w:ilvl="0">
      <w:lvlJc w:val="left"/>
      <w:lvlText w:val="%1."/>
      <w:numFmt w:val="lowerRoman"/>
      <w:start w:val="2"/>
    </w:lvl>
  </w:abstractNum>
  <w:abstractNum w:abstractNumId="7">
    <w:nsid w:val="649BB77C"/>
    <w:multiLevelType w:val="hybridMultilevel"/>
    <w:lvl w:ilvl="0">
      <w:lvlJc w:val="left"/>
      <w:lvlText w:val="%1"/>
      <w:numFmt w:val="lowerLetter"/>
      <w:start w:val="1"/>
    </w:lvl>
    <w:lvl w:ilvl="1">
      <w:lvlJc w:val="left"/>
      <w:lvlText w:val="%2."/>
      <w:numFmt w:val="lowerRoman"/>
      <w:start w:val="6"/>
    </w:lvl>
  </w:abstractNum>
  <w:abstractNum w:abstractNumId="8">
    <w:nsid w:val="275AC794"/>
    <w:multiLevelType w:val="hybridMultilevel"/>
    <w:lvl w:ilvl="0">
      <w:lvlJc w:val="left"/>
      <w:lvlText w:val="%1)"/>
      <w:numFmt w:val="lowerLetter"/>
      <w:start w:val="5"/>
    </w:lvl>
    <w:lvl w:ilvl="1">
      <w:lvlJc w:val="left"/>
      <w:lvlText w:val="%2"/>
      <w:numFmt w:val="lowerRoman"/>
      <w:start w:val="1"/>
    </w:lvl>
  </w:abstractNum>
  <w:abstractNum w:abstractNumId="9">
    <w:nsid w:val="39386575"/>
    <w:multiLevelType w:val="hybridMultilevel"/>
    <w:lvl w:ilvl="0">
      <w:lvlJc w:val="left"/>
      <w:lvlText w:val="(%1)"/>
      <w:numFmt w:val="lowerRoman"/>
      <w:start w:val="2"/>
    </w:lvl>
  </w:abstractNum>
  <w:abstractNum w:abstractNumId="10">
    <w:nsid w:val="1CF10FD8"/>
    <w:multiLevelType w:val="hybridMultilevel"/>
    <w:lvl w:ilvl="0">
      <w:lvlJc w:val="left"/>
      <w:lvlText w:val="%1)"/>
      <w:numFmt w:val="lowerLetter"/>
      <w:start w:val="1"/>
    </w:lvl>
  </w:abstractNum>
  <w:abstractNum w:abstractNumId="11">
    <w:nsid w:val="180115BE"/>
    <w:multiLevelType w:val="hybridMultilevel"/>
    <w:lvl w:ilvl="0">
      <w:lvlJc w:val="left"/>
      <w:lvlText w:val="%1)"/>
      <w:numFmt w:val="lowerLetter"/>
      <w:start w:val="3"/>
    </w:lvl>
  </w:abstractNum>
  <w:abstractNum w:abstractNumId="12">
    <w:nsid w:val="235BA861"/>
    <w:multiLevelType w:val="hybridMultilevel"/>
    <w:lvl w:ilvl="0">
      <w:lvlJc w:val="left"/>
      <w:lvlText w:val="%1)"/>
      <w:numFmt w:val="lowerLetter"/>
      <w:start w:val="5"/>
    </w:lvl>
    <w:lvl w:ilvl="1">
      <w:lvlJc w:val="left"/>
      <w:lvlText w:val="%2."/>
      <w:numFmt w:val="lowerRoman"/>
      <w:start w:val="1"/>
    </w:lvl>
  </w:abstractNum>
  <w:abstractNum w:abstractNumId="13">
    <w:nsid w:val="47398C89"/>
    <w:multiLevelType w:val="hybridMultilevel"/>
    <w:lvl w:ilvl="0">
      <w:lvlJc w:val="left"/>
      <w:lvlText w:val="%1)"/>
      <w:numFmt w:val="lowerLetter"/>
      <w:start w:val="1"/>
    </w:lvl>
  </w:abstractNum>
  <w:abstractNum w:abstractNumId="14">
    <w:nsid w:val="354FE9F9"/>
    <w:multiLevelType w:val="hybridMultilevel"/>
    <w:lvl w:ilvl="0">
      <w:lvlJc w:val="left"/>
      <w:lvlText w:val="%1)"/>
      <w:numFmt w:val="lowerLetter"/>
      <w:start w:val="2"/>
    </w:lvl>
  </w:abstractNum>
  <w:abstractNum w:abstractNumId="15">
    <w:nsid w:val="15B5AF5C"/>
    <w:multiLevelType w:val="hybridMultilevel"/>
    <w:lvl w:ilvl="0">
      <w:lvlJc w:val="left"/>
      <w:lvlText w:val="%1)"/>
      <w:numFmt w:val="lowerLetter"/>
      <w:start w:val="1"/>
    </w:lvl>
  </w:abstractNum>
  <w:abstractNum w:abstractNumId="16">
    <w:nsid w:val="741226BB"/>
    <w:multiLevelType w:val="hybridMultilevel"/>
    <w:lvl w:ilvl="0">
      <w:lvlJc w:val="left"/>
      <w:lvlText w:val="%1)"/>
      <w:numFmt w:val="lowerLetter"/>
      <w:start w:val="2"/>
    </w:lvl>
  </w:abstractNum>
  <w:abstractNum w:abstractNumId="17">
    <w:nsid w:val="D34B6A8"/>
    <w:multiLevelType w:val="hybridMultilevel"/>
    <w:lvl w:ilvl="0">
      <w:lvlJc w:val="left"/>
      <w:lvlText w:val="(%1)"/>
      <w:numFmt w:val="lowerRoman"/>
      <w:start w:val="3"/>
    </w:lvl>
  </w:abstractNum>
  <w:abstractNum w:abstractNumId="18">
    <w:nsid w:val="10233C99"/>
    <w:multiLevelType w:val="hybridMultilevel"/>
    <w:lvl w:ilvl="0">
      <w:lvlJc w:val="left"/>
      <w:lvlText w:val="%1)"/>
      <w:numFmt w:val="lowerLetter"/>
      <w:start w:val="5"/>
    </w:lvl>
  </w:abstractNum>
  <w:abstractNum w:abstractNumId="19">
    <w:nsid w:val="3F6AB60F"/>
    <w:multiLevelType w:val="hybridMultilevel"/>
    <w:lvl w:ilvl="0">
      <w:lvlJc w:val="left"/>
      <w:lvlText w:val="%1)"/>
      <w:numFmt w:val="lowerLetter"/>
      <w:start w:val="10"/>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1)"/>
      <w:numFmt w:val="decimal"/>
      <w:start w:val="4"/>
    </w:lvl>
  </w:abstractNum>
  <w:abstractNum w:abstractNumId="22">
    <w:nsid w:val="77AE35EB"/>
    <w:multiLevelType w:val="hybridMultilevel"/>
    <w:lvl w:ilvl="0">
      <w:lvlJc w:val="left"/>
      <w:lvlText w:val="%1)"/>
      <w:numFmt w:val="lowerLetter"/>
      <w:start w:val="1"/>
    </w:lvl>
  </w:abstractNum>
  <w:abstractNum w:abstractNumId="23">
    <w:nsid w:val="579BE4F1"/>
    <w:multiLevelType w:val="hybridMultilevel"/>
    <w:lvl w:ilvl="0">
      <w:lvlJc w:val="left"/>
      <w:lvlText w:val="%1)"/>
      <w:numFmt w:val="lowerLetter"/>
      <w:start w:val="2"/>
    </w:lvl>
    <w:lvl w:ilvl="1">
      <w:lvlJc w:val="left"/>
      <w:lvlText w:val="(%2)"/>
      <w:numFmt w:val="upperLetter"/>
      <w:start w:val="1"/>
    </w:lvl>
  </w:abstractNum>
  <w:abstractNum w:abstractNumId="24">
    <w:nsid w:val="310C50B3"/>
    <w:multiLevelType w:val="hybridMultilevel"/>
    <w:lvl w:ilvl="0">
      <w:lvlJc w:val="left"/>
      <w:lvlText w:val="(%1)"/>
      <w:numFmt w:val="upperLetter"/>
      <w:start w:val="2"/>
    </w:lvl>
  </w:abstractNum>
  <w:abstractNum w:abstractNumId="25">
    <w:nsid w:val="5FF87E05"/>
    <w:multiLevelType w:val="hybridMultilevel"/>
    <w:lvl w:ilvl="0">
      <w:lvlJc w:val="left"/>
      <w:lvlText w:val="(%1)"/>
      <w:numFmt w:val="upperLetter"/>
      <w:start w:val="24"/>
    </w:lvl>
  </w:abstractNum>
  <w:abstractNum w:abstractNumId="26">
    <w:nsid w:val="2F305DEF"/>
    <w:multiLevelType w:val="hybridMultilevel"/>
    <w:lvl w:ilvl="0">
      <w:lvlJc w:val="left"/>
      <w:lvlText w:val="%1)"/>
      <w:numFmt w:val="lowerLetter"/>
      <w:start w:val="4"/>
    </w:lvl>
    <w:lvl w:ilvl="1">
      <w:lvlJc w:val="left"/>
      <w:lvlText w:val="%2."/>
      <w:numFmt w:val="lowerRoman"/>
      <w:start w:val="1"/>
    </w:lvl>
  </w:abstractNum>
  <w:abstractNum w:abstractNumId="27">
    <w:nsid w:val="25A70BF7"/>
    <w:multiLevelType w:val="hybridMultilevel"/>
    <w:lvl w:ilvl="0">
      <w:lvlJc w:val="left"/>
      <w:lvlText w:val="%1."/>
      <w:numFmt w:val="lowerRoman"/>
      <w:start w:val="2"/>
    </w:lvl>
  </w:abstractNum>
  <w:abstractNum w:abstractNumId="28">
    <w:nsid w:val="1DBABF00"/>
    <w:multiLevelType w:val="hybridMultilevel"/>
    <w:lvl w:ilvl="0">
      <w:lvlJc w:val="left"/>
      <w:lvlText w:val="%1"/>
      <w:numFmt w:val="lowerLetter"/>
      <w:start w:val="1"/>
    </w:lvl>
    <w:lvl w:ilvl="1">
      <w:lvlJc w:val="left"/>
      <w:lvlText w:val="%2."/>
      <w:numFmt w:val="lowerRoman"/>
      <w:start w:val="6"/>
    </w:lvl>
  </w:abstractNum>
  <w:abstractNum w:abstractNumId="29">
    <w:nsid w:val="4AD084E9"/>
    <w:multiLevelType w:val="hybridMultilevel"/>
    <w:lvl w:ilvl="0">
      <w:lvlJc w:val="left"/>
      <w:lvlText w:val="%1)"/>
      <w:numFmt w:val="lowerLetter"/>
      <w:start w:val="5"/>
    </w:lvl>
    <w:lvl w:ilvl="1">
      <w:lvlJc w:val="left"/>
      <w:lvlText w:val="%2"/>
      <w:numFmt w:val="lowerRoman"/>
      <w:start w:val="1"/>
    </w:lvl>
  </w:abstractNum>
  <w:abstractNum w:abstractNumId="30">
    <w:nsid w:val="1F48EAA1"/>
    <w:multiLevelType w:val="hybridMultilevel"/>
    <w:lvl w:ilvl="0">
      <w:lvlJc w:val="left"/>
      <w:lvlText w:val="%1)"/>
      <w:numFmt w:val="lowerLetter"/>
      <w:start w:val="1"/>
    </w:lvl>
  </w:abstractNum>
  <w:abstractNum w:abstractNumId="31">
    <w:nsid w:val="1381823A"/>
    <w:multiLevelType w:val="hybridMultilevel"/>
    <w:lvl w:ilvl="0">
      <w:lvlJc w:val="left"/>
      <w:lvlText w:val="%1)"/>
      <w:numFmt w:val="lowerLetter"/>
      <w:start w:val="3"/>
    </w:lvl>
  </w:abstractNum>
  <w:abstractNum w:abstractNumId="32">
    <w:nsid w:val="5DB70AE5"/>
    <w:multiLevelType w:val="hybridMultilevel"/>
    <w:lvl w:ilvl="0">
      <w:lvlJc w:val="left"/>
      <w:lvlText w:val="(%1)"/>
      <w:numFmt w:val="lowerRoman"/>
      <w:start w:val="10"/>
    </w:lvl>
  </w:abstractNum>
  <w:abstractNum w:abstractNumId="33">
    <w:nsid w:val="100F8FCA"/>
    <w:multiLevelType w:val="hybridMultilevel"/>
    <w:lvl w:ilvl="0">
      <w:lvlJc w:val="left"/>
      <w:lvlText w:val="%1)"/>
      <w:numFmt w:val="lowerLetter"/>
      <w:start w:val="5"/>
    </w:lvl>
  </w:abstractNum>
  <w:abstractNum w:abstractNumId="34">
    <w:nsid w:val="6590700B"/>
    <w:multiLevelType w:val="hybridMultilevel"/>
    <w:lvl w:ilvl="0">
      <w:lvlJc w:val="left"/>
      <w:lvlText w:val="%1)"/>
      <w:numFmt w:val="lowerLetter"/>
      <w:start w:val="6"/>
    </w:lvl>
    <w:lvl w:ilvl="1">
      <w:lvlJc w:val="left"/>
      <w:lvlText w:val="%2."/>
      <w:numFmt w:val="lowerRoman"/>
      <w:start w:val="1"/>
    </w:lvl>
  </w:abstractNum>
  <w:abstractNum w:abstractNumId="35">
    <w:nsid w:val="15014ACB"/>
    <w:multiLevelType w:val="hybridMultilevel"/>
    <w:lvl w:ilvl="0">
      <w:lvlJc w:val="left"/>
      <w:lvlText w:val="%1)"/>
      <w:numFmt w:val="lowerLetter"/>
      <w:start w:val="1"/>
    </w:lvl>
  </w:abstractNum>
  <w:abstractNum w:abstractNumId="36">
    <w:nsid w:val="5F5E7FD0"/>
    <w:multiLevelType w:val="hybridMultilevel"/>
    <w:lvl w:ilvl="0">
      <w:lvlJc w:val="left"/>
      <w:lvlText w:val="%1)"/>
      <w:numFmt w:val="lowerLetter"/>
      <w:start w:val="5"/>
    </w:lvl>
  </w:abstractNum>
  <w:abstractNum w:abstractNumId="37">
    <w:nsid w:val="98A3148"/>
    <w:multiLevelType w:val="hybridMultilevel"/>
    <w:lvl w:ilvl="0">
      <w:lvlJc w:val="left"/>
      <w:lvlText w:val="%1)"/>
      <w:numFmt w:val="lowerLetter"/>
      <w:start w:val="1"/>
    </w:lvl>
  </w:abstractNum>
  <w:abstractNum w:abstractNumId="38">
    <w:nsid w:val="799D0247"/>
    <w:multiLevelType w:val="hybridMultilevel"/>
    <w:lvl w:ilvl="0">
      <w:lvlJc w:val="left"/>
      <w:lvlText w:val="%1)"/>
      <w:numFmt w:val="lowerLetter"/>
      <w:start w:val="5"/>
    </w:lvl>
  </w:abstractNum>
  <w:abstractNum w:abstractNumId="39">
    <w:nsid w:val="6B94764"/>
    <w:multiLevelType w:val="hybridMultilevel"/>
    <w:lvl w:ilvl="0">
      <w:lvlJc w:val="left"/>
      <w:lvlText w:val="%1)"/>
      <w:numFmt w:val="lowerLetter"/>
      <w:start w:val="7"/>
    </w:lvl>
  </w:abstractNum>
  <w:abstractNum w:abstractNumId="40">
    <w:nsid w:val="42C296BD"/>
    <w:multiLevelType w:val="hybridMultilevel"/>
    <w:lvl w:ilvl="0">
      <w:lvlJc w:val="left"/>
      <w:lvlText w:val="(%1)"/>
      <w:numFmt w:val="decimal"/>
      <w:start w:val="1"/>
    </w:lvl>
  </w:abstractNum>
  <w:abstractNum w:abstractNumId="41">
    <w:nsid w:val="168E121F"/>
    <w:multiLevelType w:val="hybridMultilevel"/>
    <w:lvl w:ilvl="0">
      <w:lvlJc w:val="left"/>
      <w:lvlText w:val="(%1)"/>
      <w:numFmt w:val="decimal"/>
      <w:start w:val="4"/>
    </w:lvl>
  </w:abstractNum>
  <w:abstractNum w:abstractNumId="42">
    <w:nsid w:val="1EBA5D23"/>
    <w:multiLevelType w:val="hybridMultilevel"/>
    <w:lvl w:ilvl="0">
      <w:lvlJc w:val="left"/>
      <w:lvlText w:val="(%1)"/>
      <w:numFmt w:val="lowerLetter"/>
      <w:start w:val="1"/>
    </w:lvl>
    <w:lvl w:ilvl="1">
      <w:lvlJc w:val="left"/>
      <w:lvlText w:val="(%2)"/>
      <w:numFmt w:val="lowerRoman"/>
      <w:start w:val="1"/>
    </w:lvl>
  </w:abstractNum>
  <w:abstractNum w:abstractNumId="43">
    <w:nsid w:val="661E3F1E"/>
    <w:multiLevelType w:val="hybridMultilevel"/>
    <w:lvl w:ilvl="0">
      <w:lvlJc w:val="left"/>
      <w:lvlText w:val="(%1)"/>
      <w:numFmt w:val="lowerLetter"/>
      <w:start w:val="1"/>
    </w:lvl>
    <w:lvl w:ilvl="1">
      <w:lvlJc w:val="left"/>
      <w:lvlText w:val="(%2)"/>
      <w:numFmt w:val="lowerRoman"/>
      <w:start w:val="1"/>
    </w:lvl>
  </w:abstractNum>
  <w:abstractNum w:abstractNumId="44">
    <w:nsid w:val="5DC79EA8"/>
    <w:multiLevelType w:val="hybridMultilevel"/>
    <w:lvl w:ilvl="0">
      <w:lvlJc w:val="left"/>
      <w:lvlText w:val="(%1)"/>
      <w:numFmt w:val="lowerLetter"/>
      <w:start w:val="1"/>
    </w:lvl>
  </w:abstractNum>
  <w:abstractNum w:abstractNumId="45">
    <w:nsid w:val="540A471C"/>
    <w:multiLevelType w:val="hybridMultilevel"/>
    <w:lvl w:ilvl="0">
      <w:lvlJc w:val="left"/>
      <w:lvlText w:val="%1"/>
      <w:numFmt w:val="lowerLetter"/>
      <w:start w:val="1"/>
    </w:lvl>
    <w:lvl w:ilvl="1">
      <w:lvlJc w:val="left"/>
      <w:lvlText w:val="(%2)"/>
      <w:numFmt w:val="lowerLetter"/>
      <w:start w:val="3"/>
    </w:lvl>
  </w:abstractNum>
  <w:abstractNum w:abstractNumId="46">
    <w:nsid w:val="7BD3EE7B"/>
    <w:multiLevelType w:val="hybridMultilevel"/>
    <w:lvl w:ilvl="0">
      <w:lvlJc w:val="left"/>
      <w:lvlText w:val="(%1)"/>
      <w:numFmt w:val="lowerLetter"/>
      <w:start w:val="61"/>
    </w:lvl>
    <w:lvl w:ilvl="1">
      <w:lvlJc w:val="left"/>
      <w:lvlText w:val="%2"/>
      <w:numFmt w:val="lowerLetter"/>
      <w:start w:val="1"/>
    </w:lvl>
  </w:abstractNum>
  <w:abstractNum w:abstractNumId="47">
    <w:nsid w:val="51D9C564"/>
    <w:multiLevelType w:val="hybridMultilevel"/>
    <w:lvl w:ilvl="0">
      <w:lvlJc w:val="left"/>
      <w:lvlText w:val="(%1)"/>
      <w:numFmt w:val="lowerLetter"/>
      <w:start w:val="35"/>
    </w:lvl>
    <w:lvl w:ilvl="1">
      <w:lvlJc w:val="left"/>
      <w:lvlText w:val="(%2)"/>
      <w:numFmt w:val="lowerLetter"/>
      <w:start w:val="5"/>
    </w:lvl>
  </w:abstractNum>
  <w:abstractNum w:abstractNumId="48">
    <w:nsid w:val="613EFDC5"/>
    <w:multiLevelType w:val="hybridMultilevel"/>
    <w:lvl w:ilvl="0">
      <w:lvlJc w:val="left"/>
      <w:lvlText w:val="(%1)"/>
      <w:numFmt w:val="lowerRoman"/>
      <w:start w:val="6"/>
    </w:lvl>
    <w:lvl w:ilvl="1">
      <w:lvlJc w:val="left"/>
      <w:lvlText w:val="(%2)"/>
      <w:numFmt w:val="lowerLetter"/>
      <w:start w:val="6"/>
    </w:lvl>
  </w:abstractNum>
  <w:abstractNum w:abstractNumId="49">
    <w:nsid w:val="BF72B14"/>
    <w:multiLevelType w:val="hybridMultilevel"/>
    <w:lvl w:ilvl="0">
      <w:lvlJc w:val="left"/>
      <w:lvlText w:val="%1"/>
      <w:numFmt w:val="upperLetter"/>
      <w:start w:val="1"/>
    </w:lvl>
    <w:lvl w:ilvl="1">
      <w:lvlJc w:val="left"/>
      <w:lvlText w:val="(%2)"/>
      <w:numFmt w:val="lowerLetter"/>
      <w:start w:val="8"/>
    </w:lvl>
  </w:abstractNum>
  <w:abstractNum w:abstractNumId="50">
    <w:nsid w:val="11447B73"/>
    <w:multiLevelType w:val="hybridMultilevel"/>
    <w:lvl w:ilvl="0">
      <w:lvlJc w:val="left"/>
      <w:lvlText w:val="(%1)"/>
      <w:numFmt w:val="upperLetter"/>
      <w:start w:val="1"/>
    </w:lvl>
    <w:lvl w:ilvl="1">
      <w:lvlJc w:val="left"/>
      <w:lvlText w:val="%2"/>
      <w:numFmt w:val="lowerLetter"/>
      <w:start w:val="1"/>
    </w:lvl>
  </w:abstractNum>
  <w:abstractNum w:abstractNumId="51">
    <w:nsid w:val="42963E5A"/>
    <w:multiLevelType w:val="hybridMultilevel"/>
    <w:lvl w:ilvl="0">
      <w:lvlJc w:val="left"/>
      <w:lvlText w:val="(%1)"/>
      <w:numFmt w:val="decimal"/>
      <w:start w:val="1"/>
    </w:lvl>
    <w:lvl w:ilvl="1">
      <w:lvlJc w:val="left"/>
      <w:lvlText w:val="(%2)"/>
      <w:numFmt w:val="lowerLetter"/>
      <w:start w:val="10"/>
    </w:lvl>
  </w:abstractNum>
  <w:abstractNum w:abstractNumId="52">
    <w:nsid w:val="A0382C5"/>
    <w:multiLevelType w:val="hybridMultilevel"/>
    <w:lvl w:ilvl="0">
      <w:lvlJc w:val="left"/>
      <w:lvlText w:val="(%1)"/>
      <w:numFmt w:val="lowerLetter"/>
      <w:start w:val="12"/>
    </w:lvl>
  </w:abstractNum>
  <w:abstractNum w:abstractNumId="53">
    <w:nsid w:val="8F2B15E"/>
    <w:multiLevelType w:val="hybridMultilevel"/>
    <w:lvl w:ilvl="0">
      <w:lvlJc w:val="left"/>
      <w:lvlText w:val="(%1)"/>
      <w:numFmt w:val="lowerLetter"/>
      <w:start w:val="15"/>
    </w:lvl>
  </w:abstractNum>
  <w:abstractNum w:abstractNumId="54">
    <w:nsid w:val="1A32234B"/>
    <w:multiLevelType w:val="hybridMultilevel"/>
    <w:lvl w:ilvl="0">
      <w:lvlJc w:val="left"/>
      <w:lvlText w:val="(%1)"/>
      <w:numFmt w:val="lowerLetter"/>
      <w:start w:val="19"/>
    </w:lvl>
  </w:abstractNum>
  <w:abstractNum w:abstractNumId="55">
    <w:nsid w:val="3B0FD379"/>
    <w:multiLevelType w:val="hybridMultilevel"/>
    <w:lvl w:ilvl="0">
      <w:lvlJc w:val="left"/>
      <w:lvlText w:val="(%1)"/>
      <w:numFmt w:val="lowerLetter"/>
      <w:start w:val="21"/>
    </w:lvl>
  </w:abstractNum>
  <w:abstractNum w:abstractNumId="56">
    <w:nsid w:val="68EB2F63"/>
    <w:multiLevelType w:val="hybridMultilevel"/>
    <w:lvl w:ilvl="0">
      <w:lvlJc w:val="left"/>
      <w:lvlText w:val="%1"/>
      <w:numFmt w:val="lowerLetter"/>
      <w:start w:val="1"/>
    </w:lvl>
    <w:lvl w:ilvl="1">
      <w:lvlJc w:val="left"/>
      <w:lvlText w:val="(%2)"/>
      <w:numFmt w:val="lowerLetter"/>
      <w:start w:val="27"/>
    </w:lvl>
  </w:abstractNum>
  <w:abstractNum w:abstractNumId="57">
    <w:nsid w:val="4962813B"/>
    <w:multiLevelType w:val="hybridMultilevel"/>
    <w:lvl w:ilvl="0">
      <w:lvlJc w:val="left"/>
      <w:lvlText w:val="(%1)"/>
      <w:numFmt w:val="lowerLetter"/>
      <w:start w:val="35"/>
    </w:lvl>
    <w:lvl w:ilvl="1">
      <w:lvlJc w:val="left"/>
      <w:lvlText w:val="(%2)"/>
      <w:numFmt w:val="lowerLetter"/>
      <w:start w:val="28"/>
    </w:lvl>
  </w:abstractNum>
  <w:abstractNum w:abstractNumId="58">
    <w:nsid w:val="60B6DF70"/>
    <w:multiLevelType w:val="hybridMultilevel"/>
    <w:lvl w:ilvl="0">
      <w:lvlJc w:val="left"/>
      <w:lvlText w:val="%1"/>
      <w:numFmt w:val="lowerLetter"/>
      <w:start w:val="1"/>
    </w:lvl>
    <w:lvl w:ilvl="1">
      <w:lvlJc w:val="left"/>
      <w:lvlText w:val="(%2)"/>
      <w:numFmt w:val="lowerLetter"/>
      <w:start w:val="29"/>
    </w:lvl>
  </w:abstractNum>
  <w:abstractNum w:abstractNumId="59">
    <w:nsid w:val="6A5EE64"/>
    <w:multiLevelType w:val="hybridMultilevel"/>
    <w:lvl w:ilvl="0">
      <w:lvlJc w:val="left"/>
      <w:lvlText w:val="(%1)"/>
      <w:numFmt w:val="lowerLetter"/>
      <w:start w:val="61"/>
    </w:lvl>
    <w:lvl w:ilvl="1">
      <w:lvlJc w:val="left"/>
      <w:lvlText w:val="(%2)"/>
      <w:numFmt w:val="lowerLetter"/>
      <w:start w:val="30"/>
    </w:lvl>
  </w:abstractNum>
  <w:abstractNum w:abstractNumId="60">
    <w:nsid w:val="14330624"/>
    <w:multiLevelType w:val="hybridMultilevel"/>
    <w:lvl w:ilvl="0">
      <w:lvlJc w:val="left"/>
      <w:lvlText w:val="(%1)"/>
      <w:numFmt w:val="lowerLetter"/>
      <w:start w:val="35"/>
    </w:lvl>
  </w:abstractNum>
  <w:abstractNum w:abstractNumId="61">
    <w:nsid w:val="7FFFCA11"/>
    <w:multiLevelType w:val="hybridMultilevel"/>
    <w:lvl w:ilvl="0">
      <w:lvlJc w:val="left"/>
      <w:lvlText w:val="(%1)"/>
      <w:numFmt w:val="lowerRoman"/>
      <w:start w:val="6"/>
    </w:lvl>
    <w:lvl w:ilvl="1">
      <w:lvlJc w:val="left"/>
      <w:lvlText w:val="(%2)"/>
      <w:numFmt w:val="lowerLetter"/>
      <w:start w:val="38"/>
    </w:lvl>
  </w:abstractNum>
  <w:abstractNum w:abstractNumId="62">
    <w:nsid w:val="1A27709E"/>
    <w:multiLevelType w:val="hybridMultilevel"/>
    <w:lvl w:ilvl="0">
      <w:lvlJc w:val="left"/>
      <w:lvlText w:val="%1"/>
      <w:numFmt w:val="lowerLetter"/>
      <w:start w:val="1"/>
    </w:lvl>
    <w:lvl w:ilvl="1">
      <w:lvlJc w:val="left"/>
      <w:lvlText w:val="(%2)"/>
      <w:numFmt w:val="lowerLetter"/>
      <w:start w:val="40"/>
    </w:lvl>
  </w:abstractNum>
  <w:abstractNum w:abstractNumId="63">
    <w:nsid w:val="71EA1109"/>
    <w:multiLevelType w:val="hybridMultilevel"/>
    <w:lvl w:ilvl="0">
      <w:lvlJc w:val="left"/>
      <w:lvlText w:val="(%1)"/>
      <w:numFmt w:val="lowerLetter"/>
      <w:start w:val="25"/>
    </w:lvl>
    <w:lvl w:ilvl="1">
      <w:lvlJc w:val="left"/>
      <w:lvlText w:val="(%2)"/>
      <w:numFmt w:val="lowerLetter"/>
      <w:start w:val="41"/>
    </w:lvl>
  </w:abstractNum>
  <w:abstractNum w:abstractNumId="64">
    <w:nsid w:val="100F59DC"/>
    <w:multiLevelType w:val="hybridMultilevel"/>
    <w:lvl w:ilvl="0">
      <w:lvlJc w:val="left"/>
      <w:lvlText w:val="(%1)"/>
      <w:numFmt w:val="lowerLetter"/>
      <w:start w:val="42"/>
    </w:lvl>
  </w:abstractNum>
  <w:abstractNum w:abstractNumId="65">
    <w:nsid w:val="7FB7E0AA"/>
    <w:multiLevelType w:val="hybridMultilevel"/>
    <w:lvl w:ilvl="0">
      <w:lvlJc w:val="left"/>
      <w:lvlText w:val="(%1)"/>
      <w:numFmt w:val="lowerLetter"/>
      <w:start w:val="47"/>
    </w:lvl>
  </w:abstractNum>
  <w:abstractNum w:abstractNumId="66">
    <w:nsid w:val="6EB5BD4"/>
    <w:multiLevelType w:val="hybridMultilevel"/>
    <w:lvl w:ilvl="0">
      <w:lvlJc w:val="left"/>
      <w:lvlText w:val="(%1)"/>
      <w:numFmt w:val="lowerLetter"/>
      <w:start w:val="1"/>
    </w:lvl>
  </w:abstractNum>
  <w:abstractNum w:abstractNumId="67">
    <w:nsid w:val="6F6DD9AC"/>
    <w:multiLevelType w:val="hybridMultilevel"/>
    <w:lvl w:ilvl="0">
      <w:lvlJc w:val="left"/>
      <w:lvlText w:val="(%1)"/>
      <w:numFmt w:val="lowerLetter"/>
      <w:start w:val="3"/>
    </w:lvl>
  </w:abstractNum>
  <w:abstractNum w:abstractNumId="68">
    <w:nsid w:val="94211F2"/>
    <w:multiLevelType w:val="hybridMultilevel"/>
    <w:lvl w:ilvl="0">
      <w:lvlJc w:val="left"/>
      <w:lvlText w:val="(%1)"/>
      <w:numFmt w:val="lowerLetter"/>
      <w:start w:val="7"/>
    </w:lvl>
  </w:abstractNum>
  <w:abstractNum w:abstractNumId="69">
    <w:nsid w:val="885E1B"/>
    <w:multiLevelType w:val="hybridMultilevel"/>
    <w:lvl w:ilvl="0">
      <w:lvlJc w:val="left"/>
      <w:lvlText w:val="(%1)"/>
      <w:numFmt w:val="lowerLetter"/>
      <w:start w:val="1"/>
    </w:lvl>
  </w:abstractNum>
  <w:abstractNum w:abstractNumId="70">
    <w:nsid w:val="76272110"/>
    <w:multiLevelType w:val="hybridMultilevel"/>
    <w:lvl w:ilvl="0">
      <w:lvlJc w:val="left"/>
      <w:lvlText w:val="(%1)"/>
      <w:numFmt w:val="decimal"/>
      <w:start w:val="3"/>
    </w:lvl>
    <w:lvl w:ilvl="1">
      <w:lvlJc w:val="left"/>
      <w:lvlText w:val="(%2)"/>
      <w:numFmt w:val="lowerLetter"/>
      <w:start w:val="3"/>
    </w:lvl>
  </w:abstractNum>
  <w:abstractNum w:abstractNumId="71">
    <w:nsid w:val="4C04A8AF"/>
    <w:multiLevelType w:val="hybridMultilevel"/>
    <w:lvl w:ilvl="0">
      <w:lvlJc w:val="left"/>
      <w:lvlText w:val="(%1)"/>
      <w:numFmt w:val="lowerLetter"/>
      <w:start w:val="4"/>
    </w:lvl>
  </w:abstractNum>
  <w:abstractNum w:abstractNumId="72">
    <w:nsid w:val="1716703B"/>
    <w:multiLevelType w:val="hybridMultilevel"/>
    <w:lvl w:ilvl="0">
      <w:lvlJc w:val="left"/>
      <w:lvlText w:val="(%1)"/>
      <w:numFmt w:val="lowerLetter"/>
      <w:start w:val="5"/>
    </w:lvl>
  </w:abstractNum>
  <w:abstractNum w:abstractNumId="73">
    <w:nsid w:val="14E17E33"/>
    <w:multiLevelType w:val="hybridMultilevel"/>
    <w:lvl w:ilvl="0">
      <w:lvlJc w:val="left"/>
      <w:lvlText w:val="(%1)"/>
      <w:numFmt w:val="lowerLetter"/>
      <w:start w:val="1"/>
    </w:lvl>
  </w:abstractNum>
  <w:abstractNum w:abstractNumId="74">
    <w:nsid w:val="3222E7CD"/>
    <w:multiLevelType w:val="hybridMultilevel"/>
    <w:lvl w:ilvl="0">
      <w:lvlJc w:val="left"/>
      <w:lvlText w:val="(%1)"/>
      <w:numFmt w:val="lowerRoman"/>
      <w:start w:val="2"/>
    </w:lvl>
  </w:abstractNum>
  <w:abstractNum w:abstractNumId="75">
    <w:nsid w:val="74DE0EE3"/>
    <w:multiLevelType w:val="hybridMultilevel"/>
    <w:lvl w:ilvl="0">
      <w:lvlJc w:val="left"/>
      <w:lvlText w:val="%1."/>
      <w:numFmt w:val="decimal"/>
      <w:start w:val="1"/>
    </w:lvl>
  </w:abstractNum>
  <w:abstractNum w:abstractNumId="76">
    <w:nsid w:val="68EBC550"/>
    <w:multiLevelType w:val="hybridMultilevel"/>
    <w:lvl w:ilvl="0">
      <w:lvlJc w:val="left"/>
      <w:lvlText w:val="%1."/>
      <w:numFmt w:val="decimal"/>
      <w:start w:val="2"/>
    </w:lvl>
    <w:lvl w:ilvl="1">
      <w:lvlJc w:val="left"/>
      <w:lvlText w:val="(%2)"/>
      <w:numFmt w:val="lowerLetter"/>
      <w:start w:val="1"/>
    </w:lvl>
  </w:abstractNum>
  <w:abstractNum w:abstractNumId="77">
    <w:nsid w:val="2DF6D648"/>
    <w:multiLevelType w:val="hybridMultilevel"/>
    <w:lvl w:ilvl="0">
      <w:lvlJc w:val="left"/>
      <w:lvlText w:val="(%1)"/>
      <w:numFmt w:val="lowerLetter"/>
      <w:start w:val="2"/>
    </w:lvl>
    <w:lvl w:ilvl="1">
      <w:lvlJc w:val="left"/>
      <w:lvlText w:val="%2."/>
      <w:numFmt w:val="lowerLetter"/>
      <w:start w:val="1"/>
    </w:lvl>
  </w:abstractNum>
  <w:abstractNum w:abstractNumId="78">
    <w:nsid w:val="46B7D447"/>
    <w:multiLevelType w:val="hybridMultilevel"/>
    <w:lvl w:ilvl="0">
      <w:lvlJc w:val="left"/>
      <w:lvlText w:val="(%1)"/>
      <w:numFmt w:val="lowerLetter"/>
      <w:start w:val="4"/>
    </w:lvl>
  </w:abstractNum>
  <w:abstractNum w:abstractNumId="79">
    <w:nsid w:val="4A2AC315"/>
    <w:multiLevelType w:val="hybridMultilevel"/>
    <w:lvl w:ilvl="0">
      <w:lvlJc w:val="left"/>
      <w:lvlText w:val="(%1)"/>
      <w:numFmt w:val="lowerLetter"/>
      <w:start w:val="5"/>
    </w:lvl>
  </w:abstractNum>
  <w:abstractNum w:abstractNumId="80">
    <w:nsid w:val="39EE015C"/>
    <w:multiLevelType w:val="hybridMultilevel"/>
    <w:lvl w:ilvl="0">
      <w:lvlJc w:val="left"/>
      <w:lvlText w:val="%1."/>
      <w:numFmt w:val="decimal"/>
      <w:start w:val="3"/>
    </w:lvl>
  </w:abstractNum>
  <w:abstractNum w:abstractNumId="81">
    <w:nsid w:val="57FC4FBB"/>
    <w:multiLevelType w:val="hybridMultilevel"/>
    <w:lvl w:ilvl="0">
      <w:lvlJc w:val="left"/>
      <w:lvlText w:val="(%1)"/>
      <w:numFmt w:val="lowerLetter"/>
      <w:start w:val="1"/>
    </w:lvl>
  </w:abstractNum>
  <w:abstractNum w:abstractNumId="82">
    <w:nsid w:val="CC1016F"/>
    <w:multiLevelType w:val="hybridMultilevel"/>
    <w:lvl w:ilvl="0">
      <w:lvlJc w:val="left"/>
      <w:lvlText w:val="(%1)"/>
      <w:numFmt w:val="lowerLetter"/>
      <w:start w:val="2"/>
    </w:lvl>
  </w:abstractNum>
  <w:abstractNum w:abstractNumId="83">
    <w:nsid w:val="43F18422"/>
    <w:multiLevelType w:val="hybridMultilevel"/>
    <w:lvl w:ilvl="0">
      <w:lvlJc w:val="left"/>
      <w:lvlText w:val="(%1)"/>
      <w:numFmt w:val="lowerLetter"/>
      <w:start w:val="5"/>
    </w:lvl>
  </w:abstractNum>
  <w:abstractNum w:abstractNumId="84">
    <w:nsid w:val="60EF0119"/>
    <w:multiLevelType w:val="hybridMultilevel"/>
    <w:lvl w:ilvl="0">
      <w:lvlJc w:val="left"/>
      <w:lvlText w:val="(%1)"/>
      <w:numFmt w:val="lowerLetter"/>
      <w:start w:val="8"/>
    </w:lvl>
  </w:abstractNum>
  <w:abstractNum w:abstractNumId="85">
    <w:nsid w:val="26F324B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1"/>
    </w:lvl>
  </w:abstractNum>
  <w:abstractNum w:abstractNumId="86">
    <w:nsid w:val="7F01579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7">
    <w:nsid w:val="49DA307D"/>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abstractNum>
  <w:abstractNum w:abstractNumId="88">
    <w:nsid w:val="7055A5F5"/>
    <w:multiLevelType w:val="hybridMultilevel"/>
    <w:lvl w:ilvl="0">
      <w:lvlJc w:val="left"/>
      <w:lvlText w:val="%1."/>
      <w:numFmt w:val="decimal"/>
      <w:start w:val="5"/>
    </w:lvl>
    <w:lvl w:ilvl="1">
      <w:lvlJc w:val="left"/>
      <w:lvlText w:val="(%2)"/>
      <w:numFmt w:val="lowerLetter"/>
      <w:start w:val="1"/>
    </w:lvl>
  </w:abstractNum>
  <w:abstractNum w:abstractNumId="89">
    <w:nsid w:val="5FB8370B"/>
    <w:multiLevelType w:val="hybridMultilevel"/>
    <w:lvl w:ilvl="0">
      <w:lvlJc w:val="left"/>
      <w:lvlText w:val="(%1)"/>
      <w:numFmt w:val="lowerLetter"/>
      <w:start w:val="2"/>
    </w:lvl>
  </w:abstractNum>
  <w:abstractNum w:abstractNumId="90">
    <w:nsid w:val="50801EE1"/>
    <w:multiLevelType w:val="hybridMultilevel"/>
    <w:lvl w:ilvl="0">
      <w:lvlJc w:val="left"/>
      <w:lvlText w:val="(%1)"/>
      <w:numFmt w:val="lowerLetter"/>
      <w:start w:val="4"/>
    </w:lvl>
  </w:abstractNum>
  <w:abstractNum w:abstractNumId="91">
    <w:nsid w:val="488AC1A"/>
    <w:multiLevelType w:val="hybridMultilevel"/>
    <w:lvl w:ilvl="0">
      <w:lvlJc w:val="left"/>
      <w:lvlText w:val="%1."/>
      <w:numFmt w:val="decimal"/>
      <w:start w:val="6"/>
    </w:lvl>
  </w:abstractNum>
  <w:abstractNum w:abstractNumId="92">
    <w:nsid w:val="5FB8011C"/>
    <w:multiLevelType w:val="hybridMultilevel"/>
    <w:lvl w:ilvl="0">
      <w:lvlJc w:val="left"/>
      <w:lvlText w:val="(%1)"/>
      <w:numFmt w:val="lowerLetter"/>
      <w:start w:val="1"/>
    </w:lvl>
  </w:abstractNum>
  <w:abstractNum w:abstractNumId="93">
    <w:nsid w:val="6AA78F7F"/>
    <w:multiLevelType w:val="hybridMultilevel"/>
    <w:lvl w:ilvl="0">
      <w:lvlJc w:val="left"/>
      <w:lvlText w:val="(%1)"/>
      <w:numFmt w:val="lowerLetter"/>
      <w:start w:val="2"/>
    </w:lvl>
  </w:abstractNum>
  <w:abstractNum w:abstractNumId="94">
    <w:nsid w:val="7672BD23"/>
    <w:multiLevelType w:val="hybridMultilevel"/>
    <w:lvl w:ilvl="0">
      <w:lvlJc w:val="left"/>
      <w:lvlText w:val="(%1)"/>
      <w:numFmt w:val="lowerLetter"/>
      <w:start w:val="6"/>
    </w:lvl>
  </w:abstractNum>
  <w:abstractNum w:abstractNumId="95">
    <w:nsid w:val="6FC75AF8"/>
    <w:multiLevelType w:val="hybridMultilevel"/>
    <w:lvl w:ilvl="0">
      <w:lvlJc w:val="left"/>
      <w:lvlText w:val="(%1)"/>
      <w:numFmt w:val="lowerLetter"/>
      <w:start w:val="12"/>
    </w:lvl>
  </w:abstractNum>
  <w:abstractNum w:abstractNumId="96">
    <w:nsid w:val="6A5F7029"/>
    <w:multiLevelType w:val="hybridMultilevel"/>
    <w:lvl w:ilvl="0">
      <w:lvlJc w:val="left"/>
      <w:lvlText w:val="•"/>
      <w:numFmt w:val="bullet"/>
      <w:start w:val="1"/>
    </w:lvl>
  </w:abstractNum>
  <w:abstractNum w:abstractNumId="97">
    <w:nsid w:val="7D5E18F8"/>
    <w:multiLevelType w:val="hybridMultilevel"/>
    <w:lvl w:ilvl="0">
      <w:lvlJc w:val="left"/>
      <w:lvlText w:val=" "/>
      <w:numFmt w:val="bullet"/>
      <w:start w:val="1"/>
    </w:lvl>
    <w:lvl w:ilvl="1">
      <w:lvlJc w:val="left"/>
      <w:lvlText w:val="(%2)"/>
      <w:numFmt w:val="lowerLetter"/>
      <w:start w:val="2"/>
    </w:lvl>
  </w:abstractNum>
  <w:abstractNum w:abstractNumId="98">
    <w:nsid w:val="5F3534A4"/>
    <w:multiLevelType w:val="hybridMultilevel"/>
    <w:lvl w:ilvl="0">
      <w:lvlJc w:val="left"/>
      <w:lvlText w:val="%1."/>
      <w:numFmt w:val="decimal"/>
      <w:start w:val="3"/>
    </w:lvl>
    <w:lvl w:ilvl="1">
      <w:lvlJc w:val="left"/>
      <w:lvlText w:val="(%2)"/>
      <w:numFmt w:val="lowerLetter"/>
      <w:start w:val="1"/>
    </w:lvl>
  </w:abstractNum>
  <w:abstractNum w:abstractNumId="99">
    <w:nsid w:val="73A1821B"/>
    <w:multiLevelType w:val="hybridMultilevel"/>
    <w:lvl w:ilvl="0">
      <w:lvlJc w:val="left"/>
      <w:lvlText w:val="(%1)"/>
      <w:numFmt w:val="lowerLetter"/>
      <w:start w:val="2"/>
    </w:lvl>
  </w:abstractNum>
  <w:abstractNum w:abstractNumId="100">
    <w:nsid w:val="7DE67713"/>
    <w:multiLevelType w:val="hybridMultilevel"/>
    <w:lvl w:ilvl="0">
      <w:lvlJc w:val="left"/>
      <w:lvlText w:val="(%1)"/>
      <w:numFmt w:val="lowerLetter"/>
      <w:start w:val="3"/>
    </w:lvl>
  </w:abstractNum>
  <w:abstractNum w:abstractNumId="101">
    <w:nsid w:val="555C55B5"/>
    <w:multiLevelType w:val="hybridMultilevel"/>
    <w:lvl w:ilvl="0">
      <w:lvlJc w:val="left"/>
      <w:lvlText w:val="(%1)"/>
      <w:numFmt w:val="lowerLetter"/>
      <w:start w:val="4"/>
    </w:lvl>
  </w:abstractNum>
  <w:abstractNum w:abstractNumId="102">
    <w:nsid w:val="3FA62ACA"/>
    <w:multiLevelType w:val="hybridMultilevel"/>
    <w:lvl w:ilvl="0">
      <w:lvlJc w:val="left"/>
      <w:lvlText w:val=" "/>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2026-03-23T07:20:01Z</dcterms:created>
  <dcterms:modified xsi:type="dcterms:W3CDTF">2026-03-23T07:20:01Z</dcterms:modified>
</cp:coreProperties>
</file>