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13, 2025, Tempest Therapeutics, Inc. (the “Company”) issued a press release announcing its financial results for the quarter ended March 31, 2025 and other business highlights. A copy of the Company’s press release is attached hereto as Exhibit 99.1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67"/>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13, 2025</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493"/>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4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58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191"/>
        </w:trPr>
        <w:tc>
          <w:tcPr>
            <w:tcW w:w="3600" w:type="dxa"/>
            <w:vAlign w:val="bottom"/>
          </w:tcPr>
          <w:p>
            <w:pPr>
              <w:spacing w:after="0"/>
              <w:rPr>
                <w:sz w:val="16"/>
                <w:szCs w:val="16"/>
                <w:color w:val="auto"/>
              </w:rPr>
            </w:pPr>
          </w:p>
        </w:tc>
        <w:tc>
          <w:tcPr>
            <w:tcW w:w="260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Brady</w:t>
            </w:r>
          </w:p>
        </w:tc>
      </w:tr>
      <w:tr>
        <w:trPr>
          <w:trHeight w:val="248"/>
        </w:trPr>
        <w:tc>
          <w:tcPr>
            <w:tcW w:w="3600" w:type="dxa"/>
            <w:vAlign w:val="bottom"/>
          </w:tcPr>
          <w:p>
            <w:pPr>
              <w:spacing w:after="0"/>
              <w:rPr>
                <w:sz w:val="21"/>
                <w:szCs w:val="21"/>
                <w:color w:val="auto"/>
              </w:rPr>
            </w:pP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41"/>
        </w:trPr>
        <w:tc>
          <w:tcPr>
            <w:tcW w:w="36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294005</wp:posOffset>
            </wp:positionV>
            <wp:extent cx="228028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Tempest Reports First Quarter 2025 Financial Results and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Provides Business Update</w:t>
      </w:r>
    </w:p>
    <w:p>
      <w:pPr>
        <w:spacing w:after="0" w:line="200" w:lineRule="exact"/>
        <w:rPr>
          <w:sz w:val="20"/>
          <w:szCs w:val="20"/>
          <w:color w:val="auto"/>
        </w:rPr>
      </w:pPr>
    </w:p>
    <w:p>
      <w:pPr>
        <w:spacing w:after="0" w:line="215" w:lineRule="exact"/>
        <w:rPr>
          <w:sz w:val="20"/>
          <w:szCs w:val="20"/>
          <w:color w:val="auto"/>
        </w:rPr>
      </w:pPr>
    </w:p>
    <w:p>
      <w:pPr>
        <w:ind w:left="760" w:right="720" w:hanging="378"/>
        <w:spacing w:after="0" w:line="293" w:lineRule="auto"/>
        <w:tabs>
          <w:tab w:leader="none" w:pos="760" w:val="left"/>
        </w:tabs>
        <w:numPr>
          <w:ilvl w:val="0"/>
          <w:numId w:val="2"/>
        </w:numPr>
        <w:rPr>
          <w:rFonts w:ascii="Times New Roman" w:cs="Times New Roman" w:eastAsia="Times New Roman" w:hAnsi="Times New Roman"/>
          <w:sz w:val="23"/>
          <w:szCs w:val="23"/>
          <w:color w:val="auto"/>
        </w:rPr>
      </w:pPr>
      <w:r>
        <w:rPr>
          <w:rFonts w:ascii="Arial" w:cs="Arial" w:eastAsia="Arial" w:hAnsi="Arial"/>
          <w:sz w:val="23"/>
          <w:szCs w:val="23"/>
          <w:i w:val="1"/>
          <w:iCs w:val="1"/>
          <w:color w:val="auto"/>
        </w:rPr>
        <w:t>Presented new amezalpat mechanism-of-action data reinforcing its potential as a novel cancer treatment at the 2025 AACR Annual Meeting</w:t>
      </w:r>
    </w:p>
    <w:p>
      <w:pPr>
        <w:spacing w:after="0" w:line="27" w:lineRule="exact"/>
        <w:rPr>
          <w:rFonts w:ascii="Times New Roman" w:cs="Times New Roman" w:eastAsia="Times New Roman" w:hAnsi="Times New Roman"/>
          <w:sz w:val="23"/>
          <w:szCs w:val="23"/>
          <w:color w:val="auto"/>
        </w:rPr>
      </w:pPr>
    </w:p>
    <w:p>
      <w:pPr>
        <w:ind w:left="760" w:right="200" w:hanging="378"/>
        <w:spacing w:after="0" w:line="293" w:lineRule="auto"/>
        <w:tabs>
          <w:tab w:leader="none" w:pos="760" w:val="left"/>
        </w:tabs>
        <w:numPr>
          <w:ilvl w:val="0"/>
          <w:numId w:val="2"/>
        </w:numPr>
        <w:rPr>
          <w:rFonts w:ascii="Times New Roman" w:cs="Times New Roman" w:eastAsia="Times New Roman" w:hAnsi="Times New Roman"/>
          <w:sz w:val="23"/>
          <w:szCs w:val="23"/>
          <w:color w:val="auto"/>
        </w:rPr>
      </w:pPr>
      <w:r>
        <w:rPr>
          <w:rFonts w:ascii="Arial" w:cs="Arial" w:eastAsia="Arial" w:hAnsi="Arial"/>
          <w:sz w:val="23"/>
          <w:szCs w:val="23"/>
          <w:i w:val="1"/>
          <w:iCs w:val="1"/>
          <w:color w:val="auto"/>
        </w:rPr>
        <w:t>Granted Orphan Drug designation by FDA for TPST-1495 for the treatment of familial adenomatous polyposis (FAP)</w:t>
      </w:r>
    </w:p>
    <w:p>
      <w:pPr>
        <w:spacing w:after="0" w:line="27" w:lineRule="exact"/>
        <w:rPr>
          <w:rFonts w:ascii="Times New Roman" w:cs="Times New Roman" w:eastAsia="Times New Roman" w:hAnsi="Times New Roman"/>
          <w:sz w:val="23"/>
          <w:szCs w:val="23"/>
          <w:color w:val="auto"/>
        </w:rPr>
      </w:pPr>
    </w:p>
    <w:p>
      <w:pPr>
        <w:ind w:left="760" w:hanging="378"/>
        <w:spacing w:after="0"/>
        <w:tabs>
          <w:tab w:leader="none" w:pos="760" w:val="left"/>
        </w:tabs>
        <w:numPr>
          <w:ilvl w:val="0"/>
          <w:numId w:val="2"/>
        </w:numPr>
        <w:rPr>
          <w:rFonts w:ascii="Times New Roman" w:cs="Times New Roman" w:eastAsia="Times New Roman" w:hAnsi="Times New Roman"/>
          <w:sz w:val="23"/>
          <w:szCs w:val="23"/>
          <w:color w:val="auto"/>
        </w:rPr>
      </w:pPr>
      <w:r>
        <w:rPr>
          <w:rFonts w:ascii="Arial" w:cs="Arial" w:eastAsia="Arial" w:hAnsi="Arial"/>
          <w:sz w:val="23"/>
          <w:szCs w:val="23"/>
          <w:i w:val="1"/>
          <w:iCs w:val="1"/>
          <w:color w:val="auto"/>
        </w:rPr>
        <w:t>Received FDA “Study May Proceed” letter for Phase 2 trial of TPST-1495 for the treatment of FAP</w:t>
      </w:r>
    </w:p>
    <w:p>
      <w:pPr>
        <w:spacing w:after="0" w:line="126" w:lineRule="exact"/>
        <w:rPr>
          <w:rFonts w:ascii="Times New Roman" w:cs="Times New Roman" w:eastAsia="Times New Roman" w:hAnsi="Times New Roman"/>
          <w:sz w:val="23"/>
          <w:szCs w:val="23"/>
          <w:color w:val="auto"/>
        </w:rPr>
      </w:pPr>
    </w:p>
    <w:p>
      <w:pPr>
        <w:ind w:left="760" w:right="440" w:hanging="378"/>
        <w:spacing w:after="0" w:line="293" w:lineRule="auto"/>
        <w:tabs>
          <w:tab w:leader="none" w:pos="760" w:val="left"/>
        </w:tabs>
        <w:numPr>
          <w:ilvl w:val="0"/>
          <w:numId w:val="2"/>
        </w:numPr>
        <w:rPr>
          <w:rFonts w:ascii="Times New Roman" w:cs="Times New Roman" w:eastAsia="Times New Roman" w:hAnsi="Times New Roman"/>
          <w:sz w:val="23"/>
          <w:szCs w:val="23"/>
          <w:color w:val="auto"/>
        </w:rPr>
      </w:pPr>
      <w:r>
        <w:rPr>
          <w:rFonts w:ascii="Arial" w:cs="Arial" w:eastAsia="Arial" w:hAnsi="Arial"/>
          <w:sz w:val="23"/>
          <w:szCs w:val="23"/>
          <w:i w:val="1"/>
          <w:iCs w:val="1"/>
          <w:color w:val="auto"/>
        </w:rPr>
        <w:t>Granted both Orphan Drug &amp; Fast Track designations by FDA for Amezalpat (TPST-1120) for the treatment of patients with hepatocellular carcinoma (HCC)</w:t>
      </w:r>
    </w:p>
    <w:p>
      <w:pPr>
        <w:spacing w:after="0" w:line="339" w:lineRule="exact"/>
        <w:rPr>
          <w:sz w:val="20"/>
          <w:szCs w:val="20"/>
          <w:color w:val="auto"/>
        </w:rPr>
      </w:pPr>
    </w:p>
    <w:p>
      <w:pPr>
        <w:jc w:val="both"/>
        <w:spacing w:after="0" w:line="227" w:lineRule="auto"/>
        <w:rPr>
          <w:sz w:val="20"/>
          <w:szCs w:val="20"/>
          <w:color w:val="auto"/>
        </w:rPr>
      </w:pPr>
      <w:r>
        <w:rPr>
          <w:rFonts w:ascii="Arial" w:cs="Arial" w:eastAsia="Arial" w:hAnsi="Arial"/>
          <w:sz w:val="22"/>
          <w:szCs w:val="22"/>
          <w:b w:val="1"/>
          <w:bCs w:val="1"/>
          <w:color w:val="auto"/>
        </w:rPr>
        <w:t>Brisbane, CA</w:t>
      </w:r>
      <w:r>
        <w:rPr>
          <w:rFonts w:ascii="Arial" w:cs="Arial" w:eastAsia="Arial" w:hAnsi="Arial"/>
          <w:sz w:val="22"/>
          <w:szCs w:val="22"/>
          <w:color w:val="auto"/>
        </w:rPr>
        <w:t>, May 13, 2025</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a clinical-stage biotechnology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developing first-in-class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targeted and immune-mediated therapeutics to fight cancer, today reported financial results for the quarter ended March 31, 2025 and provided a corporate update.</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amezalpat program continues to produce data that reinforce its potential as a cancer therapy, most recently in a presentation at AACR showing that amezalpat reduced immunosuppression and activated the immune system to attack tumors. We were pleased to present these data that elucidate one part of the amezalpat mechanism of action and support the positive randomized Phase 2 data, including the benefit seen in patients with markers of immune resistance,” said Stephen Brady, president and chief executive officer of Tempest. “We are actively engaged in exploring strategic alternatives to advance our promising clinical-stage programs and maximize stockholder value and, given the data, continue to have strong conviction in the potential of our oncology portfolio to drive meaningful impact for patients facing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16884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If approved by the U.S. Food and Drug Administration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06" w:lineRule="exact"/>
        <w:rPr>
          <w:sz w:val="20"/>
          <w:szCs w:val="20"/>
          <w:color w:val="auto"/>
        </w:rPr>
      </w:pPr>
    </w:p>
    <w:p>
      <w:pPr>
        <w:ind w:left="760" w:hanging="378"/>
        <w:spacing w:after="0"/>
        <w:tabs>
          <w:tab w:leader="none" w:pos="76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Amezalpat (TPST-1120) </w:t>
      </w:r>
      <w:r>
        <w:rPr>
          <w:rFonts w:ascii="Arial" w:cs="Arial" w:eastAsia="Arial" w:hAnsi="Arial"/>
          <w:sz w:val="22"/>
          <w:szCs w:val="22"/>
          <w:color w:val="auto"/>
        </w:rPr>
        <w:t>(clinical PPARα antagonist):</w:t>
      </w:r>
    </w:p>
    <w:p>
      <w:pPr>
        <w:spacing w:after="0" w:line="138" w:lineRule="exact"/>
        <w:rPr>
          <w:rFonts w:ascii="Times New Roman" w:cs="Times New Roman" w:eastAsia="Times New Roman" w:hAnsi="Times New Roman"/>
          <w:sz w:val="22"/>
          <w:szCs w:val="22"/>
          <w:color w:val="auto"/>
        </w:rPr>
      </w:pPr>
    </w:p>
    <w:p>
      <w:pPr>
        <w:ind w:left="1140" w:hanging="37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Arial" w:cs="Arial" w:eastAsia="Arial" w:hAnsi="Arial"/>
          <w:sz w:val="22"/>
          <w:szCs w:val="22"/>
          <w:color w:val="auto"/>
        </w:rPr>
        <w:t>Reported new data at the 2025 American Association for Cancer Research (AACR) Annual Meeting</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supporting the immune component of amezalpat’s dual mechanism of action and reinforcing its potential as a novel cancer treatment.</w:t>
      </w:r>
    </w:p>
    <w:p>
      <w:pPr>
        <w:spacing w:after="0" w:line="63" w:lineRule="exact"/>
        <w:rPr>
          <w:rFonts w:ascii="Times New Roman" w:cs="Times New Roman" w:eastAsia="Times New Roman" w:hAnsi="Times New Roman"/>
          <w:sz w:val="22"/>
          <w:szCs w:val="22"/>
          <w:color w:val="auto"/>
        </w:rPr>
      </w:pPr>
    </w:p>
    <w:p>
      <w:pPr>
        <w:ind w:left="1140" w:hanging="374"/>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Arial" w:cs="Arial" w:eastAsia="Arial" w:hAnsi="Arial"/>
          <w:sz w:val="22"/>
          <w:szCs w:val="22"/>
          <w:color w:val="auto"/>
        </w:rPr>
        <w:t>Granted both Orphan Drug and Fast Track designations by the U.S. Food and Drug Administration (FDA)</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for amezalpat for the treatment of patients with HCC.</w:t>
      </w:r>
    </w:p>
    <w:p>
      <w:pPr>
        <w:spacing w:after="0" w:line="4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w:t>
      </w:r>
    </w:p>
    <w:p>
      <w:pPr>
        <w:spacing w:after="0" w:line="99" w:lineRule="exact"/>
        <w:rPr>
          <w:sz w:val="20"/>
          <w:szCs w:val="20"/>
          <w:color w:val="auto"/>
        </w:rPr>
      </w:pPr>
    </w:p>
    <w:p>
      <w:pPr>
        <w:ind w:left="1140" w:hanging="383"/>
        <w:spacing w:after="0"/>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Granted Orphan Drug designation by the FDA to treat patients with FAP.</w:t>
      </w:r>
    </w:p>
    <w:p>
      <w:pPr>
        <w:spacing w:after="0" w:line="97"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Received a “Study May Proceed” letter from the FDA for the Phase 2 trial for the treatment of FAP.</w:t>
      </w:r>
    </w:p>
    <w:p>
      <w:pPr>
        <w:spacing w:after="0" w:line="97"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This trial, run by CP-CTNet and financially supported by the NCI’s Division of Cancer Prevention, underscores the urgent need for innovative cancer prevention strategies in high-risk patient populations. The Phase 2 study is expected to begin in 2025.</w:t>
      </w:r>
    </w:p>
    <w:p>
      <w:pPr>
        <w:spacing w:after="0" w:line="6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Corporate:</w:t>
      </w:r>
    </w:p>
    <w:p>
      <w:pPr>
        <w:spacing w:after="0" w:line="126"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Announced (i) plans to explore a full range of strategic alternatives to advance the company’s promising clinical-stage programs and maximize stockholder value and (ii) a reduction in force that was completed on April 30, 2025.</w:t>
      </w:r>
    </w:p>
    <w:p>
      <w:pPr>
        <w:spacing w:after="0" w:line="104"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Using cash on hand, the company repaid $3.5 million in full satisfaction of Loan and Security Agreement with Oxford Finance LLC in April 2025.</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First Quarter 2025</w:t>
      </w:r>
    </w:p>
    <w:p>
      <w:pPr>
        <w:spacing w:after="0" w:line="98" w:lineRule="exact"/>
        <w:rPr>
          <w:sz w:val="20"/>
          <w:szCs w:val="20"/>
          <w:color w:val="auto"/>
        </w:rPr>
      </w:pPr>
    </w:p>
    <w:p>
      <w:pPr>
        <w:jc w:val="both"/>
        <w:ind w:left="760" w:hanging="378"/>
        <w:spacing w:after="0" w:line="244"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Tempest ended the quarter with $21.5 million in cash and cash equivalents, compared to $30.3 million on December 31, 2024. The decrease was primarily due to cash used in operating activities, offset by proceeds of $1.5 million from the at-the-market offering program.</w:t>
      </w:r>
    </w:p>
    <w:p>
      <w:pPr>
        <w:spacing w:after="0" w:line="6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quarter were $10.9 million and $3.16, respectively, compared to $7.9 million and $4.62, respectively, for the same period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left="760" w:hanging="378"/>
        <w:spacing w:after="0" w:line="239"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quarter were $7.6 million compared to $4.3 million for the same period in 2024. The $3.3 million increase was primarily due to an increase in costs incurred from engaging contract research and manufacturing organizations in preparation for our pivotal Phase 3 trial of amezalpat for the treatment of first-line HCC.</w:t>
      </w:r>
    </w:p>
    <w:p>
      <w:pPr>
        <w:spacing w:after="0" w:line="71"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quarter were $3.3 million compared to $3.6 million for the same period in 2024. The $0.3 million decrease was primarily due to a decrease in consulting services.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Tempest Therapeutics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www.tempesttx.com.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contained in this press release include but are not limited to statements relating to Tempest Therapeutics’ evaluation of strategic alternatives available to the company to maximize stockholder value and anticipated therapeutic benefit and regulatory development of Tempest Therapeutic’ product candidates. Any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risks relating to volatility and uncertainty in the capital markets for biotechnology companies; Tempest Therapeutics’ ability to continue to operate as a going concern; availability of suitable third parties with which to conduct contemplated strategic transactions; whether we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974090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both"/>
        <w:spacing w:after="0" w:line="233" w:lineRule="auto"/>
        <w:rPr>
          <w:sz w:val="20"/>
          <w:szCs w:val="20"/>
          <w:color w:val="auto"/>
        </w:rPr>
      </w:pPr>
      <w:r>
        <w:rPr>
          <w:rFonts w:ascii="Arial" w:cs="Arial" w:eastAsia="Arial" w:hAnsi="Arial"/>
          <w:sz w:val="22"/>
          <w:szCs w:val="22"/>
          <w:color w:val="auto"/>
        </w:rPr>
        <w:t>able to pursue a strategic transaction, or whether any transaction, if pursued, will be completed on attractive terms or at all;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These and other factors that may cause actual results to differ from those expressed or implied are discussed in greater detail in the “Risk Factors” section of the company’s Annual Report on Form 10-K filed with the Securities and Exchange Commission (SEC) on March 27, 2025, as well as in other filings the company may make with the SEC in the future.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1602740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Balance Sheets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00" w:type="dxa"/>
            <w:vAlign w:val="bottom"/>
            <w:vMerge w:val="restart"/>
          </w:tcPr>
          <w:p>
            <w:pPr>
              <w:ind w:left="2700"/>
              <w:spacing w:after="0"/>
              <w:rPr>
                <w:sz w:val="20"/>
                <w:szCs w:val="20"/>
                <w:color w:val="auto"/>
              </w:rPr>
            </w:pPr>
            <w:r>
              <w:rPr>
                <w:rFonts w:ascii="Arial" w:cs="Arial" w:eastAsia="Arial" w:hAnsi="Arial"/>
                <w:sz w:val="22"/>
                <w:szCs w:val="22"/>
                <w:b w:val="1"/>
                <w:bCs w:val="1"/>
                <w:color w:val="auto"/>
              </w:rPr>
              <w:t>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2"/>
          </w:tcPr>
          <w:p>
            <w:pPr>
              <w:jc w:val="right"/>
              <w:ind w:right="820"/>
              <w:spacing w:after="0"/>
              <w:rPr>
                <w:sz w:val="20"/>
                <w:szCs w:val="20"/>
                <w:color w:val="auto"/>
              </w:rPr>
            </w:pPr>
            <w:r>
              <w:rPr>
                <w:rFonts w:ascii="Arial" w:cs="Arial" w:eastAsia="Arial" w:hAnsi="Arial"/>
                <w:sz w:val="20"/>
                <w:szCs w:val="20"/>
                <w:b w:val="1"/>
                <w:bCs w:val="1"/>
                <w:color w:val="auto"/>
              </w:rPr>
              <w:t>March 31, 2025</w:t>
            </w:r>
          </w:p>
        </w:tc>
        <w:tc>
          <w:tcPr>
            <w:tcW w:w="200" w:type="dxa"/>
            <w:vAlign w:val="bottom"/>
          </w:tcPr>
          <w:p>
            <w:pPr>
              <w:spacing w:after="0"/>
              <w:rPr>
                <w:sz w:val="20"/>
                <w:szCs w:val="20"/>
                <w:color w:val="auto"/>
              </w:rPr>
            </w:pPr>
          </w:p>
        </w:tc>
        <w:tc>
          <w:tcPr>
            <w:tcW w:w="222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line="243" w:lineRule="exact"/>
              <w:rPr>
                <w:sz w:val="20"/>
                <w:szCs w:val="20"/>
                <w:color w:val="auto"/>
              </w:rPr>
            </w:pPr>
            <w:r>
              <w:rPr>
                <w:rFonts w:ascii="Arial" w:cs="Arial" w:eastAsia="Arial" w:hAnsi="Arial"/>
                <w:sz w:val="22"/>
                <w:szCs w:val="22"/>
                <w:color w:val="auto"/>
              </w:rPr>
              <w:t>Current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Cash and cash equivalents</w:t>
            </w:r>
          </w:p>
        </w:tc>
        <w:tc>
          <w:tcPr>
            <w:tcW w:w="280" w:type="dxa"/>
            <w:vAlign w:val="bottom"/>
            <w:gridSpan w:val="2"/>
          </w:tcPr>
          <w:p>
            <w:pPr>
              <w:jc w:val="right"/>
              <w:ind w:right="63"/>
              <w:spacing w:after="0" w:line="243" w:lineRule="exact"/>
              <w:rPr>
                <w:sz w:val="20"/>
                <w:szCs w:val="20"/>
                <w:color w:val="auto"/>
              </w:rPr>
            </w:pPr>
            <w:r>
              <w:rPr>
                <w:rFonts w:ascii="Arial" w:cs="Arial" w:eastAsia="Arial" w:hAnsi="Arial"/>
                <w:sz w:val="22"/>
                <w:szCs w:val="22"/>
                <w:color w:val="auto"/>
                <w:w w:val="81"/>
              </w:rPr>
              <w:t>$</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21,511</w:t>
            </w:r>
          </w:p>
        </w:tc>
        <w:tc>
          <w:tcPr>
            <w:tcW w:w="3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30,268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ind w:left="80"/>
              <w:spacing w:after="0"/>
              <w:rPr>
                <w:sz w:val="20"/>
                <w:szCs w:val="20"/>
                <w:color w:val="auto"/>
              </w:rPr>
            </w:pPr>
            <w:r>
              <w:rPr>
                <w:rFonts w:ascii="Arial" w:cs="Arial" w:eastAsia="Arial" w:hAnsi="Arial"/>
                <w:sz w:val="22"/>
                <w:szCs w:val="22"/>
                <w:color w:val="auto"/>
              </w:rPr>
              <w:t>Prepaid expenses and other current assets</w:t>
            </w: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922</w:t>
            </w:r>
          </w:p>
        </w:tc>
        <w:tc>
          <w:tcPr>
            <w:tcW w:w="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current assets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22,433</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10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817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886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line="243" w:lineRule="exact"/>
              <w:rPr>
                <w:sz w:val="20"/>
                <w:szCs w:val="20"/>
                <w:color w:val="auto"/>
              </w:rPr>
            </w:pPr>
            <w:r>
              <w:rPr>
                <w:rFonts w:ascii="Arial" w:cs="Arial" w:eastAsia="Arial" w:hAnsi="Arial"/>
                <w:sz w:val="22"/>
                <w:szCs w:val="22"/>
                <w:color w:val="auto"/>
              </w:rPr>
              <w:t>Operating lease right-of-use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8,376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8,643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538</w:t>
            </w:r>
          </w:p>
        </w:tc>
        <w:tc>
          <w:tcPr>
            <w:tcW w:w="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6100" w:type="dxa"/>
            <w:vAlign w:val="bottom"/>
          </w:tcPr>
          <w:p>
            <w:pPr>
              <w:ind w:left="240"/>
              <w:spacing w:after="0"/>
              <w:rPr>
                <w:sz w:val="20"/>
                <w:szCs w:val="20"/>
                <w:color w:val="auto"/>
              </w:rPr>
            </w:pPr>
            <w:r>
              <w:rPr>
                <w:rFonts w:ascii="Arial" w:cs="Arial" w:eastAsia="Arial" w:hAnsi="Arial"/>
                <w:sz w:val="22"/>
                <w:szCs w:val="22"/>
                <w:color w:val="auto"/>
              </w:rPr>
              <w:t>Total assets</w:t>
            </w:r>
          </w:p>
        </w:tc>
        <w:tc>
          <w:tcPr>
            <w:tcW w:w="280" w:type="dxa"/>
            <w:vAlign w:val="bottom"/>
            <w:gridSpan w:val="2"/>
          </w:tcPr>
          <w:p>
            <w:pPr>
              <w:jc w:val="right"/>
              <w:ind w:right="63"/>
              <w:spacing w:after="0"/>
              <w:rPr>
                <w:sz w:val="20"/>
                <w:szCs w:val="20"/>
                <w:color w:val="auto"/>
              </w:rPr>
            </w:pPr>
            <w:r>
              <w:rPr>
                <w:rFonts w:ascii="Arial" w:cs="Arial" w:eastAsia="Arial" w:hAnsi="Arial"/>
                <w:sz w:val="22"/>
                <w:szCs w:val="22"/>
                <w:color w:val="auto"/>
                <w:w w:val="81"/>
              </w:rPr>
              <w:t>$</w:t>
            </w:r>
          </w:p>
        </w:tc>
        <w:tc>
          <w:tcPr>
            <w:tcW w:w="2060" w:type="dxa"/>
            <w:vAlign w:val="bottom"/>
          </w:tcPr>
          <w:p>
            <w:pPr>
              <w:jc w:val="right"/>
              <w:spacing w:after="0"/>
              <w:rPr>
                <w:sz w:val="20"/>
                <w:szCs w:val="20"/>
                <w:color w:val="auto"/>
              </w:rPr>
            </w:pPr>
            <w:r>
              <w:rPr>
                <w:rFonts w:ascii="Arial" w:cs="Arial" w:eastAsia="Arial" w:hAnsi="Arial"/>
                <w:sz w:val="22"/>
                <w:szCs w:val="22"/>
                <w:color w:val="auto"/>
              </w:rPr>
              <w:t>32,164</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rPr>
                <w:sz w:val="20"/>
                <w:szCs w:val="20"/>
                <w:color w:val="auto"/>
              </w:rPr>
            </w:pPr>
            <w:r>
              <w:rPr>
                <w:rFonts w:ascii="Arial" w:cs="Arial" w:eastAsia="Arial" w:hAnsi="Arial"/>
                <w:sz w:val="22"/>
                <w:szCs w:val="22"/>
                <w:color w:val="auto"/>
              </w:rPr>
              <w:t>41,488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1220"/>
              <w:spacing w:after="0"/>
              <w:rPr>
                <w:sz w:val="20"/>
                <w:szCs w:val="20"/>
                <w:color w:val="auto"/>
              </w:rPr>
            </w:pPr>
            <w:r>
              <w:rPr>
                <w:rFonts w:ascii="Arial" w:cs="Arial" w:eastAsia="Arial" w:hAnsi="Arial"/>
                <w:sz w:val="22"/>
                <w:szCs w:val="22"/>
                <w:b w:val="1"/>
                <w:bCs w:val="1"/>
                <w:color w:val="auto"/>
              </w:rPr>
              <w:t>Liabilities and Stockholders' Equity</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line="243" w:lineRule="exact"/>
              <w:rPr>
                <w:sz w:val="20"/>
                <w:szCs w:val="20"/>
                <w:color w:val="auto"/>
              </w:rPr>
            </w:pPr>
            <w:r>
              <w:rPr>
                <w:rFonts w:ascii="Arial" w:cs="Arial" w:eastAsia="Arial" w:hAnsi="Arial"/>
                <w:sz w:val="22"/>
                <w:szCs w:val="22"/>
                <w:color w:val="auto"/>
              </w:rPr>
              <w:t>Current liabilities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Accounts payable</w:t>
            </w:r>
          </w:p>
        </w:tc>
        <w:tc>
          <w:tcPr>
            <w:tcW w:w="280" w:type="dxa"/>
            <w:vAlign w:val="bottom"/>
            <w:gridSpan w:val="2"/>
          </w:tcPr>
          <w:p>
            <w:pPr>
              <w:jc w:val="right"/>
              <w:ind w:right="63"/>
              <w:spacing w:after="0" w:line="243" w:lineRule="exact"/>
              <w:rPr>
                <w:sz w:val="20"/>
                <w:szCs w:val="20"/>
                <w:color w:val="auto"/>
              </w:rPr>
            </w:pPr>
            <w:r>
              <w:rPr>
                <w:rFonts w:ascii="Arial" w:cs="Arial" w:eastAsia="Arial" w:hAnsi="Arial"/>
                <w:sz w:val="22"/>
                <w:szCs w:val="22"/>
                <w:color w:val="auto"/>
                <w:w w:val="81"/>
              </w:rPr>
              <w:t>$</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2,187</w:t>
            </w:r>
          </w:p>
        </w:tc>
        <w:tc>
          <w:tcPr>
            <w:tcW w:w="3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2,450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Accrued expenses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4,985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2,726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Current loan payable,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4,190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6,354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Current operating lease liabilities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1,061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Accrued compensation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718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1,762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ind w:left="80"/>
              <w:spacing w:after="0"/>
              <w:rPr>
                <w:sz w:val="20"/>
                <w:szCs w:val="20"/>
                <w:color w:val="auto"/>
              </w:rPr>
            </w:pPr>
            <w:r>
              <w:rPr>
                <w:rFonts w:ascii="Arial" w:cs="Arial" w:eastAsia="Arial" w:hAnsi="Arial"/>
                <w:sz w:val="22"/>
                <w:szCs w:val="22"/>
                <w:color w:val="auto"/>
              </w:rPr>
              <w:t>Interest payable</w:t>
            </w: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w:t>
            </w:r>
          </w:p>
        </w:tc>
        <w:tc>
          <w:tcPr>
            <w:tcW w:w="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240"/>
              <w:spacing w:after="0"/>
              <w:rPr>
                <w:sz w:val="20"/>
                <w:szCs w:val="20"/>
                <w:color w:val="auto"/>
              </w:rPr>
            </w:pPr>
            <w:r>
              <w:rPr>
                <w:rFonts w:ascii="Arial" w:cs="Arial" w:eastAsia="Arial" w:hAnsi="Arial"/>
                <w:sz w:val="22"/>
                <w:szCs w:val="22"/>
                <w:color w:val="auto"/>
              </w:rPr>
              <w:t>Total current liabilities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13,177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14,220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100" w:type="dxa"/>
            <w:vAlign w:val="bottom"/>
          </w:tcPr>
          <w:p>
            <w:pPr>
              <w:spacing w:after="0"/>
              <w:rPr>
                <w:sz w:val="20"/>
                <w:szCs w:val="20"/>
                <w:color w:val="auto"/>
              </w:rPr>
            </w:pPr>
            <w:r>
              <w:rPr>
                <w:rFonts w:ascii="Arial" w:cs="Arial" w:eastAsia="Arial" w:hAnsi="Arial"/>
                <w:sz w:val="22"/>
                <w:szCs w:val="22"/>
                <w:color w:val="auto"/>
              </w:rPr>
              <w:t>Operating lease liabilities</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7,854</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liabilities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21,031</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22,362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6100" w:type="dxa"/>
            <w:vAlign w:val="bottom"/>
          </w:tcPr>
          <w:p>
            <w:pPr>
              <w:spacing w:after="0"/>
              <w:rPr>
                <w:sz w:val="20"/>
                <w:szCs w:val="20"/>
                <w:color w:val="auto"/>
              </w:rPr>
            </w:pPr>
            <w:r>
              <w:rPr>
                <w:rFonts w:ascii="Arial" w:cs="Arial" w:eastAsia="Arial" w:hAnsi="Arial"/>
                <w:sz w:val="22"/>
                <w:szCs w:val="22"/>
                <w:color w:val="auto"/>
              </w:rPr>
              <w:t>Stockholders' equity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80"/>
              <w:spacing w:after="0" w:line="243" w:lineRule="exact"/>
              <w:rPr>
                <w:sz w:val="20"/>
                <w:szCs w:val="20"/>
                <w:color w:val="auto"/>
              </w:rPr>
            </w:pPr>
            <w:r>
              <w:rPr>
                <w:rFonts w:ascii="Arial" w:cs="Arial" w:eastAsia="Arial" w:hAnsi="Arial"/>
                <w:sz w:val="22"/>
                <w:szCs w:val="22"/>
                <w:color w:val="auto"/>
              </w:rPr>
              <w:t>Common stock</w:t>
            </w:r>
            <w:r>
              <w:rPr>
                <w:rFonts w:ascii="Arial" w:cs="Arial" w:eastAsia="Arial" w:hAnsi="Arial"/>
                <w:sz w:val="28"/>
                <w:szCs w:val="28"/>
                <w:color w:val="auto"/>
                <w:vertAlign w:val="superscript"/>
              </w:rPr>
              <w:t>(1)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100" w:type="dxa"/>
            <w:vAlign w:val="bottom"/>
          </w:tcPr>
          <w:p>
            <w:pPr>
              <w:ind w:left="80"/>
              <w:spacing w:after="0" w:line="267" w:lineRule="exact"/>
              <w:rPr>
                <w:sz w:val="20"/>
                <w:szCs w:val="20"/>
                <w:color w:val="auto"/>
              </w:rPr>
            </w:pPr>
            <w:r>
              <w:rPr>
                <w:rFonts w:ascii="Arial" w:cs="Arial" w:eastAsia="Arial" w:hAnsi="Arial"/>
                <w:sz w:val="22"/>
                <w:szCs w:val="22"/>
                <w:color w:val="auto"/>
              </w:rPr>
              <w:t>Additional paid-in capital</w:t>
            </w:r>
            <w:r>
              <w:rPr>
                <w:rFonts w:ascii="Arial" w:cs="Arial" w:eastAsia="Arial" w:hAnsi="Arial"/>
                <w:sz w:val="28"/>
                <w:szCs w:val="28"/>
                <w:color w:val="auto"/>
                <w:vertAlign w:val="superscript"/>
              </w:rPr>
              <w:t>(1)</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229,095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226,229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100" w:type="dxa"/>
            <w:vAlign w:val="bottom"/>
          </w:tcPr>
          <w:p>
            <w:pPr>
              <w:ind w:left="80"/>
              <w:spacing w:after="0"/>
              <w:rPr>
                <w:sz w:val="20"/>
                <w:szCs w:val="20"/>
                <w:color w:val="auto"/>
              </w:rPr>
            </w:pPr>
            <w:r>
              <w:rPr>
                <w:rFonts w:ascii="Arial" w:cs="Arial" w:eastAsia="Arial" w:hAnsi="Arial"/>
                <w:sz w:val="22"/>
                <w:szCs w:val="22"/>
                <w:color w:val="auto"/>
              </w:rPr>
              <w:t>Accumulated deficit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0" w:type="dxa"/>
            <w:vAlign w:val="bottom"/>
            <w:gridSpan w:val="2"/>
          </w:tcPr>
          <w:p>
            <w:pPr>
              <w:jc w:val="right"/>
              <w:ind w:right="260"/>
              <w:spacing w:after="0"/>
              <w:rPr>
                <w:sz w:val="20"/>
                <w:szCs w:val="20"/>
                <w:color w:val="auto"/>
              </w:rPr>
            </w:pPr>
            <w:r>
              <w:rPr>
                <w:rFonts w:ascii="Arial" w:cs="Arial" w:eastAsia="Arial" w:hAnsi="Arial"/>
                <w:sz w:val="22"/>
                <w:szCs w:val="22"/>
                <w:color w:val="auto"/>
              </w:rPr>
              <w:t>(217,966)</w:t>
            </w:r>
          </w:p>
        </w:tc>
        <w:tc>
          <w:tcPr>
            <w:tcW w:w="200" w:type="dxa"/>
            <w:vAlign w:val="bottom"/>
          </w:tcPr>
          <w:p>
            <w:pPr>
              <w:spacing w:after="0"/>
              <w:rPr>
                <w:sz w:val="23"/>
                <w:szCs w:val="23"/>
                <w:color w:val="auto"/>
              </w:rPr>
            </w:pP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rPr>
              <w:t>(207,106)</w:t>
            </w:r>
          </w:p>
        </w:tc>
        <w:tc>
          <w:tcPr>
            <w:tcW w:w="0" w:type="dxa"/>
            <w:vAlign w:val="bottom"/>
          </w:tcPr>
          <w:p>
            <w:pPr>
              <w:spacing w:after="0"/>
              <w:rPr>
                <w:sz w:val="1"/>
                <w:szCs w:val="1"/>
                <w:color w:val="auto"/>
              </w:rPr>
            </w:pPr>
          </w:p>
        </w:tc>
      </w:tr>
      <w:tr>
        <w:trPr>
          <w:trHeight w:val="237"/>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stockholders' equity</w:t>
            </w: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11,133</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00" w:type="dxa"/>
            <w:vAlign w:val="bottom"/>
          </w:tcPr>
          <w:p>
            <w:pPr>
              <w:ind w:left="240"/>
              <w:spacing w:after="0" w:line="237" w:lineRule="exact"/>
              <w:rPr>
                <w:sz w:val="20"/>
                <w:szCs w:val="20"/>
                <w:color w:val="auto"/>
              </w:rPr>
            </w:pPr>
            <w:r>
              <w:rPr>
                <w:rFonts w:ascii="Arial" w:cs="Arial" w:eastAsia="Arial" w:hAnsi="Arial"/>
                <w:sz w:val="22"/>
                <w:szCs w:val="22"/>
                <w:color w:val="auto"/>
              </w:rPr>
              <w:t>Total liabilities and stockholders' equity</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2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32,164</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2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41,488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Results have been adjusted to reflect the one-for-thirteen reverse stock split effected in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8" w:name="page9"/>
    <w:bookmarkEnd w:id="8"/>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 except per share amounts)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80" w:type="dxa"/>
            <w:vAlign w:val="bottom"/>
            <w:gridSpan w:val="2"/>
          </w:tcPr>
          <w:p>
            <w:pPr>
              <w:jc w:val="right"/>
              <w:ind w:right="520"/>
              <w:spacing w:after="0"/>
              <w:rPr>
                <w:sz w:val="20"/>
                <w:szCs w:val="20"/>
                <w:color w:val="auto"/>
              </w:rPr>
            </w:pPr>
            <w:r>
              <w:rPr>
                <w:rFonts w:ascii="Arial" w:cs="Arial" w:eastAsia="Arial" w:hAnsi="Arial"/>
                <w:sz w:val="22"/>
                <w:szCs w:val="22"/>
                <w:b w:val="1"/>
                <w:bCs w:val="1"/>
                <w:color w:val="auto"/>
              </w:rPr>
              <w:t>Three months ended</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gridSpan w:val="2"/>
          </w:tcPr>
          <w:p>
            <w:pPr>
              <w:jc w:val="right"/>
              <w:ind w:right="48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40"/>
        </w:trPr>
        <w:tc>
          <w:tcPr>
            <w:tcW w:w="4900" w:type="dxa"/>
            <w:vAlign w:val="bottom"/>
            <w:vMerge w:val="restart"/>
          </w:tcPr>
          <w:p>
            <w:pPr>
              <w:spacing w:after="0"/>
              <w:rPr>
                <w:sz w:val="20"/>
                <w:szCs w:val="20"/>
                <w:color w:val="auto"/>
              </w:rPr>
            </w:pPr>
            <w:r>
              <w:rPr>
                <w:rFonts w:ascii="Arial" w:cs="Arial" w:eastAsia="Arial" w:hAnsi="Arial"/>
                <w:sz w:val="22"/>
                <w:szCs w:val="22"/>
                <w:b w:val="1"/>
                <w:bCs w:val="1"/>
                <w:color w:val="auto"/>
              </w:rPr>
              <w:t>Expenses:</w:t>
            </w:r>
          </w:p>
        </w:tc>
        <w:tc>
          <w:tcPr>
            <w:tcW w:w="260" w:type="dxa"/>
            <w:vAlign w:val="bottom"/>
          </w:tcPr>
          <w:p>
            <w:pPr>
              <w:spacing w:after="0"/>
              <w:rPr>
                <w:sz w:val="20"/>
                <w:szCs w:val="20"/>
                <w:color w:val="auto"/>
              </w:rPr>
            </w:pPr>
          </w:p>
        </w:tc>
        <w:tc>
          <w:tcPr>
            <w:tcW w:w="2780" w:type="dxa"/>
            <w:vAlign w:val="bottom"/>
            <w:gridSpan w:val="2"/>
          </w:tcPr>
          <w:p>
            <w:pPr>
              <w:jc w:val="right"/>
              <w:ind w:right="880"/>
              <w:spacing w:after="0"/>
              <w:rPr>
                <w:sz w:val="20"/>
                <w:szCs w:val="20"/>
                <w:color w:val="auto"/>
              </w:rPr>
            </w:pPr>
            <w:r>
              <w:rPr>
                <w:rFonts w:ascii="Arial" w:cs="Arial" w:eastAsia="Arial" w:hAnsi="Arial"/>
                <w:sz w:val="20"/>
                <w:szCs w:val="20"/>
                <w:b w:val="1"/>
                <w:bCs w:val="1"/>
                <w:color w:val="auto"/>
              </w:rPr>
              <w:t>March 31, 2025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2"/>
          </w:tcPr>
          <w:p>
            <w:pPr>
              <w:jc w:val="right"/>
              <w:ind w:right="840"/>
              <w:spacing w:after="0"/>
              <w:rPr>
                <w:sz w:val="20"/>
                <w:szCs w:val="20"/>
                <w:color w:val="auto"/>
              </w:rPr>
            </w:pPr>
            <w:r>
              <w:rPr>
                <w:rFonts w:ascii="Arial" w:cs="Arial" w:eastAsia="Arial" w:hAnsi="Arial"/>
                <w:sz w:val="20"/>
                <w:szCs w:val="20"/>
                <w:b w:val="1"/>
                <w:bCs w:val="1"/>
                <w:color w:val="auto"/>
              </w:rPr>
              <w:t>March 31, 2024</w:t>
            </w: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80"/>
              <w:spacing w:after="0" w:line="243" w:lineRule="exact"/>
              <w:rPr>
                <w:sz w:val="20"/>
                <w:szCs w:val="20"/>
                <w:color w:val="auto"/>
              </w:rPr>
            </w:pPr>
            <w:r>
              <w:rPr>
                <w:rFonts w:ascii="Arial" w:cs="Arial" w:eastAsia="Arial" w:hAnsi="Arial"/>
                <w:sz w:val="22"/>
                <w:szCs w:val="22"/>
                <w:color w:val="auto"/>
              </w:rPr>
              <w:t>Research and development</w:t>
            </w:r>
          </w:p>
        </w:tc>
        <w:tc>
          <w:tcPr>
            <w:tcW w:w="26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2660" w:type="dxa"/>
            <w:vAlign w:val="bottom"/>
          </w:tcPr>
          <w:p>
            <w:pPr>
              <w:jc w:val="right"/>
              <w:spacing w:after="0" w:line="243" w:lineRule="exact"/>
              <w:rPr>
                <w:sz w:val="20"/>
                <w:szCs w:val="20"/>
                <w:color w:val="auto"/>
              </w:rPr>
            </w:pPr>
            <w:r>
              <w:rPr>
                <w:rFonts w:ascii="Arial" w:cs="Arial" w:eastAsia="Arial" w:hAnsi="Arial"/>
                <w:sz w:val="22"/>
                <w:szCs w:val="22"/>
                <w:color w:val="auto"/>
              </w:rPr>
              <w:t>7,627</w:t>
            </w:r>
          </w:p>
        </w:tc>
        <w:tc>
          <w:tcPr>
            <w:tcW w:w="120" w:type="dxa"/>
            <w:vAlign w:val="bottom"/>
          </w:tcPr>
          <w:p>
            <w:pPr>
              <w:spacing w:after="0"/>
              <w:rPr>
                <w:sz w:val="21"/>
                <w:szCs w:val="21"/>
                <w:color w:val="auto"/>
              </w:rPr>
            </w:pPr>
          </w:p>
        </w:tc>
        <w:tc>
          <w:tcPr>
            <w:tcW w:w="52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4,340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900" w:type="dxa"/>
            <w:vAlign w:val="bottom"/>
          </w:tcPr>
          <w:p>
            <w:pPr>
              <w:ind w:left="80"/>
              <w:spacing w:after="0"/>
              <w:rPr>
                <w:sz w:val="20"/>
                <w:szCs w:val="20"/>
                <w:color w:val="auto"/>
              </w:rPr>
            </w:pPr>
            <w:r>
              <w:rPr>
                <w:rFonts w:ascii="Arial" w:cs="Arial" w:eastAsia="Arial" w:hAnsi="Arial"/>
                <w:sz w:val="22"/>
                <w:szCs w:val="22"/>
                <w:color w:val="auto"/>
              </w:rPr>
              <w:t>General and administrative</w:t>
            </w:r>
          </w:p>
        </w:tc>
        <w:tc>
          <w:tcPr>
            <w:tcW w:w="2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3,634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4900" w:type="dxa"/>
            <w:vAlign w:val="bottom"/>
          </w:tcPr>
          <w:p>
            <w:pPr>
              <w:spacing w:after="0"/>
              <w:rPr>
                <w:sz w:val="20"/>
                <w:szCs w:val="20"/>
                <w:color w:val="auto"/>
              </w:rPr>
            </w:pPr>
            <w:r>
              <w:rPr>
                <w:rFonts w:ascii="Arial" w:cs="Arial" w:eastAsia="Arial" w:hAnsi="Arial"/>
                <w:sz w:val="22"/>
                <w:szCs w:val="22"/>
                <w:b w:val="1"/>
                <w:bCs w:val="1"/>
                <w:color w:val="auto"/>
              </w:rPr>
              <w:t>Operating loss</w:t>
            </w:r>
          </w:p>
        </w:tc>
        <w:tc>
          <w:tcPr>
            <w:tcW w:w="260" w:type="dxa"/>
            <w:vAlign w:val="bottom"/>
          </w:tcPr>
          <w:p>
            <w:pPr>
              <w:spacing w:after="0"/>
              <w:rPr>
                <w:sz w:val="24"/>
                <w:szCs w:val="24"/>
                <w:color w:val="auto"/>
              </w:rPr>
            </w:pPr>
          </w:p>
        </w:tc>
        <w:tc>
          <w:tcPr>
            <w:tcW w:w="2780" w:type="dxa"/>
            <w:vAlign w:val="bottom"/>
            <w:gridSpan w:val="2"/>
          </w:tcPr>
          <w:p>
            <w:pPr>
              <w:jc w:val="right"/>
              <w:ind w:right="40"/>
              <w:spacing w:after="0"/>
              <w:rPr>
                <w:sz w:val="20"/>
                <w:szCs w:val="20"/>
                <w:color w:val="auto"/>
              </w:rPr>
            </w:pPr>
            <w:r>
              <w:rPr>
                <w:rFonts w:ascii="Arial" w:cs="Arial" w:eastAsia="Arial" w:hAnsi="Arial"/>
                <w:sz w:val="22"/>
                <w:szCs w:val="22"/>
                <w:color w:val="auto"/>
              </w:rPr>
              <w:t>(10,936)</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rPr>
              <w:t>(7,974)</w:t>
            </w:r>
          </w:p>
        </w:tc>
        <w:tc>
          <w:tcPr>
            <w:tcW w:w="0" w:type="dxa"/>
            <w:vAlign w:val="bottom"/>
          </w:tcPr>
          <w:p>
            <w:pPr>
              <w:spacing w:after="0"/>
              <w:rPr>
                <w:sz w:val="1"/>
                <w:szCs w:val="1"/>
                <w:color w:val="auto"/>
              </w:rPr>
            </w:pPr>
          </w:p>
        </w:tc>
      </w:tr>
      <w:tr>
        <w:trPr>
          <w:trHeight w:val="453"/>
        </w:trPr>
        <w:tc>
          <w:tcPr>
            <w:tcW w:w="4900" w:type="dxa"/>
            <w:vAlign w:val="bottom"/>
          </w:tcPr>
          <w:p>
            <w:pPr>
              <w:spacing w:after="0"/>
              <w:rPr>
                <w:sz w:val="20"/>
                <w:szCs w:val="20"/>
                <w:color w:val="auto"/>
              </w:rPr>
            </w:pPr>
            <w:r>
              <w:rPr>
                <w:rFonts w:ascii="Arial" w:cs="Arial" w:eastAsia="Arial" w:hAnsi="Arial"/>
                <w:sz w:val="22"/>
                <w:szCs w:val="22"/>
                <w:b w:val="1"/>
                <w:bCs w:val="1"/>
                <w:color w:val="auto"/>
              </w:rPr>
              <w:t>Other income (expense), net:</w:t>
            </w:r>
          </w:p>
        </w:tc>
        <w:tc>
          <w:tcPr>
            <w:tcW w:w="2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80"/>
              <w:spacing w:after="0" w:line="243" w:lineRule="exact"/>
              <w:rPr>
                <w:sz w:val="20"/>
                <w:szCs w:val="20"/>
                <w:color w:val="auto"/>
              </w:rPr>
            </w:pPr>
            <w:r>
              <w:rPr>
                <w:rFonts w:ascii="Arial" w:cs="Arial" w:eastAsia="Arial" w:hAnsi="Arial"/>
                <w:sz w:val="22"/>
                <w:szCs w:val="22"/>
                <w:color w:val="auto"/>
              </w:rPr>
              <w:t>Interest expense</w:t>
            </w:r>
          </w:p>
        </w:tc>
        <w:tc>
          <w:tcPr>
            <w:tcW w:w="260" w:type="dxa"/>
            <w:vAlign w:val="bottom"/>
          </w:tcPr>
          <w:p>
            <w:pPr>
              <w:spacing w:after="0"/>
              <w:rPr>
                <w:sz w:val="21"/>
                <w:szCs w:val="21"/>
                <w:color w:val="auto"/>
              </w:rPr>
            </w:pPr>
          </w:p>
        </w:tc>
        <w:tc>
          <w:tcPr>
            <w:tcW w:w="27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(368)</w:t>
            </w:r>
          </w:p>
        </w:tc>
        <w:tc>
          <w:tcPr>
            <w:tcW w:w="0" w:type="dxa"/>
            <w:vAlign w:val="bottom"/>
          </w:tcPr>
          <w:p>
            <w:pPr>
              <w:spacing w:after="0"/>
              <w:rPr>
                <w:sz w:val="1"/>
                <w:szCs w:val="1"/>
                <w:color w:val="auto"/>
              </w:rPr>
            </w:pPr>
          </w:p>
        </w:tc>
      </w:tr>
      <w:tr>
        <w:trPr>
          <w:trHeight w:val="269"/>
        </w:trPr>
        <w:tc>
          <w:tcPr>
            <w:tcW w:w="4900" w:type="dxa"/>
            <w:vAlign w:val="bottom"/>
          </w:tcPr>
          <w:p>
            <w:pPr>
              <w:ind w:left="80"/>
              <w:spacing w:after="0"/>
              <w:rPr>
                <w:sz w:val="20"/>
                <w:szCs w:val="20"/>
                <w:color w:val="auto"/>
              </w:rPr>
            </w:pPr>
            <w:r>
              <w:rPr>
                <w:rFonts w:ascii="Arial" w:cs="Arial" w:eastAsia="Arial" w:hAnsi="Arial"/>
                <w:sz w:val="22"/>
                <w:szCs w:val="22"/>
                <w:color w:val="auto"/>
              </w:rPr>
              <w:t>Interest and other income, net</w:t>
            </w:r>
          </w:p>
        </w:tc>
        <w:tc>
          <w:tcPr>
            <w:tcW w:w="2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900" w:type="dxa"/>
            <w:vAlign w:val="bottom"/>
          </w:tcPr>
          <w:p>
            <w:pPr>
              <w:spacing w:after="0"/>
              <w:rPr>
                <w:sz w:val="20"/>
                <w:szCs w:val="20"/>
                <w:color w:val="auto"/>
              </w:rPr>
            </w:pPr>
            <w:r>
              <w:rPr>
                <w:rFonts w:ascii="Arial" w:cs="Arial" w:eastAsia="Arial" w:hAnsi="Arial"/>
                <w:sz w:val="22"/>
                <w:szCs w:val="22"/>
                <w:b w:val="1"/>
                <w:bCs w:val="1"/>
                <w:color w:val="auto"/>
              </w:rPr>
              <w:t>Net loss</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2780" w:type="dxa"/>
            <w:vAlign w:val="bottom"/>
            <w:gridSpan w:val="2"/>
          </w:tcPr>
          <w:p>
            <w:pPr>
              <w:jc w:val="right"/>
              <w:ind w:right="40"/>
              <w:spacing w:after="0"/>
              <w:rPr>
                <w:sz w:val="20"/>
                <w:szCs w:val="20"/>
                <w:color w:val="auto"/>
              </w:rPr>
            </w:pPr>
            <w:r>
              <w:rPr>
                <w:rFonts w:ascii="Arial" w:cs="Arial" w:eastAsia="Arial" w:hAnsi="Arial"/>
                <w:sz w:val="22"/>
                <w:szCs w:val="22"/>
                <w:color w:val="auto"/>
              </w:rPr>
              <w:t>(10,860)</w:t>
            </w:r>
          </w:p>
        </w:tc>
        <w:tc>
          <w:tcPr>
            <w:tcW w:w="520" w:type="dxa"/>
            <w:vAlign w:val="bottom"/>
            <w:gridSpan w:val="2"/>
          </w:tcPr>
          <w:p>
            <w:pPr>
              <w:jc w:val="right"/>
              <w:ind w:right="32"/>
              <w:spacing w:after="0"/>
              <w:rPr>
                <w:sz w:val="20"/>
                <w:szCs w:val="20"/>
                <w:color w:val="auto"/>
              </w:rPr>
            </w:pPr>
            <w:r>
              <w:rPr>
                <w:rFonts w:ascii="Arial" w:cs="Arial" w:eastAsia="Arial" w:hAnsi="Arial"/>
                <w:sz w:val="22"/>
                <w:szCs w:val="22"/>
                <w:color w:val="auto"/>
              </w:rPr>
              <w:t>$</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rPr>
              <w:t>(7,904)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63" w:lineRule="exact"/>
              <w:rPr>
                <w:sz w:val="20"/>
                <w:szCs w:val="20"/>
                <w:color w:val="auto"/>
              </w:rPr>
            </w:pPr>
            <w:r>
              <w:rPr>
                <w:rFonts w:ascii="Arial" w:cs="Arial" w:eastAsia="Arial" w:hAnsi="Arial"/>
                <w:sz w:val="22"/>
                <w:szCs w:val="22"/>
                <w:b w:val="1"/>
                <w:bCs w:val="1"/>
                <w:color w:val="auto"/>
              </w:rPr>
              <w:t>Net loss per share</w:t>
            </w:r>
            <w:r>
              <w:rPr>
                <w:rFonts w:ascii="Arial" w:cs="Arial" w:eastAsia="Arial" w:hAnsi="Arial"/>
                <w:sz w:val="28"/>
                <w:szCs w:val="28"/>
                <w:b w:val="1"/>
                <w:bCs w:val="1"/>
                <w:color w:val="auto"/>
                <w:vertAlign w:val="superscript"/>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32"/>
              <w:spacing w:after="0" w:line="224" w:lineRule="exact"/>
              <w:rPr>
                <w:sz w:val="20"/>
                <w:szCs w:val="20"/>
                <w:color w:val="auto"/>
              </w:rPr>
            </w:pPr>
            <w:r>
              <w:rPr>
                <w:rFonts w:ascii="Arial" w:cs="Arial" w:eastAsia="Arial" w:hAnsi="Arial"/>
                <w:sz w:val="22"/>
                <w:szCs w:val="22"/>
                <w:color w:val="auto"/>
                <w:w w:val="81"/>
              </w:rPr>
              <w:t>$</w:t>
            </w:r>
          </w:p>
        </w:tc>
        <w:tc>
          <w:tcPr>
            <w:tcW w:w="26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(3.16)</w:t>
            </w:r>
          </w:p>
        </w:tc>
        <w:tc>
          <w:tcPr>
            <w:tcW w:w="1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32"/>
              <w:spacing w:after="0" w:line="224" w:lineRule="exact"/>
              <w:rPr>
                <w:sz w:val="20"/>
                <w:szCs w:val="20"/>
                <w:color w:val="auto"/>
              </w:rPr>
            </w:pPr>
            <w:r>
              <w:rPr>
                <w:rFonts w:ascii="Arial" w:cs="Arial" w:eastAsia="Arial" w:hAnsi="Arial"/>
                <w:sz w:val="22"/>
                <w:szCs w:val="22"/>
                <w:color w:val="auto"/>
                <w:w w:val="81"/>
              </w:rPr>
              <w:t>$</w:t>
            </w:r>
          </w:p>
        </w:tc>
        <w:tc>
          <w:tcPr>
            <w:tcW w:w="26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2"/>
                <w:szCs w:val="22"/>
                <w:color w:val="auto"/>
              </w:rPr>
              <w:t>(4.62)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40" w:hanging="187"/>
        <w:spacing w:after="0"/>
        <w:tabs>
          <w:tab w:leader="none" w:pos="24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Results have been adjusted to reflect the one-for-thirteen reverse stock split effected in April 2025.</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swheeler@wheelhouselsa.com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areynolds@wheelhouselsa.com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2025-05-13T15:29:59Z</dcterms:created>
  <dcterms:modified xsi:type="dcterms:W3CDTF">2025-05-13T15:29:59Z</dcterms:modified>
</cp:coreProperties>
</file>